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5.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1.xml" ContentType="application/vnd.openxmlformats-officedocument.theme+xml"/>
  <Override PartName="/word/charts/chart1.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ustom.xml" ContentType="application/vnd.openxmlformats-officedocument.custom-properties+xml"/>
  <Override PartName="/word/numbering.xml" ContentType="application/vnd.openxmlformats-officedocument.wordprocessingml.numbering+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CC8" w:rsidRPr="00CB10AD" w:rsidRDefault="00645CC8" w:rsidP="00775568">
      <w:bookmarkStart w:id="0" w:name="_GoBack"/>
      <w:bookmarkEnd w:id="0"/>
      <w:r w:rsidRPr="00CB10AD">
        <w:rPr>
          <w:noProof/>
          <w:lang w:eastAsia="en-AU"/>
        </w:rPr>
        <w:drawing>
          <wp:anchor distT="0" distB="0" distL="114300" distR="114300" simplePos="0" relativeHeight="251664384" behindDoc="0" locked="0" layoutInCell="1" allowOverlap="1" wp14:anchorId="323CB378" wp14:editId="5DBDDC82">
            <wp:simplePos x="0" y="0"/>
            <wp:positionH relativeFrom="column">
              <wp:posOffset>-940435</wp:posOffset>
            </wp:positionH>
            <wp:positionV relativeFrom="paragraph">
              <wp:posOffset>-912165</wp:posOffset>
            </wp:positionV>
            <wp:extent cx="7754587" cy="2529444"/>
            <wp:effectExtent l="0" t="0" r="0" b="0"/>
            <wp:wrapNone/>
            <wp:docPr id="2618" name="Picture 9"/>
            <wp:cNvGraphicFramePr/>
            <a:graphic xmlns:a="http://schemas.openxmlformats.org/drawingml/2006/main">
              <a:graphicData uri="http://schemas.openxmlformats.org/drawingml/2006/picture">
                <pic:pic xmlns:pic="http://schemas.openxmlformats.org/drawingml/2006/picture">
                  <pic:nvPicPr>
                    <pic:cNvPr id="2618" name="Picture 9"/>
                    <pic:cNvPicPr/>
                  </pic:nvPicPr>
                  <pic:blipFill>
                    <a:blip r:embed="rId9">
                      <a:extLst>
                        <a:ext uri="{28A0092B-C50C-407E-A947-70E740481C1C}">
                          <a14:useLocalDpi xmlns:a14="http://schemas.microsoft.com/office/drawing/2010/main" val="0"/>
                        </a:ext>
                      </a:extLst>
                    </a:blip>
                    <a:srcRect r="3587"/>
                    <a:stretch>
                      <a:fillRect/>
                    </a:stretch>
                  </pic:blipFill>
                  <pic:spPr bwMode="auto">
                    <a:xfrm>
                      <a:off x="0" y="0"/>
                      <a:ext cx="7754587" cy="25294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0AD">
        <w:rPr>
          <w:noProof/>
          <w:lang w:eastAsia="en-AU"/>
        </w:rPr>
        <w:drawing>
          <wp:anchor distT="0" distB="0" distL="114300" distR="114300" simplePos="0" relativeHeight="251665408" behindDoc="0" locked="1" layoutInCell="0" allowOverlap="1" wp14:anchorId="57C13FDE" wp14:editId="2BBBFCEB">
            <wp:simplePos x="0" y="0"/>
            <wp:positionH relativeFrom="column">
              <wp:posOffset>816610</wp:posOffset>
            </wp:positionH>
            <wp:positionV relativeFrom="page">
              <wp:posOffset>471805</wp:posOffset>
            </wp:positionV>
            <wp:extent cx="2790825" cy="619125"/>
            <wp:effectExtent l="0" t="0" r="9525" b="9525"/>
            <wp:wrapNone/>
            <wp:docPr id="2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RK\EPOS\REPORT &amp; STATIONARY\Logo EP - EN white.emf"/>
                    <pic:cNvPicPr>
                      <a:picLocks noChangeAspect="1" noChangeArrowheads="1"/>
                    </pic:cNvPicPr>
                  </pic:nvPicPr>
                  <pic:blipFill rotWithShape="1">
                    <a:blip r:embed="rId10">
                      <a:extLst>
                        <a:ext uri="{28A0092B-C50C-407E-A947-70E740481C1C}">
                          <a14:useLocalDpi xmlns:a14="http://schemas.microsoft.com/office/drawing/2010/main" val="0"/>
                        </a:ext>
                      </a:extLst>
                    </a:blip>
                    <a:srcRect l="32487"/>
                    <a:stretch/>
                  </pic:blipFill>
                  <pic:spPr bwMode="auto">
                    <a:xfrm>
                      <a:off x="0" y="0"/>
                      <a:ext cx="2790825" cy="61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10AD">
        <w:rPr>
          <w:noProof/>
          <w:lang w:eastAsia="en-AU"/>
        </w:rPr>
        <w:drawing>
          <wp:anchor distT="0" distB="0" distL="114300" distR="114300" simplePos="0" relativeHeight="251666432" behindDoc="0" locked="0" layoutInCell="1" allowOverlap="1" wp14:anchorId="65E291F8" wp14:editId="4006C5B0">
            <wp:simplePos x="0" y="0"/>
            <wp:positionH relativeFrom="column">
              <wp:posOffset>-402590</wp:posOffset>
            </wp:positionH>
            <wp:positionV relativeFrom="paragraph">
              <wp:posOffset>-365125</wp:posOffset>
            </wp:positionV>
            <wp:extent cx="1146175" cy="514350"/>
            <wp:effectExtent l="0" t="0" r="0" b="0"/>
            <wp:wrapNone/>
            <wp:docPr id="50" name="Picture 50" descr="C:\Users\IDVIS_~1\AppData\Local\Temp\Rar$DRa0.381\Australian Aid Identifier white 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DVIS_~1\AppData\Local\Temp\Rar$DRa0.381\Australian Aid Identifier white r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61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CC8" w:rsidRPr="00CB10AD" w:rsidRDefault="00645CC8" w:rsidP="00775568"/>
    <w:p w:rsidR="00645CC8" w:rsidRPr="00CB10AD" w:rsidRDefault="00645CC8" w:rsidP="00775568"/>
    <w:p w:rsidR="00645CC8" w:rsidRPr="00CB10AD" w:rsidRDefault="00645CC8" w:rsidP="00775568"/>
    <w:p w:rsidR="00645CC8" w:rsidRPr="00CB10AD" w:rsidRDefault="00645CC8" w:rsidP="00775568"/>
    <w:p w:rsidR="00645CC8" w:rsidRPr="00CB10AD" w:rsidRDefault="00645CC8" w:rsidP="00775568"/>
    <w:p w:rsidR="00645CC8" w:rsidRPr="00CB10AD" w:rsidRDefault="00645CC8" w:rsidP="00775568"/>
    <w:p w:rsidR="00645CC8" w:rsidRPr="00CB10AD" w:rsidRDefault="00645CC8" w:rsidP="00775568"/>
    <w:p w:rsidR="00645CC8" w:rsidRPr="00CB10AD" w:rsidRDefault="00645CC8" w:rsidP="00775568"/>
    <w:p w:rsidR="00645CC8" w:rsidRPr="00CB10AD" w:rsidRDefault="00645CC8" w:rsidP="00775568"/>
    <w:p w:rsidR="00645CC8" w:rsidRPr="00CB10AD" w:rsidRDefault="00645CC8" w:rsidP="00775568"/>
    <w:p w:rsidR="00645CC8" w:rsidRPr="00CB10AD" w:rsidRDefault="00645CC8" w:rsidP="00775568"/>
    <w:p w:rsidR="00645CC8" w:rsidRPr="00CB10AD" w:rsidRDefault="00645CC8" w:rsidP="00775568"/>
    <w:p w:rsidR="00645CC8" w:rsidRPr="00CB10AD" w:rsidRDefault="00645CC8" w:rsidP="00775568"/>
    <w:p w:rsidR="00645CC8" w:rsidRPr="00CB10AD" w:rsidRDefault="00645CC8" w:rsidP="00775568"/>
    <w:p w:rsidR="00645CC8" w:rsidRPr="00CB10AD" w:rsidRDefault="00645CC8" w:rsidP="00775568"/>
    <w:p w:rsidR="00645CC8" w:rsidRPr="00CB10AD" w:rsidRDefault="00645CC8" w:rsidP="00775568"/>
    <w:tbl>
      <w:tblPr>
        <w:tblpPr w:leftFromText="187" w:rightFromText="187" w:vertAnchor="text" w:horzAnchor="margin" w:tblpY="1"/>
        <w:tblOverlap w:val="never"/>
        <w:tblW w:w="5000" w:type="pct"/>
        <w:tblLook w:val="04A0" w:firstRow="1" w:lastRow="0" w:firstColumn="1" w:lastColumn="0" w:noHBand="0" w:noVBand="1"/>
      </w:tblPr>
      <w:tblGrid>
        <w:gridCol w:w="9245"/>
      </w:tblGrid>
      <w:tr w:rsidR="00645CC8" w:rsidRPr="00CB10AD" w:rsidTr="00645CC8">
        <w:trPr>
          <w:trHeight w:val="360"/>
        </w:trPr>
        <w:tc>
          <w:tcPr>
            <w:tcW w:w="5000" w:type="pct"/>
          </w:tcPr>
          <w:p w:rsidR="00645CC8" w:rsidRPr="00CB10AD" w:rsidRDefault="00AD3A37" w:rsidP="00940C3D">
            <w:pPr>
              <w:pStyle w:val="NoSpacing"/>
              <w:rPr>
                <w:rFonts w:asciiTheme="minorHAnsi" w:eastAsiaTheme="majorEastAsia" w:hAnsiTheme="minorHAnsi" w:cstheme="minorHAnsi"/>
                <w:caps/>
                <w:color w:val="68BAD6"/>
                <w:lang w:val="en-AU"/>
              </w:rPr>
            </w:pPr>
            <w:r>
              <w:rPr>
                <w:rFonts w:asciiTheme="minorHAnsi" w:eastAsiaTheme="majorEastAsia" w:hAnsiTheme="minorHAnsi" w:cstheme="minorHAnsi"/>
                <w:caps/>
                <w:color w:val="68BAD6"/>
                <w:sz w:val="32"/>
                <w:lang w:val="en-AU"/>
              </w:rPr>
              <w:t>FINAL</w:t>
            </w:r>
            <w:r w:rsidRPr="00CB10AD">
              <w:rPr>
                <w:rFonts w:asciiTheme="minorHAnsi" w:eastAsiaTheme="majorEastAsia" w:hAnsiTheme="minorHAnsi" w:cstheme="minorHAnsi"/>
                <w:caps/>
                <w:color w:val="68BAD6"/>
                <w:sz w:val="32"/>
                <w:lang w:val="en-AU"/>
              </w:rPr>
              <w:t xml:space="preserve"> </w:t>
            </w:r>
            <w:r w:rsidR="00645CC8" w:rsidRPr="00CB10AD">
              <w:rPr>
                <w:rFonts w:asciiTheme="minorHAnsi" w:eastAsiaTheme="majorEastAsia" w:hAnsiTheme="minorHAnsi" w:cstheme="minorHAnsi"/>
                <w:caps/>
                <w:color w:val="68BAD6"/>
                <w:sz w:val="32"/>
                <w:lang w:val="en-AU"/>
              </w:rPr>
              <w:t>REPORT</w:t>
            </w:r>
          </w:p>
        </w:tc>
      </w:tr>
      <w:tr w:rsidR="00645CC8" w:rsidRPr="00CB10AD" w:rsidTr="00645CC8">
        <w:trPr>
          <w:trHeight w:val="777"/>
        </w:trPr>
        <w:tc>
          <w:tcPr>
            <w:tcW w:w="5000" w:type="pct"/>
            <w:vAlign w:val="center"/>
          </w:tcPr>
          <w:p w:rsidR="00645CC8" w:rsidRPr="00CB10AD" w:rsidRDefault="00045CAA" w:rsidP="00045CAA">
            <w:pPr>
              <w:pStyle w:val="NoSpacing"/>
              <w:rPr>
                <w:rFonts w:asciiTheme="minorHAnsi" w:eastAsiaTheme="majorEastAsia" w:hAnsiTheme="minorHAnsi" w:cstheme="minorHAnsi"/>
                <w:color w:val="595959" w:themeColor="text1" w:themeTint="A6"/>
                <w:sz w:val="56"/>
                <w:szCs w:val="60"/>
                <w:lang w:val="en-AU"/>
              </w:rPr>
            </w:pPr>
            <w:r w:rsidRPr="00CB10AD">
              <w:rPr>
                <w:rFonts w:asciiTheme="minorHAnsi" w:eastAsiaTheme="majorEastAsia" w:hAnsiTheme="minorHAnsi" w:cstheme="minorHAnsi"/>
                <w:color w:val="595959" w:themeColor="text1" w:themeTint="A6"/>
                <w:sz w:val="56"/>
                <w:szCs w:val="60"/>
                <w:lang w:val="en-AU"/>
              </w:rPr>
              <w:t xml:space="preserve">Annual </w:t>
            </w:r>
            <w:r w:rsidR="0017073C" w:rsidRPr="00CB10AD">
              <w:rPr>
                <w:rFonts w:asciiTheme="minorHAnsi" w:eastAsiaTheme="majorEastAsia" w:hAnsiTheme="minorHAnsi" w:cstheme="minorHAnsi"/>
                <w:color w:val="595959" w:themeColor="text1" w:themeTint="A6"/>
                <w:sz w:val="56"/>
                <w:szCs w:val="60"/>
                <w:lang w:val="en-AU"/>
              </w:rPr>
              <w:t>Partnership Performance</w:t>
            </w:r>
            <w:r w:rsidRPr="00CB10AD">
              <w:rPr>
                <w:rFonts w:asciiTheme="minorHAnsi" w:eastAsiaTheme="majorEastAsia" w:hAnsiTheme="minorHAnsi" w:cstheme="minorHAnsi"/>
                <w:color w:val="595959" w:themeColor="text1" w:themeTint="A6"/>
                <w:sz w:val="56"/>
                <w:szCs w:val="60"/>
                <w:lang w:val="en-AU"/>
              </w:rPr>
              <w:t xml:space="preserve"> Report 201</w:t>
            </w:r>
            <w:r w:rsidR="00F70876">
              <w:rPr>
                <w:rFonts w:asciiTheme="minorHAnsi" w:eastAsiaTheme="majorEastAsia" w:hAnsiTheme="minorHAnsi" w:cstheme="minorHAnsi"/>
                <w:color w:val="595959" w:themeColor="text1" w:themeTint="A6"/>
                <w:sz w:val="56"/>
                <w:szCs w:val="60"/>
                <w:lang w:val="en-AU"/>
              </w:rPr>
              <w:t>5</w:t>
            </w:r>
          </w:p>
          <w:p w:rsidR="001409A2" w:rsidRPr="00CB10AD" w:rsidRDefault="001409A2" w:rsidP="00045CAA">
            <w:pPr>
              <w:pStyle w:val="NoSpacing"/>
              <w:rPr>
                <w:rFonts w:asciiTheme="minorHAnsi" w:eastAsiaTheme="majorEastAsia" w:hAnsiTheme="minorHAnsi" w:cstheme="minorHAnsi"/>
                <w:color w:val="595959" w:themeColor="text1" w:themeTint="A6"/>
                <w:sz w:val="32"/>
                <w:szCs w:val="32"/>
                <w:lang w:val="en-AU"/>
              </w:rPr>
            </w:pPr>
          </w:p>
        </w:tc>
      </w:tr>
      <w:tr w:rsidR="00645CC8" w:rsidRPr="00CB10AD" w:rsidTr="00645CC8">
        <w:trPr>
          <w:trHeight w:val="525"/>
          <w:hidden/>
        </w:trPr>
        <w:tc>
          <w:tcPr>
            <w:tcW w:w="5000" w:type="pct"/>
            <w:vAlign w:val="center"/>
          </w:tcPr>
          <w:p w:rsidR="00645CC8" w:rsidRPr="00F70876" w:rsidRDefault="00045CAA" w:rsidP="00045CAA">
            <w:pPr>
              <w:pStyle w:val="NoSpacing"/>
              <w:rPr>
                <w:rFonts w:asciiTheme="minorHAnsi" w:eastAsiaTheme="majorEastAsia" w:hAnsiTheme="minorHAnsi" w:cstheme="minorHAnsi"/>
                <w:vanish/>
                <w:color w:val="595959" w:themeColor="text1" w:themeTint="A6"/>
                <w:sz w:val="40"/>
                <w:szCs w:val="44"/>
                <w:lang w:val="en-AU"/>
              </w:rPr>
            </w:pPr>
            <w:r w:rsidRPr="00CB10AD">
              <w:rPr>
                <w:rFonts w:asciiTheme="minorHAnsi" w:eastAsiaTheme="majorEastAsia" w:hAnsiTheme="minorHAnsi" w:cstheme="minorHAnsi"/>
                <w:vanish/>
                <w:color w:val="595959" w:themeColor="text1" w:themeTint="A6"/>
                <w:sz w:val="40"/>
                <w:szCs w:val="44"/>
                <w:lang w:val="en-AU"/>
              </w:rPr>
              <w:t>Draft Report</w:t>
            </w:r>
          </w:p>
        </w:tc>
      </w:tr>
      <w:tr w:rsidR="00645CC8" w:rsidRPr="00CB10AD" w:rsidTr="00645CC8">
        <w:trPr>
          <w:trHeight w:val="525"/>
          <w:hidden/>
        </w:trPr>
        <w:tc>
          <w:tcPr>
            <w:tcW w:w="5000" w:type="pct"/>
            <w:vAlign w:val="center"/>
          </w:tcPr>
          <w:p w:rsidR="00645CC8" w:rsidRPr="00CB10AD" w:rsidRDefault="00645CC8" w:rsidP="00645CC8">
            <w:pPr>
              <w:pStyle w:val="NoSpacing"/>
              <w:rPr>
                <w:rFonts w:asciiTheme="minorHAnsi" w:eastAsiaTheme="majorEastAsia" w:hAnsiTheme="minorHAnsi" w:cstheme="minorHAnsi"/>
                <w:b/>
                <w:vanish/>
                <w:color w:val="595959" w:themeColor="text1" w:themeTint="A6"/>
                <w:sz w:val="40"/>
                <w:szCs w:val="44"/>
                <w:lang w:val="en-AU"/>
              </w:rPr>
            </w:pPr>
          </w:p>
        </w:tc>
      </w:tr>
    </w:tbl>
    <w:p w:rsidR="00645CC8" w:rsidRPr="00CB10AD" w:rsidRDefault="00645CC8" w:rsidP="00775568"/>
    <w:p w:rsidR="00645CC8" w:rsidRPr="00CB10AD" w:rsidRDefault="00645CC8" w:rsidP="00775568"/>
    <w:p w:rsidR="00645CC8" w:rsidRPr="00CB10AD" w:rsidRDefault="00645CC8" w:rsidP="00775568">
      <w:r w:rsidRPr="00CB10AD">
        <w:rPr>
          <w:rFonts w:asciiTheme="minorHAnsi" w:hAnsiTheme="minorHAnsi" w:cstheme="minorHAnsi"/>
          <w:b/>
          <w:noProof/>
          <w:color w:val="595959" w:themeColor="text1" w:themeTint="A6"/>
          <w:lang w:eastAsia="en-AU"/>
        </w:rPr>
        <w:drawing>
          <wp:anchor distT="0" distB="0" distL="114300" distR="114300" simplePos="0" relativeHeight="251670528" behindDoc="0" locked="1" layoutInCell="0" allowOverlap="1" wp14:anchorId="5EDACEAC" wp14:editId="0B377F3E">
            <wp:simplePos x="0" y="0"/>
            <wp:positionH relativeFrom="column">
              <wp:posOffset>-592455</wp:posOffset>
            </wp:positionH>
            <wp:positionV relativeFrom="page">
              <wp:posOffset>10134600</wp:posOffset>
            </wp:positionV>
            <wp:extent cx="7086600" cy="40195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RK\EPOS\REPORT &amp; STATIONARY\emf\Watermark sky blue 50.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86600"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0AD">
        <w:t xml:space="preserve">Australian Aid—managed by </w:t>
      </w:r>
      <w:r w:rsidR="000E480F">
        <w:t>t</w:t>
      </w:r>
      <w:r w:rsidR="00F70876">
        <w:t xml:space="preserve">he Palladium Group </w:t>
      </w:r>
      <w:r w:rsidRPr="00CB10AD">
        <w:t xml:space="preserve">on behalf of </w:t>
      </w:r>
      <w:r w:rsidR="00A74031">
        <w:t xml:space="preserve">the </w:t>
      </w:r>
      <w:r w:rsidRPr="00CB10AD">
        <w:t>Australian Government</w:t>
      </w:r>
    </w:p>
    <w:p w:rsidR="00645CC8" w:rsidRPr="00CB10AD" w:rsidRDefault="00645CC8" w:rsidP="00775568"/>
    <w:p w:rsidR="00645CC8" w:rsidRPr="00CB10AD" w:rsidRDefault="00645CC8" w:rsidP="00775568"/>
    <w:p w:rsidR="00645CC8" w:rsidRPr="00CB10AD" w:rsidRDefault="00645CC8" w:rsidP="00775568">
      <w:pPr>
        <w:sectPr w:rsidR="00645CC8" w:rsidRPr="00CB10AD" w:rsidSect="00457B56">
          <w:headerReference w:type="even" r:id="rId13"/>
          <w:headerReference w:type="default" r:id="rId14"/>
          <w:footerReference w:type="even" r:id="rId15"/>
          <w:footerReference w:type="default" r:id="rId16"/>
          <w:headerReference w:type="first" r:id="rId17"/>
          <w:footerReference w:type="first" r:id="rId18"/>
          <w:type w:val="oddPage"/>
          <w:pgSz w:w="11909" w:h="16834" w:code="9"/>
          <w:pgMar w:top="1440" w:right="1440" w:bottom="1440" w:left="1440" w:header="432" w:footer="720" w:gutter="0"/>
          <w:cols w:space="720"/>
          <w:docGrid w:linePitch="360"/>
        </w:sectPr>
      </w:pPr>
    </w:p>
    <w:p w:rsidR="00645CC8" w:rsidRPr="00851EC7" w:rsidRDefault="00645CC8" w:rsidP="00775568">
      <w:pPr>
        <w:pStyle w:val="Heading1-NoNumber"/>
      </w:pPr>
      <w:bookmarkStart w:id="1" w:name="_Toc448156318"/>
      <w:r w:rsidRPr="00851EC7">
        <w:lastRenderedPageBreak/>
        <w:t>TABLE OF CONTENTS</w:t>
      </w:r>
      <w:bookmarkEnd w:id="1"/>
      <w:r w:rsidRPr="00851EC7">
        <w:tab/>
      </w:r>
    </w:p>
    <w:p w:rsidR="00645CC8" w:rsidRPr="00851EC7" w:rsidRDefault="00645CC8" w:rsidP="00775568"/>
    <w:p w:rsidR="00D915BC" w:rsidRDefault="00645CC8">
      <w:pPr>
        <w:pStyle w:val="TOC1"/>
        <w:rPr>
          <w:rFonts w:eastAsiaTheme="minorEastAsia" w:cstheme="minorBidi"/>
          <w:bCs w:val="0"/>
          <w:caps w:val="0"/>
          <w:noProof/>
          <w:color w:val="auto"/>
          <w:kern w:val="0"/>
          <w:sz w:val="22"/>
          <w:szCs w:val="22"/>
          <w:lang w:eastAsia="en-AU"/>
        </w:rPr>
      </w:pPr>
      <w:r w:rsidRPr="00AF6BE4">
        <w:rPr>
          <w:rFonts w:eastAsiaTheme="majorEastAsia" w:cs="Arial"/>
        </w:rPr>
        <w:fldChar w:fldCharType="begin"/>
      </w:r>
      <w:r w:rsidRPr="00AF6BE4">
        <w:rPr>
          <w:rFonts w:eastAsiaTheme="majorEastAsia" w:cs="Arial"/>
        </w:rPr>
        <w:instrText xml:space="preserve"> TOC \o "1-1" \h \z \u </w:instrText>
      </w:r>
      <w:r w:rsidRPr="00AF6BE4">
        <w:rPr>
          <w:rFonts w:eastAsiaTheme="majorEastAsia" w:cs="Arial"/>
        </w:rPr>
        <w:fldChar w:fldCharType="separate"/>
      </w:r>
      <w:hyperlink w:anchor="_Toc448156318" w:history="1">
        <w:r w:rsidR="00D915BC" w:rsidRPr="00C70CE7">
          <w:rPr>
            <w:rStyle w:val="Hyperlink"/>
            <w:noProof/>
          </w:rPr>
          <w:t>TABLE OF CONTENTS</w:t>
        </w:r>
        <w:r w:rsidR="00D915BC">
          <w:rPr>
            <w:noProof/>
            <w:webHidden/>
          </w:rPr>
          <w:tab/>
        </w:r>
        <w:r w:rsidR="00D915BC">
          <w:rPr>
            <w:noProof/>
            <w:webHidden/>
          </w:rPr>
          <w:fldChar w:fldCharType="begin"/>
        </w:r>
        <w:r w:rsidR="00D915BC">
          <w:rPr>
            <w:noProof/>
            <w:webHidden/>
          </w:rPr>
          <w:instrText xml:space="preserve"> PAGEREF _Toc448156318 \h </w:instrText>
        </w:r>
        <w:r w:rsidR="00D915BC">
          <w:rPr>
            <w:noProof/>
            <w:webHidden/>
          </w:rPr>
        </w:r>
        <w:r w:rsidR="00D915BC">
          <w:rPr>
            <w:noProof/>
            <w:webHidden/>
          </w:rPr>
          <w:fldChar w:fldCharType="separate"/>
        </w:r>
        <w:r w:rsidR="00EC36D2">
          <w:rPr>
            <w:noProof/>
            <w:webHidden/>
          </w:rPr>
          <w:t>iii</w:t>
        </w:r>
        <w:r w:rsidR="00D915BC">
          <w:rPr>
            <w:noProof/>
            <w:webHidden/>
          </w:rPr>
          <w:fldChar w:fldCharType="end"/>
        </w:r>
      </w:hyperlink>
    </w:p>
    <w:p w:rsidR="00D915BC" w:rsidRDefault="00EE1227">
      <w:pPr>
        <w:pStyle w:val="TOC1"/>
        <w:rPr>
          <w:rFonts w:eastAsiaTheme="minorEastAsia" w:cstheme="minorBidi"/>
          <w:bCs w:val="0"/>
          <w:caps w:val="0"/>
          <w:noProof/>
          <w:color w:val="auto"/>
          <w:kern w:val="0"/>
          <w:sz w:val="22"/>
          <w:szCs w:val="22"/>
          <w:lang w:eastAsia="en-AU"/>
        </w:rPr>
      </w:pPr>
      <w:hyperlink w:anchor="_Toc448156319" w:history="1">
        <w:r w:rsidR="00D915BC" w:rsidRPr="00C70CE7">
          <w:rPr>
            <w:rStyle w:val="Hyperlink"/>
            <w:noProof/>
          </w:rPr>
          <w:t>LIST OF TABLES</w:t>
        </w:r>
        <w:r w:rsidR="00D915BC">
          <w:rPr>
            <w:noProof/>
            <w:webHidden/>
          </w:rPr>
          <w:tab/>
        </w:r>
        <w:r w:rsidR="00D915BC">
          <w:rPr>
            <w:noProof/>
            <w:webHidden/>
          </w:rPr>
          <w:fldChar w:fldCharType="begin"/>
        </w:r>
        <w:r w:rsidR="00D915BC">
          <w:rPr>
            <w:noProof/>
            <w:webHidden/>
          </w:rPr>
          <w:instrText xml:space="preserve"> PAGEREF _Toc448156319 \h </w:instrText>
        </w:r>
        <w:r w:rsidR="00D915BC">
          <w:rPr>
            <w:noProof/>
            <w:webHidden/>
          </w:rPr>
        </w:r>
        <w:r w:rsidR="00D915BC">
          <w:rPr>
            <w:noProof/>
            <w:webHidden/>
          </w:rPr>
          <w:fldChar w:fldCharType="separate"/>
        </w:r>
        <w:r w:rsidR="00EC36D2">
          <w:rPr>
            <w:noProof/>
            <w:webHidden/>
          </w:rPr>
          <w:t>iv</w:t>
        </w:r>
        <w:r w:rsidR="00D915BC">
          <w:rPr>
            <w:noProof/>
            <w:webHidden/>
          </w:rPr>
          <w:fldChar w:fldCharType="end"/>
        </w:r>
      </w:hyperlink>
    </w:p>
    <w:p w:rsidR="00D915BC" w:rsidRDefault="00EE1227">
      <w:pPr>
        <w:pStyle w:val="TOC1"/>
        <w:rPr>
          <w:rFonts w:eastAsiaTheme="minorEastAsia" w:cstheme="minorBidi"/>
          <w:bCs w:val="0"/>
          <w:caps w:val="0"/>
          <w:noProof/>
          <w:color w:val="auto"/>
          <w:kern w:val="0"/>
          <w:sz w:val="22"/>
          <w:szCs w:val="22"/>
          <w:lang w:eastAsia="en-AU"/>
        </w:rPr>
      </w:pPr>
      <w:hyperlink w:anchor="_Toc448156320" w:history="1">
        <w:r w:rsidR="00D915BC" w:rsidRPr="00C70CE7">
          <w:rPr>
            <w:rStyle w:val="Hyperlink"/>
            <w:noProof/>
          </w:rPr>
          <w:t>LIST OF FIGURES</w:t>
        </w:r>
        <w:r w:rsidR="00D915BC">
          <w:rPr>
            <w:noProof/>
            <w:webHidden/>
          </w:rPr>
          <w:tab/>
        </w:r>
        <w:r w:rsidR="00D915BC">
          <w:rPr>
            <w:noProof/>
            <w:webHidden/>
          </w:rPr>
          <w:fldChar w:fldCharType="begin"/>
        </w:r>
        <w:r w:rsidR="00D915BC">
          <w:rPr>
            <w:noProof/>
            <w:webHidden/>
          </w:rPr>
          <w:instrText xml:space="preserve"> PAGEREF _Toc448156320 \h </w:instrText>
        </w:r>
        <w:r w:rsidR="00D915BC">
          <w:rPr>
            <w:noProof/>
            <w:webHidden/>
          </w:rPr>
        </w:r>
        <w:r w:rsidR="00D915BC">
          <w:rPr>
            <w:noProof/>
            <w:webHidden/>
          </w:rPr>
          <w:fldChar w:fldCharType="separate"/>
        </w:r>
        <w:r w:rsidR="00EC36D2">
          <w:rPr>
            <w:noProof/>
            <w:webHidden/>
          </w:rPr>
          <w:t>v</w:t>
        </w:r>
        <w:r w:rsidR="00D915BC">
          <w:rPr>
            <w:noProof/>
            <w:webHidden/>
          </w:rPr>
          <w:fldChar w:fldCharType="end"/>
        </w:r>
      </w:hyperlink>
    </w:p>
    <w:p w:rsidR="00D915BC" w:rsidRDefault="00EE1227">
      <w:pPr>
        <w:pStyle w:val="TOC1"/>
        <w:rPr>
          <w:rFonts w:eastAsiaTheme="minorEastAsia" w:cstheme="minorBidi"/>
          <w:bCs w:val="0"/>
          <w:caps w:val="0"/>
          <w:noProof/>
          <w:color w:val="auto"/>
          <w:kern w:val="0"/>
          <w:sz w:val="22"/>
          <w:szCs w:val="22"/>
          <w:lang w:eastAsia="en-AU"/>
        </w:rPr>
      </w:pPr>
      <w:hyperlink w:anchor="_Toc448156321" w:history="1">
        <w:r w:rsidR="00D915BC" w:rsidRPr="00C70CE7">
          <w:rPr>
            <w:rStyle w:val="Hyperlink"/>
            <w:noProof/>
          </w:rPr>
          <w:t>ABBREVIATIONS AND ACRONYMS</w:t>
        </w:r>
        <w:r w:rsidR="00D915BC">
          <w:rPr>
            <w:noProof/>
            <w:webHidden/>
          </w:rPr>
          <w:tab/>
        </w:r>
        <w:r w:rsidR="00D915BC">
          <w:rPr>
            <w:noProof/>
            <w:webHidden/>
          </w:rPr>
          <w:fldChar w:fldCharType="begin"/>
        </w:r>
        <w:r w:rsidR="00D915BC">
          <w:rPr>
            <w:noProof/>
            <w:webHidden/>
          </w:rPr>
          <w:instrText xml:space="preserve"> PAGEREF _Toc448156321 \h </w:instrText>
        </w:r>
        <w:r w:rsidR="00D915BC">
          <w:rPr>
            <w:noProof/>
            <w:webHidden/>
          </w:rPr>
        </w:r>
        <w:r w:rsidR="00D915BC">
          <w:rPr>
            <w:noProof/>
            <w:webHidden/>
          </w:rPr>
          <w:fldChar w:fldCharType="separate"/>
        </w:r>
        <w:r w:rsidR="00EC36D2">
          <w:rPr>
            <w:noProof/>
            <w:webHidden/>
          </w:rPr>
          <w:t>vii</w:t>
        </w:r>
        <w:r w:rsidR="00D915BC">
          <w:rPr>
            <w:noProof/>
            <w:webHidden/>
          </w:rPr>
          <w:fldChar w:fldCharType="end"/>
        </w:r>
      </w:hyperlink>
    </w:p>
    <w:p w:rsidR="00D915BC" w:rsidRDefault="00EE1227">
      <w:pPr>
        <w:pStyle w:val="TOC1"/>
        <w:rPr>
          <w:rFonts w:eastAsiaTheme="minorEastAsia" w:cstheme="minorBidi"/>
          <w:bCs w:val="0"/>
          <w:caps w:val="0"/>
          <w:noProof/>
          <w:color w:val="auto"/>
          <w:kern w:val="0"/>
          <w:sz w:val="22"/>
          <w:szCs w:val="22"/>
          <w:lang w:eastAsia="en-AU"/>
        </w:rPr>
      </w:pPr>
      <w:hyperlink w:anchor="_Toc448156322" w:history="1">
        <w:r w:rsidR="00D915BC" w:rsidRPr="00C70CE7">
          <w:rPr>
            <w:rStyle w:val="Hyperlink"/>
            <w:noProof/>
          </w:rPr>
          <w:t>ACKNOWLEDGEMENTS</w:t>
        </w:r>
        <w:r w:rsidR="00D915BC">
          <w:rPr>
            <w:noProof/>
            <w:webHidden/>
          </w:rPr>
          <w:tab/>
        </w:r>
        <w:r w:rsidR="00D915BC">
          <w:rPr>
            <w:noProof/>
            <w:webHidden/>
          </w:rPr>
          <w:fldChar w:fldCharType="begin"/>
        </w:r>
        <w:r w:rsidR="00D915BC">
          <w:rPr>
            <w:noProof/>
            <w:webHidden/>
          </w:rPr>
          <w:instrText xml:space="preserve"> PAGEREF _Toc448156322 \h </w:instrText>
        </w:r>
        <w:r w:rsidR="00D915BC">
          <w:rPr>
            <w:noProof/>
            <w:webHidden/>
          </w:rPr>
        </w:r>
        <w:r w:rsidR="00D915BC">
          <w:rPr>
            <w:noProof/>
            <w:webHidden/>
          </w:rPr>
          <w:fldChar w:fldCharType="separate"/>
        </w:r>
        <w:r w:rsidR="00EC36D2">
          <w:rPr>
            <w:noProof/>
            <w:webHidden/>
          </w:rPr>
          <w:t>xii</w:t>
        </w:r>
        <w:r w:rsidR="00D915BC">
          <w:rPr>
            <w:noProof/>
            <w:webHidden/>
          </w:rPr>
          <w:fldChar w:fldCharType="end"/>
        </w:r>
      </w:hyperlink>
    </w:p>
    <w:p w:rsidR="00D915BC" w:rsidRDefault="00EE1227">
      <w:pPr>
        <w:pStyle w:val="TOC1"/>
        <w:rPr>
          <w:rFonts w:eastAsiaTheme="minorEastAsia" w:cstheme="minorBidi"/>
          <w:bCs w:val="0"/>
          <w:caps w:val="0"/>
          <w:noProof/>
          <w:color w:val="auto"/>
          <w:kern w:val="0"/>
          <w:sz w:val="22"/>
          <w:szCs w:val="22"/>
          <w:lang w:eastAsia="en-AU"/>
        </w:rPr>
      </w:pPr>
      <w:hyperlink w:anchor="_Toc448156323" w:history="1">
        <w:r w:rsidR="00D915BC" w:rsidRPr="00C70CE7">
          <w:rPr>
            <w:rStyle w:val="Hyperlink"/>
            <w:noProof/>
          </w:rPr>
          <w:t>EXECUTIVE SUMMARY</w:t>
        </w:r>
        <w:r w:rsidR="00D915BC">
          <w:rPr>
            <w:noProof/>
            <w:webHidden/>
          </w:rPr>
          <w:tab/>
        </w:r>
        <w:r w:rsidR="00D915BC">
          <w:rPr>
            <w:noProof/>
            <w:webHidden/>
          </w:rPr>
          <w:fldChar w:fldCharType="begin"/>
        </w:r>
        <w:r w:rsidR="00D915BC">
          <w:rPr>
            <w:noProof/>
            <w:webHidden/>
          </w:rPr>
          <w:instrText xml:space="preserve"> PAGEREF _Toc448156323 \h </w:instrText>
        </w:r>
        <w:r w:rsidR="00D915BC">
          <w:rPr>
            <w:noProof/>
            <w:webHidden/>
          </w:rPr>
        </w:r>
        <w:r w:rsidR="00D915BC">
          <w:rPr>
            <w:noProof/>
            <w:webHidden/>
          </w:rPr>
          <w:fldChar w:fldCharType="separate"/>
        </w:r>
        <w:r w:rsidR="00EC36D2">
          <w:rPr>
            <w:noProof/>
            <w:webHidden/>
          </w:rPr>
          <w:t>xiii</w:t>
        </w:r>
        <w:r w:rsidR="00D915BC">
          <w:rPr>
            <w:noProof/>
            <w:webHidden/>
          </w:rPr>
          <w:fldChar w:fldCharType="end"/>
        </w:r>
      </w:hyperlink>
    </w:p>
    <w:p w:rsidR="00D915BC" w:rsidRDefault="00EE1227">
      <w:pPr>
        <w:pStyle w:val="TOC1"/>
        <w:rPr>
          <w:rFonts w:eastAsiaTheme="minorEastAsia" w:cstheme="minorBidi"/>
          <w:bCs w:val="0"/>
          <w:caps w:val="0"/>
          <w:noProof/>
          <w:color w:val="auto"/>
          <w:kern w:val="0"/>
          <w:sz w:val="22"/>
          <w:szCs w:val="22"/>
          <w:lang w:eastAsia="en-AU"/>
        </w:rPr>
      </w:pPr>
      <w:hyperlink w:anchor="_Toc448156324" w:history="1">
        <w:r w:rsidR="00D915BC" w:rsidRPr="00C70CE7">
          <w:rPr>
            <w:rStyle w:val="Hyperlink"/>
            <w:noProof/>
          </w:rPr>
          <w:t>1</w:t>
        </w:r>
        <w:r w:rsidR="00D915BC">
          <w:rPr>
            <w:rFonts w:eastAsiaTheme="minorEastAsia" w:cstheme="minorBidi"/>
            <w:bCs w:val="0"/>
            <w:caps w:val="0"/>
            <w:noProof/>
            <w:color w:val="auto"/>
            <w:kern w:val="0"/>
            <w:sz w:val="22"/>
            <w:szCs w:val="22"/>
            <w:lang w:eastAsia="en-AU"/>
          </w:rPr>
          <w:tab/>
        </w:r>
        <w:r w:rsidR="00D915BC" w:rsidRPr="00C70CE7">
          <w:rPr>
            <w:rStyle w:val="Hyperlink"/>
            <w:noProof/>
          </w:rPr>
          <w:t>Introduction</w:t>
        </w:r>
        <w:r w:rsidR="00D915BC">
          <w:rPr>
            <w:noProof/>
            <w:webHidden/>
          </w:rPr>
          <w:tab/>
        </w:r>
        <w:r w:rsidR="00D915BC">
          <w:rPr>
            <w:noProof/>
            <w:webHidden/>
          </w:rPr>
          <w:fldChar w:fldCharType="begin"/>
        </w:r>
        <w:r w:rsidR="00D915BC">
          <w:rPr>
            <w:noProof/>
            <w:webHidden/>
          </w:rPr>
          <w:instrText xml:space="preserve"> PAGEREF _Toc448156324 \h </w:instrText>
        </w:r>
        <w:r w:rsidR="00D915BC">
          <w:rPr>
            <w:noProof/>
            <w:webHidden/>
          </w:rPr>
        </w:r>
        <w:r w:rsidR="00D915BC">
          <w:rPr>
            <w:noProof/>
            <w:webHidden/>
          </w:rPr>
          <w:fldChar w:fldCharType="separate"/>
        </w:r>
        <w:r w:rsidR="00EC36D2">
          <w:rPr>
            <w:noProof/>
            <w:webHidden/>
          </w:rPr>
          <w:t>1</w:t>
        </w:r>
        <w:r w:rsidR="00D915BC">
          <w:rPr>
            <w:noProof/>
            <w:webHidden/>
          </w:rPr>
          <w:fldChar w:fldCharType="end"/>
        </w:r>
      </w:hyperlink>
    </w:p>
    <w:p w:rsidR="00D915BC" w:rsidRDefault="00EE1227">
      <w:pPr>
        <w:pStyle w:val="TOC1"/>
        <w:rPr>
          <w:rFonts w:eastAsiaTheme="minorEastAsia" w:cstheme="minorBidi"/>
          <w:bCs w:val="0"/>
          <w:caps w:val="0"/>
          <w:noProof/>
          <w:color w:val="auto"/>
          <w:kern w:val="0"/>
          <w:sz w:val="22"/>
          <w:szCs w:val="22"/>
          <w:lang w:eastAsia="en-AU"/>
        </w:rPr>
      </w:pPr>
      <w:hyperlink w:anchor="_Toc448156325" w:history="1">
        <w:r w:rsidR="00D915BC" w:rsidRPr="00C70CE7">
          <w:rPr>
            <w:rStyle w:val="Hyperlink"/>
            <w:noProof/>
          </w:rPr>
          <w:t>2</w:t>
        </w:r>
        <w:r w:rsidR="00D915BC">
          <w:rPr>
            <w:rFonts w:eastAsiaTheme="minorEastAsia" w:cstheme="minorBidi"/>
            <w:bCs w:val="0"/>
            <w:caps w:val="0"/>
            <w:noProof/>
            <w:color w:val="auto"/>
            <w:kern w:val="0"/>
            <w:sz w:val="22"/>
            <w:szCs w:val="22"/>
            <w:lang w:eastAsia="en-AU"/>
          </w:rPr>
          <w:tab/>
        </w:r>
        <w:r w:rsidR="00D915BC" w:rsidRPr="00C70CE7">
          <w:rPr>
            <w:rStyle w:val="Hyperlink"/>
            <w:noProof/>
          </w:rPr>
          <w:t>Component 1: School Construction</w:t>
        </w:r>
        <w:r w:rsidR="00D915BC">
          <w:rPr>
            <w:noProof/>
            <w:webHidden/>
          </w:rPr>
          <w:tab/>
        </w:r>
        <w:r w:rsidR="00D915BC">
          <w:rPr>
            <w:noProof/>
            <w:webHidden/>
          </w:rPr>
          <w:fldChar w:fldCharType="begin"/>
        </w:r>
        <w:r w:rsidR="00D915BC">
          <w:rPr>
            <w:noProof/>
            <w:webHidden/>
          </w:rPr>
          <w:instrText xml:space="preserve"> PAGEREF _Toc448156325 \h </w:instrText>
        </w:r>
        <w:r w:rsidR="00D915BC">
          <w:rPr>
            <w:noProof/>
            <w:webHidden/>
          </w:rPr>
        </w:r>
        <w:r w:rsidR="00D915BC">
          <w:rPr>
            <w:noProof/>
            <w:webHidden/>
          </w:rPr>
          <w:fldChar w:fldCharType="separate"/>
        </w:r>
        <w:r w:rsidR="00EC36D2">
          <w:rPr>
            <w:noProof/>
            <w:webHidden/>
          </w:rPr>
          <w:t>7</w:t>
        </w:r>
        <w:r w:rsidR="00D915BC">
          <w:rPr>
            <w:noProof/>
            <w:webHidden/>
          </w:rPr>
          <w:fldChar w:fldCharType="end"/>
        </w:r>
      </w:hyperlink>
    </w:p>
    <w:p w:rsidR="00D915BC" w:rsidRDefault="00EE1227">
      <w:pPr>
        <w:pStyle w:val="TOC1"/>
        <w:rPr>
          <w:rFonts w:eastAsiaTheme="minorEastAsia" w:cstheme="minorBidi"/>
          <w:bCs w:val="0"/>
          <w:caps w:val="0"/>
          <w:noProof/>
          <w:color w:val="auto"/>
          <w:kern w:val="0"/>
          <w:sz w:val="22"/>
          <w:szCs w:val="22"/>
          <w:lang w:eastAsia="en-AU"/>
        </w:rPr>
      </w:pPr>
      <w:hyperlink w:anchor="_Toc448156326" w:history="1">
        <w:r w:rsidR="00D915BC" w:rsidRPr="00C70CE7">
          <w:rPr>
            <w:rStyle w:val="Hyperlink"/>
            <w:noProof/>
          </w:rPr>
          <w:t>3</w:t>
        </w:r>
        <w:r w:rsidR="00D915BC">
          <w:rPr>
            <w:rFonts w:eastAsiaTheme="minorEastAsia" w:cstheme="minorBidi"/>
            <w:bCs w:val="0"/>
            <w:caps w:val="0"/>
            <w:noProof/>
            <w:color w:val="auto"/>
            <w:kern w:val="0"/>
            <w:sz w:val="22"/>
            <w:szCs w:val="22"/>
            <w:lang w:eastAsia="en-AU"/>
          </w:rPr>
          <w:tab/>
        </w:r>
        <w:r w:rsidR="00D915BC" w:rsidRPr="00C70CE7">
          <w:rPr>
            <w:rStyle w:val="Hyperlink"/>
            <w:noProof/>
          </w:rPr>
          <w:t>Component 2: School and District Management</w:t>
        </w:r>
        <w:r w:rsidR="00D915BC">
          <w:rPr>
            <w:noProof/>
            <w:webHidden/>
          </w:rPr>
          <w:tab/>
        </w:r>
        <w:r w:rsidR="00D915BC">
          <w:rPr>
            <w:noProof/>
            <w:webHidden/>
          </w:rPr>
          <w:fldChar w:fldCharType="begin"/>
        </w:r>
        <w:r w:rsidR="00D915BC">
          <w:rPr>
            <w:noProof/>
            <w:webHidden/>
          </w:rPr>
          <w:instrText xml:space="preserve"> PAGEREF _Toc448156326 \h </w:instrText>
        </w:r>
        <w:r w:rsidR="00D915BC">
          <w:rPr>
            <w:noProof/>
            <w:webHidden/>
          </w:rPr>
        </w:r>
        <w:r w:rsidR="00D915BC">
          <w:rPr>
            <w:noProof/>
            <w:webHidden/>
          </w:rPr>
          <w:fldChar w:fldCharType="separate"/>
        </w:r>
        <w:r w:rsidR="00EC36D2">
          <w:rPr>
            <w:noProof/>
            <w:webHidden/>
          </w:rPr>
          <w:t>22</w:t>
        </w:r>
        <w:r w:rsidR="00D915BC">
          <w:rPr>
            <w:noProof/>
            <w:webHidden/>
          </w:rPr>
          <w:fldChar w:fldCharType="end"/>
        </w:r>
      </w:hyperlink>
    </w:p>
    <w:p w:rsidR="00D915BC" w:rsidRDefault="00EE1227">
      <w:pPr>
        <w:pStyle w:val="TOC1"/>
        <w:rPr>
          <w:rFonts w:eastAsiaTheme="minorEastAsia" w:cstheme="minorBidi"/>
          <w:bCs w:val="0"/>
          <w:caps w:val="0"/>
          <w:noProof/>
          <w:color w:val="auto"/>
          <w:kern w:val="0"/>
          <w:sz w:val="22"/>
          <w:szCs w:val="22"/>
          <w:lang w:eastAsia="en-AU"/>
        </w:rPr>
      </w:pPr>
      <w:hyperlink w:anchor="_Toc448156327" w:history="1">
        <w:r w:rsidR="00D915BC" w:rsidRPr="00C70CE7">
          <w:rPr>
            <w:rStyle w:val="Hyperlink"/>
            <w:noProof/>
          </w:rPr>
          <w:t>4</w:t>
        </w:r>
        <w:r w:rsidR="00D915BC">
          <w:rPr>
            <w:rFonts w:eastAsiaTheme="minorEastAsia" w:cstheme="minorBidi"/>
            <w:bCs w:val="0"/>
            <w:caps w:val="0"/>
            <w:noProof/>
            <w:color w:val="auto"/>
            <w:kern w:val="0"/>
            <w:sz w:val="22"/>
            <w:szCs w:val="22"/>
            <w:lang w:eastAsia="en-AU"/>
          </w:rPr>
          <w:tab/>
        </w:r>
        <w:r w:rsidR="00D915BC" w:rsidRPr="00C70CE7">
          <w:rPr>
            <w:rStyle w:val="Hyperlink"/>
            <w:noProof/>
          </w:rPr>
          <w:t>Component 3: Islamic School Accreditation</w:t>
        </w:r>
        <w:r w:rsidR="00D915BC">
          <w:rPr>
            <w:noProof/>
            <w:webHidden/>
          </w:rPr>
          <w:tab/>
        </w:r>
        <w:r w:rsidR="00D915BC">
          <w:rPr>
            <w:noProof/>
            <w:webHidden/>
          </w:rPr>
          <w:fldChar w:fldCharType="begin"/>
        </w:r>
        <w:r w:rsidR="00D915BC">
          <w:rPr>
            <w:noProof/>
            <w:webHidden/>
          </w:rPr>
          <w:instrText xml:space="preserve"> PAGEREF _Toc448156327 \h </w:instrText>
        </w:r>
        <w:r w:rsidR="00D915BC">
          <w:rPr>
            <w:noProof/>
            <w:webHidden/>
          </w:rPr>
        </w:r>
        <w:r w:rsidR="00D915BC">
          <w:rPr>
            <w:noProof/>
            <w:webHidden/>
          </w:rPr>
          <w:fldChar w:fldCharType="separate"/>
        </w:r>
        <w:r w:rsidR="00EC36D2">
          <w:rPr>
            <w:noProof/>
            <w:webHidden/>
          </w:rPr>
          <w:t>38</w:t>
        </w:r>
        <w:r w:rsidR="00D915BC">
          <w:rPr>
            <w:noProof/>
            <w:webHidden/>
          </w:rPr>
          <w:fldChar w:fldCharType="end"/>
        </w:r>
      </w:hyperlink>
    </w:p>
    <w:p w:rsidR="00D915BC" w:rsidRDefault="00EE1227">
      <w:pPr>
        <w:pStyle w:val="TOC1"/>
        <w:rPr>
          <w:rFonts w:eastAsiaTheme="minorEastAsia" w:cstheme="minorBidi"/>
          <w:bCs w:val="0"/>
          <w:caps w:val="0"/>
          <w:noProof/>
          <w:color w:val="auto"/>
          <w:kern w:val="0"/>
          <w:sz w:val="22"/>
          <w:szCs w:val="22"/>
          <w:lang w:eastAsia="en-AU"/>
        </w:rPr>
      </w:pPr>
      <w:hyperlink w:anchor="_Toc448156328" w:history="1">
        <w:r w:rsidR="00D915BC" w:rsidRPr="00C70CE7">
          <w:rPr>
            <w:rStyle w:val="Hyperlink"/>
            <w:noProof/>
          </w:rPr>
          <w:t>5</w:t>
        </w:r>
        <w:r w:rsidR="00D915BC">
          <w:rPr>
            <w:rFonts w:eastAsiaTheme="minorEastAsia" w:cstheme="minorBidi"/>
            <w:bCs w:val="0"/>
            <w:caps w:val="0"/>
            <w:noProof/>
            <w:color w:val="auto"/>
            <w:kern w:val="0"/>
            <w:sz w:val="22"/>
            <w:szCs w:val="22"/>
            <w:lang w:eastAsia="en-AU"/>
          </w:rPr>
          <w:tab/>
        </w:r>
        <w:r w:rsidR="00D915BC" w:rsidRPr="00C70CE7">
          <w:rPr>
            <w:rStyle w:val="Hyperlink"/>
            <w:noProof/>
          </w:rPr>
          <w:t>Component 4: Analytical and Capacity Development Partnership</w:t>
        </w:r>
        <w:r w:rsidR="00D915BC">
          <w:rPr>
            <w:noProof/>
            <w:webHidden/>
          </w:rPr>
          <w:tab/>
        </w:r>
        <w:r w:rsidR="00D915BC">
          <w:rPr>
            <w:noProof/>
            <w:webHidden/>
          </w:rPr>
          <w:fldChar w:fldCharType="begin"/>
        </w:r>
        <w:r w:rsidR="00D915BC">
          <w:rPr>
            <w:noProof/>
            <w:webHidden/>
          </w:rPr>
          <w:instrText xml:space="preserve"> PAGEREF _Toc448156328 \h </w:instrText>
        </w:r>
        <w:r w:rsidR="00D915BC">
          <w:rPr>
            <w:noProof/>
            <w:webHidden/>
          </w:rPr>
        </w:r>
        <w:r w:rsidR="00D915BC">
          <w:rPr>
            <w:noProof/>
            <w:webHidden/>
          </w:rPr>
          <w:fldChar w:fldCharType="separate"/>
        </w:r>
        <w:r w:rsidR="00EC36D2">
          <w:rPr>
            <w:noProof/>
            <w:webHidden/>
          </w:rPr>
          <w:t>56</w:t>
        </w:r>
        <w:r w:rsidR="00D915BC">
          <w:rPr>
            <w:noProof/>
            <w:webHidden/>
          </w:rPr>
          <w:fldChar w:fldCharType="end"/>
        </w:r>
      </w:hyperlink>
    </w:p>
    <w:p w:rsidR="00D915BC" w:rsidRDefault="00EE1227">
      <w:pPr>
        <w:pStyle w:val="TOC1"/>
        <w:rPr>
          <w:rFonts w:eastAsiaTheme="minorEastAsia" w:cstheme="minorBidi"/>
          <w:bCs w:val="0"/>
          <w:caps w:val="0"/>
          <w:noProof/>
          <w:color w:val="auto"/>
          <w:kern w:val="0"/>
          <w:sz w:val="22"/>
          <w:szCs w:val="22"/>
          <w:lang w:eastAsia="en-AU"/>
        </w:rPr>
      </w:pPr>
      <w:hyperlink w:anchor="_Toc448156329" w:history="1">
        <w:r w:rsidR="00D915BC" w:rsidRPr="00C70CE7">
          <w:rPr>
            <w:rStyle w:val="Hyperlink"/>
            <w:noProof/>
          </w:rPr>
          <w:t>6</w:t>
        </w:r>
        <w:r w:rsidR="00D915BC">
          <w:rPr>
            <w:rFonts w:eastAsiaTheme="minorEastAsia" w:cstheme="minorBidi"/>
            <w:bCs w:val="0"/>
            <w:caps w:val="0"/>
            <w:noProof/>
            <w:color w:val="auto"/>
            <w:kern w:val="0"/>
            <w:sz w:val="22"/>
            <w:szCs w:val="22"/>
            <w:lang w:eastAsia="en-AU"/>
          </w:rPr>
          <w:tab/>
        </w:r>
        <w:r w:rsidR="00D915BC" w:rsidRPr="00C70CE7">
          <w:rPr>
            <w:rStyle w:val="Hyperlink"/>
            <w:noProof/>
          </w:rPr>
          <w:t>Program Oversight</w:t>
        </w:r>
        <w:r w:rsidR="00D915BC">
          <w:rPr>
            <w:noProof/>
            <w:webHidden/>
          </w:rPr>
          <w:tab/>
        </w:r>
        <w:r w:rsidR="00D915BC">
          <w:rPr>
            <w:noProof/>
            <w:webHidden/>
          </w:rPr>
          <w:fldChar w:fldCharType="begin"/>
        </w:r>
        <w:r w:rsidR="00D915BC">
          <w:rPr>
            <w:noProof/>
            <w:webHidden/>
          </w:rPr>
          <w:instrText xml:space="preserve"> PAGEREF _Toc448156329 \h </w:instrText>
        </w:r>
        <w:r w:rsidR="00D915BC">
          <w:rPr>
            <w:noProof/>
            <w:webHidden/>
          </w:rPr>
        </w:r>
        <w:r w:rsidR="00D915BC">
          <w:rPr>
            <w:noProof/>
            <w:webHidden/>
          </w:rPr>
          <w:fldChar w:fldCharType="separate"/>
        </w:r>
        <w:r w:rsidR="00EC36D2">
          <w:rPr>
            <w:noProof/>
            <w:webHidden/>
          </w:rPr>
          <w:t>73</w:t>
        </w:r>
        <w:r w:rsidR="00D915BC">
          <w:rPr>
            <w:noProof/>
            <w:webHidden/>
          </w:rPr>
          <w:fldChar w:fldCharType="end"/>
        </w:r>
      </w:hyperlink>
    </w:p>
    <w:p w:rsidR="00D915BC" w:rsidRDefault="00EE1227">
      <w:pPr>
        <w:pStyle w:val="TOC1"/>
        <w:rPr>
          <w:rFonts w:eastAsiaTheme="minorEastAsia" w:cstheme="minorBidi"/>
          <w:bCs w:val="0"/>
          <w:caps w:val="0"/>
          <w:noProof/>
          <w:color w:val="auto"/>
          <w:kern w:val="0"/>
          <w:sz w:val="22"/>
          <w:szCs w:val="22"/>
          <w:lang w:eastAsia="en-AU"/>
        </w:rPr>
      </w:pPr>
      <w:hyperlink w:anchor="_Toc448156330" w:history="1">
        <w:r w:rsidR="00D915BC" w:rsidRPr="00C70CE7">
          <w:rPr>
            <w:rStyle w:val="Hyperlink"/>
            <w:noProof/>
          </w:rPr>
          <w:t>7</w:t>
        </w:r>
        <w:r w:rsidR="00D915BC">
          <w:rPr>
            <w:rFonts w:eastAsiaTheme="minorEastAsia" w:cstheme="minorBidi"/>
            <w:bCs w:val="0"/>
            <w:caps w:val="0"/>
            <w:noProof/>
            <w:color w:val="auto"/>
            <w:kern w:val="0"/>
            <w:sz w:val="22"/>
            <w:szCs w:val="22"/>
            <w:lang w:eastAsia="en-AU"/>
          </w:rPr>
          <w:tab/>
        </w:r>
        <w:r w:rsidR="00D915BC" w:rsidRPr="00C70CE7">
          <w:rPr>
            <w:rStyle w:val="Hyperlink"/>
            <w:noProof/>
          </w:rPr>
          <w:t>Conclusions</w:t>
        </w:r>
        <w:r w:rsidR="00D915BC">
          <w:rPr>
            <w:noProof/>
            <w:webHidden/>
          </w:rPr>
          <w:tab/>
        </w:r>
        <w:r w:rsidR="00D915BC">
          <w:rPr>
            <w:noProof/>
            <w:webHidden/>
          </w:rPr>
          <w:fldChar w:fldCharType="begin"/>
        </w:r>
        <w:r w:rsidR="00D915BC">
          <w:rPr>
            <w:noProof/>
            <w:webHidden/>
          </w:rPr>
          <w:instrText xml:space="preserve"> PAGEREF _Toc448156330 \h </w:instrText>
        </w:r>
        <w:r w:rsidR="00D915BC">
          <w:rPr>
            <w:noProof/>
            <w:webHidden/>
          </w:rPr>
        </w:r>
        <w:r w:rsidR="00D915BC">
          <w:rPr>
            <w:noProof/>
            <w:webHidden/>
          </w:rPr>
          <w:fldChar w:fldCharType="separate"/>
        </w:r>
        <w:r w:rsidR="00EC36D2">
          <w:rPr>
            <w:noProof/>
            <w:webHidden/>
          </w:rPr>
          <w:t>87</w:t>
        </w:r>
        <w:r w:rsidR="00D915BC">
          <w:rPr>
            <w:noProof/>
            <w:webHidden/>
          </w:rPr>
          <w:fldChar w:fldCharType="end"/>
        </w:r>
      </w:hyperlink>
    </w:p>
    <w:p w:rsidR="00D915BC" w:rsidRDefault="00EE1227">
      <w:pPr>
        <w:pStyle w:val="TOC1"/>
        <w:rPr>
          <w:rFonts w:eastAsiaTheme="minorEastAsia" w:cstheme="minorBidi"/>
          <w:bCs w:val="0"/>
          <w:caps w:val="0"/>
          <w:noProof/>
          <w:color w:val="auto"/>
          <w:kern w:val="0"/>
          <w:sz w:val="22"/>
          <w:szCs w:val="22"/>
          <w:lang w:eastAsia="en-AU"/>
        </w:rPr>
      </w:pPr>
      <w:hyperlink w:anchor="_Toc448156331" w:history="1">
        <w:r w:rsidR="00D915BC" w:rsidRPr="00C70CE7">
          <w:rPr>
            <w:rStyle w:val="Hyperlink"/>
            <w:noProof/>
          </w:rPr>
          <w:t>Annex I: EP Logic Architecture</w:t>
        </w:r>
        <w:r w:rsidR="00D915BC">
          <w:rPr>
            <w:noProof/>
            <w:webHidden/>
          </w:rPr>
          <w:tab/>
        </w:r>
        <w:r w:rsidR="00D915BC">
          <w:rPr>
            <w:noProof/>
            <w:webHidden/>
          </w:rPr>
          <w:fldChar w:fldCharType="begin"/>
        </w:r>
        <w:r w:rsidR="00D915BC">
          <w:rPr>
            <w:noProof/>
            <w:webHidden/>
          </w:rPr>
          <w:instrText xml:space="preserve"> PAGEREF _Toc448156331 \h </w:instrText>
        </w:r>
        <w:r w:rsidR="00D915BC">
          <w:rPr>
            <w:noProof/>
            <w:webHidden/>
          </w:rPr>
        </w:r>
        <w:r w:rsidR="00D915BC">
          <w:rPr>
            <w:noProof/>
            <w:webHidden/>
          </w:rPr>
          <w:fldChar w:fldCharType="separate"/>
        </w:r>
        <w:r w:rsidR="00EC36D2">
          <w:rPr>
            <w:noProof/>
            <w:webHidden/>
          </w:rPr>
          <w:t>95</w:t>
        </w:r>
        <w:r w:rsidR="00D915BC">
          <w:rPr>
            <w:noProof/>
            <w:webHidden/>
          </w:rPr>
          <w:fldChar w:fldCharType="end"/>
        </w:r>
      </w:hyperlink>
    </w:p>
    <w:p w:rsidR="00D915BC" w:rsidRDefault="00EE1227">
      <w:pPr>
        <w:pStyle w:val="TOC1"/>
        <w:rPr>
          <w:rFonts w:eastAsiaTheme="minorEastAsia" w:cstheme="minorBidi"/>
          <w:bCs w:val="0"/>
          <w:caps w:val="0"/>
          <w:noProof/>
          <w:color w:val="auto"/>
          <w:kern w:val="0"/>
          <w:sz w:val="22"/>
          <w:szCs w:val="22"/>
          <w:lang w:eastAsia="en-AU"/>
        </w:rPr>
      </w:pPr>
      <w:hyperlink w:anchor="_Toc448156332" w:history="1">
        <w:r w:rsidR="00D915BC" w:rsidRPr="00C70CE7">
          <w:rPr>
            <w:rStyle w:val="Hyperlink"/>
            <w:noProof/>
          </w:rPr>
          <w:t>Annex II: Interpretation of DAC Criteria</w:t>
        </w:r>
        <w:r w:rsidR="00D915BC">
          <w:rPr>
            <w:noProof/>
            <w:webHidden/>
          </w:rPr>
          <w:tab/>
        </w:r>
        <w:r w:rsidR="00D915BC">
          <w:rPr>
            <w:noProof/>
            <w:webHidden/>
          </w:rPr>
          <w:fldChar w:fldCharType="begin"/>
        </w:r>
        <w:r w:rsidR="00D915BC">
          <w:rPr>
            <w:noProof/>
            <w:webHidden/>
          </w:rPr>
          <w:instrText xml:space="preserve"> PAGEREF _Toc448156332 \h </w:instrText>
        </w:r>
        <w:r w:rsidR="00D915BC">
          <w:rPr>
            <w:noProof/>
            <w:webHidden/>
          </w:rPr>
        </w:r>
        <w:r w:rsidR="00D915BC">
          <w:rPr>
            <w:noProof/>
            <w:webHidden/>
          </w:rPr>
          <w:fldChar w:fldCharType="separate"/>
        </w:r>
        <w:r w:rsidR="00EC36D2">
          <w:rPr>
            <w:noProof/>
            <w:webHidden/>
          </w:rPr>
          <w:t>96</w:t>
        </w:r>
        <w:r w:rsidR="00D915BC">
          <w:rPr>
            <w:noProof/>
            <w:webHidden/>
          </w:rPr>
          <w:fldChar w:fldCharType="end"/>
        </w:r>
      </w:hyperlink>
    </w:p>
    <w:p w:rsidR="00D915BC" w:rsidRDefault="00EE1227">
      <w:pPr>
        <w:pStyle w:val="TOC1"/>
        <w:rPr>
          <w:rFonts w:eastAsiaTheme="minorEastAsia" w:cstheme="minorBidi"/>
          <w:bCs w:val="0"/>
          <w:caps w:val="0"/>
          <w:noProof/>
          <w:color w:val="auto"/>
          <w:kern w:val="0"/>
          <w:sz w:val="22"/>
          <w:szCs w:val="22"/>
          <w:lang w:eastAsia="en-AU"/>
        </w:rPr>
      </w:pPr>
      <w:hyperlink w:anchor="_Toc448156333" w:history="1">
        <w:r w:rsidR="00D915BC" w:rsidRPr="00C70CE7">
          <w:rPr>
            <w:rStyle w:val="Hyperlink"/>
            <w:noProof/>
          </w:rPr>
          <w:t>Annex III: APPR Rating Scale</w:t>
        </w:r>
        <w:r w:rsidR="00D915BC">
          <w:rPr>
            <w:noProof/>
            <w:webHidden/>
          </w:rPr>
          <w:tab/>
        </w:r>
        <w:r w:rsidR="00D915BC">
          <w:rPr>
            <w:noProof/>
            <w:webHidden/>
          </w:rPr>
          <w:fldChar w:fldCharType="begin"/>
        </w:r>
        <w:r w:rsidR="00D915BC">
          <w:rPr>
            <w:noProof/>
            <w:webHidden/>
          </w:rPr>
          <w:instrText xml:space="preserve"> PAGEREF _Toc448156333 \h </w:instrText>
        </w:r>
        <w:r w:rsidR="00D915BC">
          <w:rPr>
            <w:noProof/>
            <w:webHidden/>
          </w:rPr>
        </w:r>
        <w:r w:rsidR="00D915BC">
          <w:rPr>
            <w:noProof/>
            <w:webHidden/>
          </w:rPr>
          <w:fldChar w:fldCharType="separate"/>
        </w:r>
        <w:r w:rsidR="00EC36D2">
          <w:rPr>
            <w:noProof/>
            <w:webHidden/>
          </w:rPr>
          <w:t>98</w:t>
        </w:r>
        <w:r w:rsidR="00D915BC">
          <w:rPr>
            <w:noProof/>
            <w:webHidden/>
          </w:rPr>
          <w:fldChar w:fldCharType="end"/>
        </w:r>
      </w:hyperlink>
    </w:p>
    <w:p w:rsidR="00D915BC" w:rsidRDefault="00EE1227">
      <w:pPr>
        <w:pStyle w:val="TOC1"/>
        <w:rPr>
          <w:rFonts w:eastAsiaTheme="minorEastAsia" w:cstheme="minorBidi"/>
          <w:bCs w:val="0"/>
          <w:caps w:val="0"/>
          <w:noProof/>
          <w:color w:val="auto"/>
          <w:kern w:val="0"/>
          <w:sz w:val="22"/>
          <w:szCs w:val="22"/>
          <w:lang w:eastAsia="en-AU"/>
        </w:rPr>
      </w:pPr>
      <w:hyperlink w:anchor="_Toc448156334" w:history="1">
        <w:r w:rsidR="00D915BC" w:rsidRPr="00C70CE7">
          <w:rPr>
            <w:rStyle w:val="Hyperlink"/>
            <w:noProof/>
          </w:rPr>
          <w:t>Annex IV: List of Key Documents Reviewed</w:t>
        </w:r>
        <w:r w:rsidR="00D915BC">
          <w:rPr>
            <w:noProof/>
            <w:webHidden/>
          </w:rPr>
          <w:tab/>
        </w:r>
        <w:r w:rsidR="00D915BC">
          <w:rPr>
            <w:noProof/>
            <w:webHidden/>
          </w:rPr>
          <w:fldChar w:fldCharType="begin"/>
        </w:r>
        <w:r w:rsidR="00D915BC">
          <w:rPr>
            <w:noProof/>
            <w:webHidden/>
          </w:rPr>
          <w:instrText xml:space="preserve"> PAGEREF _Toc448156334 \h </w:instrText>
        </w:r>
        <w:r w:rsidR="00D915BC">
          <w:rPr>
            <w:noProof/>
            <w:webHidden/>
          </w:rPr>
        </w:r>
        <w:r w:rsidR="00D915BC">
          <w:rPr>
            <w:noProof/>
            <w:webHidden/>
          </w:rPr>
          <w:fldChar w:fldCharType="separate"/>
        </w:r>
        <w:r w:rsidR="00EC36D2">
          <w:rPr>
            <w:noProof/>
            <w:webHidden/>
          </w:rPr>
          <w:t>99</w:t>
        </w:r>
        <w:r w:rsidR="00D915BC">
          <w:rPr>
            <w:noProof/>
            <w:webHidden/>
          </w:rPr>
          <w:fldChar w:fldCharType="end"/>
        </w:r>
      </w:hyperlink>
    </w:p>
    <w:p w:rsidR="00D915BC" w:rsidRDefault="00EE1227">
      <w:pPr>
        <w:pStyle w:val="TOC1"/>
        <w:rPr>
          <w:rFonts w:eastAsiaTheme="minorEastAsia" w:cstheme="minorBidi"/>
          <w:bCs w:val="0"/>
          <w:caps w:val="0"/>
          <w:noProof/>
          <w:color w:val="auto"/>
          <w:kern w:val="0"/>
          <w:sz w:val="22"/>
          <w:szCs w:val="22"/>
          <w:lang w:eastAsia="en-AU"/>
        </w:rPr>
      </w:pPr>
      <w:hyperlink w:anchor="_Toc448156335" w:history="1">
        <w:r w:rsidR="00D915BC" w:rsidRPr="00C70CE7">
          <w:rPr>
            <w:rStyle w:val="Hyperlink"/>
            <w:noProof/>
          </w:rPr>
          <w:t>Annex V: EP Analytical Framework 2015</w:t>
        </w:r>
        <w:r w:rsidR="00D915BC">
          <w:rPr>
            <w:noProof/>
            <w:webHidden/>
          </w:rPr>
          <w:tab/>
        </w:r>
        <w:r w:rsidR="00D915BC">
          <w:rPr>
            <w:noProof/>
            <w:webHidden/>
          </w:rPr>
          <w:fldChar w:fldCharType="begin"/>
        </w:r>
        <w:r w:rsidR="00D915BC">
          <w:rPr>
            <w:noProof/>
            <w:webHidden/>
          </w:rPr>
          <w:instrText xml:space="preserve"> PAGEREF _Toc448156335 \h </w:instrText>
        </w:r>
        <w:r w:rsidR="00D915BC">
          <w:rPr>
            <w:noProof/>
            <w:webHidden/>
          </w:rPr>
        </w:r>
        <w:r w:rsidR="00D915BC">
          <w:rPr>
            <w:noProof/>
            <w:webHidden/>
          </w:rPr>
          <w:fldChar w:fldCharType="separate"/>
        </w:r>
        <w:r w:rsidR="00EC36D2">
          <w:rPr>
            <w:noProof/>
            <w:webHidden/>
          </w:rPr>
          <w:t>102</w:t>
        </w:r>
        <w:r w:rsidR="00D915BC">
          <w:rPr>
            <w:noProof/>
            <w:webHidden/>
          </w:rPr>
          <w:fldChar w:fldCharType="end"/>
        </w:r>
      </w:hyperlink>
    </w:p>
    <w:p w:rsidR="00D915BC" w:rsidRDefault="00EE1227">
      <w:pPr>
        <w:pStyle w:val="TOC1"/>
        <w:rPr>
          <w:rFonts w:eastAsiaTheme="minorEastAsia" w:cstheme="minorBidi"/>
          <w:bCs w:val="0"/>
          <w:caps w:val="0"/>
          <w:noProof/>
          <w:color w:val="auto"/>
          <w:kern w:val="0"/>
          <w:sz w:val="22"/>
          <w:szCs w:val="22"/>
          <w:lang w:eastAsia="en-AU"/>
        </w:rPr>
      </w:pPr>
      <w:hyperlink w:anchor="_Toc448156336" w:history="1">
        <w:r w:rsidR="00D915BC" w:rsidRPr="00C70CE7">
          <w:rPr>
            <w:rStyle w:val="Hyperlink"/>
            <w:noProof/>
          </w:rPr>
          <w:t>Annex VI: List of Persons Consulted</w:t>
        </w:r>
        <w:r w:rsidR="00D915BC">
          <w:rPr>
            <w:noProof/>
            <w:webHidden/>
          </w:rPr>
          <w:tab/>
        </w:r>
        <w:r w:rsidR="00D915BC">
          <w:rPr>
            <w:noProof/>
            <w:webHidden/>
          </w:rPr>
          <w:fldChar w:fldCharType="begin"/>
        </w:r>
        <w:r w:rsidR="00D915BC">
          <w:rPr>
            <w:noProof/>
            <w:webHidden/>
          </w:rPr>
          <w:instrText xml:space="preserve"> PAGEREF _Toc448156336 \h </w:instrText>
        </w:r>
        <w:r w:rsidR="00D915BC">
          <w:rPr>
            <w:noProof/>
            <w:webHidden/>
          </w:rPr>
        </w:r>
        <w:r w:rsidR="00D915BC">
          <w:rPr>
            <w:noProof/>
            <w:webHidden/>
          </w:rPr>
          <w:fldChar w:fldCharType="separate"/>
        </w:r>
        <w:r w:rsidR="00EC36D2">
          <w:rPr>
            <w:noProof/>
            <w:webHidden/>
          </w:rPr>
          <w:t>108</w:t>
        </w:r>
        <w:r w:rsidR="00D915BC">
          <w:rPr>
            <w:noProof/>
            <w:webHidden/>
          </w:rPr>
          <w:fldChar w:fldCharType="end"/>
        </w:r>
      </w:hyperlink>
    </w:p>
    <w:p w:rsidR="00D915BC" w:rsidRDefault="00EE1227">
      <w:pPr>
        <w:pStyle w:val="TOC1"/>
        <w:rPr>
          <w:rFonts w:eastAsiaTheme="minorEastAsia" w:cstheme="minorBidi"/>
          <w:bCs w:val="0"/>
          <w:caps w:val="0"/>
          <w:noProof/>
          <w:color w:val="auto"/>
          <w:kern w:val="0"/>
          <w:sz w:val="22"/>
          <w:szCs w:val="22"/>
          <w:lang w:eastAsia="en-AU"/>
        </w:rPr>
      </w:pPr>
      <w:hyperlink w:anchor="_Toc448156337" w:history="1">
        <w:r w:rsidR="00D915BC" w:rsidRPr="00C70CE7">
          <w:rPr>
            <w:rStyle w:val="Hyperlink"/>
            <w:noProof/>
          </w:rPr>
          <w:t>Annex VII: ECBP M&amp;E Standards: Standard 3: Initiative Progress Reporting</w:t>
        </w:r>
        <w:r w:rsidR="00D915BC">
          <w:rPr>
            <w:noProof/>
            <w:webHidden/>
          </w:rPr>
          <w:tab/>
        </w:r>
        <w:r w:rsidR="00D915BC">
          <w:rPr>
            <w:noProof/>
            <w:webHidden/>
          </w:rPr>
          <w:fldChar w:fldCharType="begin"/>
        </w:r>
        <w:r w:rsidR="00D915BC">
          <w:rPr>
            <w:noProof/>
            <w:webHidden/>
          </w:rPr>
          <w:instrText xml:space="preserve"> PAGEREF _Toc448156337 \h </w:instrText>
        </w:r>
        <w:r w:rsidR="00D915BC">
          <w:rPr>
            <w:noProof/>
            <w:webHidden/>
          </w:rPr>
        </w:r>
        <w:r w:rsidR="00D915BC">
          <w:rPr>
            <w:noProof/>
            <w:webHidden/>
          </w:rPr>
          <w:fldChar w:fldCharType="separate"/>
        </w:r>
        <w:r w:rsidR="00EC36D2">
          <w:rPr>
            <w:noProof/>
            <w:webHidden/>
          </w:rPr>
          <w:t>113</w:t>
        </w:r>
        <w:r w:rsidR="00D915BC">
          <w:rPr>
            <w:noProof/>
            <w:webHidden/>
          </w:rPr>
          <w:fldChar w:fldCharType="end"/>
        </w:r>
      </w:hyperlink>
    </w:p>
    <w:p w:rsidR="0022598A" w:rsidRPr="00AF6BE4" w:rsidRDefault="00645CC8" w:rsidP="00775568">
      <w:r w:rsidRPr="00AF6BE4">
        <w:rPr>
          <w:rFonts w:eastAsiaTheme="majorEastAsia"/>
        </w:rPr>
        <w:fldChar w:fldCharType="end"/>
      </w:r>
    </w:p>
    <w:p w:rsidR="0022598A" w:rsidRPr="00851EC7" w:rsidRDefault="0022598A" w:rsidP="00775568">
      <w:pPr>
        <w:pStyle w:val="Heading1-NoNumber"/>
      </w:pPr>
      <w:r w:rsidRPr="00851EC7">
        <w:br w:type="page"/>
      </w:r>
      <w:bookmarkStart w:id="2" w:name="_Toc448156319"/>
      <w:r w:rsidRPr="00851EC7">
        <w:lastRenderedPageBreak/>
        <w:t>L</w:t>
      </w:r>
      <w:r w:rsidR="0043619B" w:rsidRPr="00851EC7">
        <w:t>IST OF TABLES</w:t>
      </w:r>
      <w:bookmarkEnd w:id="2"/>
    </w:p>
    <w:p w:rsidR="00EC36D2" w:rsidRDefault="00766A0B">
      <w:pPr>
        <w:pStyle w:val="TableofFigures"/>
        <w:tabs>
          <w:tab w:val="right" w:leader="dot" w:pos="9019"/>
        </w:tabs>
        <w:rPr>
          <w:rFonts w:asciiTheme="minorHAnsi" w:eastAsiaTheme="minorEastAsia" w:hAnsiTheme="minorHAnsi" w:cstheme="minorBidi"/>
          <w:noProof/>
          <w:lang w:eastAsia="en-AU"/>
        </w:rPr>
      </w:pPr>
      <w:r>
        <w:rPr>
          <w:color w:val="1F497D" w:themeColor="text2"/>
        </w:rPr>
        <w:fldChar w:fldCharType="begin"/>
      </w:r>
      <w:r>
        <w:rPr>
          <w:color w:val="1F497D" w:themeColor="text2"/>
        </w:rPr>
        <w:instrText xml:space="preserve"> TOC \h \z \t "Caption - Table" \c </w:instrText>
      </w:r>
      <w:r>
        <w:rPr>
          <w:color w:val="1F497D" w:themeColor="text2"/>
        </w:rPr>
        <w:fldChar w:fldCharType="separate"/>
      </w:r>
      <w:hyperlink w:anchor="_Toc450131622" w:history="1">
        <w:r w:rsidR="00EC36D2" w:rsidRPr="00515137">
          <w:rPr>
            <w:rStyle w:val="Hyperlink"/>
            <w:noProof/>
          </w:rPr>
          <w:t>Table 1: Incidence of Suspected Fraud and Non-Compliance</w:t>
        </w:r>
        <w:r w:rsidR="00EC36D2">
          <w:rPr>
            <w:noProof/>
            <w:webHidden/>
          </w:rPr>
          <w:tab/>
        </w:r>
        <w:r w:rsidR="00EC36D2">
          <w:rPr>
            <w:noProof/>
            <w:webHidden/>
          </w:rPr>
          <w:fldChar w:fldCharType="begin"/>
        </w:r>
        <w:r w:rsidR="00EC36D2">
          <w:rPr>
            <w:noProof/>
            <w:webHidden/>
          </w:rPr>
          <w:instrText xml:space="preserve"> PAGEREF _Toc450131622 \h </w:instrText>
        </w:r>
        <w:r w:rsidR="00EC36D2">
          <w:rPr>
            <w:noProof/>
            <w:webHidden/>
          </w:rPr>
        </w:r>
        <w:r w:rsidR="00EC36D2">
          <w:rPr>
            <w:noProof/>
            <w:webHidden/>
          </w:rPr>
          <w:fldChar w:fldCharType="separate"/>
        </w:r>
        <w:r w:rsidR="00EC36D2">
          <w:rPr>
            <w:noProof/>
            <w:webHidden/>
          </w:rPr>
          <w:t>11</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23" w:history="1">
        <w:r w:rsidR="00EC36D2" w:rsidRPr="00515137">
          <w:rPr>
            <w:rStyle w:val="Hyperlink"/>
            <w:noProof/>
          </w:rPr>
          <w:t>Table 2: School construction per cycle (as of December 2015)</w:t>
        </w:r>
        <w:r w:rsidR="00EC36D2">
          <w:rPr>
            <w:noProof/>
            <w:webHidden/>
          </w:rPr>
          <w:tab/>
        </w:r>
        <w:r w:rsidR="00EC36D2">
          <w:rPr>
            <w:noProof/>
            <w:webHidden/>
          </w:rPr>
          <w:fldChar w:fldCharType="begin"/>
        </w:r>
        <w:r w:rsidR="00EC36D2">
          <w:rPr>
            <w:noProof/>
            <w:webHidden/>
          </w:rPr>
          <w:instrText xml:space="preserve"> PAGEREF _Toc450131623 \h </w:instrText>
        </w:r>
        <w:r w:rsidR="00EC36D2">
          <w:rPr>
            <w:noProof/>
            <w:webHidden/>
          </w:rPr>
        </w:r>
        <w:r w:rsidR="00EC36D2">
          <w:rPr>
            <w:noProof/>
            <w:webHidden/>
          </w:rPr>
          <w:fldChar w:fldCharType="separate"/>
        </w:r>
        <w:r w:rsidR="00EC36D2">
          <w:rPr>
            <w:noProof/>
            <w:webHidden/>
          </w:rPr>
          <w:t>11</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24" w:history="1">
        <w:r w:rsidR="00EC36D2" w:rsidRPr="00515137">
          <w:rPr>
            <w:rStyle w:val="Hyperlink"/>
            <w:noProof/>
          </w:rPr>
          <w:t>Table 3: Increase in enrolment in Cycle 1 schools catchment area</w:t>
        </w:r>
        <w:r w:rsidR="00EC36D2">
          <w:rPr>
            <w:noProof/>
            <w:webHidden/>
          </w:rPr>
          <w:tab/>
        </w:r>
        <w:r w:rsidR="00EC36D2">
          <w:rPr>
            <w:noProof/>
            <w:webHidden/>
          </w:rPr>
          <w:fldChar w:fldCharType="begin"/>
        </w:r>
        <w:r w:rsidR="00EC36D2">
          <w:rPr>
            <w:noProof/>
            <w:webHidden/>
          </w:rPr>
          <w:instrText xml:space="preserve"> PAGEREF _Toc450131624 \h </w:instrText>
        </w:r>
        <w:r w:rsidR="00EC36D2">
          <w:rPr>
            <w:noProof/>
            <w:webHidden/>
          </w:rPr>
        </w:r>
        <w:r w:rsidR="00EC36D2">
          <w:rPr>
            <w:noProof/>
            <w:webHidden/>
          </w:rPr>
          <w:fldChar w:fldCharType="separate"/>
        </w:r>
        <w:r w:rsidR="00EC36D2">
          <w:rPr>
            <w:noProof/>
            <w:webHidden/>
          </w:rPr>
          <w:t>13</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25" w:history="1">
        <w:r w:rsidR="00EC36D2" w:rsidRPr="00515137">
          <w:rPr>
            <w:rStyle w:val="Hyperlink"/>
            <w:noProof/>
          </w:rPr>
          <w:t>Table 4: Number of Teachers (excluding principals) in EOPO 1 Sampled Schools</w:t>
        </w:r>
        <w:r w:rsidR="00EC36D2">
          <w:rPr>
            <w:noProof/>
            <w:webHidden/>
          </w:rPr>
          <w:tab/>
        </w:r>
        <w:r w:rsidR="00EC36D2">
          <w:rPr>
            <w:noProof/>
            <w:webHidden/>
          </w:rPr>
          <w:fldChar w:fldCharType="begin"/>
        </w:r>
        <w:r w:rsidR="00EC36D2">
          <w:rPr>
            <w:noProof/>
            <w:webHidden/>
          </w:rPr>
          <w:instrText xml:space="preserve"> PAGEREF _Toc450131625 \h </w:instrText>
        </w:r>
        <w:r w:rsidR="00EC36D2">
          <w:rPr>
            <w:noProof/>
            <w:webHidden/>
          </w:rPr>
        </w:r>
        <w:r w:rsidR="00EC36D2">
          <w:rPr>
            <w:noProof/>
            <w:webHidden/>
          </w:rPr>
          <w:fldChar w:fldCharType="separate"/>
        </w:r>
        <w:r w:rsidR="00EC36D2">
          <w:rPr>
            <w:noProof/>
            <w:webHidden/>
          </w:rPr>
          <w:t>14</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26" w:history="1">
        <w:r w:rsidR="00EC36D2" w:rsidRPr="00515137">
          <w:rPr>
            <w:rStyle w:val="Hyperlink"/>
            <w:noProof/>
          </w:rPr>
          <w:t>Table 5: Component 1 scorecard</w:t>
        </w:r>
        <w:r w:rsidR="00EC36D2">
          <w:rPr>
            <w:noProof/>
            <w:webHidden/>
          </w:rPr>
          <w:tab/>
        </w:r>
        <w:r w:rsidR="00EC36D2">
          <w:rPr>
            <w:noProof/>
            <w:webHidden/>
          </w:rPr>
          <w:fldChar w:fldCharType="begin"/>
        </w:r>
        <w:r w:rsidR="00EC36D2">
          <w:rPr>
            <w:noProof/>
            <w:webHidden/>
          </w:rPr>
          <w:instrText xml:space="preserve"> PAGEREF _Toc450131626 \h </w:instrText>
        </w:r>
        <w:r w:rsidR="00EC36D2">
          <w:rPr>
            <w:noProof/>
            <w:webHidden/>
          </w:rPr>
        </w:r>
        <w:r w:rsidR="00EC36D2">
          <w:rPr>
            <w:noProof/>
            <w:webHidden/>
          </w:rPr>
          <w:fldChar w:fldCharType="separate"/>
        </w:r>
        <w:r w:rsidR="00EC36D2">
          <w:rPr>
            <w:noProof/>
            <w:webHidden/>
          </w:rPr>
          <w:t>19</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27" w:history="1">
        <w:r w:rsidR="00EC36D2" w:rsidRPr="00515137">
          <w:rPr>
            <w:rStyle w:val="Hyperlink"/>
            <w:noProof/>
          </w:rPr>
          <w:t>Table 6: Component 1 key findings and recommendations</w:t>
        </w:r>
        <w:r w:rsidR="00EC36D2">
          <w:rPr>
            <w:noProof/>
            <w:webHidden/>
          </w:rPr>
          <w:tab/>
        </w:r>
        <w:r w:rsidR="00EC36D2">
          <w:rPr>
            <w:noProof/>
            <w:webHidden/>
          </w:rPr>
          <w:fldChar w:fldCharType="begin"/>
        </w:r>
        <w:r w:rsidR="00EC36D2">
          <w:rPr>
            <w:noProof/>
            <w:webHidden/>
          </w:rPr>
          <w:instrText xml:space="preserve"> PAGEREF _Toc450131627 \h </w:instrText>
        </w:r>
        <w:r w:rsidR="00EC36D2">
          <w:rPr>
            <w:noProof/>
            <w:webHidden/>
          </w:rPr>
        </w:r>
        <w:r w:rsidR="00EC36D2">
          <w:rPr>
            <w:noProof/>
            <w:webHidden/>
          </w:rPr>
          <w:fldChar w:fldCharType="separate"/>
        </w:r>
        <w:r w:rsidR="00EC36D2">
          <w:rPr>
            <w:noProof/>
            <w:webHidden/>
          </w:rPr>
          <w:t>21</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28" w:history="1">
        <w:r w:rsidR="00EC36D2" w:rsidRPr="00515137">
          <w:rPr>
            <w:rStyle w:val="Hyperlink"/>
            <w:noProof/>
          </w:rPr>
          <w:t>Table 7: Participants Trained by ProDEP with Australian financing in 2015</w:t>
        </w:r>
        <w:r w:rsidR="00EC36D2">
          <w:rPr>
            <w:noProof/>
            <w:webHidden/>
          </w:rPr>
          <w:tab/>
        </w:r>
        <w:r w:rsidR="00EC36D2">
          <w:rPr>
            <w:noProof/>
            <w:webHidden/>
          </w:rPr>
          <w:fldChar w:fldCharType="begin"/>
        </w:r>
        <w:r w:rsidR="00EC36D2">
          <w:rPr>
            <w:noProof/>
            <w:webHidden/>
          </w:rPr>
          <w:instrText xml:space="preserve"> PAGEREF _Toc450131628 \h </w:instrText>
        </w:r>
        <w:r w:rsidR="00EC36D2">
          <w:rPr>
            <w:noProof/>
            <w:webHidden/>
          </w:rPr>
        </w:r>
        <w:r w:rsidR="00EC36D2">
          <w:rPr>
            <w:noProof/>
            <w:webHidden/>
          </w:rPr>
          <w:fldChar w:fldCharType="separate"/>
        </w:r>
        <w:r w:rsidR="00EC36D2">
          <w:rPr>
            <w:noProof/>
            <w:webHidden/>
          </w:rPr>
          <w:t>24</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29" w:history="1">
        <w:r w:rsidR="00EC36D2" w:rsidRPr="00515137">
          <w:rPr>
            <w:rStyle w:val="Hyperlink"/>
            <w:noProof/>
          </w:rPr>
          <w:t>Table 8: DFAT’s Budget Allocations to ProDEP</w:t>
        </w:r>
        <w:r w:rsidR="00EC36D2">
          <w:rPr>
            <w:noProof/>
            <w:webHidden/>
          </w:rPr>
          <w:tab/>
        </w:r>
        <w:r w:rsidR="00EC36D2">
          <w:rPr>
            <w:noProof/>
            <w:webHidden/>
          </w:rPr>
          <w:fldChar w:fldCharType="begin"/>
        </w:r>
        <w:r w:rsidR="00EC36D2">
          <w:rPr>
            <w:noProof/>
            <w:webHidden/>
          </w:rPr>
          <w:instrText xml:space="preserve"> PAGEREF _Toc450131629 \h </w:instrText>
        </w:r>
        <w:r w:rsidR="00EC36D2">
          <w:rPr>
            <w:noProof/>
            <w:webHidden/>
          </w:rPr>
        </w:r>
        <w:r w:rsidR="00EC36D2">
          <w:rPr>
            <w:noProof/>
            <w:webHidden/>
          </w:rPr>
          <w:fldChar w:fldCharType="separate"/>
        </w:r>
        <w:r w:rsidR="00EC36D2">
          <w:rPr>
            <w:noProof/>
            <w:webHidden/>
          </w:rPr>
          <w:t>27</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30" w:history="1">
        <w:r w:rsidR="00EC36D2" w:rsidRPr="00515137">
          <w:rPr>
            <w:rStyle w:val="Hyperlink"/>
            <w:noProof/>
          </w:rPr>
          <w:t xml:space="preserve">Table 9: </w:t>
        </w:r>
        <w:r w:rsidR="00EC36D2" w:rsidRPr="00515137">
          <w:rPr>
            <w:rStyle w:val="Hyperlink"/>
            <w:bCs/>
            <w:noProof/>
          </w:rPr>
          <w:t>Original and Revised PAF targets for CPD and SPD</w:t>
        </w:r>
        <w:r w:rsidR="00EC36D2">
          <w:rPr>
            <w:noProof/>
            <w:webHidden/>
          </w:rPr>
          <w:tab/>
        </w:r>
        <w:r w:rsidR="00EC36D2">
          <w:rPr>
            <w:noProof/>
            <w:webHidden/>
          </w:rPr>
          <w:fldChar w:fldCharType="begin"/>
        </w:r>
        <w:r w:rsidR="00EC36D2">
          <w:rPr>
            <w:noProof/>
            <w:webHidden/>
          </w:rPr>
          <w:instrText xml:space="preserve"> PAGEREF _Toc450131630 \h </w:instrText>
        </w:r>
        <w:r w:rsidR="00EC36D2">
          <w:rPr>
            <w:noProof/>
            <w:webHidden/>
          </w:rPr>
        </w:r>
        <w:r w:rsidR="00EC36D2">
          <w:rPr>
            <w:noProof/>
            <w:webHidden/>
          </w:rPr>
          <w:fldChar w:fldCharType="separate"/>
        </w:r>
        <w:r w:rsidR="00EC36D2">
          <w:rPr>
            <w:noProof/>
            <w:webHidden/>
          </w:rPr>
          <w:t>28</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31" w:history="1">
        <w:r w:rsidR="00EC36D2" w:rsidRPr="00515137">
          <w:rPr>
            <w:rStyle w:val="Hyperlink"/>
            <w:noProof/>
          </w:rPr>
          <w:t xml:space="preserve">Table 10: </w:t>
        </w:r>
        <w:r w:rsidR="00EC36D2" w:rsidRPr="00515137">
          <w:rPr>
            <w:rStyle w:val="Hyperlink"/>
            <w:bCs/>
            <w:noProof/>
          </w:rPr>
          <w:t>Performance against Revised PAF Targets</w:t>
        </w:r>
        <w:r w:rsidR="00EC36D2">
          <w:rPr>
            <w:noProof/>
            <w:webHidden/>
          </w:rPr>
          <w:tab/>
        </w:r>
        <w:r w:rsidR="00EC36D2">
          <w:rPr>
            <w:noProof/>
            <w:webHidden/>
          </w:rPr>
          <w:fldChar w:fldCharType="begin"/>
        </w:r>
        <w:r w:rsidR="00EC36D2">
          <w:rPr>
            <w:noProof/>
            <w:webHidden/>
          </w:rPr>
          <w:instrText xml:space="preserve"> PAGEREF _Toc450131631 \h </w:instrText>
        </w:r>
        <w:r w:rsidR="00EC36D2">
          <w:rPr>
            <w:noProof/>
            <w:webHidden/>
          </w:rPr>
        </w:r>
        <w:r w:rsidR="00EC36D2">
          <w:rPr>
            <w:noProof/>
            <w:webHidden/>
          </w:rPr>
          <w:fldChar w:fldCharType="separate"/>
        </w:r>
        <w:r w:rsidR="00EC36D2">
          <w:rPr>
            <w:noProof/>
            <w:webHidden/>
          </w:rPr>
          <w:t>28</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32" w:history="1">
        <w:r w:rsidR="00EC36D2" w:rsidRPr="00515137">
          <w:rPr>
            <w:rStyle w:val="Hyperlink"/>
            <w:noProof/>
          </w:rPr>
          <w:t>Table 11</w:t>
        </w:r>
        <w:r w:rsidR="00EC36D2" w:rsidRPr="00515137">
          <w:rPr>
            <w:rStyle w:val="Hyperlink"/>
            <w:bCs/>
            <w:noProof/>
          </w:rPr>
          <w:t xml:space="preserve">: </w:t>
        </w:r>
        <w:r w:rsidR="00EC36D2" w:rsidRPr="00515137">
          <w:rPr>
            <w:rStyle w:val="Hyperlink"/>
            <w:bCs/>
            <w:iCs/>
            <w:noProof/>
          </w:rPr>
          <w:t>Component 2 scorecard</w:t>
        </w:r>
        <w:r w:rsidR="00EC36D2">
          <w:rPr>
            <w:noProof/>
            <w:webHidden/>
          </w:rPr>
          <w:tab/>
        </w:r>
        <w:r w:rsidR="00EC36D2">
          <w:rPr>
            <w:noProof/>
            <w:webHidden/>
          </w:rPr>
          <w:fldChar w:fldCharType="begin"/>
        </w:r>
        <w:r w:rsidR="00EC36D2">
          <w:rPr>
            <w:noProof/>
            <w:webHidden/>
          </w:rPr>
          <w:instrText xml:space="preserve"> PAGEREF _Toc450131632 \h </w:instrText>
        </w:r>
        <w:r w:rsidR="00EC36D2">
          <w:rPr>
            <w:noProof/>
            <w:webHidden/>
          </w:rPr>
        </w:r>
        <w:r w:rsidR="00EC36D2">
          <w:rPr>
            <w:noProof/>
            <w:webHidden/>
          </w:rPr>
          <w:fldChar w:fldCharType="separate"/>
        </w:r>
        <w:r w:rsidR="00EC36D2">
          <w:rPr>
            <w:noProof/>
            <w:webHidden/>
          </w:rPr>
          <w:t>34</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33" w:history="1">
        <w:r w:rsidR="00EC36D2" w:rsidRPr="00515137">
          <w:rPr>
            <w:rStyle w:val="Hyperlink"/>
            <w:bCs/>
            <w:iCs/>
            <w:noProof/>
          </w:rPr>
          <w:t>Table 12: Component 2 key findings and recommendations</w:t>
        </w:r>
        <w:r w:rsidR="00EC36D2">
          <w:rPr>
            <w:noProof/>
            <w:webHidden/>
          </w:rPr>
          <w:tab/>
        </w:r>
        <w:r w:rsidR="00EC36D2">
          <w:rPr>
            <w:noProof/>
            <w:webHidden/>
          </w:rPr>
          <w:fldChar w:fldCharType="begin"/>
        </w:r>
        <w:r w:rsidR="00EC36D2">
          <w:rPr>
            <w:noProof/>
            <w:webHidden/>
          </w:rPr>
          <w:instrText xml:space="preserve"> PAGEREF _Toc450131633 \h </w:instrText>
        </w:r>
        <w:r w:rsidR="00EC36D2">
          <w:rPr>
            <w:noProof/>
            <w:webHidden/>
          </w:rPr>
        </w:r>
        <w:r w:rsidR="00EC36D2">
          <w:rPr>
            <w:noProof/>
            <w:webHidden/>
          </w:rPr>
          <w:fldChar w:fldCharType="separate"/>
        </w:r>
        <w:r w:rsidR="00EC36D2">
          <w:rPr>
            <w:noProof/>
            <w:webHidden/>
          </w:rPr>
          <w:t>37</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34" w:history="1">
        <w:r w:rsidR="00EC36D2" w:rsidRPr="00515137">
          <w:rPr>
            <w:rStyle w:val="Hyperlink"/>
            <w:noProof/>
          </w:rPr>
          <w:t>Table 13</w:t>
        </w:r>
        <w:r w:rsidR="00EC36D2" w:rsidRPr="00515137">
          <w:rPr>
            <w:rStyle w:val="Hyperlink"/>
            <w:bCs/>
            <w:noProof/>
          </w:rPr>
          <w:t xml:space="preserve">: </w:t>
        </w:r>
        <w:r w:rsidR="00EC36D2" w:rsidRPr="00515137">
          <w:rPr>
            <w:rStyle w:val="Hyperlink"/>
            <w:noProof/>
          </w:rPr>
          <w:t>C3 Phases of Support to Madrasah</w:t>
        </w:r>
        <w:r w:rsidR="00EC36D2">
          <w:rPr>
            <w:noProof/>
            <w:webHidden/>
          </w:rPr>
          <w:tab/>
        </w:r>
        <w:r w:rsidR="00EC36D2">
          <w:rPr>
            <w:noProof/>
            <w:webHidden/>
          </w:rPr>
          <w:fldChar w:fldCharType="begin"/>
        </w:r>
        <w:r w:rsidR="00EC36D2">
          <w:rPr>
            <w:noProof/>
            <w:webHidden/>
          </w:rPr>
          <w:instrText xml:space="preserve"> PAGEREF _Toc450131634 \h </w:instrText>
        </w:r>
        <w:r w:rsidR="00EC36D2">
          <w:rPr>
            <w:noProof/>
            <w:webHidden/>
          </w:rPr>
        </w:r>
        <w:r w:rsidR="00EC36D2">
          <w:rPr>
            <w:noProof/>
            <w:webHidden/>
          </w:rPr>
          <w:fldChar w:fldCharType="separate"/>
        </w:r>
        <w:r w:rsidR="00EC36D2">
          <w:rPr>
            <w:noProof/>
            <w:webHidden/>
          </w:rPr>
          <w:t>41</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35" w:history="1">
        <w:r w:rsidR="00EC36D2" w:rsidRPr="00515137">
          <w:rPr>
            <w:rStyle w:val="Hyperlink"/>
            <w:noProof/>
          </w:rPr>
          <w:t>Table 14</w:t>
        </w:r>
        <w:r w:rsidR="00EC36D2" w:rsidRPr="00515137">
          <w:rPr>
            <w:rStyle w:val="Hyperlink"/>
            <w:bCs/>
            <w:noProof/>
          </w:rPr>
          <w:t xml:space="preserve">: </w:t>
        </w:r>
        <w:r w:rsidR="00EC36D2" w:rsidRPr="00515137">
          <w:rPr>
            <w:rStyle w:val="Hyperlink"/>
            <w:noProof/>
          </w:rPr>
          <w:t>C3 Achievements against PMF Targets to the End of 2015 (cumulative)</w:t>
        </w:r>
        <w:r w:rsidR="00EC36D2">
          <w:rPr>
            <w:noProof/>
            <w:webHidden/>
          </w:rPr>
          <w:tab/>
        </w:r>
        <w:r w:rsidR="00EC36D2">
          <w:rPr>
            <w:noProof/>
            <w:webHidden/>
          </w:rPr>
          <w:fldChar w:fldCharType="begin"/>
        </w:r>
        <w:r w:rsidR="00EC36D2">
          <w:rPr>
            <w:noProof/>
            <w:webHidden/>
          </w:rPr>
          <w:instrText xml:space="preserve"> PAGEREF _Toc450131635 \h </w:instrText>
        </w:r>
        <w:r w:rsidR="00EC36D2">
          <w:rPr>
            <w:noProof/>
            <w:webHidden/>
          </w:rPr>
        </w:r>
        <w:r w:rsidR="00EC36D2">
          <w:rPr>
            <w:noProof/>
            <w:webHidden/>
          </w:rPr>
          <w:fldChar w:fldCharType="separate"/>
        </w:r>
        <w:r w:rsidR="00EC36D2">
          <w:rPr>
            <w:noProof/>
            <w:webHidden/>
          </w:rPr>
          <w:t>43</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36" w:history="1">
        <w:r w:rsidR="00EC36D2" w:rsidRPr="00515137">
          <w:rPr>
            <w:rStyle w:val="Hyperlink"/>
            <w:noProof/>
          </w:rPr>
          <w:t>Table 15</w:t>
        </w:r>
        <w:r w:rsidR="00EC36D2" w:rsidRPr="00515137">
          <w:rPr>
            <w:rStyle w:val="Hyperlink"/>
            <w:bCs/>
            <w:noProof/>
          </w:rPr>
          <w:t xml:space="preserve">: </w:t>
        </w:r>
        <w:r w:rsidR="00EC36D2" w:rsidRPr="00515137">
          <w:rPr>
            <w:rStyle w:val="Hyperlink"/>
            <w:bCs/>
            <w:iCs/>
            <w:noProof/>
          </w:rPr>
          <w:t>Component 3 scorecard</w:t>
        </w:r>
        <w:r w:rsidR="00EC36D2">
          <w:rPr>
            <w:noProof/>
            <w:webHidden/>
          </w:rPr>
          <w:tab/>
        </w:r>
        <w:r w:rsidR="00EC36D2">
          <w:rPr>
            <w:noProof/>
            <w:webHidden/>
          </w:rPr>
          <w:fldChar w:fldCharType="begin"/>
        </w:r>
        <w:r w:rsidR="00EC36D2">
          <w:rPr>
            <w:noProof/>
            <w:webHidden/>
          </w:rPr>
          <w:instrText xml:space="preserve"> PAGEREF _Toc450131636 \h </w:instrText>
        </w:r>
        <w:r w:rsidR="00EC36D2">
          <w:rPr>
            <w:noProof/>
            <w:webHidden/>
          </w:rPr>
        </w:r>
        <w:r w:rsidR="00EC36D2">
          <w:rPr>
            <w:noProof/>
            <w:webHidden/>
          </w:rPr>
          <w:fldChar w:fldCharType="separate"/>
        </w:r>
        <w:r w:rsidR="00EC36D2">
          <w:rPr>
            <w:noProof/>
            <w:webHidden/>
          </w:rPr>
          <w:t>51</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37" w:history="1">
        <w:r w:rsidR="00EC36D2" w:rsidRPr="00515137">
          <w:rPr>
            <w:rStyle w:val="Hyperlink"/>
            <w:noProof/>
          </w:rPr>
          <w:t>Table 16: Component 3 k</w:t>
        </w:r>
        <w:r w:rsidR="00EC36D2" w:rsidRPr="00515137">
          <w:rPr>
            <w:rStyle w:val="Hyperlink"/>
            <w:iCs/>
            <w:noProof/>
          </w:rPr>
          <w:t>ey findings and recommendations</w:t>
        </w:r>
        <w:r w:rsidR="00EC36D2">
          <w:rPr>
            <w:noProof/>
            <w:webHidden/>
          </w:rPr>
          <w:tab/>
        </w:r>
        <w:r w:rsidR="00EC36D2">
          <w:rPr>
            <w:noProof/>
            <w:webHidden/>
          </w:rPr>
          <w:fldChar w:fldCharType="begin"/>
        </w:r>
        <w:r w:rsidR="00EC36D2">
          <w:rPr>
            <w:noProof/>
            <w:webHidden/>
          </w:rPr>
          <w:instrText xml:space="preserve"> PAGEREF _Toc450131637 \h </w:instrText>
        </w:r>
        <w:r w:rsidR="00EC36D2">
          <w:rPr>
            <w:noProof/>
            <w:webHidden/>
          </w:rPr>
        </w:r>
        <w:r w:rsidR="00EC36D2">
          <w:rPr>
            <w:noProof/>
            <w:webHidden/>
          </w:rPr>
          <w:fldChar w:fldCharType="separate"/>
        </w:r>
        <w:r w:rsidR="00EC36D2">
          <w:rPr>
            <w:noProof/>
            <w:webHidden/>
          </w:rPr>
          <w:t>54</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38" w:history="1">
        <w:r w:rsidR="00EC36D2" w:rsidRPr="00515137">
          <w:rPr>
            <w:rStyle w:val="Hyperlink"/>
            <w:noProof/>
          </w:rPr>
          <w:t>Table 17: Status as of 31 December 2015</w:t>
        </w:r>
        <w:r w:rsidR="00EC36D2">
          <w:rPr>
            <w:noProof/>
            <w:webHidden/>
          </w:rPr>
          <w:tab/>
        </w:r>
        <w:r w:rsidR="00EC36D2">
          <w:rPr>
            <w:noProof/>
            <w:webHidden/>
          </w:rPr>
          <w:fldChar w:fldCharType="begin"/>
        </w:r>
        <w:r w:rsidR="00EC36D2">
          <w:rPr>
            <w:noProof/>
            <w:webHidden/>
          </w:rPr>
          <w:instrText xml:space="preserve"> PAGEREF _Toc450131638 \h </w:instrText>
        </w:r>
        <w:r w:rsidR="00EC36D2">
          <w:rPr>
            <w:noProof/>
            <w:webHidden/>
          </w:rPr>
        </w:r>
        <w:r w:rsidR="00EC36D2">
          <w:rPr>
            <w:noProof/>
            <w:webHidden/>
          </w:rPr>
          <w:fldChar w:fldCharType="separate"/>
        </w:r>
        <w:r w:rsidR="00EC36D2">
          <w:rPr>
            <w:noProof/>
            <w:webHidden/>
          </w:rPr>
          <w:t>58</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39" w:history="1">
        <w:r w:rsidR="00EC36D2" w:rsidRPr="00515137">
          <w:rPr>
            <w:rStyle w:val="Hyperlink"/>
            <w:noProof/>
          </w:rPr>
          <w:t>Table 18: Levels of participation in ACDP activities</w:t>
        </w:r>
        <w:r w:rsidR="00EC36D2">
          <w:rPr>
            <w:noProof/>
            <w:webHidden/>
          </w:rPr>
          <w:tab/>
        </w:r>
        <w:r w:rsidR="00EC36D2">
          <w:rPr>
            <w:noProof/>
            <w:webHidden/>
          </w:rPr>
          <w:fldChar w:fldCharType="begin"/>
        </w:r>
        <w:r w:rsidR="00EC36D2">
          <w:rPr>
            <w:noProof/>
            <w:webHidden/>
          </w:rPr>
          <w:instrText xml:space="preserve"> PAGEREF _Toc450131639 \h </w:instrText>
        </w:r>
        <w:r w:rsidR="00EC36D2">
          <w:rPr>
            <w:noProof/>
            <w:webHidden/>
          </w:rPr>
        </w:r>
        <w:r w:rsidR="00EC36D2">
          <w:rPr>
            <w:noProof/>
            <w:webHidden/>
          </w:rPr>
          <w:fldChar w:fldCharType="separate"/>
        </w:r>
        <w:r w:rsidR="00EC36D2">
          <w:rPr>
            <w:noProof/>
            <w:webHidden/>
          </w:rPr>
          <w:t>60</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40" w:history="1">
        <w:r w:rsidR="00EC36D2" w:rsidRPr="00515137">
          <w:rPr>
            <w:rStyle w:val="Hyperlink"/>
            <w:noProof/>
          </w:rPr>
          <w:t>Table 19: Studies commissioned/year</w:t>
        </w:r>
        <w:r w:rsidR="00EC36D2">
          <w:rPr>
            <w:noProof/>
            <w:webHidden/>
          </w:rPr>
          <w:tab/>
        </w:r>
        <w:r w:rsidR="00EC36D2">
          <w:rPr>
            <w:noProof/>
            <w:webHidden/>
          </w:rPr>
          <w:fldChar w:fldCharType="begin"/>
        </w:r>
        <w:r w:rsidR="00EC36D2">
          <w:rPr>
            <w:noProof/>
            <w:webHidden/>
          </w:rPr>
          <w:instrText xml:space="preserve"> PAGEREF _Toc450131640 \h </w:instrText>
        </w:r>
        <w:r w:rsidR="00EC36D2">
          <w:rPr>
            <w:noProof/>
            <w:webHidden/>
          </w:rPr>
        </w:r>
        <w:r w:rsidR="00EC36D2">
          <w:rPr>
            <w:noProof/>
            <w:webHidden/>
          </w:rPr>
          <w:fldChar w:fldCharType="separate"/>
        </w:r>
        <w:r w:rsidR="00EC36D2">
          <w:rPr>
            <w:noProof/>
            <w:webHidden/>
          </w:rPr>
          <w:t>62</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41" w:history="1">
        <w:r w:rsidR="00EC36D2" w:rsidRPr="00515137">
          <w:rPr>
            <w:rStyle w:val="Hyperlink"/>
            <w:noProof/>
          </w:rPr>
          <w:t>Table 20: Studies completed/year</w:t>
        </w:r>
        <w:r w:rsidR="00EC36D2">
          <w:rPr>
            <w:noProof/>
            <w:webHidden/>
          </w:rPr>
          <w:tab/>
        </w:r>
        <w:r w:rsidR="00EC36D2">
          <w:rPr>
            <w:noProof/>
            <w:webHidden/>
          </w:rPr>
          <w:fldChar w:fldCharType="begin"/>
        </w:r>
        <w:r w:rsidR="00EC36D2">
          <w:rPr>
            <w:noProof/>
            <w:webHidden/>
          </w:rPr>
          <w:instrText xml:space="preserve"> PAGEREF _Toc450131641 \h </w:instrText>
        </w:r>
        <w:r w:rsidR="00EC36D2">
          <w:rPr>
            <w:noProof/>
            <w:webHidden/>
          </w:rPr>
        </w:r>
        <w:r w:rsidR="00EC36D2">
          <w:rPr>
            <w:noProof/>
            <w:webHidden/>
          </w:rPr>
          <w:fldChar w:fldCharType="separate"/>
        </w:r>
        <w:r w:rsidR="00EC36D2">
          <w:rPr>
            <w:noProof/>
            <w:webHidden/>
          </w:rPr>
          <w:t>62</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42" w:history="1">
        <w:r w:rsidR="00EC36D2" w:rsidRPr="00515137">
          <w:rPr>
            <w:rStyle w:val="Hyperlink"/>
            <w:noProof/>
          </w:rPr>
          <w:t>Table 21: EOPO 4 Evaluation case studies</w:t>
        </w:r>
        <w:r w:rsidR="00EC36D2">
          <w:rPr>
            <w:noProof/>
            <w:webHidden/>
          </w:rPr>
          <w:tab/>
        </w:r>
        <w:r w:rsidR="00EC36D2">
          <w:rPr>
            <w:noProof/>
            <w:webHidden/>
          </w:rPr>
          <w:fldChar w:fldCharType="begin"/>
        </w:r>
        <w:r w:rsidR="00EC36D2">
          <w:rPr>
            <w:noProof/>
            <w:webHidden/>
          </w:rPr>
          <w:instrText xml:space="preserve"> PAGEREF _Toc450131642 \h </w:instrText>
        </w:r>
        <w:r w:rsidR="00EC36D2">
          <w:rPr>
            <w:noProof/>
            <w:webHidden/>
          </w:rPr>
        </w:r>
        <w:r w:rsidR="00EC36D2">
          <w:rPr>
            <w:noProof/>
            <w:webHidden/>
          </w:rPr>
          <w:fldChar w:fldCharType="separate"/>
        </w:r>
        <w:r w:rsidR="00EC36D2">
          <w:rPr>
            <w:noProof/>
            <w:webHidden/>
          </w:rPr>
          <w:t>64</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43" w:history="1">
        <w:r w:rsidR="00EC36D2" w:rsidRPr="00515137">
          <w:rPr>
            <w:rStyle w:val="Hyperlink"/>
            <w:noProof/>
          </w:rPr>
          <w:t>Table 22</w:t>
        </w:r>
        <w:r w:rsidR="00EC36D2" w:rsidRPr="00515137">
          <w:rPr>
            <w:rStyle w:val="Hyperlink"/>
            <w:bCs/>
            <w:noProof/>
          </w:rPr>
          <w:t xml:space="preserve">: </w:t>
        </w:r>
        <w:r w:rsidR="00EC36D2" w:rsidRPr="00515137">
          <w:rPr>
            <w:rStyle w:val="Hyperlink"/>
            <w:bCs/>
            <w:iCs/>
            <w:noProof/>
          </w:rPr>
          <w:t>Component 4 scorecard</w:t>
        </w:r>
        <w:r w:rsidR="00EC36D2">
          <w:rPr>
            <w:noProof/>
            <w:webHidden/>
          </w:rPr>
          <w:tab/>
        </w:r>
        <w:r w:rsidR="00EC36D2">
          <w:rPr>
            <w:noProof/>
            <w:webHidden/>
          </w:rPr>
          <w:fldChar w:fldCharType="begin"/>
        </w:r>
        <w:r w:rsidR="00EC36D2">
          <w:rPr>
            <w:noProof/>
            <w:webHidden/>
          </w:rPr>
          <w:instrText xml:space="preserve"> PAGEREF _Toc450131643 \h </w:instrText>
        </w:r>
        <w:r w:rsidR="00EC36D2">
          <w:rPr>
            <w:noProof/>
            <w:webHidden/>
          </w:rPr>
        </w:r>
        <w:r w:rsidR="00EC36D2">
          <w:rPr>
            <w:noProof/>
            <w:webHidden/>
          </w:rPr>
          <w:fldChar w:fldCharType="separate"/>
        </w:r>
        <w:r w:rsidR="00EC36D2">
          <w:rPr>
            <w:noProof/>
            <w:webHidden/>
          </w:rPr>
          <w:t>68</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44" w:history="1">
        <w:r w:rsidR="00EC36D2" w:rsidRPr="00515137">
          <w:rPr>
            <w:rStyle w:val="Hyperlink"/>
            <w:noProof/>
          </w:rPr>
          <w:t>Table 23: Component 4 key findings and recommendations</w:t>
        </w:r>
        <w:r w:rsidR="00EC36D2">
          <w:rPr>
            <w:noProof/>
            <w:webHidden/>
          </w:rPr>
          <w:tab/>
        </w:r>
        <w:r w:rsidR="00EC36D2">
          <w:rPr>
            <w:noProof/>
            <w:webHidden/>
          </w:rPr>
          <w:fldChar w:fldCharType="begin"/>
        </w:r>
        <w:r w:rsidR="00EC36D2">
          <w:rPr>
            <w:noProof/>
            <w:webHidden/>
          </w:rPr>
          <w:instrText xml:space="preserve"> PAGEREF _Toc450131644 \h </w:instrText>
        </w:r>
        <w:r w:rsidR="00EC36D2">
          <w:rPr>
            <w:noProof/>
            <w:webHidden/>
          </w:rPr>
        </w:r>
        <w:r w:rsidR="00EC36D2">
          <w:rPr>
            <w:noProof/>
            <w:webHidden/>
          </w:rPr>
          <w:fldChar w:fldCharType="separate"/>
        </w:r>
        <w:r w:rsidR="00EC36D2">
          <w:rPr>
            <w:noProof/>
            <w:webHidden/>
          </w:rPr>
          <w:t>70</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45" w:history="1">
        <w:r w:rsidR="00EC36D2" w:rsidRPr="00515137">
          <w:rPr>
            <w:rStyle w:val="Hyperlink"/>
            <w:noProof/>
          </w:rPr>
          <w:t>Table 24: Financial allocations to the Education Partnership</w:t>
        </w:r>
        <w:r w:rsidR="00EC36D2">
          <w:rPr>
            <w:noProof/>
            <w:webHidden/>
          </w:rPr>
          <w:tab/>
        </w:r>
        <w:r w:rsidR="00EC36D2">
          <w:rPr>
            <w:noProof/>
            <w:webHidden/>
          </w:rPr>
          <w:fldChar w:fldCharType="begin"/>
        </w:r>
        <w:r w:rsidR="00EC36D2">
          <w:rPr>
            <w:noProof/>
            <w:webHidden/>
          </w:rPr>
          <w:instrText xml:space="preserve"> PAGEREF _Toc450131645 \h </w:instrText>
        </w:r>
        <w:r w:rsidR="00EC36D2">
          <w:rPr>
            <w:noProof/>
            <w:webHidden/>
          </w:rPr>
        </w:r>
        <w:r w:rsidR="00EC36D2">
          <w:rPr>
            <w:noProof/>
            <w:webHidden/>
          </w:rPr>
          <w:fldChar w:fldCharType="separate"/>
        </w:r>
        <w:r w:rsidR="00EC36D2">
          <w:rPr>
            <w:noProof/>
            <w:webHidden/>
          </w:rPr>
          <w:t>74</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46" w:history="1">
        <w:r w:rsidR="00EC36D2" w:rsidRPr="00515137">
          <w:rPr>
            <w:rStyle w:val="Hyperlink"/>
            <w:noProof/>
          </w:rPr>
          <w:t>Table 25: Basic Education Unit staffing 2014 - 2015</w:t>
        </w:r>
        <w:r w:rsidR="00EC36D2">
          <w:rPr>
            <w:noProof/>
            <w:webHidden/>
          </w:rPr>
          <w:tab/>
        </w:r>
        <w:r w:rsidR="00EC36D2">
          <w:rPr>
            <w:noProof/>
            <w:webHidden/>
          </w:rPr>
          <w:fldChar w:fldCharType="begin"/>
        </w:r>
        <w:r w:rsidR="00EC36D2">
          <w:rPr>
            <w:noProof/>
            <w:webHidden/>
          </w:rPr>
          <w:instrText xml:space="preserve"> PAGEREF _Toc450131646 \h </w:instrText>
        </w:r>
        <w:r w:rsidR="00EC36D2">
          <w:rPr>
            <w:noProof/>
            <w:webHidden/>
          </w:rPr>
        </w:r>
        <w:r w:rsidR="00EC36D2">
          <w:rPr>
            <w:noProof/>
            <w:webHidden/>
          </w:rPr>
          <w:fldChar w:fldCharType="separate"/>
        </w:r>
        <w:r w:rsidR="00EC36D2">
          <w:rPr>
            <w:noProof/>
            <w:webHidden/>
          </w:rPr>
          <w:t>77</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47" w:history="1">
        <w:r w:rsidR="00EC36D2" w:rsidRPr="00515137">
          <w:rPr>
            <w:rStyle w:val="Hyperlink"/>
            <w:noProof/>
          </w:rPr>
          <w:t>Table 26: Program Oversight key findings and recommendations</w:t>
        </w:r>
        <w:r w:rsidR="00EC36D2">
          <w:rPr>
            <w:noProof/>
            <w:webHidden/>
          </w:rPr>
          <w:tab/>
        </w:r>
        <w:r w:rsidR="00EC36D2">
          <w:rPr>
            <w:noProof/>
            <w:webHidden/>
          </w:rPr>
          <w:fldChar w:fldCharType="begin"/>
        </w:r>
        <w:r w:rsidR="00EC36D2">
          <w:rPr>
            <w:noProof/>
            <w:webHidden/>
          </w:rPr>
          <w:instrText xml:space="preserve"> PAGEREF _Toc450131647 \h </w:instrText>
        </w:r>
        <w:r w:rsidR="00EC36D2">
          <w:rPr>
            <w:noProof/>
            <w:webHidden/>
          </w:rPr>
        </w:r>
        <w:r w:rsidR="00EC36D2">
          <w:rPr>
            <w:noProof/>
            <w:webHidden/>
          </w:rPr>
          <w:fldChar w:fldCharType="separate"/>
        </w:r>
        <w:r w:rsidR="00EC36D2">
          <w:rPr>
            <w:noProof/>
            <w:webHidden/>
          </w:rPr>
          <w:t>83</w:t>
        </w:r>
        <w:r w:rsidR="00EC36D2">
          <w:rPr>
            <w:noProof/>
            <w:webHidden/>
          </w:rPr>
          <w:fldChar w:fldCharType="end"/>
        </w:r>
      </w:hyperlink>
    </w:p>
    <w:p w:rsidR="00EC36D2" w:rsidRDefault="00EE1227">
      <w:pPr>
        <w:pStyle w:val="TableofFigures"/>
        <w:tabs>
          <w:tab w:val="right" w:leader="dot" w:pos="9019"/>
        </w:tabs>
        <w:rPr>
          <w:rFonts w:asciiTheme="minorHAnsi" w:eastAsiaTheme="minorEastAsia" w:hAnsiTheme="minorHAnsi" w:cstheme="minorBidi"/>
          <w:noProof/>
          <w:lang w:eastAsia="en-AU"/>
        </w:rPr>
      </w:pPr>
      <w:hyperlink w:anchor="_Toc450131648" w:history="1">
        <w:r w:rsidR="00EC36D2" w:rsidRPr="00515137">
          <w:rPr>
            <w:rStyle w:val="Hyperlink"/>
            <w:noProof/>
          </w:rPr>
          <w:t xml:space="preserve">Table 27: </w:t>
        </w:r>
        <w:r w:rsidR="00EC36D2" w:rsidRPr="00515137">
          <w:rPr>
            <w:rStyle w:val="Hyperlink"/>
            <w:bCs/>
            <w:iCs/>
            <w:noProof/>
          </w:rPr>
          <w:t>Combined scorecard</w:t>
        </w:r>
        <w:r w:rsidR="00EC36D2">
          <w:rPr>
            <w:noProof/>
            <w:webHidden/>
          </w:rPr>
          <w:tab/>
        </w:r>
        <w:r w:rsidR="00EC36D2">
          <w:rPr>
            <w:noProof/>
            <w:webHidden/>
          </w:rPr>
          <w:fldChar w:fldCharType="begin"/>
        </w:r>
        <w:r w:rsidR="00EC36D2">
          <w:rPr>
            <w:noProof/>
            <w:webHidden/>
          </w:rPr>
          <w:instrText xml:space="preserve"> PAGEREF _Toc450131648 \h </w:instrText>
        </w:r>
        <w:r w:rsidR="00EC36D2">
          <w:rPr>
            <w:noProof/>
            <w:webHidden/>
          </w:rPr>
        </w:r>
        <w:r w:rsidR="00EC36D2">
          <w:rPr>
            <w:noProof/>
            <w:webHidden/>
          </w:rPr>
          <w:fldChar w:fldCharType="separate"/>
        </w:r>
        <w:r w:rsidR="00EC36D2">
          <w:rPr>
            <w:noProof/>
            <w:webHidden/>
          </w:rPr>
          <w:t>87</w:t>
        </w:r>
        <w:r w:rsidR="00EC36D2">
          <w:rPr>
            <w:noProof/>
            <w:webHidden/>
          </w:rPr>
          <w:fldChar w:fldCharType="end"/>
        </w:r>
      </w:hyperlink>
    </w:p>
    <w:p w:rsidR="0022598A" w:rsidRPr="00851EC7" w:rsidRDefault="00766A0B" w:rsidP="00775568">
      <w:pPr>
        <w:pStyle w:val="TableofFigures"/>
        <w:rPr>
          <w:color w:val="1F497D" w:themeColor="text2"/>
        </w:rPr>
      </w:pPr>
      <w:r>
        <w:rPr>
          <w:color w:val="1F497D" w:themeColor="text2"/>
        </w:rPr>
        <w:fldChar w:fldCharType="end"/>
      </w:r>
    </w:p>
    <w:p w:rsidR="0078589C" w:rsidRDefault="0078589C">
      <w:pPr>
        <w:spacing w:before="0" w:after="0" w:line="240" w:lineRule="auto"/>
        <w:jc w:val="left"/>
        <w:rPr>
          <w:rFonts w:asciiTheme="minorHAnsi" w:hAnsiTheme="minorHAnsi" w:cstheme="minorHAnsi"/>
          <w:b/>
          <w:bCs/>
          <w:color w:val="003880"/>
          <w:kern w:val="32"/>
          <w:sz w:val="28"/>
          <w:szCs w:val="28"/>
        </w:rPr>
      </w:pPr>
      <w:r>
        <w:br w:type="page"/>
      </w:r>
    </w:p>
    <w:p w:rsidR="0022598A" w:rsidRPr="00851EC7" w:rsidRDefault="0022598A" w:rsidP="00775568">
      <w:pPr>
        <w:pStyle w:val="Heading1-NoNumber"/>
      </w:pPr>
      <w:bookmarkStart w:id="3" w:name="_Toc448156320"/>
      <w:r w:rsidRPr="00851EC7">
        <w:lastRenderedPageBreak/>
        <w:t>L</w:t>
      </w:r>
      <w:r w:rsidR="0043619B" w:rsidRPr="00851EC7">
        <w:t>IST OF FIGURES</w:t>
      </w:r>
      <w:bookmarkEnd w:id="3"/>
    </w:p>
    <w:p w:rsidR="00693E96" w:rsidRDefault="00766A0B">
      <w:pPr>
        <w:pStyle w:val="TableofFigures"/>
        <w:tabs>
          <w:tab w:val="right" w:leader="dot" w:pos="9019"/>
        </w:tabs>
        <w:rPr>
          <w:rFonts w:asciiTheme="minorHAnsi" w:eastAsiaTheme="minorEastAsia" w:hAnsiTheme="minorHAnsi" w:cstheme="minorBidi"/>
          <w:noProof/>
          <w:lang w:eastAsia="en-AU"/>
        </w:rPr>
      </w:pPr>
      <w:r>
        <w:fldChar w:fldCharType="begin"/>
      </w:r>
      <w:r>
        <w:instrText xml:space="preserve"> TOC \h \z \t "Caption - Figure" \c </w:instrText>
      </w:r>
      <w:r>
        <w:fldChar w:fldCharType="separate"/>
      </w:r>
      <w:hyperlink w:anchor="_Toc448145926" w:history="1">
        <w:r w:rsidR="00693E96" w:rsidRPr="00AF6595">
          <w:rPr>
            <w:rStyle w:val="Hyperlink"/>
            <w:noProof/>
          </w:rPr>
          <w:t>Figure 1: Comparison of school construction progress of Cycle 3 and Cycle 4</w:t>
        </w:r>
        <w:r w:rsidR="00693E96">
          <w:rPr>
            <w:noProof/>
            <w:webHidden/>
          </w:rPr>
          <w:tab/>
        </w:r>
        <w:r w:rsidR="00693E96">
          <w:rPr>
            <w:noProof/>
            <w:webHidden/>
          </w:rPr>
          <w:fldChar w:fldCharType="begin"/>
        </w:r>
        <w:r w:rsidR="00693E96">
          <w:rPr>
            <w:noProof/>
            <w:webHidden/>
          </w:rPr>
          <w:instrText xml:space="preserve"> PAGEREF _Toc448145926 \h </w:instrText>
        </w:r>
        <w:r w:rsidR="00693E96">
          <w:rPr>
            <w:noProof/>
            <w:webHidden/>
          </w:rPr>
        </w:r>
        <w:r w:rsidR="00693E96">
          <w:rPr>
            <w:noProof/>
            <w:webHidden/>
          </w:rPr>
          <w:fldChar w:fldCharType="separate"/>
        </w:r>
        <w:r w:rsidR="00EC36D2">
          <w:rPr>
            <w:noProof/>
            <w:webHidden/>
          </w:rPr>
          <w:t>12</w:t>
        </w:r>
        <w:r w:rsidR="00693E96">
          <w:rPr>
            <w:noProof/>
            <w:webHidden/>
          </w:rPr>
          <w:fldChar w:fldCharType="end"/>
        </w:r>
      </w:hyperlink>
    </w:p>
    <w:p w:rsidR="00693E96" w:rsidRDefault="00EE1227">
      <w:pPr>
        <w:pStyle w:val="TableofFigures"/>
        <w:tabs>
          <w:tab w:val="right" w:leader="dot" w:pos="9019"/>
        </w:tabs>
        <w:rPr>
          <w:rFonts w:asciiTheme="minorHAnsi" w:eastAsiaTheme="minorEastAsia" w:hAnsiTheme="minorHAnsi" w:cstheme="minorBidi"/>
          <w:noProof/>
          <w:lang w:eastAsia="en-AU"/>
        </w:rPr>
      </w:pPr>
      <w:hyperlink w:anchor="_Toc448145927" w:history="1">
        <w:r w:rsidR="00693E96" w:rsidRPr="00AF6595">
          <w:rPr>
            <w:rStyle w:val="Hyperlink"/>
            <w:noProof/>
          </w:rPr>
          <w:t>Figure 2: Students/class over time</w:t>
        </w:r>
        <w:r w:rsidR="00693E96">
          <w:rPr>
            <w:noProof/>
            <w:webHidden/>
          </w:rPr>
          <w:tab/>
        </w:r>
        <w:r w:rsidR="00693E96">
          <w:rPr>
            <w:noProof/>
            <w:webHidden/>
          </w:rPr>
          <w:fldChar w:fldCharType="begin"/>
        </w:r>
        <w:r w:rsidR="00693E96">
          <w:rPr>
            <w:noProof/>
            <w:webHidden/>
          </w:rPr>
          <w:instrText xml:space="preserve"> PAGEREF _Toc448145927 \h </w:instrText>
        </w:r>
        <w:r w:rsidR="00693E96">
          <w:rPr>
            <w:noProof/>
            <w:webHidden/>
          </w:rPr>
        </w:r>
        <w:r w:rsidR="00693E96">
          <w:rPr>
            <w:noProof/>
            <w:webHidden/>
          </w:rPr>
          <w:fldChar w:fldCharType="separate"/>
        </w:r>
        <w:r w:rsidR="00EC36D2">
          <w:rPr>
            <w:noProof/>
            <w:webHidden/>
          </w:rPr>
          <w:t>17</w:t>
        </w:r>
        <w:r w:rsidR="00693E96">
          <w:rPr>
            <w:noProof/>
            <w:webHidden/>
          </w:rPr>
          <w:fldChar w:fldCharType="end"/>
        </w:r>
      </w:hyperlink>
    </w:p>
    <w:p w:rsidR="00693E96" w:rsidRDefault="00EE1227">
      <w:pPr>
        <w:pStyle w:val="TableofFigures"/>
        <w:tabs>
          <w:tab w:val="right" w:leader="dot" w:pos="9019"/>
        </w:tabs>
        <w:rPr>
          <w:rFonts w:asciiTheme="minorHAnsi" w:eastAsiaTheme="minorEastAsia" w:hAnsiTheme="minorHAnsi" w:cstheme="minorBidi"/>
          <w:noProof/>
          <w:lang w:eastAsia="en-AU"/>
        </w:rPr>
      </w:pPr>
      <w:hyperlink w:anchor="_Toc448145928" w:history="1">
        <w:r w:rsidR="00693E96" w:rsidRPr="00AF6595">
          <w:rPr>
            <w:rStyle w:val="Hyperlink"/>
            <w:noProof/>
          </w:rPr>
          <w:t>Figure 3: C3 logic architecture</w:t>
        </w:r>
        <w:r w:rsidR="00693E96">
          <w:rPr>
            <w:noProof/>
            <w:webHidden/>
          </w:rPr>
          <w:tab/>
        </w:r>
        <w:r w:rsidR="00693E96">
          <w:rPr>
            <w:noProof/>
            <w:webHidden/>
          </w:rPr>
          <w:fldChar w:fldCharType="begin"/>
        </w:r>
        <w:r w:rsidR="00693E96">
          <w:rPr>
            <w:noProof/>
            <w:webHidden/>
          </w:rPr>
          <w:instrText xml:space="preserve"> PAGEREF _Toc448145928 \h </w:instrText>
        </w:r>
        <w:r w:rsidR="00693E96">
          <w:rPr>
            <w:noProof/>
            <w:webHidden/>
          </w:rPr>
        </w:r>
        <w:r w:rsidR="00693E96">
          <w:rPr>
            <w:noProof/>
            <w:webHidden/>
          </w:rPr>
          <w:fldChar w:fldCharType="separate"/>
        </w:r>
        <w:r w:rsidR="00EC36D2">
          <w:rPr>
            <w:noProof/>
            <w:webHidden/>
          </w:rPr>
          <w:t>38</w:t>
        </w:r>
        <w:r w:rsidR="00693E96">
          <w:rPr>
            <w:noProof/>
            <w:webHidden/>
          </w:rPr>
          <w:fldChar w:fldCharType="end"/>
        </w:r>
      </w:hyperlink>
    </w:p>
    <w:p w:rsidR="00693E96" w:rsidRDefault="00EE1227">
      <w:pPr>
        <w:pStyle w:val="TableofFigures"/>
        <w:tabs>
          <w:tab w:val="right" w:leader="dot" w:pos="9019"/>
        </w:tabs>
        <w:rPr>
          <w:rFonts w:asciiTheme="minorHAnsi" w:eastAsiaTheme="minorEastAsia" w:hAnsiTheme="minorHAnsi" w:cstheme="minorBidi"/>
          <w:noProof/>
          <w:lang w:eastAsia="en-AU"/>
        </w:rPr>
      </w:pPr>
      <w:hyperlink w:anchor="_Toc448145929" w:history="1">
        <w:r w:rsidR="00693E96" w:rsidRPr="00AF6595">
          <w:rPr>
            <w:rStyle w:val="Hyperlink"/>
            <w:noProof/>
          </w:rPr>
          <w:t>Figure 4: Value of contracted commitments and disbursements per year (USD)</w:t>
        </w:r>
        <w:r w:rsidR="00693E96">
          <w:rPr>
            <w:noProof/>
            <w:webHidden/>
          </w:rPr>
          <w:tab/>
        </w:r>
        <w:r w:rsidR="00693E96">
          <w:rPr>
            <w:noProof/>
            <w:webHidden/>
          </w:rPr>
          <w:fldChar w:fldCharType="begin"/>
        </w:r>
        <w:r w:rsidR="00693E96">
          <w:rPr>
            <w:noProof/>
            <w:webHidden/>
          </w:rPr>
          <w:instrText xml:space="preserve"> PAGEREF _Toc448145929 \h </w:instrText>
        </w:r>
        <w:r w:rsidR="00693E96">
          <w:rPr>
            <w:noProof/>
            <w:webHidden/>
          </w:rPr>
        </w:r>
        <w:r w:rsidR="00693E96">
          <w:rPr>
            <w:noProof/>
            <w:webHidden/>
          </w:rPr>
          <w:fldChar w:fldCharType="separate"/>
        </w:r>
        <w:r w:rsidR="00EC36D2">
          <w:rPr>
            <w:noProof/>
            <w:webHidden/>
          </w:rPr>
          <w:t>63</w:t>
        </w:r>
        <w:r w:rsidR="00693E96">
          <w:rPr>
            <w:noProof/>
            <w:webHidden/>
          </w:rPr>
          <w:fldChar w:fldCharType="end"/>
        </w:r>
      </w:hyperlink>
    </w:p>
    <w:p w:rsidR="00693E96" w:rsidRDefault="00EE1227">
      <w:pPr>
        <w:pStyle w:val="TableofFigures"/>
        <w:tabs>
          <w:tab w:val="right" w:leader="dot" w:pos="9019"/>
        </w:tabs>
        <w:rPr>
          <w:rFonts w:asciiTheme="minorHAnsi" w:eastAsiaTheme="minorEastAsia" w:hAnsiTheme="minorHAnsi" w:cstheme="minorBidi"/>
          <w:noProof/>
          <w:lang w:eastAsia="en-AU"/>
        </w:rPr>
      </w:pPr>
      <w:hyperlink w:anchor="_Toc448145930" w:history="1">
        <w:r w:rsidR="00693E96" w:rsidRPr="00AF6595">
          <w:rPr>
            <w:rStyle w:val="Hyperlink"/>
            <w:noProof/>
          </w:rPr>
          <w:t>Figure 5: Attributes of DFAT’s aid program, 2013-2015</w:t>
        </w:r>
        <w:r w:rsidR="00693E96">
          <w:rPr>
            <w:noProof/>
            <w:webHidden/>
          </w:rPr>
          <w:tab/>
        </w:r>
        <w:r w:rsidR="00693E96">
          <w:rPr>
            <w:noProof/>
            <w:webHidden/>
          </w:rPr>
          <w:fldChar w:fldCharType="begin"/>
        </w:r>
        <w:r w:rsidR="00693E96">
          <w:rPr>
            <w:noProof/>
            <w:webHidden/>
          </w:rPr>
          <w:instrText xml:space="preserve"> PAGEREF _Toc448145930 \h </w:instrText>
        </w:r>
        <w:r w:rsidR="00693E96">
          <w:rPr>
            <w:noProof/>
            <w:webHidden/>
          </w:rPr>
        </w:r>
        <w:r w:rsidR="00693E96">
          <w:rPr>
            <w:noProof/>
            <w:webHidden/>
          </w:rPr>
          <w:fldChar w:fldCharType="separate"/>
        </w:r>
        <w:r w:rsidR="00EC36D2">
          <w:rPr>
            <w:noProof/>
            <w:webHidden/>
          </w:rPr>
          <w:t>80</w:t>
        </w:r>
        <w:r w:rsidR="00693E96">
          <w:rPr>
            <w:noProof/>
            <w:webHidden/>
          </w:rPr>
          <w:fldChar w:fldCharType="end"/>
        </w:r>
      </w:hyperlink>
    </w:p>
    <w:p w:rsidR="00766A0B" w:rsidRPr="00766A0B" w:rsidRDefault="00766A0B" w:rsidP="006A3CC3">
      <w:pPr>
        <w:pStyle w:val="TableofFigures"/>
      </w:pPr>
      <w:r>
        <w:fldChar w:fldCharType="end"/>
      </w:r>
    </w:p>
    <w:p w:rsidR="0022598A" w:rsidRPr="00851EC7" w:rsidRDefault="0022598A" w:rsidP="00775568">
      <w:pPr>
        <w:sectPr w:rsidR="0022598A" w:rsidRPr="00851EC7" w:rsidSect="00045CAA">
          <w:headerReference w:type="default" r:id="rId19"/>
          <w:footerReference w:type="default" r:id="rId20"/>
          <w:type w:val="oddPage"/>
          <w:pgSz w:w="11909" w:h="16834" w:code="9"/>
          <w:pgMar w:top="1440" w:right="1440" w:bottom="1440" w:left="1440" w:header="432" w:footer="720" w:gutter="0"/>
          <w:pgNumType w:fmt="lowerRoman"/>
          <w:cols w:space="720"/>
          <w:docGrid w:linePitch="360"/>
        </w:sectPr>
      </w:pPr>
    </w:p>
    <w:p w:rsidR="00645CC8" w:rsidRPr="00851EC7" w:rsidRDefault="00045CAA" w:rsidP="00775568">
      <w:pPr>
        <w:pStyle w:val="Heading1-NoNumber"/>
      </w:pPr>
      <w:bookmarkStart w:id="4" w:name="_Toc448156321"/>
      <w:r w:rsidRPr="00851EC7">
        <w:lastRenderedPageBreak/>
        <w:t>ABBREVIATIONS AND ACRONYMS</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685"/>
        <w:gridCol w:w="4223"/>
      </w:tblGrid>
      <w:tr w:rsidR="0078589C" w:rsidRPr="000878B0" w:rsidTr="0069023F">
        <w:trPr>
          <w:cantSplit/>
          <w:trHeight w:val="468"/>
          <w:tblHeader/>
        </w:trPr>
        <w:tc>
          <w:tcPr>
            <w:tcW w:w="1242" w:type="dxa"/>
            <w:shd w:val="clear" w:color="auto" w:fill="365F91" w:themeFill="accent1" w:themeFillShade="BF"/>
            <w:vAlign w:val="center"/>
          </w:tcPr>
          <w:p w:rsidR="0078589C" w:rsidRPr="000878B0" w:rsidRDefault="0078589C" w:rsidP="00181F57">
            <w:pPr>
              <w:jc w:val="center"/>
              <w:rPr>
                <w:rFonts w:asciiTheme="minorHAnsi" w:eastAsiaTheme="minorHAnsi" w:hAnsiTheme="minorHAnsi"/>
                <w:b/>
                <w:color w:val="FFFFFF" w:themeColor="background1"/>
                <w:sz w:val="24"/>
                <w:szCs w:val="24"/>
              </w:rPr>
            </w:pPr>
          </w:p>
        </w:tc>
        <w:tc>
          <w:tcPr>
            <w:tcW w:w="3685" w:type="dxa"/>
            <w:shd w:val="clear" w:color="auto" w:fill="365F91" w:themeFill="accent1" w:themeFillShade="BF"/>
            <w:vAlign w:val="center"/>
          </w:tcPr>
          <w:p w:rsidR="0078589C" w:rsidRPr="000878B0" w:rsidRDefault="0078589C" w:rsidP="00181F57">
            <w:pPr>
              <w:jc w:val="center"/>
              <w:rPr>
                <w:rFonts w:asciiTheme="minorHAnsi" w:eastAsiaTheme="minorHAnsi" w:hAnsiTheme="minorHAnsi"/>
                <w:b/>
                <w:color w:val="FFFFFF" w:themeColor="background1"/>
                <w:sz w:val="24"/>
                <w:szCs w:val="24"/>
              </w:rPr>
            </w:pPr>
            <w:r w:rsidRPr="000878B0">
              <w:rPr>
                <w:rFonts w:asciiTheme="minorHAnsi" w:eastAsiaTheme="minorHAnsi" w:hAnsiTheme="minorHAnsi"/>
                <w:b/>
                <w:color w:val="FFFFFF" w:themeColor="background1"/>
                <w:sz w:val="24"/>
                <w:szCs w:val="24"/>
              </w:rPr>
              <w:t>English</w:t>
            </w:r>
          </w:p>
        </w:tc>
        <w:tc>
          <w:tcPr>
            <w:tcW w:w="4223" w:type="dxa"/>
            <w:shd w:val="clear" w:color="auto" w:fill="365F91" w:themeFill="accent1" w:themeFillShade="BF"/>
            <w:vAlign w:val="center"/>
          </w:tcPr>
          <w:p w:rsidR="0078589C" w:rsidRPr="000878B0" w:rsidRDefault="0078589C" w:rsidP="00181F57">
            <w:pPr>
              <w:jc w:val="center"/>
              <w:rPr>
                <w:rFonts w:asciiTheme="minorHAnsi" w:eastAsiaTheme="minorHAnsi" w:hAnsiTheme="minorHAnsi"/>
                <w:b/>
                <w:color w:val="FFFFFF" w:themeColor="background1"/>
                <w:sz w:val="24"/>
                <w:szCs w:val="24"/>
              </w:rPr>
            </w:pPr>
            <w:r w:rsidRPr="000878B0">
              <w:rPr>
                <w:rFonts w:asciiTheme="minorHAnsi" w:eastAsiaTheme="minorHAnsi" w:hAnsiTheme="minorHAnsi"/>
                <w:b/>
                <w:color w:val="FFFFFF" w:themeColor="background1"/>
                <w:sz w:val="24"/>
                <w:szCs w:val="24"/>
              </w:rPr>
              <w:t>Indonesian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ACDP</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Analytical and Capacity Development Partnership</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Kemitraan untuk Pengembangan Kapasitas dan Analisis</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ADB</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Asian Development Bank</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Bank Pembangunan Asia</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AIBEP</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Australia Indonesia Basic Education Program</w:t>
            </w:r>
          </w:p>
        </w:tc>
        <w:tc>
          <w:tcPr>
            <w:tcW w:w="4223" w:type="dxa"/>
          </w:tcPr>
          <w:p w:rsidR="0078589C" w:rsidRPr="0069023F" w:rsidRDefault="0078589C" w:rsidP="00040C3F">
            <w:pPr>
              <w:pStyle w:val="TableParagraph"/>
              <w:rPr>
                <w:rFonts w:asciiTheme="minorHAnsi" w:hAnsiTheme="minorHAnsi"/>
                <w:sz w:val="20"/>
                <w:szCs w:val="20"/>
              </w:rPr>
            </w:pPr>
            <w:r w:rsidRPr="0069023F">
              <w:rPr>
                <w:rFonts w:asciiTheme="minorHAnsi" w:hAnsiTheme="minorHAnsi"/>
                <w:sz w:val="20"/>
                <w:szCs w:val="20"/>
              </w:rPr>
              <w:t>Program Pendidikan Dasar Australia  Indonesia</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AIEP</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Australia Indonesia Education Partnership</w:t>
            </w:r>
          </w:p>
        </w:tc>
        <w:tc>
          <w:tcPr>
            <w:tcW w:w="4223" w:type="dxa"/>
          </w:tcPr>
          <w:p w:rsidR="0078589C" w:rsidRPr="0069023F" w:rsidRDefault="0078589C" w:rsidP="00040C3F">
            <w:pPr>
              <w:pStyle w:val="TableParagraph"/>
              <w:rPr>
                <w:rFonts w:asciiTheme="minorHAnsi" w:hAnsiTheme="minorHAnsi"/>
                <w:sz w:val="20"/>
                <w:szCs w:val="20"/>
              </w:rPr>
            </w:pPr>
            <w:r w:rsidRPr="0069023F">
              <w:rPr>
                <w:rFonts w:asciiTheme="minorHAnsi" w:hAnsiTheme="minorHAnsi"/>
                <w:sz w:val="20"/>
                <w:szCs w:val="20"/>
              </w:rPr>
              <w:t>Kemitraan Pendidikan Australia  Indonesia</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APBN</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National Budget</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Anggaran Pendapatan dan Belanja Negara</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APBN-P</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National Budget Amendment</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Anggaran Pendapatan dan Belanja Negara – Perubahan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APPR</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Annual Partnership Performance Report</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 xml:space="preserve">Laporan Tahunan Kinerja Kemitraan </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AQC</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Aid Quality Checks</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 xml:space="preserve">Evaluasi Kualitas Bantuan </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ATOG</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ACDP Technical Oversight Group</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Kelompok Pengawasan Teknis ACDP</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AUD</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Australian Dollar</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Dolar Australia</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Balitbang</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National Office for Research and Development</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Badan Penelitian dan Pengembangan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BAN-S/M</w:t>
            </w:r>
          </w:p>
        </w:tc>
        <w:tc>
          <w:tcPr>
            <w:tcW w:w="3685" w:type="dxa"/>
          </w:tcPr>
          <w:p w:rsidR="0078589C" w:rsidRPr="0069023F" w:rsidRDefault="00D915BC" w:rsidP="00181F57">
            <w:pPr>
              <w:pStyle w:val="TableParagraph"/>
              <w:rPr>
                <w:rFonts w:asciiTheme="minorHAnsi" w:hAnsiTheme="minorHAnsi"/>
                <w:sz w:val="20"/>
                <w:szCs w:val="20"/>
              </w:rPr>
            </w:pPr>
            <w:r>
              <w:rPr>
                <w:rFonts w:asciiTheme="minorHAnsi" w:hAnsiTheme="minorHAnsi"/>
                <w:sz w:val="20"/>
                <w:szCs w:val="20"/>
              </w:rPr>
              <w:t xml:space="preserve">National Accreditation Board </w:t>
            </w:r>
            <w:r w:rsidR="0078589C" w:rsidRPr="0069023F">
              <w:rPr>
                <w:rFonts w:asciiTheme="minorHAnsi" w:hAnsiTheme="minorHAnsi"/>
                <w:sz w:val="20"/>
                <w:szCs w:val="20"/>
              </w:rPr>
              <w:t>– School/Madrasah</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Badan Akreditasi Nasional-Sekolah/Madrasah</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BAP</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Provincial Accreditation</w:t>
            </w:r>
            <w:r w:rsidR="00D915BC">
              <w:rPr>
                <w:rFonts w:asciiTheme="minorHAnsi" w:hAnsiTheme="minorHAnsi"/>
                <w:sz w:val="20"/>
                <w:szCs w:val="20"/>
              </w:rPr>
              <w:t xml:space="preserve"> Board</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Badan Akreditasi Propinsi</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Bappenas</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Ministry of National Development Planning</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Badan Perencanaan Pembangunan Nasional</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BOS</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School Operational Grants</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Bantuan Operasional Sekolah</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C1</w:t>
            </w:r>
          </w:p>
        </w:tc>
        <w:tc>
          <w:tcPr>
            <w:tcW w:w="3685" w:type="dxa"/>
          </w:tcPr>
          <w:p w:rsidR="0078589C" w:rsidRPr="0069023F" w:rsidRDefault="0078589C" w:rsidP="004C2D6D">
            <w:pPr>
              <w:pStyle w:val="TableParagraph"/>
              <w:rPr>
                <w:rFonts w:asciiTheme="minorHAnsi" w:hAnsiTheme="minorHAnsi"/>
                <w:sz w:val="20"/>
                <w:szCs w:val="20"/>
              </w:rPr>
            </w:pPr>
            <w:r w:rsidRPr="0069023F">
              <w:rPr>
                <w:rFonts w:asciiTheme="minorHAnsi" w:hAnsiTheme="minorHAnsi"/>
                <w:sz w:val="20"/>
                <w:szCs w:val="20"/>
              </w:rPr>
              <w:t>Component 1 of the Education Partnership</w:t>
            </w:r>
          </w:p>
        </w:tc>
        <w:tc>
          <w:tcPr>
            <w:tcW w:w="4223" w:type="dxa"/>
          </w:tcPr>
          <w:p w:rsidR="0078589C" w:rsidRPr="0069023F" w:rsidRDefault="0078589C" w:rsidP="004C2D6D">
            <w:pPr>
              <w:pStyle w:val="TableParagraph"/>
              <w:rPr>
                <w:rFonts w:asciiTheme="minorHAnsi" w:hAnsiTheme="minorHAnsi"/>
                <w:sz w:val="20"/>
                <w:szCs w:val="20"/>
              </w:rPr>
            </w:pPr>
            <w:r w:rsidRPr="0069023F">
              <w:rPr>
                <w:rFonts w:asciiTheme="minorHAnsi" w:hAnsiTheme="minorHAnsi"/>
                <w:sz w:val="20"/>
                <w:szCs w:val="20"/>
              </w:rPr>
              <w:t>Komponen 1 Kemitraan Pendidikan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C2</w:t>
            </w:r>
          </w:p>
        </w:tc>
        <w:tc>
          <w:tcPr>
            <w:tcW w:w="3685" w:type="dxa"/>
          </w:tcPr>
          <w:p w:rsidR="0078589C" w:rsidRPr="0069023F" w:rsidRDefault="0078589C" w:rsidP="004C2D6D">
            <w:pPr>
              <w:pStyle w:val="TableParagraph"/>
              <w:rPr>
                <w:rFonts w:asciiTheme="minorHAnsi" w:hAnsiTheme="minorHAnsi"/>
                <w:sz w:val="20"/>
                <w:szCs w:val="20"/>
              </w:rPr>
            </w:pPr>
            <w:r w:rsidRPr="0069023F">
              <w:rPr>
                <w:rFonts w:asciiTheme="minorHAnsi" w:hAnsiTheme="minorHAnsi"/>
                <w:sz w:val="20"/>
                <w:szCs w:val="20"/>
              </w:rPr>
              <w:t>Component 2 of the Education Partnership</w:t>
            </w:r>
          </w:p>
        </w:tc>
        <w:tc>
          <w:tcPr>
            <w:tcW w:w="4223" w:type="dxa"/>
          </w:tcPr>
          <w:p w:rsidR="0078589C" w:rsidRPr="0069023F" w:rsidRDefault="0078589C" w:rsidP="004C2D6D">
            <w:pPr>
              <w:pStyle w:val="TableParagraph"/>
              <w:rPr>
                <w:rFonts w:asciiTheme="minorHAnsi" w:hAnsiTheme="minorHAnsi"/>
                <w:sz w:val="20"/>
                <w:szCs w:val="20"/>
              </w:rPr>
            </w:pPr>
            <w:r w:rsidRPr="0069023F">
              <w:rPr>
                <w:rFonts w:asciiTheme="minorHAnsi" w:hAnsiTheme="minorHAnsi"/>
                <w:sz w:val="20"/>
                <w:szCs w:val="20"/>
              </w:rPr>
              <w:t>Komponen 2 Kemitraan Pendidikan</w:t>
            </w:r>
          </w:p>
        </w:tc>
      </w:tr>
      <w:tr w:rsidR="0078589C" w:rsidRPr="00985389"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C3</w:t>
            </w:r>
          </w:p>
        </w:tc>
        <w:tc>
          <w:tcPr>
            <w:tcW w:w="3685" w:type="dxa"/>
          </w:tcPr>
          <w:p w:rsidR="0078589C" w:rsidRPr="0069023F" w:rsidRDefault="0078589C" w:rsidP="004C2D6D">
            <w:pPr>
              <w:pStyle w:val="TableParagraph"/>
              <w:rPr>
                <w:rFonts w:asciiTheme="minorHAnsi" w:hAnsiTheme="minorHAnsi"/>
                <w:sz w:val="20"/>
                <w:szCs w:val="20"/>
              </w:rPr>
            </w:pPr>
            <w:r w:rsidRPr="0069023F">
              <w:rPr>
                <w:rFonts w:asciiTheme="minorHAnsi" w:hAnsiTheme="minorHAnsi"/>
                <w:sz w:val="20"/>
                <w:szCs w:val="20"/>
              </w:rPr>
              <w:t>Component 3 of the Education Partnership</w:t>
            </w:r>
          </w:p>
        </w:tc>
        <w:tc>
          <w:tcPr>
            <w:tcW w:w="4223" w:type="dxa"/>
          </w:tcPr>
          <w:p w:rsidR="0078589C" w:rsidRPr="0069023F" w:rsidRDefault="0078589C" w:rsidP="004C2D6D">
            <w:pPr>
              <w:pStyle w:val="TableParagraph"/>
              <w:rPr>
                <w:rFonts w:asciiTheme="minorHAnsi" w:hAnsiTheme="minorHAnsi"/>
                <w:sz w:val="20"/>
                <w:szCs w:val="20"/>
              </w:rPr>
            </w:pPr>
            <w:r w:rsidRPr="0069023F">
              <w:rPr>
                <w:rFonts w:asciiTheme="minorHAnsi" w:hAnsiTheme="minorHAnsi"/>
                <w:sz w:val="20"/>
                <w:szCs w:val="20"/>
              </w:rPr>
              <w:t>Komponen 3 Kemitraan Pendidikan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C4</w:t>
            </w:r>
          </w:p>
        </w:tc>
        <w:tc>
          <w:tcPr>
            <w:tcW w:w="3685" w:type="dxa"/>
          </w:tcPr>
          <w:p w:rsidR="0078589C" w:rsidRPr="0069023F" w:rsidRDefault="0078589C" w:rsidP="004C2D6D">
            <w:pPr>
              <w:pStyle w:val="TableParagraph"/>
              <w:rPr>
                <w:rFonts w:asciiTheme="minorHAnsi" w:hAnsiTheme="minorHAnsi"/>
                <w:sz w:val="20"/>
                <w:szCs w:val="20"/>
              </w:rPr>
            </w:pPr>
            <w:r w:rsidRPr="0069023F">
              <w:rPr>
                <w:rFonts w:asciiTheme="minorHAnsi" w:hAnsiTheme="minorHAnsi"/>
                <w:sz w:val="20"/>
                <w:szCs w:val="20"/>
              </w:rPr>
              <w:t>Component 4 of the Education Partnership</w:t>
            </w:r>
          </w:p>
        </w:tc>
        <w:tc>
          <w:tcPr>
            <w:tcW w:w="4223" w:type="dxa"/>
          </w:tcPr>
          <w:p w:rsidR="0078589C" w:rsidRPr="0069023F" w:rsidRDefault="0078589C" w:rsidP="004C2D6D">
            <w:pPr>
              <w:pStyle w:val="TableParagraph"/>
              <w:rPr>
                <w:rFonts w:asciiTheme="minorHAnsi" w:hAnsiTheme="minorHAnsi"/>
                <w:sz w:val="20"/>
                <w:szCs w:val="20"/>
              </w:rPr>
            </w:pPr>
            <w:r w:rsidRPr="0069023F">
              <w:rPr>
                <w:rFonts w:asciiTheme="minorHAnsi" w:hAnsiTheme="minorHAnsi"/>
                <w:sz w:val="20"/>
                <w:szCs w:val="20"/>
              </w:rPr>
              <w:t>Komponen 4 Kemitraan Pendidikan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CAT</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Core Advisory Team</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Tim Penasehat Inti</w:t>
            </w:r>
          </w:p>
        </w:tc>
      </w:tr>
      <w:tr w:rsidR="0078589C" w:rsidRPr="004C2D6D" w:rsidTr="0069023F">
        <w:trPr>
          <w:cantSplit/>
          <w:trHeight w:val="312"/>
        </w:trPr>
        <w:tc>
          <w:tcPr>
            <w:tcW w:w="1242" w:type="dxa"/>
            <w:shd w:val="clear" w:color="auto" w:fill="FFFFFF" w:themeFill="background1"/>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CHS</w:t>
            </w:r>
          </w:p>
        </w:tc>
        <w:tc>
          <w:tcPr>
            <w:tcW w:w="3685" w:type="dxa"/>
            <w:shd w:val="clear" w:color="auto" w:fill="FFFFFF" w:themeFill="background1"/>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Complaints Handling System</w:t>
            </w:r>
          </w:p>
        </w:tc>
        <w:tc>
          <w:tcPr>
            <w:tcW w:w="4223" w:type="dxa"/>
            <w:shd w:val="clear" w:color="auto" w:fill="FFFFFF" w:themeFill="background1"/>
          </w:tcPr>
          <w:p w:rsidR="0078589C" w:rsidRPr="0069023F" w:rsidRDefault="0078589C" w:rsidP="00040C3F">
            <w:pPr>
              <w:pStyle w:val="TableParagraph"/>
              <w:rPr>
                <w:rFonts w:asciiTheme="minorHAnsi" w:hAnsiTheme="minorHAnsi"/>
                <w:sz w:val="20"/>
                <w:szCs w:val="20"/>
              </w:rPr>
            </w:pPr>
            <w:r w:rsidRPr="0069023F">
              <w:rPr>
                <w:rFonts w:asciiTheme="minorHAnsi" w:hAnsiTheme="minorHAnsi"/>
                <w:sz w:val="20"/>
                <w:szCs w:val="20"/>
              </w:rPr>
              <w:t xml:space="preserve">Sistem </w:t>
            </w:r>
            <w:r w:rsidR="00985389">
              <w:rPr>
                <w:rFonts w:asciiTheme="minorHAnsi" w:hAnsiTheme="minorHAnsi"/>
                <w:sz w:val="20"/>
                <w:szCs w:val="20"/>
              </w:rPr>
              <w:t xml:space="preserve">Penanganan </w:t>
            </w:r>
            <w:r w:rsidR="00040C3F">
              <w:rPr>
                <w:rFonts w:asciiTheme="minorHAnsi" w:hAnsiTheme="minorHAnsi"/>
                <w:sz w:val="20"/>
                <w:szCs w:val="20"/>
              </w:rPr>
              <w:t>Pengaduan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CMC</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Construction Management Consultant</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Konsultan Manajemen Pembangunan Sekolah</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CPD</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Continuous Professional Development</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Pengembangan Keprofesian Berkelanjutan Kepala Sekolah / Madrasah</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CSO</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Civil Society Organization</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Organisasi Masyarakat Sipil</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lastRenderedPageBreak/>
              <w:t xml:space="preserve">DAC </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Development Assistance Committee</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Komite Bantuan Pembangunan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DAPODIK</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Education Management Information System (MoEC)</w:t>
            </w:r>
          </w:p>
        </w:tc>
        <w:tc>
          <w:tcPr>
            <w:tcW w:w="4223" w:type="dxa"/>
          </w:tcPr>
          <w:p w:rsidR="0078589C" w:rsidRPr="00985389" w:rsidRDefault="0078589C" w:rsidP="00985389">
            <w:pPr>
              <w:pStyle w:val="TableParagraph"/>
              <w:rPr>
                <w:rFonts w:asciiTheme="minorHAnsi" w:hAnsiTheme="minorHAnsi"/>
                <w:sz w:val="20"/>
                <w:szCs w:val="20"/>
              </w:rPr>
            </w:pPr>
            <w:r w:rsidRPr="00985389">
              <w:rPr>
                <w:rFonts w:asciiTheme="minorHAnsi" w:hAnsiTheme="minorHAnsi"/>
                <w:sz w:val="20"/>
                <w:szCs w:val="20"/>
              </w:rPr>
              <w:t>Data Pokok Pendidikan (Sistem Informasi Man</w:t>
            </w:r>
            <w:r w:rsidR="00985389" w:rsidRPr="00985389">
              <w:rPr>
                <w:rFonts w:asciiTheme="minorHAnsi" w:hAnsiTheme="minorHAnsi"/>
                <w:sz w:val="20"/>
                <w:szCs w:val="20"/>
              </w:rPr>
              <w:t>a</w:t>
            </w:r>
            <w:r w:rsidRPr="00985389">
              <w:rPr>
                <w:rFonts w:asciiTheme="minorHAnsi" w:hAnsiTheme="minorHAnsi"/>
                <w:sz w:val="20"/>
                <w:szCs w:val="20"/>
              </w:rPr>
              <w:t>jemen Pendidikan dikembangkan Kemdikbud)</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DDI</w:t>
            </w:r>
          </w:p>
        </w:tc>
        <w:tc>
          <w:tcPr>
            <w:tcW w:w="3685" w:type="dxa"/>
          </w:tcPr>
          <w:p w:rsidR="0078589C" w:rsidRPr="0069023F" w:rsidRDefault="00D915BC" w:rsidP="00181F57">
            <w:pPr>
              <w:pStyle w:val="TableParagraph"/>
              <w:rPr>
                <w:rFonts w:asciiTheme="minorHAnsi" w:hAnsiTheme="minorHAnsi"/>
                <w:sz w:val="20"/>
                <w:szCs w:val="20"/>
              </w:rPr>
            </w:pPr>
            <w:r>
              <w:rPr>
                <w:rFonts w:asciiTheme="minorHAnsi" w:hAnsiTheme="minorHAnsi"/>
                <w:sz w:val="20"/>
                <w:szCs w:val="20"/>
              </w:rPr>
              <w:t>Council for the Promotion of Islamic Teaching</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Dewan Da’wah Islamiyah</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DEO</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District Education Official</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Pejabat Dinas Pendidikan Tingkat Kabupaten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DFAT</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Department of Foreign Affairs and Trade</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Departemen Luar Negeri dan Perdagangan Australia</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DG</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Directorate General</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Direktorat Jendral</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DIPA</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Budget Implementation Line Items</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Daftar Isian Pelaksanaan Anggaran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EE</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Eligible Entities</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 xml:space="preserve">Satuan Kerja </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EMIS</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Education Management Information System (MoRA)</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 xml:space="preserve">Sistem Informasi Manajemen Pendidikan (dikembangkan Kemenag) </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EOCO</w:t>
            </w:r>
          </w:p>
        </w:tc>
        <w:tc>
          <w:tcPr>
            <w:tcW w:w="3685" w:type="dxa"/>
          </w:tcPr>
          <w:p w:rsidR="0078589C" w:rsidRPr="0069023F" w:rsidRDefault="0078589C" w:rsidP="004556AB">
            <w:pPr>
              <w:pStyle w:val="TableParagraph"/>
              <w:rPr>
                <w:rFonts w:asciiTheme="minorHAnsi" w:hAnsiTheme="minorHAnsi"/>
                <w:sz w:val="20"/>
                <w:szCs w:val="20"/>
              </w:rPr>
            </w:pPr>
            <w:r w:rsidRPr="0069023F">
              <w:rPr>
                <w:rFonts w:asciiTheme="minorHAnsi" w:hAnsiTheme="minorHAnsi"/>
                <w:sz w:val="20"/>
                <w:szCs w:val="20"/>
              </w:rPr>
              <w:t>End</w:t>
            </w:r>
            <w:r w:rsidR="004556AB">
              <w:rPr>
                <w:rFonts w:asciiTheme="minorHAnsi" w:hAnsiTheme="minorHAnsi"/>
                <w:sz w:val="20"/>
                <w:szCs w:val="20"/>
              </w:rPr>
              <w:t>-</w:t>
            </w:r>
            <w:r w:rsidRPr="0069023F">
              <w:rPr>
                <w:rFonts w:asciiTheme="minorHAnsi" w:hAnsiTheme="minorHAnsi"/>
                <w:sz w:val="20"/>
                <w:szCs w:val="20"/>
              </w:rPr>
              <w:t>of</w:t>
            </w:r>
            <w:r w:rsidR="004556AB">
              <w:rPr>
                <w:rFonts w:asciiTheme="minorHAnsi" w:hAnsiTheme="minorHAnsi"/>
                <w:sz w:val="20"/>
                <w:szCs w:val="20"/>
              </w:rPr>
              <w:t>-</w:t>
            </w:r>
            <w:r w:rsidRPr="0069023F">
              <w:rPr>
                <w:rFonts w:asciiTheme="minorHAnsi" w:hAnsiTheme="minorHAnsi"/>
                <w:sz w:val="20"/>
                <w:szCs w:val="20"/>
              </w:rPr>
              <w:t>Component</w:t>
            </w:r>
            <w:r w:rsidR="004556AB">
              <w:rPr>
                <w:rFonts w:asciiTheme="minorHAnsi" w:hAnsiTheme="minorHAnsi"/>
                <w:sz w:val="20"/>
                <w:szCs w:val="20"/>
              </w:rPr>
              <w:t>-</w:t>
            </w:r>
            <w:r w:rsidRPr="0069023F">
              <w:rPr>
                <w:rFonts w:asciiTheme="minorHAnsi" w:hAnsiTheme="minorHAnsi"/>
                <w:sz w:val="20"/>
                <w:szCs w:val="20"/>
              </w:rPr>
              <w:t>Outcome</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Tujuan Akhir Komponen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EOPO</w:t>
            </w:r>
          </w:p>
        </w:tc>
        <w:tc>
          <w:tcPr>
            <w:tcW w:w="3685" w:type="dxa"/>
          </w:tcPr>
          <w:p w:rsidR="0078589C" w:rsidRPr="0069023F" w:rsidRDefault="0078589C" w:rsidP="004556AB">
            <w:pPr>
              <w:pStyle w:val="TableParagraph"/>
              <w:rPr>
                <w:rFonts w:asciiTheme="minorHAnsi" w:hAnsiTheme="minorHAnsi"/>
                <w:sz w:val="20"/>
                <w:szCs w:val="20"/>
              </w:rPr>
            </w:pPr>
            <w:r w:rsidRPr="0069023F">
              <w:rPr>
                <w:rFonts w:asciiTheme="minorHAnsi" w:hAnsiTheme="minorHAnsi"/>
                <w:sz w:val="20"/>
                <w:szCs w:val="20"/>
              </w:rPr>
              <w:t>End</w:t>
            </w:r>
            <w:r w:rsidR="004556AB">
              <w:rPr>
                <w:rFonts w:asciiTheme="minorHAnsi" w:hAnsiTheme="minorHAnsi"/>
                <w:sz w:val="20"/>
                <w:szCs w:val="20"/>
              </w:rPr>
              <w:t>-</w:t>
            </w:r>
            <w:r w:rsidRPr="0069023F">
              <w:rPr>
                <w:rFonts w:asciiTheme="minorHAnsi" w:hAnsiTheme="minorHAnsi"/>
                <w:sz w:val="20"/>
                <w:szCs w:val="20"/>
              </w:rPr>
              <w:t>of</w:t>
            </w:r>
            <w:r w:rsidR="004556AB">
              <w:rPr>
                <w:rFonts w:asciiTheme="minorHAnsi" w:hAnsiTheme="minorHAnsi"/>
                <w:sz w:val="20"/>
                <w:szCs w:val="20"/>
              </w:rPr>
              <w:t>-</w:t>
            </w:r>
            <w:r w:rsidRPr="0069023F">
              <w:rPr>
                <w:rFonts w:asciiTheme="minorHAnsi" w:hAnsiTheme="minorHAnsi"/>
                <w:sz w:val="20"/>
                <w:szCs w:val="20"/>
              </w:rPr>
              <w:t>Partnership</w:t>
            </w:r>
            <w:r w:rsidR="004556AB">
              <w:rPr>
                <w:rFonts w:asciiTheme="minorHAnsi" w:hAnsiTheme="minorHAnsi"/>
                <w:sz w:val="20"/>
                <w:szCs w:val="20"/>
              </w:rPr>
              <w:t>-</w:t>
            </w:r>
            <w:r w:rsidRPr="0069023F">
              <w:rPr>
                <w:rFonts w:asciiTheme="minorHAnsi" w:hAnsiTheme="minorHAnsi"/>
                <w:sz w:val="20"/>
                <w:szCs w:val="20"/>
              </w:rPr>
              <w:t>Outcome</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Tujuan Akhir Kemitraan/Program</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EP</w:t>
            </w:r>
          </w:p>
        </w:tc>
        <w:tc>
          <w:tcPr>
            <w:tcW w:w="3685" w:type="dxa"/>
          </w:tcPr>
          <w:p w:rsidR="0078589C" w:rsidRPr="0069023F" w:rsidRDefault="0078589C" w:rsidP="004C2D6D">
            <w:pPr>
              <w:pStyle w:val="TableParagraph"/>
              <w:rPr>
                <w:rFonts w:asciiTheme="minorHAnsi" w:hAnsiTheme="minorHAnsi"/>
                <w:sz w:val="20"/>
                <w:szCs w:val="20"/>
              </w:rPr>
            </w:pPr>
            <w:r w:rsidRPr="0069023F">
              <w:rPr>
                <w:rFonts w:asciiTheme="minorHAnsi" w:hAnsiTheme="minorHAnsi"/>
                <w:sz w:val="20"/>
                <w:szCs w:val="20"/>
              </w:rPr>
              <w:t xml:space="preserve">Education Partnership </w:t>
            </w:r>
          </w:p>
        </w:tc>
        <w:tc>
          <w:tcPr>
            <w:tcW w:w="4223" w:type="dxa"/>
          </w:tcPr>
          <w:p w:rsidR="0078589C" w:rsidRPr="0069023F" w:rsidRDefault="0078589C" w:rsidP="00D915BC">
            <w:pPr>
              <w:pStyle w:val="TableParagraph"/>
              <w:rPr>
                <w:rFonts w:asciiTheme="minorHAnsi" w:hAnsiTheme="minorHAnsi"/>
                <w:sz w:val="20"/>
                <w:szCs w:val="20"/>
              </w:rPr>
            </w:pPr>
            <w:r w:rsidRPr="0069023F">
              <w:rPr>
                <w:rFonts w:asciiTheme="minorHAnsi" w:hAnsiTheme="minorHAnsi"/>
                <w:sz w:val="20"/>
                <w:szCs w:val="20"/>
              </w:rPr>
              <w:t>Kemitraan Pendidikan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EPOS</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Education Partnership Outreach Service</w:t>
            </w:r>
          </w:p>
        </w:tc>
        <w:tc>
          <w:tcPr>
            <w:tcW w:w="4223" w:type="dxa"/>
          </w:tcPr>
          <w:p w:rsidR="0078589C" w:rsidRPr="0069023F" w:rsidRDefault="0078589C" w:rsidP="00040C3F">
            <w:pPr>
              <w:pStyle w:val="TableParagraph"/>
              <w:rPr>
                <w:rFonts w:asciiTheme="minorHAnsi" w:hAnsiTheme="minorHAnsi"/>
                <w:sz w:val="20"/>
                <w:szCs w:val="20"/>
              </w:rPr>
            </w:pPr>
            <w:r w:rsidRPr="0069023F">
              <w:rPr>
                <w:rFonts w:asciiTheme="minorHAnsi" w:hAnsiTheme="minorHAnsi"/>
                <w:sz w:val="20"/>
                <w:szCs w:val="20"/>
              </w:rPr>
              <w:t xml:space="preserve">Pelayanan </w:t>
            </w:r>
            <w:r w:rsidR="00040C3F">
              <w:rPr>
                <w:rFonts w:asciiTheme="minorHAnsi" w:hAnsiTheme="minorHAnsi"/>
                <w:sz w:val="20"/>
                <w:szCs w:val="20"/>
              </w:rPr>
              <w:t>Humas</w:t>
            </w:r>
            <w:r w:rsidR="00040C3F" w:rsidRPr="0069023F">
              <w:rPr>
                <w:rFonts w:asciiTheme="minorHAnsi" w:hAnsiTheme="minorHAnsi"/>
                <w:sz w:val="20"/>
                <w:szCs w:val="20"/>
              </w:rPr>
              <w:t xml:space="preserve"> </w:t>
            </w:r>
            <w:r w:rsidRPr="0069023F">
              <w:rPr>
                <w:rFonts w:asciiTheme="minorHAnsi" w:hAnsiTheme="minorHAnsi"/>
                <w:sz w:val="20"/>
                <w:szCs w:val="20"/>
              </w:rPr>
              <w:t>Kemitraan Pendidikan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ESR</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Education Sector Review</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Tinjauan Sektor Pendidikan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ESSP</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Education Sector Support Program</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Program Dukungan untuk Sektor Pendidikan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EU</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European Union</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Uni Eropa</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FGD</w:t>
            </w:r>
          </w:p>
        </w:tc>
        <w:tc>
          <w:tcPr>
            <w:tcW w:w="3685" w:type="dxa"/>
          </w:tcPr>
          <w:p w:rsidR="0078589C" w:rsidRPr="0069023F" w:rsidRDefault="0078589C" w:rsidP="004C2D6D">
            <w:pPr>
              <w:pStyle w:val="TableParagraph"/>
              <w:rPr>
                <w:rFonts w:asciiTheme="minorHAnsi" w:hAnsiTheme="minorHAnsi"/>
                <w:sz w:val="20"/>
                <w:szCs w:val="20"/>
              </w:rPr>
            </w:pPr>
            <w:r w:rsidRPr="0069023F">
              <w:rPr>
                <w:rFonts w:asciiTheme="minorHAnsi" w:hAnsiTheme="minorHAnsi"/>
                <w:sz w:val="20"/>
                <w:szCs w:val="20"/>
              </w:rPr>
              <w:t>Focus Group Discussion</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Diskusi Kelompok Terfokus</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FM</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Field Monitor</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Petugas Pemantau Lapangan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GA</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Grant Agreement</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Kesepakatan Hibah</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GER</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Gross Enrolment Rate</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Angka Partisipasi Kasar (APK)</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GoA</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Government of Australia</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Pemerintah Australia</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GOG</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Governance Oversight Group</w:t>
            </w:r>
          </w:p>
        </w:tc>
        <w:tc>
          <w:tcPr>
            <w:tcW w:w="4223" w:type="dxa"/>
          </w:tcPr>
          <w:p w:rsidR="0078589C" w:rsidRPr="0069023F" w:rsidRDefault="0078589C" w:rsidP="00040C3F">
            <w:pPr>
              <w:pStyle w:val="TableParagraph"/>
              <w:rPr>
                <w:rFonts w:asciiTheme="minorHAnsi" w:hAnsiTheme="minorHAnsi"/>
                <w:sz w:val="20"/>
                <w:szCs w:val="20"/>
              </w:rPr>
            </w:pPr>
            <w:r w:rsidRPr="0069023F">
              <w:rPr>
                <w:rFonts w:asciiTheme="minorHAnsi" w:hAnsiTheme="minorHAnsi"/>
                <w:sz w:val="20"/>
                <w:szCs w:val="20"/>
              </w:rPr>
              <w:t xml:space="preserve">Kelompok Pengawasan Tata Kelola </w:t>
            </w:r>
            <w:r w:rsidR="00040C3F">
              <w:rPr>
                <w:rFonts w:asciiTheme="minorHAnsi" w:hAnsiTheme="minorHAnsi"/>
                <w:sz w:val="20"/>
                <w:szCs w:val="20"/>
              </w:rPr>
              <w:t>Program</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GoI</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Government of Indonesia</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Pemerintah RI</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G20</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Group of Twenty</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Negara-negara Anggota G20</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HRMD</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Human Resources Management and Development (ProDEP Component)</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Manajemen dan Pengembangan Sumber Daya Manusia (Komponen ProDEP)</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ICT</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Information and Communication Technology</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Teknologi Informasi dan Komunikasi</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IDC</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Indefinite Delivery Contracts</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 xml:space="preserve">Kontrak Pelaksanaan </w:t>
            </w:r>
            <w:r w:rsidR="00040C3F">
              <w:rPr>
                <w:rFonts w:asciiTheme="minorHAnsi" w:hAnsiTheme="minorHAnsi"/>
                <w:sz w:val="20"/>
                <w:szCs w:val="20"/>
              </w:rPr>
              <w:t xml:space="preserve">Jangka </w:t>
            </w:r>
            <w:r w:rsidRPr="0069023F">
              <w:rPr>
                <w:rFonts w:asciiTheme="minorHAnsi" w:hAnsiTheme="minorHAnsi"/>
                <w:sz w:val="20"/>
                <w:szCs w:val="20"/>
              </w:rPr>
              <w:t>Tidak Tentu</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IDR</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Indonesian Rupiah</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Rupiah Indonesia</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lastRenderedPageBreak/>
              <w:t>IP</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Implementing Partner</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Mitra Pelaksana</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ITOG</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Infrastructure Technical Oversight Group</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Kelompok Pengawasan Teknis Infrastruktur</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JRF</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Joint Result Framework</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Kerangka Hasil Bersama</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JSE</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Junior Secondary Education</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Pendidikan Sekolah Menengah Pertama</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JSS</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Junior Secondary School</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Sekolah Menengah Pertama</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K2P</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Knowledge</w:t>
            </w:r>
            <w:r w:rsidR="004C2D6D">
              <w:rPr>
                <w:rFonts w:asciiTheme="minorHAnsi" w:hAnsiTheme="minorHAnsi"/>
                <w:sz w:val="20"/>
                <w:szCs w:val="20"/>
              </w:rPr>
              <w:t>-</w:t>
            </w:r>
            <w:r w:rsidRPr="0069023F">
              <w:rPr>
                <w:rFonts w:asciiTheme="minorHAnsi" w:hAnsiTheme="minorHAnsi"/>
                <w:sz w:val="20"/>
                <w:szCs w:val="20"/>
              </w:rPr>
              <w:t>to</w:t>
            </w:r>
            <w:r w:rsidR="004C2D6D">
              <w:rPr>
                <w:rFonts w:asciiTheme="minorHAnsi" w:hAnsiTheme="minorHAnsi"/>
                <w:sz w:val="20"/>
                <w:szCs w:val="20"/>
              </w:rPr>
              <w:t>-</w:t>
            </w:r>
            <w:r w:rsidRPr="0069023F">
              <w:rPr>
                <w:rFonts w:asciiTheme="minorHAnsi" w:hAnsiTheme="minorHAnsi"/>
                <w:sz w:val="20"/>
                <w:szCs w:val="20"/>
              </w:rPr>
              <w:t>Policy</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Dasar Pengetahuan untuk Kebijakan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Kandep</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District Office of MoRA</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Kantor Departmen Agama</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Kanwil</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Provincial Office of MoRA</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Kantor Wilayah Departmen Agama</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KKG</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Teacher Working Group</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Kelompok Kerja Guru</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KKM</w:t>
            </w:r>
          </w:p>
        </w:tc>
        <w:tc>
          <w:tcPr>
            <w:tcW w:w="3685" w:type="dxa"/>
          </w:tcPr>
          <w:p w:rsidR="0078589C" w:rsidRPr="0069023F" w:rsidRDefault="0078589C" w:rsidP="00D915BC">
            <w:pPr>
              <w:pStyle w:val="TableParagraph"/>
              <w:rPr>
                <w:rFonts w:asciiTheme="minorHAnsi" w:hAnsiTheme="minorHAnsi"/>
                <w:sz w:val="20"/>
                <w:szCs w:val="20"/>
              </w:rPr>
            </w:pPr>
            <w:r w:rsidRPr="0069023F">
              <w:rPr>
                <w:rFonts w:asciiTheme="minorHAnsi" w:hAnsiTheme="minorHAnsi"/>
                <w:sz w:val="20"/>
                <w:szCs w:val="20"/>
              </w:rPr>
              <w:t>Madrasah Working Group</w:t>
            </w:r>
          </w:p>
        </w:tc>
        <w:tc>
          <w:tcPr>
            <w:tcW w:w="4223" w:type="dxa"/>
          </w:tcPr>
          <w:p w:rsidR="0078589C" w:rsidRPr="0069023F" w:rsidRDefault="0078589C" w:rsidP="00D915BC">
            <w:pPr>
              <w:pStyle w:val="TableParagraph"/>
              <w:rPr>
                <w:rFonts w:asciiTheme="minorHAnsi" w:hAnsiTheme="minorHAnsi"/>
                <w:sz w:val="20"/>
                <w:szCs w:val="20"/>
              </w:rPr>
            </w:pPr>
            <w:r w:rsidRPr="0069023F">
              <w:rPr>
                <w:rFonts w:asciiTheme="minorHAnsi" w:hAnsiTheme="minorHAnsi"/>
                <w:sz w:val="20"/>
                <w:szCs w:val="20"/>
              </w:rPr>
              <w:t>Kelompok Kerja Madrasah</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Kopi Darat</w:t>
            </w:r>
          </w:p>
        </w:tc>
        <w:tc>
          <w:tcPr>
            <w:tcW w:w="3685" w:type="dxa"/>
          </w:tcPr>
          <w:p w:rsidR="0078589C" w:rsidRPr="0069023F" w:rsidRDefault="0078589C" w:rsidP="004C2D6D">
            <w:pPr>
              <w:pStyle w:val="TableParagraph"/>
              <w:rPr>
                <w:rFonts w:asciiTheme="minorHAnsi" w:hAnsiTheme="minorHAnsi"/>
                <w:sz w:val="20"/>
                <w:szCs w:val="20"/>
              </w:rPr>
            </w:pPr>
            <w:r w:rsidRPr="0069023F">
              <w:rPr>
                <w:rFonts w:asciiTheme="minorHAnsi" w:hAnsiTheme="minorHAnsi"/>
                <w:sz w:val="20"/>
                <w:szCs w:val="20"/>
              </w:rPr>
              <w:t>Education Roundtable Discussion</w:t>
            </w:r>
          </w:p>
        </w:tc>
        <w:tc>
          <w:tcPr>
            <w:tcW w:w="4223" w:type="dxa"/>
          </w:tcPr>
          <w:p w:rsidR="0078589C" w:rsidRPr="0069023F" w:rsidRDefault="0078589C" w:rsidP="004C2D6D">
            <w:pPr>
              <w:pStyle w:val="TableParagraph"/>
              <w:rPr>
                <w:rFonts w:asciiTheme="minorHAnsi" w:hAnsiTheme="minorHAnsi"/>
                <w:sz w:val="20"/>
                <w:szCs w:val="20"/>
              </w:rPr>
            </w:pPr>
            <w:r w:rsidRPr="0069023F">
              <w:rPr>
                <w:rFonts w:asciiTheme="minorHAnsi" w:hAnsiTheme="minorHAnsi"/>
                <w:sz w:val="20"/>
                <w:szCs w:val="20"/>
              </w:rPr>
              <w:t>Kongkow Pendidikan</w:t>
            </w:r>
            <w:r w:rsidR="003E2F36">
              <w:rPr>
                <w:rFonts w:asciiTheme="minorHAnsi" w:hAnsiTheme="minorHAnsi"/>
                <w:sz w:val="20"/>
                <w:szCs w:val="20"/>
              </w:rPr>
              <w:t>: Diskusi Ahli dan Tukar Pendapat</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KPI</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Key Performance Indicator</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 xml:space="preserve">Indikator Kinerja Utama </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KPS</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School Construction Consultants</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Konsultan Pembangunan Sekolah</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KSI</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Knowledge Sector Initiative (DFAT Program)</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Inisiatif Pengetahuan Sektor (Program DFAT)</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LPPKS</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Principal Development and Empowerment Agency</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Lembaga Pengembangan dan Pemberdayaan Kepala Sekolah</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MA/MAK</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Islamic Senior Secondary School/Islamic Senior Secondary Vocational School</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Madrasah Aliyah/Madrasah Aliyah Kejuruan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MAMPU</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Empowering Indonesian Women for Poverty Reduction Project</w:t>
            </w:r>
            <w:r w:rsidR="004C2D6D">
              <w:rPr>
                <w:rFonts w:asciiTheme="minorHAnsi" w:hAnsiTheme="minorHAnsi"/>
                <w:sz w:val="20"/>
                <w:szCs w:val="20"/>
              </w:rPr>
              <w:t xml:space="preserve"> </w:t>
            </w:r>
            <w:r w:rsidR="004C2D6D" w:rsidRPr="006D258A">
              <w:rPr>
                <w:rFonts w:asciiTheme="minorHAnsi" w:hAnsiTheme="minorHAnsi"/>
                <w:sz w:val="20"/>
                <w:szCs w:val="20"/>
              </w:rPr>
              <w:t>(DFAT Program)</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Proyek Maju Perempuan Indonesia untuk Penanggulangan Kemiskinan</w:t>
            </w:r>
            <w:r w:rsidR="004C2D6D">
              <w:rPr>
                <w:rFonts w:asciiTheme="minorHAnsi" w:hAnsiTheme="minorHAnsi"/>
                <w:sz w:val="20"/>
                <w:szCs w:val="20"/>
              </w:rPr>
              <w:t xml:space="preserve"> </w:t>
            </w:r>
            <w:r w:rsidR="004C2D6D" w:rsidRPr="006D258A">
              <w:rPr>
                <w:rFonts w:asciiTheme="minorHAnsi" w:hAnsiTheme="minorHAnsi"/>
                <w:sz w:val="20"/>
                <w:szCs w:val="20"/>
              </w:rPr>
              <w:t>(Program DFAT)</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MBM</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Madrasah-Based Management</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Manajemen Berbasis Madrasah</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MC</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Managing Contractor</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Kontraktor Pengelola</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M&amp;E</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Monitoring and Evaluation</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Monitoring dan Evaluasi</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M&amp;G</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Management and Governance</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Manajemen dan Tata Kelola Pemerintahan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MDA</w:t>
            </w:r>
            <w:r w:rsidR="004C2D6D">
              <w:rPr>
                <w:rFonts w:asciiTheme="minorHAnsi" w:hAnsiTheme="minorHAnsi"/>
                <w:sz w:val="20"/>
                <w:szCs w:val="20"/>
              </w:rPr>
              <w:t>s</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Ministries, Departments and Agencies</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Kementrian, Departemen, dan Lembaga</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MDC</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Madrasah Development Center</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Pusat Pengembangan Madrasah</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MGMP</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School Subject Teacher Forum at Cluster Level</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Musyawarah Guru Mata Pelajaran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MI</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Islamic Elementary School</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Madrasah Ibtidaiyah</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MoEC</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Ministry of Education and Culture</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Kementerian Pendidikan dan Kebudayaan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MoF</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Ministry of Finance</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Kementerian Keuangan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MoHA</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Ministry of Home Affairs</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Kementerian Dalam Negeri</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MoRA</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Ministry of Religious Affairs</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Kementerian Agama</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lastRenderedPageBreak/>
              <w:t>MSS</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Minimum Service Standard</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Standar Pelayanan Minimum</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MTOG</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Madrasah Technical Oversight Group</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Kelompok Pengawasan Teknis Madrasah</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MTR</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Mid-</w:t>
            </w:r>
            <w:r w:rsidR="004C2D6D">
              <w:rPr>
                <w:rFonts w:asciiTheme="minorHAnsi" w:hAnsiTheme="minorHAnsi"/>
                <w:sz w:val="20"/>
                <w:szCs w:val="20"/>
              </w:rPr>
              <w:t>T</w:t>
            </w:r>
            <w:r w:rsidRPr="0069023F">
              <w:rPr>
                <w:rFonts w:asciiTheme="minorHAnsi" w:hAnsiTheme="minorHAnsi"/>
                <w:sz w:val="20"/>
                <w:szCs w:val="20"/>
              </w:rPr>
              <w:t>erm Review</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Tinjauan pada Pertengahan Program</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MTs</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Islamic Junior Secondary School</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Madrasah Tsanawiyah</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NES</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National Education Standard</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Standar Nasional Pendidikan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NSIP</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New School Induction Program</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Program Induksi untuk Sekolah Baru</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NU</w:t>
            </w:r>
          </w:p>
        </w:tc>
        <w:tc>
          <w:tcPr>
            <w:tcW w:w="3685" w:type="dxa"/>
          </w:tcPr>
          <w:p w:rsidR="0078589C" w:rsidRPr="005451A9" w:rsidRDefault="005451A9" w:rsidP="00D915BC">
            <w:pPr>
              <w:pStyle w:val="TableParagraph"/>
              <w:rPr>
                <w:rFonts w:asciiTheme="minorHAnsi" w:hAnsiTheme="minorHAnsi"/>
                <w:i/>
                <w:sz w:val="20"/>
                <w:szCs w:val="20"/>
              </w:rPr>
            </w:pPr>
            <w:r w:rsidRPr="005451A9">
              <w:rPr>
                <w:rFonts w:asciiTheme="minorHAnsi" w:hAnsiTheme="minorHAnsi"/>
                <w:i/>
                <w:sz w:val="20"/>
                <w:szCs w:val="20"/>
              </w:rPr>
              <w:t>Nahdlatul Ulama</w:t>
            </w:r>
            <w:r>
              <w:rPr>
                <w:rFonts w:asciiTheme="minorHAnsi" w:hAnsiTheme="minorHAnsi"/>
                <w:sz w:val="20"/>
                <w:szCs w:val="20"/>
              </w:rPr>
              <w:t>, Indonesian Islamic Civil Society Organisation</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Nahdlatul Ulama</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OECD</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Organization for Economic Co-operation and Development</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Organisasi untuk Kerja Sama Ekonomi dan Pembangunan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OLL</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On</w:t>
            </w:r>
            <w:r w:rsidR="004C2D6D">
              <w:rPr>
                <w:rFonts w:asciiTheme="minorHAnsi" w:hAnsiTheme="minorHAnsi"/>
                <w:sz w:val="20"/>
                <w:szCs w:val="20"/>
              </w:rPr>
              <w:t>-</w:t>
            </w:r>
            <w:r w:rsidRPr="0069023F">
              <w:rPr>
                <w:rFonts w:asciiTheme="minorHAnsi" w:hAnsiTheme="minorHAnsi"/>
                <w:sz w:val="20"/>
                <w:szCs w:val="20"/>
              </w:rPr>
              <w:t>Line Learning</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Pembelajaran Moda Online</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OMT</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Operational Management Team</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Tim Manajemen Operasional</w:t>
            </w:r>
          </w:p>
        </w:tc>
      </w:tr>
      <w:tr w:rsidR="004C2D6D" w:rsidRPr="006D258A" w:rsidTr="004C2D6D">
        <w:trPr>
          <w:cantSplit/>
          <w:trHeight w:val="312"/>
        </w:trPr>
        <w:tc>
          <w:tcPr>
            <w:tcW w:w="1242" w:type="dxa"/>
          </w:tcPr>
          <w:p w:rsidR="004C2D6D" w:rsidRPr="006D258A" w:rsidRDefault="004C2D6D" w:rsidP="004C2D6D">
            <w:pPr>
              <w:pStyle w:val="TableParagraph"/>
              <w:rPr>
                <w:rFonts w:asciiTheme="minorHAnsi" w:hAnsiTheme="minorHAnsi"/>
                <w:sz w:val="20"/>
                <w:szCs w:val="20"/>
              </w:rPr>
            </w:pPr>
            <w:r w:rsidRPr="006D258A">
              <w:rPr>
                <w:rFonts w:asciiTheme="minorHAnsi" w:hAnsiTheme="minorHAnsi"/>
                <w:sz w:val="20"/>
                <w:szCs w:val="20"/>
              </w:rPr>
              <w:t>P4TK</w:t>
            </w:r>
          </w:p>
        </w:tc>
        <w:tc>
          <w:tcPr>
            <w:tcW w:w="3685" w:type="dxa"/>
          </w:tcPr>
          <w:p w:rsidR="004C2D6D" w:rsidRPr="006D258A" w:rsidRDefault="004C2D6D" w:rsidP="004C2D6D">
            <w:pPr>
              <w:pStyle w:val="TableParagraph"/>
              <w:rPr>
                <w:rFonts w:asciiTheme="minorHAnsi" w:hAnsiTheme="minorHAnsi"/>
                <w:sz w:val="20"/>
                <w:szCs w:val="20"/>
              </w:rPr>
            </w:pPr>
            <w:r w:rsidRPr="006D258A">
              <w:rPr>
                <w:rFonts w:asciiTheme="minorHAnsi" w:hAnsiTheme="minorHAnsi"/>
                <w:sz w:val="20"/>
                <w:szCs w:val="20"/>
              </w:rPr>
              <w:t>Centre for Development and Empowerment of Teacher and Education Personnel</w:t>
            </w:r>
          </w:p>
        </w:tc>
        <w:tc>
          <w:tcPr>
            <w:tcW w:w="4223" w:type="dxa"/>
          </w:tcPr>
          <w:p w:rsidR="004C2D6D" w:rsidRPr="006D258A" w:rsidRDefault="004C2D6D" w:rsidP="004C2D6D">
            <w:pPr>
              <w:pStyle w:val="TableParagraph"/>
              <w:rPr>
                <w:rFonts w:asciiTheme="minorHAnsi" w:hAnsiTheme="minorHAnsi"/>
                <w:sz w:val="20"/>
                <w:szCs w:val="20"/>
              </w:rPr>
            </w:pPr>
            <w:r w:rsidRPr="006D258A">
              <w:rPr>
                <w:rFonts w:asciiTheme="minorHAnsi" w:hAnsiTheme="minorHAnsi"/>
                <w:sz w:val="20"/>
                <w:szCs w:val="20"/>
              </w:rPr>
              <w:t>Pusat Pengembangan dan Pemberdayaan Pendidik dan Tenaga Kependidikan</w:t>
            </w:r>
          </w:p>
        </w:tc>
      </w:tr>
      <w:tr w:rsidR="00040C3F" w:rsidRPr="006D258A" w:rsidTr="004C2D6D">
        <w:trPr>
          <w:cantSplit/>
          <w:trHeight w:val="312"/>
        </w:trPr>
        <w:tc>
          <w:tcPr>
            <w:tcW w:w="1242" w:type="dxa"/>
          </w:tcPr>
          <w:p w:rsidR="00040C3F" w:rsidRDefault="00040C3F" w:rsidP="00040C3F">
            <w:pPr>
              <w:pStyle w:val="TableParagraph"/>
              <w:rPr>
                <w:rFonts w:asciiTheme="minorHAnsi" w:hAnsiTheme="minorHAnsi"/>
                <w:sz w:val="20"/>
                <w:szCs w:val="20"/>
              </w:rPr>
            </w:pPr>
            <w:r>
              <w:rPr>
                <w:rFonts w:asciiTheme="minorHAnsi" w:hAnsiTheme="minorHAnsi"/>
                <w:sz w:val="20"/>
                <w:szCs w:val="20"/>
              </w:rPr>
              <w:t>PASKA</w:t>
            </w:r>
          </w:p>
          <w:p w:rsidR="00040C3F" w:rsidRPr="006D258A" w:rsidRDefault="00040C3F" w:rsidP="004C2D6D">
            <w:pPr>
              <w:pStyle w:val="TableParagraph"/>
              <w:rPr>
                <w:rFonts w:asciiTheme="minorHAnsi" w:hAnsiTheme="minorHAnsi"/>
                <w:sz w:val="20"/>
                <w:szCs w:val="20"/>
              </w:rPr>
            </w:pPr>
          </w:p>
        </w:tc>
        <w:tc>
          <w:tcPr>
            <w:tcW w:w="3685" w:type="dxa"/>
          </w:tcPr>
          <w:p w:rsidR="00040C3F" w:rsidRPr="006D258A" w:rsidRDefault="00040C3F" w:rsidP="004C2D6D">
            <w:pPr>
              <w:pStyle w:val="TableParagraph"/>
              <w:rPr>
                <w:rFonts w:asciiTheme="minorHAnsi" w:hAnsiTheme="minorHAnsi"/>
                <w:sz w:val="20"/>
                <w:szCs w:val="20"/>
              </w:rPr>
            </w:pPr>
            <w:r>
              <w:rPr>
                <w:rFonts w:asciiTheme="minorHAnsi" w:hAnsiTheme="minorHAnsi"/>
                <w:sz w:val="20"/>
                <w:szCs w:val="20"/>
              </w:rPr>
              <w:t>Centre for Policy Analysis and Synchronisation</w:t>
            </w:r>
          </w:p>
        </w:tc>
        <w:tc>
          <w:tcPr>
            <w:tcW w:w="4223" w:type="dxa"/>
          </w:tcPr>
          <w:p w:rsidR="00040C3F" w:rsidRPr="006D258A" w:rsidRDefault="00040C3F" w:rsidP="004C2D6D">
            <w:pPr>
              <w:pStyle w:val="TableParagraph"/>
              <w:rPr>
                <w:rFonts w:asciiTheme="minorHAnsi" w:hAnsiTheme="minorHAnsi"/>
                <w:sz w:val="20"/>
                <w:szCs w:val="20"/>
              </w:rPr>
            </w:pPr>
            <w:r>
              <w:rPr>
                <w:rFonts w:asciiTheme="minorHAnsi" w:hAnsiTheme="minorHAnsi"/>
                <w:sz w:val="20"/>
                <w:szCs w:val="20"/>
              </w:rPr>
              <w:t>Pusat Analisis dan Sikronisasi Kebijakan</w:t>
            </w:r>
          </w:p>
        </w:tc>
      </w:tr>
      <w:tr w:rsidR="00040C3F" w:rsidRPr="004C2D6D" w:rsidTr="0069023F">
        <w:trPr>
          <w:cantSplit/>
          <w:trHeight w:val="312"/>
        </w:trPr>
        <w:tc>
          <w:tcPr>
            <w:tcW w:w="1242" w:type="dxa"/>
          </w:tcPr>
          <w:p w:rsidR="00040C3F" w:rsidRDefault="00040C3F" w:rsidP="00181F57">
            <w:pPr>
              <w:pStyle w:val="TableParagraph"/>
              <w:rPr>
                <w:rFonts w:asciiTheme="minorHAnsi" w:hAnsiTheme="minorHAnsi"/>
                <w:sz w:val="20"/>
                <w:szCs w:val="20"/>
              </w:rPr>
            </w:pPr>
            <w:r>
              <w:rPr>
                <w:rFonts w:asciiTheme="minorHAnsi" w:hAnsiTheme="minorHAnsi"/>
                <w:sz w:val="20"/>
                <w:szCs w:val="20"/>
              </w:rPr>
              <w:t>PENDIS</w:t>
            </w:r>
          </w:p>
        </w:tc>
        <w:tc>
          <w:tcPr>
            <w:tcW w:w="3685" w:type="dxa"/>
          </w:tcPr>
          <w:p w:rsidR="00040C3F" w:rsidRDefault="00040C3F" w:rsidP="00181F57">
            <w:pPr>
              <w:pStyle w:val="TableParagraph"/>
              <w:rPr>
                <w:rFonts w:asciiTheme="minorHAnsi" w:hAnsiTheme="minorHAnsi"/>
                <w:sz w:val="20"/>
                <w:szCs w:val="20"/>
              </w:rPr>
            </w:pPr>
            <w:r>
              <w:rPr>
                <w:rFonts w:asciiTheme="minorHAnsi" w:hAnsiTheme="minorHAnsi"/>
                <w:sz w:val="20"/>
                <w:szCs w:val="20"/>
              </w:rPr>
              <w:t>Directorate General for Islamic Education</w:t>
            </w:r>
          </w:p>
        </w:tc>
        <w:tc>
          <w:tcPr>
            <w:tcW w:w="4223" w:type="dxa"/>
          </w:tcPr>
          <w:p w:rsidR="00040C3F" w:rsidRDefault="00040C3F" w:rsidP="00181F57">
            <w:pPr>
              <w:pStyle w:val="TableParagraph"/>
              <w:rPr>
                <w:rFonts w:asciiTheme="minorHAnsi" w:hAnsiTheme="minorHAnsi"/>
                <w:sz w:val="20"/>
                <w:szCs w:val="20"/>
              </w:rPr>
            </w:pPr>
            <w:r>
              <w:rPr>
                <w:rFonts w:asciiTheme="minorHAnsi" w:hAnsiTheme="minorHAnsi"/>
                <w:sz w:val="20"/>
                <w:szCs w:val="20"/>
              </w:rPr>
              <w:t>Direktorat Jendral Pendidikan Islam</w:t>
            </w:r>
          </w:p>
        </w:tc>
      </w:tr>
      <w:tr w:rsidR="00040C3F" w:rsidRPr="004C2D6D" w:rsidTr="0069023F">
        <w:trPr>
          <w:cantSplit/>
          <w:trHeight w:val="312"/>
        </w:trPr>
        <w:tc>
          <w:tcPr>
            <w:tcW w:w="1242" w:type="dxa"/>
          </w:tcPr>
          <w:p w:rsidR="00040C3F" w:rsidRDefault="00040C3F" w:rsidP="00181F57">
            <w:pPr>
              <w:pStyle w:val="TableParagraph"/>
              <w:rPr>
                <w:rFonts w:asciiTheme="minorHAnsi" w:hAnsiTheme="minorHAnsi"/>
                <w:sz w:val="20"/>
                <w:szCs w:val="20"/>
              </w:rPr>
            </w:pPr>
            <w:r>
              <w:rPr>
                <w:rFonts w:asciiTheme="minorHAnsi" w:hAnsiTheme="minorHAnsi"/>
                <w:sz w:val="20"/>
                <w:szCs w:val="20"/>
              </w:rPr>
              <w:t>PENMA</w:t>
            </w:r>
          </w:p>
        </w:tc>
        <w:tc>
          <w:tcPr>
            <w:tcW w:w="3685" w:type="dxa"/>
          </w:tcPr>
          <w:p w:rsidR="00040C3F" w:rsidRDefault="00040C3F" w:rsidP="00181F57">
            <w:pPr>
              <w:pStyle w:val="TableParagraph"/>
              <w:rPr>
                <w:rFonts w:asciiTheme="minorHAnsi" w:hAnsiTheme="minorHAnsi"/>
                <w:sz w:val="20"/>
                <w:szCs w:val="20"/>
              </w:rPr>
            </w:pPr>
            <w:r>
              <w:rPr>
                <w:rFonts w:asciiTheme="minorHAnsi" w:hAnsiTheme="minorHAnsi"/>
                <w:sz w:val="20"/>
                <w:szCs w:val="20"/>
              </w:rPr>
              <w:t>Directorate for Madrasah Education</w:t>
            </w:r>
          </w:p>
        </w:tc>
        <w:tc>
          <w:tcPr>
            <w:tcW w:w="4223" w:type="dxa"/>
          </w:tcPr>
          <w:p w:rsidR="00040C3F" w:rsidRDefault="00040C3F" w:rsidP="00181F57">
            <w:pPr>
              <w:pStyle w:val="TableParagraph"/>
              <w:rPr>
                <w:rFonts w:asciiTheme="minorHAnsi" w:hAnsiTheme="minorHAnsi"/>
                <w:sz w:val="20"/>
                <w:szCs w:val="20"/>
              </w:rPr>
            </w:pPr>
            <w:r>
              <w:rPr>
                <w:rFonts w:asciiTheme="minorHAnsi" w:hAnsiTheme="minorHAnsi"/>
                <w:sz w:val="20"/>
                <w:szCs w:val="20"/>
              </w:rPr>
              <w:t>Direktoral Pendidikan Madrasah</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PPIP</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Principals Performance Improvement Program</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Program Peningkatan Kinerja Kepala Sekolah</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PPP</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Principals Preparation Program</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Program Penyiapan Calon Kepala Sekolah</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ProDEP</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Professional Development</w:t>
            </w:r>
            <w:r w:rsidR="005451A9">
              <w:rPr>
                <w:rFonts w:asciiTheme="minorHAnsi" w:hAnsiTheme="minorHAnsi"/>
                <w:sz w:val="20"/>
                <w:szCs w:val="20"/>
              </w:rPr>
              <w:t xml:space="preserve"> for Education Personnel</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Pengembangan Profesi</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PSDMPK</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 xml:space="preserve">Education and Culture Human Resources Development </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 xml:space="preserve">Pengembangan Sumber Daya Manusia Pendidikan dan Kebudayaan </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PSM</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Propensity Score Matching</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Analisis Skor Kecenderungan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Puslitjak</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 xml:space="preserve">Centre for Research and Policy </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Pusat Studi dan Kebijakan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Puspendik</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Centre for Education Assessment</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Pusat Penilaian Pendidikan</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Q</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Quarter</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Kwartal</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QRS</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Quality Reporting System</w:t>
            </w:r>
          </w:p>
        </w:tc>
        <w:tc>
          <w:tcPr>
            <w:tcW w:w="4223" w:type="dxa"/>
          </w:tcPr>
          <w:p w:rsidR="0078589C" w:rsidRPr="0069023F" w:rsidRDefault="0078589C" w:rsidP="00040C3F">
            <w:pPr>
              <w:pStyle w:val="TableParagraph"/>
              <w:rPr>
                <w:rFonts w:asciiTheme="minorHAnsi" w:hAnsiTheme="minorHAnsi"/>
                <w:sz w:val="20"/>
                <w:szCs w:val="20"/>
              </w:rPr>
            </w:pPr>
            <w:r w:rsidRPr="0069023F">
              <w:rPr>
                <w:rFonts w:asciiTheme="minorHAnsi" w:hAnsiTheme="minorHAnsi"/>
                <w:sz w:val="20"/>
                <w:szCs w:val="20"/>
              </w:rPr>
              <w:t xml:space="preserve">Sistem Pelaporan </w:t>
            </w:r>
            <w:r w:rsidR="00040C3F">
              <w:rPr>
                <w:rFonts w:asciiTheme="minorHAnsi" w:hAnsiTheme="minorHAnsi"/>
                <w:sz w:val="20"/>
                <w:szCs w:val="20"/>
              </w:rPr>
              <w:t>K</w:t>
            </w:r>
            <w:r w:rsidRPr="0069023F">
              <w:rPr>
                <w:rFonts w:asciiTheme="minorHAnsi" w:hAnsiTheme="minorHAnsi"/>
                <w:sz w:val="20"/>
                <w:szCs w:val="20"/>
              </w:rPr>
              <w:t>ualitas</w:t>
            </w:r>
            <w:r w:rsidR="00040C3F">
              <w:rPr>
                <w:rFonts w:asciiTheme="minorHAnsi" w:hAnsiTheme="minorHAnsi"/>
                <w:sz w:val="20"/>
                <w:szCs w:val="20"/>
              </w:rPr>
              <w:t xml:space="preserve"> Program</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Renstra</w:t>
            </w:r>
          </w:p>
        </w:tc>
        <w:tc>
          <w:tcPr>
            <w:tcW w:w="3685" w:type="dxa"/>
          </w:tcPr>
          <w:p w:rsidR="0078589C" w:rsidRPr="0069023F" w:rsidRDefault="0078589C" w:rsidP="00D915BC">
            <w:pPr>
              <w:pStyle w:val="TableParagraph"/>
              <w:rPr>
                <w:rFonts w:asciiTheme="minorHAnsi" w:hAnsiTheme="minorHAnsi"/>
                <w:sz w:val="20"/>
                <w:szCs w:val="20"/>
              </w:rPr>
            </w:pPr>
            <w:r w:rsidRPr="0069023F">
              <w:rPr>
                <w:rFonts w:asciiTheme="minorHAnsi" w:hAnsiTheme="minorHAnsi"/>
                <w:sz w:val="20"/>
                <w:szCs w:val="20"/>
              </w:rPr>
              <w:t xml:space="preserve">Strategic </w:t>
            </w:r>
            <w:r w:rsidR="00D915BC">
              <w:rPr>
                <w:rFonts w:asciiTheme="minorHAnsi" w:hAnsiTheme="minorHAnsi"/>
                <w:sz w:val="20"/>
                <w:szCs w:val="20"/>
              </w:rPr>
              <w:t>Plan</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Rencana Strategis</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RPJMN</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 xml:space="preserve">National Medium-Term Development Plan </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Rencana Pembangunan Jangka Menengah Nasional</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SATAP</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 xml:space="preserve">One Roof School </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Sekolah Satu Atap</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lastRenderedPageBreak/>
              <w:t>SBM</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School</w:t>
            </w:r>
            <w:r w:rsidR="004C2D6D">
              <w:rPr>
                <w:rFonts w:asciiTheme="minorHAnsi" w:hAnsiTheme="minorHAnsi"/>
                <w:sz w:val="20"/>
                <w:szCs w:val="20"/>
              </w:rPr>
              <w:t>-</w:t>
            </w:r>
            <w:r w:rsidRPr="0069023F">
              <w:rPr>
                <w:rFonts w:asciiTheme="minorHAnsi" w:hAnsiTheme="minorHAnsi"/>
                <w:sz w:val="20"/>
                <w:szCs w:val="20"/>
              </w:rPr>
              <w:t>Based Management</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Manajemen Berbasis Sekolah</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SCC</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School Construction Committee</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Komite Pembangunan Sekolah</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SD</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Elementary School</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Sekolah Dasar</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SDTOG</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Staff Development Technical Oversight Group</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Kelompok Pengawasan Teknis untuk Pengembangan Staff</w:t>
            </w:r>
          </w:p>
        </w:tc>
      </w:tr>
      <w:tr w:rsidR="00D83866" w:rsidRPr="004C2D6D" w:rsidTr="0069023F">
        <w:trPr>
          <w:cantSplit/>
          <w:trHeight w:val="312"/>
        </w:trPr>
        <w:tc>
          <w:tcPr>
            <w:tcW w:w="1242" w:type="dxa"/>
          </w:tcPr>
          <w:p w:rsidR="00D83866" w:rsidRPr="0069023F" w:rsidRDefault="00D83866" w:rsidP="00181F57">
            <w:pPr>
              <w:pStyle w:val="TableParagraph"/>
              <w:rPr>
                <w:rFonts w:asciiTheme="minorHAnsi" w:hAnsiTheme="minorHAnsi"/>
                <w:sz w:val="20"/>
                <w:szCs w:val="20"/>
              </w:rPr>
            </w:pPr>
            <w:r w:rsidRPr="0069023F">
              <w:rPr>
                <w:rFonts w:asciiTheme="minorHAnsi" w:hAnsiTheme="minorHAnsi"/>
                <w:sz w:val="20"/>
                <w:szCs w:val="20"/>
              </w:rPr>
              <w:t>SEAMEO</w:t>
            </w:r>
          </w:p>
        </w:tc>
        <w:tc>
          <w:tcPr>
            <w:tcW w:w="3685" w:type="dxa"/>
          </w:tcPr>
          <w:p w:rsidR="00D83866" w:rsidRPr="0069023F" w:rsidRDefault="00D83866" w:rsidP="00181F57">
            <w:pPr>
              <w:pStyle w:val="TableParagraph"/>
              <w:rPr>
                <w:rFonts w:asciiTheme="minorHAnsi" w:hAnsiTheme="minorHAnsi"/>
                <w:sz w:val="20"/>
                <w:szCs w:val="20"/>
              </w:rPr>
            </w:pPr>
            <w:r w:rsidRPr="0069023F">
              <w:rPr>
                <w:rFonts w:asciiTheme="minorHAnsi" w:hAnsiTheme="minorHAnsi"/>
                <w:sz w:val="20"/>
                <w:szCs w:val="20"/>
              </w:rPr>
              <w:t>Southeast Asian Ministers of Education Organization</w:t>
            </w:r>
          </w:p>
        </w:tc>
        <w:tc>
          <w:tcPr>
            <w:tcW w:w="4223" w:type="dxa"/>
          </w:tcPr>
          <w:p w:rsidR="00D83866" w:rsidRPr="0069023F" w:rsidRDefault="00D83866" w:rsidP="00181F57">
            <w:pPr>
              <w:pStyle w:val="TableParagraph"/>
              <w:rPr>
                <w:rFonts w:asciiTheme="minorHAnsi" w:hAnsiTheme="minorHAnsi"/>
                <w:sz w:val="20"/>
                <w:szCs w:val="20"/>
              </w:rPr>
            </w:pPr>
            <w:r w:rsidRPr="0069023F">
              <w:rPr>
                <w:rFonts w:asciiTheme="minorHAnsi" w:hAnsiTheme="minorHAnsi"/>
                <w:sz w:val="20"/>
                <w:szCs w:val="20"/>
              </w:rPr>
              <w:t>Organisasi Menteri Pendidikan Asia Tenggara</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SEAMOLEC</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Southeast Asian Minist</w:t>
            </w:r>
            <w:r w:rsidR="00D83866">
              <w:rPr>
                <w:rFonts w:asciiTheme="minorHAnsi" w:hAnsiTheme="minorHAnsi"/>
                <w:sz w:val="20"/>
                <w:szCs w:val="20"/>
              </w:rPr>
              <w:t xml:space="preserve">ers of Education Organization Regional </w:t>
            </w:r>
            <w:r w:rsidRPr="0069023F">
              <w:rPr>
                <w:rFonts w:asciiTheme="minorHAnsi" w:hAnsiTheme="minorHAnsi"/>
                <w:sz w:val="20"/>
                <w:szCs w:val="20"/>
              </w:rPr>
              <w:t>Open Learning Centre</w:t>
            </w:r>
          </w:p>
        </w:tc>
        <w:tc>
          <w:tcPr>
            <w:tcW w:w="4223" w:type="dxa"/>
          </w:tcPr>
          <w:p w:rsidR="0078589C" w:rsidRPr="0069023F" w:rsidRDefault="0078589C" w:rsidP="00D83866">
            <w:pPr>
              <w:pStyle w:val="TableParagraph"/>
              <w:rPr>
                <w:rFonts w:asciiTheme="minorHAnsi" w:hAnsiTheme="minorHAnsi"/>
                <w:sz w:val="20"/>
                <w:szCs w:val="20"/>
              </w:rPr>
            </w:pPr>
            <w:r w:rsidRPr="0069023F">
              <w:rPr>
                <w:rFonts w:asciiTheme="minorHAnsi" w:hAnsiTheme="minorHAnsi"/>
                <w:sz w:val="20"/>
                <w:szCs w:val="20"/>
              </w:rPr>
              <w:t>Pusat Pendidikan Terbuka dan Jarak Jauh</w:t>
            </w:r>
            <w:r w:rsidR="002010DB">
              <w:rPr>
                <w:rFonts w:asciiTheme="minorHAnsi" w:hAnsiTheme="minorHAnsi"/>
                <w:sz w:val="20"/>
                <w:szCs w:val="20"/>
              </w:rPr>
              <w:t xml:space="preserve"> </w:t>
            </w:r>
            <w:r w:rsidR="00D83866">
              <w:rPr>
                <w:rFonts w:asciiTheme="minorHAnsi" w:hAnsiTheme="minorHAnsi"/>
                <w:sz w:val="20"/>
                <w:szCs w:val="20"/>
              </w:rPr>
              <w:t>SEAMEO</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SMP</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Junior Secondary School</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Sekolah Menengah Pertama</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SMPN</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Public Junior Secondary School</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Sekolah Menengah Pertama Negeri</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SNIP</w:t>
            </w:r>
          </w:p>
        </w:tc>
        <w:tc>
          <w:tcPr>
            <w:tcW w:w="3685" w:type="dxa"/>
          </w:tcPr>
          <w:p w:rsidR="0078589C" w:rsidRPr="0069023F" w:rsidRDefault="0078589C" w:rsidP="00D915BC">
            <w:pPr>
              <w:pStyle w:val="TableParagraph"/>
              <w:rPr>
                <w:rFonts w:asciiTheme="minorHAnsi" w:hAnsiTheme="minorHAnsi"/>
                <w:sz w:val="20"/>
                <w:szCs w:val="20"/>
              </w:rPr>
            </w:pPr>
            <w:r w:rsidRPr="0069023F">
              <w:rPr>
                <w:rFonts w:asciiTheme="minorHAnsi" w:hAnsiTheme="minorHAnsi"/>
                <w:sz w:val="20"/>
                <w:szCs w:val="20"/>
              </w:rPr>
              <w:t>Sub-National Implementation Partner</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Mitra Pelaksana Sub-Nasional</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SPD</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Supervisor Professional Development</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Program Pendampingan Kepala Sekolah oleh Pengawas Sekolah</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SP&amp;FM</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Strategic Planning and Financial Management (ProDEP Component)</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Perencanaan Strategis dan Manajemen Keuangan (Komponen ProDEP)</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SSQ</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 xml:space="preserve">School Systems and Quality </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Program Sistem dan Mutu Sekolah</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TA</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Technical Assistance</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Bantuan Teknis</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TK-PPA</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Provincial Coordination Team for Aceh Education Development</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Tim Koordinasi – Pengembangan Pendidikan Aceh</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TOG</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Technical Oversight Group</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Kelompok Pengawasan Teknis</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TT</w:t>
            </w:r>
          </w:p>
        </w:tc>
        <w:tc>
          <w:tcPr>
            <w:tcW w:w="3685" w:type="dxa"/>
          </w:tcPr>
          <w:p w:rsidR="0078589C" w:rsidRPr="0069023F" w:rsidRDefault="004C2D6D" w:rsidP="004C2D6D">
            <w:pPr>
              <w:pStyle w:val="TableParagraph"/>
              <w:rPr>
                <w:rFonts w:asciiTheme="minorHAnsi" w:hAnsiTheme="minorHAnsi"/>
                <w:sz w:val="20"/>
                <w:szCs w:val="20"/>
              </w:rPr>
            </w:pPr>
            <w:r>
              <w:rPr>
                <w:rFonts w:asciiTheme="minorHAnsi" w:hAnsiTheme="minorHAnsi"/>
                <w:sz w:val="20"/>
                <w:szCs w:val="20"/>
              </w:rPr>
              <w:t xml:space="preserve">A </w:t>
            </w:r>
            <w:r w:rsidR="004729E4">
              <w:rPr>
                <w:rFonts w:asciiTheme="minorHAnsi" w:hAnsiTheme="minorHAnsi"/>
                <w:sz w:val="20"/>
                <w:szCs w:val="20"/>
              </w:rPr>
              <w:t>Madrasah</w:t>
            </w:r>
            <w:r w:rsidR="0078589C" w:rsidRPr="0069023F">
              <w:rPr>
                <w:rFonts w:asciiTheme="minorHAnsi" w:hAnsiTheme="minorHAnsi"/>
                <w:sz w:val="20"/>
                <w:szCs w:val="20"/>
              </w:rPr>
              <w:t xml:space="preserve"> that </w:t>
            </w:r>
            <w:r>
              <w:rPr>
                <w:rFonts w:asciiTheme="minorHAnsi" w:hAnsiTheme="minorHAnsi"/>
                <w:sz w:val="20"/>
                <w:szCs w:val="20"/>
              </w:rPr>
              <w:t>is</w:t>
            </w:r>
            <w:r w:rsidR="0078589C" w:rsidRPr="0069023F">
              <w:rPr>
                <w:rFonts w:asciiTheme="minorHAnsi" w:hAnsiTheme="minorHAnsi"/>
                <w:sz w:val="20"/>
                <w:szCs w:val="20"/>
              </w:rPr>
              <w:t xml:space="preserve"> not yet accredited</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Tidak Terakreditasi</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UKG</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Teachers</w:t>
            </w:r>
            <w:r w:rsidR="000E480F">
              <w:rPr>
                <w:rFonts w:asciiTheme="minorHAnsi" w:hAnsiTheme="minorHAnsi"/>
                <w:sz w:val="20"/>
                <w:szCs w:val="20"/>
              </w:rPr>
              <w:t>’</w:t>
            </w:r>
            <w:r w:rsidRPr="0069023F">
              <w:rPr>
                <w:rFonts w:asciiTheme="minorHAnsi" w:hAnsiTheme="minorHAnsi"/>
                <w:sz w:val="20"/>
                <w:szCs w:val="20"/>
              </w:rPr>
              <w:t xml:space="preserve"> Competency Test</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Uji Kompetensi Guru</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UKKS</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Principal Competency Test</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Uji Kompetensi Kepala Sekolah</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UoL</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Unit of Learning</w:t>
            </w:r>
          </w:p>
        </w:tc>
        <w:tc>
          <w:tcPr>
            <w:tcW w:w="4223" w:type="dxa"/>
          </w:tcPr>
          <w:p w:rsidR="0078589C" w:rsidRPr="0069023F" w:rsidRDefault="0078589C" w:rsidP="00290662">
            <w:pPr>
              <w:pStyle w:val="TableParagraph"/>
              <w:rPr>
                <w:rFonts w:asciiTheme="minorHAnsi" w:hAnsiTheme="minorHAnsi"/>
                <w:sz w:val="20"/>
                <w:szCs w:val="20"/>
              </w:rPr>
            </w:pPr>
            <w:r w:rsidRPr="0069023F">
              <w:rPr>
                <w:rFonts w:asciiTheme="minorHAnsi" w:hAnsiTheme="minorHAnsi"/>
                <w:sz w:val="20"/>
                <w:szCs w:val="20"/>
              </w:rPr>
              <w:t>Badan Pembelajaran Umum</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USB</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New School Unit</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Unit Sekolah Baru</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USD</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United States Dollar</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Dolar Amerika Serikat</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VFM</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Value for Money</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Nilai yang diperoleh untuk dana tertentu</w:t>
            </w:r>
          </w:p>
        </w:tc>
      </w:tr>
      <w:tr w:rsidR="0078589C" w:rsidRPr="004C2D6D" w:rsidTr="0069023F">
        <w:trPr>
          <w:cantSplit/>
          <w:trHeight w:val="312"/>
        </w:trPr>
        <w:tc>
          <w:tcPr>
            <w:tcW w:w="1242"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WiPS</w:t>
            </w:r>
          </w:p>
        </w:tc>
        <w:tc>
          <w:tcPr>
            <w:tcW w:w="3685"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Working in Partner Systems</w:t>
            </w:r>
          </w:p>
        </w:tc>
        <w:tc>
          <w:tcPr>
            <w:tcW w:w="4223" w:type="dxa"/>
          </w:tcPr>
          <w:p w:rsidR="0078589C" w:rsidRPr="0069023F" w:rsidRDefault="0078589C" w:rsidP="00181F57">
            <w:pPr>
              <w:pStyle w:val="TableParagraph"/>
              <w:rPr>
                <w:rFonts w:asciiTheme="minorHAnsi" w:hAnsiTheme="minorHAnsi"/>
                <w:sz w:val="20"/>
                <w:szCs w:val="20"/>
              </w:rPr>
            </w:pPr>
            <w:r w:rsidRPr="0069023F">
              <w:rPr>
                <w:rFonts w:asciiTheme="minorHAnsi" w:hAnsiTheme="minorHAnsi"/>
                <w:sz w:val="20"/>
                <w:szCs w:val="20"/>
              </w:rPr>
              <w:t>Bekerja dalam Sistem Mitra</w:t>
            </w:r>
          </w:p>
        </w:tc>
      </w:tr>
    </w:tbl>
    <w:p w:rsidR="004D3EF0" w:rsidRDefault="004D3EF0" w:rsidP="00775568"/>
    <w:p w:rsidR="000360B1" w:rsidRPr="00851EC7" w:rsidRDefault="000360B1" w:rsidP="00775568">
      <w:pPr>
        <w:rPr>
          <w:rFonts w:asciiTheme="minorHAnsi" w:hAnsiTheme="minorHAnsi" w:cstheme="minorHAnsi"/>
          <w:color w:val="003880"/>
          <w:kern w:val="32"/>
          <w:sz w:val="32"/>
          <w:szCs w:val="72"/>
        </w:rPr>
      </w:pPr>
      <w:r w:rsidRPr="00851EC7">
        <w:br w:type="page"/>
      </w:r>
    </w:p>
    <w:p w:rsidR="00045CAA" w:rsidRPr="00851EC7" w:rsidRDefault="00045CAA" w:rsidP="00775568">
      <w:pPr>
        <w:pStyle w:val="Heading1-NoNumber"/>
      </w:pPr>
      <w:bookmarkStart w:id="5" w:name="_Toc448156322"/>
      <w:r w:rsidRPr="00851EC7">
        <w:lastRenderedPageBreak/>
        <w:t>ACKNOWLEDGEMENTS</w:t>
      </w:r>
      <w:bookmarkEnd w:id="5"/>
    </w:p>
    <w:p w:rsidR="00045CAA" w:rsidRPr="00851EC7" w:rsidRDefault="00045CAA" w:rsidP="00775568"/>
    <w:p w:rsidR="00111DD1" w:rsidRPr="00851EC7" w:rsidRDefault="00045CAA" w:rsidP="00775568">
      <w:r w:rsidRPr="00851EC7">
        <w:t xml:space="preserve">This report has been prepared by the Performance Oversight and Monitoring (POM) </w:t>
      </w:r>
      <w:r w:rsidR="00111DD1" w:rsidRPr="00851EC7">
        <w:t>team</w:t>
      </w:r>
      <w:r w:rsidRPr="00851EC7">
        <w:t xml:space="preserve"> of </w:t>
      </w:r>
      <w:r w:rsidR="00111DD1" w:rsidRPr="00851EC7">
        <w:t xml:space="preserve">Australia’s </w:t>
      </w:r>
      <w:r w:rsidRPr="00851EC7">
        <w:t>Education Partnership</w:t>
      </w:r>
      <w:r w:rsidR="00111DD1" w:rsidRPr="00851EC7">
        <w:t xml:space="preserve"> with Indonesia</w:t>
      </w:r>
      <w:r w:rsidRPr="00851EC7">
        <w:t>.</w:t>
      </w:r>
      <w:r w:rsidR="0017073C" w:rsidRPr="00851EC7">
        <w:t xml:space="preserve"> </w:t>
      </w:r>
      <w:r w:rsidR="00111DD1" w:rsidRPr="00851EC7">
        <w:t xml:space="preserve">The </w:t>
      </w:r>
      <w:r w:rsidR="0017073C" w:rsidRPr="00851EC7">
        <w:t xml:space="preserve">POM </w:t>
      </w:r>
      <w:r w:rsidR="00111DD1" w:rsidRPr="00851EC7">
        <w:t xml:space="preserve">team </w:t>
      </w:r>
      <w:r w:rsidR="00BA45D9" w:rsidRPr="00851EC7">
        <w:t xml:space="preserve">gratefully </w:t>
      </w:r>
      <w:r w:rsidR="00111DD1" w:rsidRPr="00851EC7">
        <w:t xml:space="preserve">acknowledges </w:t>
      </w:r>
      <w:r w:rsidR="0017073C" w:rsidRPr="00851EC7">
        <w:t xml:space="preserve">all those who </w:t>
      </w:r>
      <w:r w:rsidR="00111DD1" w:rsidRPr="00851EC7">
        <w:t xml:space="preserve">gave their time to </w:t>
      </w:r>
      <w:r w:rsidR="0017073C" w:rsidRPr="00851EC7">
        <w:t>provide information and comment</w:t>
      </w:r>
      <w:r w:rsidR="00111DD1" w:rsidRPr="00851EC7">
        <w:t xml:space="preserve"> for the APPR</w:t>
      </w:r>
      <w:r w:rsidR="0017073C" w:rsidRPr="00851EC7">
        <w:t>.</w:t>
      </w:r>
      <w:r w:rsidRPr="00851EC7">
        <w:t xml:space="preserve"> </w:t>
      </w:r>
    </w:p>
    <w:p w:rsidR="00045CAA" w:rsidRPr="00851EC7" w:rsidRDefault="00045CAA" w:rsidP="00775568">
      <w:r w:rsidRPr="00851EC7">
        <w:t xml:space="preserve">POM is fully accountable for </w:t>
      </w:r>
      <w:r w:rsidR="0017073C" w:rsidRPr="00851EC7">
        <w:t>the</w:t>
      </w:r>
      <w:r w:rsidRPr="00851EC7">
        <w:t xml:space="preserve"> content</w:t>
      </w:r>
      <w:r w:rsidR="0017073C" w:rsidRPr="00851EC7">
        <w:t xml:space="preserve"> of this report: t</w:t>
      </w:r>
      <w:r w:rsidRPr="00851EC7">
        <w:t>he views contained in this report do not necessarily represent tho</w:t>
      </w:r>
      <w:r w:rsidR="0017073C" w:rsidRPr="00851EC7">
        <w:t xml:space="preserve">se of the Education Partnership, the Governments of </w:t>
      </w:r>
      <w:r w:rsidR="003159D2" w:rsidRPr="00851EC7">
        <w:t xml:space="preserve">Indonesia or </w:t>
      </w:r>
      <w:r w:rsidR="0017073C" w:rsidRPr="00851EC7">
        <w:t>Australia</w:t>
      </w:r>
      <w:r w:rsidR="00123F1E" w:rsidRPr="00851EC7">
        <w:t>, or</w:t>
      </w:r>
      <w:r w:rsidRPr="00851EC7">
        <w:t xml:space="preserve"> of the people consulted during the fieldwork.</w:t>
      </w:r>
    </w:p>
    <w:p w:rsidR="00045CAA" w:rsidRPr="00851EC7" w:rsidRDefault="00045CAA" w:rsidP="00775568"/>
    <w:p w:rsidR="00045CAA" w:rsidRPr="00851EC7" w:rsidRDefault="00045CAA" w:rsidP="00775568"/>
    <w:p w:rsidR="00045CAA" w:rsidRPr="00851EC7" w:rsidRDefault="00045CAA" w:rsidP="00775568"/>
    <w:p w:rsidR="00045CAA" w:rsidRPr="00851EC7" w:rsidRDefault="00045CAA" w:rsidP="00775568"/>
    <w:p w:rsidR="00045CAA" w:rsidRPr="00851EC7" w:rsidRDefault="00045CAA" w:rsidP="00775568"/>
    <w:p w:rsidR="00045CAA" w:rsidRPr="00851EC7" w:rsidRDefault="00045CAA" w:rsidP="00775568"/>
    <w:p w:rsidR="00045CAA" w:rsidRPr="00851EC7" w:rsidRDefault="00045CAA" w:rsidP="00775568"/>
    <w:p w:rsidR="00045CAA" w:rsidRPr="00851EC7" w:rsidRDefault="00045CAA" w:rsidP="00775568"/>
    <w:p w:rsidR="00045CAA" w:rsidRPr="00851EC7" w:rsidRDefault="00045CAA" w:rsidP="00775568"/>
    <w:p w:rsidR="00045CAA" w:rsidRPr="00851EC7" w:rsidRDefault="00045CAA" w:rsidP="00775568"/>
    <w:p w:rsidR="00045CAA" w:rsidRPr="00851EC7" w:rsidRDefault="00045CAA" w:rsidP="00775568"/>
    <w:p w:rsidR="00045CAA" w:rsidRPr="00851EC7" w:rsidRDefault="00045CAA" w:rsidP="00775568"/>
    <w:p w:rsidR="00045CAA" w:rsidRPr="00851EC7" w:rsidRDefault="00045CAA" w:rsidP="00775568"/>
    <w:p w:rsidR="00045CAA" w:rsidRPr="00851EC7" w:rsidRDefault="00045CAA" w:rsidP="00775568"/>
    <w:p w:rsidR="00045CAA" w:rsidRPr="00851EC7" w:rsidRDefault="00045CAA" w:rsidP="00775568"/>
    <w:p w:rsidR="00045CAA" w:rsidRPr="00851EC7" w:rsidRDefault="00045CAA" w:rsidP="00775568"/>
    <w:p w:rsidR="00045CAA" w:rsidRPr="00851EC7" w:rsidRDefault="00045CAA" w:rsidP="00775568"/>
    <w:p w:rsidR="00045CAA" w:rsidRPr="00851EC7" w:rsidRDefault="00045CAA" w:rsidP="00775568">
      <w:pPr>
        <w:rPr>
          <w:rStyle w:val="IntenseEmphasis"/>
        </w:rPr>
      </w:pPr>
      <w:r w:rsidRPr="00851EC7">
        <w:rPr>
          <w:rStyle w:val="IntenseEmphasis"/>
        </w:rPr>
        <w:t>Amendment history</w:t>
      </w:r>
    </w:p>
    <w:tbl>
      <w:tblPr>
        <w:tblStyle w:val="TableGrid"/>
        <w:tblW w:w="0" w:type="auto"/>
        <w:tblLook w:val="04A0" w:firstRow="1" w:lastRow="0" w:firstColumn="1" w:lastColumn="0" w:noHBand="0" w:noVBand="1"/>
      </w:tblPr>
      <w:tblGrid>
        <w:gridCol w:w="1524"/>
        <w:gridCol w:w="4638"/>
        <w:gridCol w:w="3083"/>
      </w:tblGrid>
      <w:tr w:rsidR="00766A0B" w:rsidRPr="00766A0B" w:rsidTr="00766A0B">
        <w:tc>
          <w:tcPr>
            <w:tcW w:w="1524" w:type="dxa"/>
            <w:shd w:val="clear" w:color="auto" w:fill="365F91" w:themeFill="accent1" w:themeFillShade="BF"/>
          </w:tcPr>
          <w:p w:rsidR="00045CAA" w:rsidRPr="00766A0B" w:rsidRDefault="00045CAA" w:rsidP="00766A0B">
            <w:pPr>
              <w:spacing w:before="0" w:after="0"/>
              <w:rPr>
                <w:rFonts w:eastAsia="Calibri"/>
                <w:b/>
                <w:color w:val="FFFFFF" w:themeColor="background1"/>
              </w:rPr>
            </w:pPr>
            <w:r w:rsidRPr="00766A0B">
              <w:rPr>
                <w:rFonts w:eastAsia="Calibri"/>
                <w:b/>
                <w:color w:val="FFFFFF" w:themeColor="background1"/>
              </w:rPr>
              <w:t>Version</w:t>
            </w:r>
          </w:p>
        </w:tc>
        <w:tc>
          <w:tcPr>
            <w:tcW w:w="4638" w:type="dxa"/>
            <w:shd w:val="clear" w:color="auto" w:fill="365F91" w:themeFill="accent1" w:themeFillShade="BF"/>
          </w:tcPr>
          <w:p w:rsidR="00045CAA" w:rsidRPr="00766A0B" w:rsidRDefault="00045CAA" w:rsidP="00766A0B">
            <w:pPr>
              <w:spacing w:before="0" w:after="0"/>
              <w:rPr>
                <w:rFonts w:eastAsia="Calibri"/>
                <w:b/>
                <w:color w:val="FFFFFF" w:themeColor="background1"/>
              </w:rPr>
            </w:pPr>
            <w:r w:rsidRPr="00766A0B">
              <w:rPr>
                <w:rFonts w:eastAsia="Calibri"/>
                <w:b/>
                <w:color w:val="FFFFFF" w:themeColor="background1"/>
              </w:rPr>
              <w:t>Notes and modifications</w:t>
            </w:r>
          </w:p>
        </w:tc>
        <w:tc>
          <w:tcPr>
            <w:tcW w:w="3083" w:type="dxa"/>
            <w:shd w:val="clear" w:color="auto" w:fill="365F91" w:themeFill="accent1" w:themeFillShade="BF"/>
          </w:tcPr>
          <w:p w:rsidR="00045CAA" w:rsidRPr="00766A0B" w:rsidRDefault="00045CAA" w:rsidP="00766A0B">
            <w:pPr>
              <w:spacing w:before="0" w:after="0"/>
              <w:rPr>
                <w:rFonts w:eastAsia="Calibri"/>
                <w:b/>
                <w:color w:val="FFFFFF" w:themeColor="background1"/>
              </w:rPr>
            </w:pPr>
            <w:r w:rsidRPr="00766A0B">
              <w:rPr>
                <w:rFonts w:eastAsia="Calibri"/>
                <w:b/>
                <w:color w:val="FFFFFF" w:themeColor="background1"/>
              </w:rPr>
              <w:t>Created by/modified by</w:t>
            </w:r>
          </w:p>
        </w:tc>
      </w:tr>
      <w:tr w:rsidR="00045CAA" w:rsidRPr="0069023F" w:rsidTr="00766A0B">
        <w:trPr>
          <w:trHeight w:val="377"/>
        </w:trPr>
        <w:tc>
          <w:tcPr>
            <w:tcW w:w="1524" w:type="dxa"/>
            <w:vAlign w:val="center"/>
          </w:tcPr>
          <w:p w:rsidR="00045CAA" w:rsidRPr="0069023F" w:rsidRDefault="004C2D6D" w:rsidP="00766A0B">
            <w:pPr>
              <w:spacing w:before="0" w:after="0"/>
              <w:rPr>
                <w:rFonts w:eastAsiaTheme="majorEastAsia"/>
                <w:sz w:val="20"/>
                <w:szCs w:val="20"/>
              </w:rPr>
            </w:pPr>
            <w:r w:rsidRPr="0069023F">
              <w:rPr>
                <w:rFonts w:eastAsiaTheme="majorEastAsia"/>
                <w:sz w:val="20"/>
                <w:szCs w:val="20"/>
              </w:rPr>
              <w:t>1.0</w:t>
            </w:r>
          </w:p>
        </w:tc>
        <w:tc>
          <w:tcPr>
            <w:tcW w:w="4638" w:type="dxa"/>
            <w:vAlign w:val="center"/>
          </w:tcPr>
          <w:p w:rsidR="00045CAA" w:rsidRPr="0069023F" w:rsidRDefault="004C2D6D" w:rsidP="00766A0B">
            <w:pPr>
              <w:spacing w:before="0" w:after="0"/>
              <w:rPr>
                <w:rFonts w:eastAsiaTheme="majorEastAsia"/>
                <w:sz w:val="20"/>
                <w:szCs w:val="20"/>
              </w:rPr>
            </w:pPr>
            <w:r w:rsidRPr="0069023F">
              <w:rPr>
                <w:rFonts w:eastAsiaTheme="majorEastAsia"/>
                <w:sz w:val="20"/>
                <w:szCs w:val="20"/>
              </w:rPr>
              <w:t>Draft Report submitted to DFAT (11 April 2016)</w:t>
            </w:r>
          </w:p>
        </w:tc>
        <w:tc>
          <w:tcPr>
            <w:tcW w:w="3083" w:type="dxa"/>
            <w:vAlign w:val="center"/>
          </w:tcPr>
          <w:p w:rsidR="00045CAA" w:rsidRPr="0069023F" w:rsidRDefault="000E480F" w:rsidP="000E480F">
            <w:pPr>
              <w:spacing w:before="0" w:after="0"/>
              <w:rPr>
                <w:rFonts w:eastAsiaTheme="majorEastAsia"/>
                <w:sz w:val="20"/>
                <w:szCs w:val="20"/>
              </w:rPr>
            </w:pPr>
            <w:r>
              <w:rPr>
                <w:rFonts w:eastAsiaTheme="majorEastAsia"/>
                <w:sz w:val="20"/>
                <w:szCs w:val="20"/>
              </w:rPr>
              <w:t>POM</w:t>
            </w:r>
          </w:p>
        </w:tc>
      </w:tr>
      <w:tr w:rsidR="00AD3A37" w:rsidRPr="0069023F" w:rsidTr="00E44E66">
        <w:trPr>
          <w:trHeight w:val="377"/>
        </w:trPr>
        <w:tc>
          <w:tcPr>
            <w:tcW w:w="1524" w:type="dxa"/>
            <w:vAlign w:val="center"/>
          </w:tcPr>
          <w:p w:rsidR="00AD3A37" w:rsidRPr="0069023F" w:rsidRDefault="00AD3A37" w:rsidP="00E44E66">
            <w:pPr>
              <w:spacing w:before="0" w:after="0"/>
              <w:rPr>
                <w:rFonts w:eastAsiaTheme="majorEastAsia"/>
                <w:sz w:val="20"/>
                <w:szCs w:val="20"/>
              </w:rPr>
            </w:pPr>
            <w:r>
              <w:rPr>
                <w:rFonts w:eastAsiaTheme="majorEastAsia"/>
                <w:sz w:val="20"/>
                <w:szCs w:val="20"/>
              </w:rPr>
              <w:t>1.1</w:t>
            </w:r>
          </w:p>
        </w:tc>
        <w:tc>
          <w:tcPr>
            <w:tcW w:w="4638" w:type="dxa"/>
            <w:vAlign w:val="center"/>
          </w:tcPr>
          <w:p w:rsidR="00AD3A37" w:rsidRPr="00234400" w:rsidRDefault="00AD3A37" w:rsidP="00290662">
            <w:pPr>
              <w:spacing w:before="0" w:after="0"/>
              <w:rPr>
                <w:rFonts w:eastAsiaTheme="majorEastAsia"/>
                <w:sz w:val="20"/>
                <w:szCs w:val="20"/>
              </w:rPr>
            </w:pPr>
            <w:r w:rsidRPr="00234400">
              <w:rPr>
                <w:rFonts w:eastAsiaTheme="majorEastAsia"/>
                <w:sz w:val="20"/>
                <w:szCs w:val="20"/>
              </w:rPr>
              <w:t>Final Report submitted to DFAT (</w:t>
            </w:r>
            <w:r w:rsidR="00290662">
              <w:rPr>
                <w:rFonts w:eastAsiaTheme="majorEastAsia"/>
                <w:sz w:val="20"/>
                <w:szCs w:val="20"/>
              </w:rPr>
              <w:t>10</w:t>
            </w:r>
            <w:r w:rsidR="00290662" w:rsidRPr="00234400">
              <w:rPr>
                <w:rFonts w:eastAsiaTheme="majorEastAsia"/>
                <w:sz w:val="20"/>
                <w:szCs w:val="20"/>
              </w:rPr>
              <w:t xml:space="preserve"> </w:t>
            </w:r>
            <w:r w:rsidRPr="00234400">
              <w:rPr>
                <w:rFonts w:eastAsiaTheme="majorEastAsia"/>
                <w:sz w:val="20"/>
                <w:szCs w:val="20"/>
              </w:rPr>
              <w:t>May 2016)</w:t>
            </w:r>
          </w:p>
        </w:tc>
        <w:tc>
          <w:tcPr>
            <w:tcW w:w="3083" w:type="dxa"/>
            <w:vAlign w:val="center"/>
          </w:tcPr>
          <w:p w:rsidR="00AD3A37" w:rsidRPr="00234400" w:rsidRDefault="00AD3A37" w:rsidP="00E44E66">
            <w:pPr>
              <w:spacing w:before="0" w:after="0"/>
              <w:rPr>
                <w:rFonts w:eastAsiaTheme="majorEastAsia"/>
                <w:sz w:val="20"/>
                <w:szCs w:val="20"/>
              </w:rPr>
            </w:pPr>
            <w:r w:rsidRPr="00234400">
              <w:rPr>
                <w:rFonts w:eastAsiaTheme="majorEastAsia"/>
                <w:sz w:val="20"/>
                <w:szCs w:val="20"/>
              </w:rPr>
              <w:t>POM</w:t>
            </w:r>
          </w:p>
        </w:tc>
      </w:tr>
    </w:tbl>
    <w:p w:rsidR="00045CAA" w:rsidRPr="00851EC7" w:rsidRDefault="00D23E41" w:rsidP="00775568">
      <w:pPr>
        <w:pStyle w:val="Heading1-NoNumber"/>
      </w:pPr>
      <w:bookmarkStart w:id="6" w:name="_Toc372401474"/>
      <w:r w:rsidRPr="00851EC7">
        <w:br w:type="page"/>
      </w:r>
      <w:bookmarkStart w:id="7" w:name="_Toc448156323"/>
      <w:r w:rsidR="00045CAA" w:rsidRPr="00851EC7">
        <w:lastRenderedPageBreak/>
        <w:t>E</w:t>
      </w:r>
      <w:r w:rsidR="00111DD1" w:rsidRPr="00851EC7">
        <w:t>XECUTIVE SUMMARY</w:t>
      </w:r>
      <w:bookmarkEnd w:id="6"/>
      <w:bookmarkEnd w:id="7"/>
    </w:p>
    <w:p w:rsidR="004D3EF0" w:rsidRDefault="004D3EF0" w:rsidP="00775568">
      <w:pPr>
        <w:rPr>
          <w:rFonts w:eastAsia="Calibri"/>
          <w:lang w:eastAsia="en-AU"/>
        </w:rPr>
      </w:pPr>
    </w:p>
    <w:p w:rsidR="008C7BE3" w:rsidRDefault="008C7BE3" w:rsidP="008C7BE3">
      <w:pPr>
        <w:rPr>
          <w:rFonts w:eastAsia="Calibri" w:cs="Times New Roman"/>
          <w:b/>
          <w:bCs/>
          <w:i/>
          <w:iCs/>
          <w:color w:val="4F81BD" w:themeColor="accent1"/>
          <w:szCs w:val="24"/>
          <w:lang w:eastAsia="en-AU"/>
        </w:rPr>
      </w:pPr>
      <w:r>
        <w:rPr>
          <w:rFonts w:eastAsia="Calibri" w:cs="Times New Roman"/>
          <w:b/>
          <w:bCs/>
          <w:i/>
          <w:iCs/>
          <w:color w:val="4F81BD" w:themeColor="accent1"/>
          <w:szCs w:val="24"/>
          <w:lang w:eastAsia="en-AU"/>
        </w:rPr>
        <w:t>What is the Education Partnership?</w:t>
      </w:r>
    </w:p>
    <w:p w:rsidR="008C7BE3" w:rsidRDefault="008C7BE3" w:rsidP="008C7BE3">
      <w:pPr>
        <w:rPr>
          <w:rFonts w:asciiTheme="minorHAnsi" w:eastAsia="Calibri" w:hAnsiTheme="minorHAnsi" w:cstheme="minorHAnsi"/>
          <w:szCs w:val="24"/>
          <w:lang w:eastAsia="en-AU"/>
        </w:rPr>
      </w:pPr>
      <w:r>
        <w:rPr>
          <w:rFonts w:eastAsia="Calibri" w:cs="Times New Roman"/>
          <w:szCs w:val="24"/>
          <w:lang w:eastAsia="en-AU"/>
        </w:rPr>
        <w:t xml:space="preserve">The AUD </w:t>
      </w:r>
      <w:r w:rsidR="004C2D6D">
        <w:rPr>
          <w:rFonts w:asciiTheme="minorHAnsi" w:hAnsiTheme="minorHAnsi" w:cstheme="minorHAnsi"/>
        </w:rPr>
        <w:t>368.8m</w:t>
      </w:r>
      <w:r w:rsidR="004C2D6D" w:rsidRPr="00851EC7">
        <w:rPr>
          <w:rFonts w:asciiTheme="minorHAnsi" w:hAnsiTheme="minorHAnsi" w:cstheme="minorHAnsi"/>
        </w:rPr>
        <w:t xml:space="preserve"> </w:t>
      </w:r>
      <w:r>
        <w:rPr>
          <w:rFonts w:eastAsia="Calibri" w:cs="Times New Roman"/>
          <w:szCs w:val="24"/>
          <w:lang w:eastAsia="en-AU"/>
        </w:rPr>
        <w:t xml:space="preserve">investment in the Education Partnership (EP) is Australia’s largest development initiative in Indonesia. </w:t>
      </w:r>
      <w:r>
        <w:rPr>
          <w:rFonts w:asciiTheme="minorHAnsi" w:eastAsia="Calibri" w:hAnsiTheme="minorHAnsi" w:cstheme="minorHAnsi"/>
          <w:szCs w:val="24"/>
          <w:lang w:eastAsia="en-AU"/>
        </w:rPr>
        <w:t>The EP’s vision is to improve education service delivery in Indonesia. The EP focuses its effort on the attainment of four End-of-Partnership-Outcomes (EOPOs):</w:t>
      </w:r>
    </w:p>
    <w:p w:rsidR="008C7BE3" w:rsidRPr="00985389" w:rsidRDefault="008C7BE3" w:rsidP="00985389">
      <w:pPr>
        <w:pStyle w:val="ListParagraph"/>
        <w:numPr>
          <w:ilvl w:val="0"/>
          <w:numId w:val="46"/>
        </w:numPr>
        <w:rPr>
          <w:lang w:eastAsia="en-AU"/>
        </w:rPr>
      </w:pPr>
      <w:r w:rsidRPr="00985389">
        <w:rPr>
          <w:lang w:eastAsia="en-AU"/>
        </w:rPr>
        <w:t xml:space="preserve">Enrolment in JSE in participating districts increases (Component 1). </w:t>
      </w:r>
    </w:p>
    <w:p w:rsidR="008C7BE3" w:rsidRPr="00985389" w:rsidRDefault="008C7BE3" w:rsidP="00985389">
      <w:pPr>
        <w:pStyle w:val="ListParagraph"/>
        <w:numPr>
          <w:ilvl w:val="0"/>
          <w:numId w:val="46"/>
        </w:numPr>
        <w:rPr>
          <w:lang w:eastAsia="en-AU"/>
        </w:rPr>
      </w:pPr>
      <w:r w:rsidRPr="00985389">
        <w:rPr>
          <w:lang w:eastAsia="en-AU"/>
        </w:rPr>
        <w:t xml:space="preserve">Management of schools and </w:t>
      </w:r>
      <w:r w:rsidR="004729E4" w:rsidRPr="00985389">
        <w:rPr>
          <w:i/>
          <w:lang w:eastAsia="en-AU"/>
        </w:rPr>
        <w:t>Madrasah</w:t>
      </w:r>
      <w:r w:rsidR="00062DAC">
        <w:rPr>
          <w:rStyle w:val="FootnoteReference"/>
          <w:i/>
          <w:lang w:eastAsia="en-AU"/>
        </w:rPr>
        <w:footnoteReference w:id="2"/>
      </w:r>
      <w:r w:rsidRPr="00985389">
        <w:rPr>
          <w:lang w:eastAsia="en-AU"/>
        </w:rPr>
        <w:t xml:space="preserve"> improves in participating districts (Component 2). </w:t>
      </w:r>
    </w:p>
    <w:p w:rsidR="008C7BE3" w:rsidRPr="00985389" w:rsidRDefault="008C7BE3" w:rsidP="00985389">
      <w:pPr>
        <w:pStyle w:val="ListParagraph"/>
        <w:numPr>
          <w:ilvl w:val="0"/>
          <w:numId w:val="46"/>
        </w:numPr>
        <w:rPr>
          <w:lang w:eastAsia="en-AU"/>
        </w:rPr>
      </w:pPr>
      <w:r w:rsidRPr="00985389">
        <w:rPr>
          <w:lang w:eastAsia="en-AU"/>
        </w:rPr>
        <w:t xml:space="preserve">Quality of </w:t>
      </w:r>
      <w:r w:rsidR="002B6FDD" w:rsidRPr="00985389">
        <w:rPr>
          <w:lang w:eastAsia="en-AU"/>
        </w:rPr>
        <w:t>Madrasah</w:t>
      </w:r>
      <w:r w:rsidRPr="00985389">
        <w:rPr>
          <w:lang w:eastAsia="en-AU"/>
        </w:rPr>
        <w:t xml:space="preserve"> service provision improves (in line with National Education Standards) in targeted districts (Component 3).</w:t>
      </w:r>
    </w:p>
    <w:p w:rsidR="008C7BE3" w:rsidRPr="00985389" w:rsidRDefault="008C7BE3" w:rsidP="00985389">
      <w:pPr>
        <w:pStyle w:val="ListParagraph"/>
        <w:numPr>
          <w:ilvl w:val="0"/>
          <w:numId w:val="46"/>
        </w:numPr>
        <w:rPr>
          <w:lang w:eastAsia="en-AU"/>
        </w:rPr>
      </w:pPr>
      <w:r w:rsidRPr="00985389">
        <w:rPr>
          <w:lang w:eastAsia="en-AU"/>
        </w:rPr>
        <w:t>Analytic</w:t>
      </w:r>
      <w:r w:rsidR="00040C3F">
        <w:rPr>
          <w:lang w:eastAsia="en-AU"/>
        </w:rPr>
        <w:t>al</w:t>
      </w:r>
      <w:r w:rsidRPr="00985389">
        <w:rPr>
          <w:lang w:eastAsia="en-AU"/>
        </w:rPr>
        <w:t xml:space="preserve"> Capacity and Development </w:t>
      </w:r>
      <w:r w:rsidR="00040C3F">
        <w:rPr>
          <w:lang w:eastAsia="en-AU"/>
        </w:rPr>
        <w:t>Partnership</w:t>
      </w:r>
      <w:r w:rsidR="00040C3F" w:rsidRPr="00985389">
        <w:rPr>
          <w:lang w:eastAsia="en-AU"/>
        </w:rPr>
        <w:t xml:space="preserve"> </w:t>
      </w:r>
      <w:r w:rsidRPr="00985389">
        <w:rPr>
          <w:lang w:eastAsia="en-AU"/>
        </w:rPr>
        <w:t>(ACDP) evidence is incorporated in relevant education sector policies, regulations, plans and budgets (Component 4).</w:t>
      </w:r>
    </w:p>
    <w:p w:rsidR="008C7BE3" w:rsidRDefault="008C7BE3" w:rsidP="008C7BE3">
      <w:pPr>
        <w:rPr>
          <w:rFonts w:asciiTheme="minorHAnsi" w:eastAsia="Calibri" w:hAnsiTheme="minorHAnsi" w:cstheme="minorHAnsi"/>
          <w:szCs w:val="24"/>
          <w:lang w:eastAsia="en-AU"/>
        </w:rPr>
      </w:pPr>
      <w:r>
        <w:rPr>
          <w:rFonts w:asciiTheme="minorHAnsi" w:eastAsia="Calibri" w:hAnsiTheme="minorHAnsi" w:cstheme="minorHAnsi"/>
          <w:szCs w:val="24"/>
          <w:lang w:eastAsia="en-AU"/>
        </w:rPr>
        <w:t>These EOPOs describe the highest level of change over which the EP has significant influence. The EP uses various modalities to deliver its support, e.g. earmarked budget support (Components 1 and 2), project delivery (Component 3), and technical assistance to GoI agencies (Components 1-4). Since late 2013, the majority of expenditure in Components 1 and 2 has been made through government systems.</w:t>
      </w:r>
    </w:p>
    <w:p w:rsidR="008C7BE3" w:rsidRDefault="008C7BE3" w:rsidP="008C7BE3">
      <w:pPr>
        <w:rPr>
          <w:rFonts w:eastAsia="Calibri" w:cs="Times New Roman"/>
          <w:b/>
          <w:bCs/>
          <w:i/>
          <w:iCs/>
          <w:color w:val="4F81BD" w:themeColor="accent1"/>
          <w:szCs w:val="24"/>
          <w:lang w:eastAsia="en-AU"/>
        </w:rPr>
      </w:pPr>
      <w:r>
        <w:rPr>
          <w:rFonts w:eastAsia="Calibri" w:cs="Times New Roman"/>
          <w:b/>
          <w:bCs/>
          <w:i/>
          <w:iCs/>
          <w:color w:val="4F81BD" w:themeColor="accent1"/>
          <w:szCs w:val="24"/>
          <w:lang w:eastAsia="en-AU"/>
        </w:rPr>
        <w:t>What is the APPR?</w:t>
      </w:r>
    </w:p>
    <w:p w:rsidR="004556AB" w:rsidRDefault="008C7BE3" w:rsidP="008C7BE3">
      <w:pPr>
        <w:rPr>
          <w:rFonts w:asciiTheme="minorHAnsi" w:eastAsia="Calibri" w:hAnsiTheme="minorHAnsi" w:cstheme="minorHAnsi"/>
          <w:szCs w:val="24"/>
          <w:lang w:eastAsia="en-AU"/>
        </w:rPr>
      </w:pPr>
      <w:r>
        <w:rPr>
          <w:rFonts w:asciiTheme="minorHAnsi" w:eastAsia="Calibri" w:hAnsiTheme="minorHAnsi" w:cstheme="minorHAnsi"/>
          <w:szCs w:val="24"/>
          <w:lang w:eastAsia="en-AU"/>
        </w:rPr>
        <w:t xml:space="preserve">The Annual Partnership Performance Report (APPR) provides an objective assessment of program achievements, weaknesses, opportunities and challenges. As such, it speaks to the Australian Government’s aid scrutiny objectives, whilst also seeking to inform program management decisions and strategic dialogue between the Governments of Australia and of Indonesia about sector performance and emerging priorities. </w:t>
      </w:r>
    </w:p>
    <w:p w:rsidR="00AA3473" w:rsidRDefault="008C7BE3" w:rsidP="008C7BE3">
      <w:pPr>
        <w:rPr>
          <w:rFonts w:asciiTheme="minorHAnsi" w:eastAsia="Calibri" w:hAnsiTheme="minorHAnsi" w:cstheme="minorHAnsi"/>
          <w:szCs w:val="24"/>
          <w:lang w:eastAsia="en-AU"/>
        </w:rPr>
      </w:pPr>
      <w:r>
        <w:rPr>
          <w:rFonts w:asciiTheme="minorHAnsi" w:eastAsia="Calibri" w:hAnsiTheme="minorHAnsi" w:cstheme="minorHAnsi"/>
          <w:szCs w:val="24"/>
          <w:lang w:eastAsia="en-AU"/>
        </w:rPr>
        <w:t xml:space="preserve">The APPR is produced by the EP Performance Oversight and Monitoring (POM) team. </w:t>
      </w:r>
      <w:r w:rsidR="004556AB" w:rsidRPr="00DD730E">
        <w:rPr>
          <w:rFonts w:asciiTheme="minorHAnsi" w:hAnsiTheme="minorHAnsi" w:cstheme="minorHAnsi"/>
        </w:rPr>
        <w:t xml:space="preserve">POM’s analysis of EP performance draws on OECD’s DAC criteria of relevance, efficiency, effectiveness, impact and sustainability. As such, it also speaks to the requirements of GoA’s </w:t>
      </w:r>
      <w:r w:rsidR="004556AB">
        <w:rPr>
          <w:rFonts w:asciiTheme="minorHAnsi" w:hAnsiTheme="minorHAnsi" w:cstheme="minorHAnsi"/>
        </w:rPr>
        <w:t>Investment Q</w:t>
      </w:r>
      <w:r w:rsidR="004556AB" w:rsidRPr="009B1E53">
        <w:rPr>
          <w:rFonts w:asciiTheme="minorHAnsi" w:hAnsiTheme="minorHAnsi" w:cstheme="minorHAnsi"/>
        </w:rPr>
        <w:t xml:space="preserve">uality </w:t>
      </w:r>
      <w:r w:rsidR="004556AB">
        <w:rPr>
          <w:rFonts w:asciiTheme="minorHAnsi" w:hAnsiTheme="minorHAnsi" w:cstheme="minorHAnsi"/>
        </w:rPr>
        <w:t>Reporting (IQR) and the associated Aid Quality Checks.</w:t>
      </w:r>
    </w:p>
    <w:p w:rsidR="004556AB" w:rsidRPr="00851EC7" w:rsidRDefault="004556AB" w:rsidP="004556AB">
      <w:pPr>
        <w:rPr>
          <w:rFonts w:asciiTheme="minorHAnsi" w:hAnsiTheme="minorHAnsi" w:cstheme="minorHAnsi"/>
        </w:rPr>
      </w:pPr>
      <w:r w:rsidRPr="00851EC7">
        <w:rPr>
          <w:rFonts w:asciiTheme="minorHAnsi" w:hAnsiTheme="minorHAnsi" w:cstheme="minorHAnsi"/>
        </w:rPr>
        <w:t>The 201</w:t>
      </w:r>
      <w:r>
        <w:rPr>
          <w:rFonts w:asciiTheme="minorHAnsi" w:hAnsiTheme="minorHAnsi" w:cstheme="minorHAnsi"/>
        </w:rPr>
        <w:t>5</w:t>
      </w:r>
      <w:r w:rsidRPr="00851EC7">
        <w:rPr>
          <w:rFonts w:asciiTheme="minorHAnsi" w:hAnsiTheme="minorHAnsi" w:cstheme="minorHAnsi"/>
        </w:rPr>
        <w:t xml:space="preserve"> APPR – POM’s </w:t>
      </w:r>
      <w:r>
        <w:rPr>
          <w:rFonts w:asciiTheme="minorHAnsi" w:hAnsiTheme="minorHAnsi" w:cstheme="minorHAnsi"/>
        </w:rPr>
        <w:t>fourth</w:t>
      </w:r>
      <w:r w:rsidRPr="00851EC7">
        <w:rPr>
          <w:rFonts w:asciiTheme="minorHAnsi" w:hAnsiTheme="minorHAnsi" w:cstheme="minorHAnsi"/>
        </w:rPr>
        <w:t>, full APPR of the EP – reports and analyses program performance in 201</w:t>
      </w:r>
      <w:r>
        <w:rPr>
          <w:rFonts w:asciiTheme="minorHAnsi" w:hAnsiTheme="minorHAnsi" w:cstheme="minorHAnsi"/>
        </w:rPr>
        <w:t>5</w:t>
      </w:r>
      <w:r w:rsidRPr="00851EC7">
        <w:rPr>
          <w:rFonts w:asciiTheme="minorHAnsi" w:hAnsiTheme="minorHAnsi" w:cstheme="minorHAnsi"/>
        </w:rPr>
        <w:t>. It seeks to deliver:</w:t>
      </w:r>
    </w:p>
    <w:p w:rsidR="004556AB" w:rsidRPr="00851EC7" w:rsidRDefault="004556AB" w:rsidP="004556AB">
      <w:pPr>
        <w:pStyle w:val="ListParagraph"/>
        <w:numPr>
          <w:ilvl w:val="0"/>
          <w:numId w:val="28"/>
        </w:numPr>
      </w:pPr>
      <w:r w:rsidRPr="00851EC7">
        <w:t>A clear, concise and evidence-informed picture of achievements over the year.</w:t>
      </w:r>
    </w:p>
    <w:p w:rsidR="004556AB" w:rsidRPr="00851EC7" w:rsidRDefault="004556AB" w:rsidP="004556AB">
      <w:pPr>
        <w:pStyle w:val="ListParagraph"/>
        <w:numPr>
          <w:ilvl w:val="0"/>
          <w:numId w:val="28"/>
        </w:numPr>
      </w:pPr>
      <w:r w:rsidRPr="00851EC7">
        <w:t xml:space="preserve">A clear and concise commentary about concerns and possible challenges in </w:t>
      </w:r>
      <w:r>
        <w:t>2016 and beyond</w:t>
      </w:r>
      <w:r w:rsidRPr="00851EC7">
        <w:t>.</w:t>
      </w:r>
    </w:p>
    <w:p w:rsidR="004556AB" w:rsidRDefault="004556AB" w:rsidP="004556AB">
      <w:pPr>
        <w:pStyle w:val="ListParagraph"/>
        <w:numPr>
          <w:ilvl w:val="0"/>
          <w:numId w:val="28"/>
        </w:numPr>
      </w:pPr>
      <w:r w:rsidRPr="00851EC7">
        <w:t>A set of action-oriented recommendations.</w:t>
      </w:r>
    </w:p>
    <w:p w:rsidR="004556AB" w:rsidRDefault="004556AB" w:rsidP="004556AB">
      <w:pPr>
        <w:rPr>
          <w:rFonts w:asciiTheme="minorHAnsi" w:hAnsiTheme="minorHAnsi" w:cstheme="minorHAnsi"/>
        </w:rPr>
      </w:pPr>
      <w:r w:rsidRPr="00A74CC7">
        <w:rPr>
          <w:rFonts w:asciiTheme="minorHAnsi" w:hAnsiTheme="minorHAnsi" w:cstheme="minorHAnsi"/>
        </w:rPr>
        <w:t xml:space="preserve">With Components 2 and 3 closing in June 2016, Component </w:t>
      </w:r>
      <w:r w:rsidR="00D915BC">
        <w:rPr>
          <w:rFonts w:asciiTheme="minorHAnsi" w:hAnsiTheme="minorHAnsi" w:cstheme="minorHAnsi"/>
        </w:rPr>
        <w:t xml:space="preserve">1 </w:t>
      </w:r>
      <w:r>
        <w:rPr>
          <w:rFonts w:asciiTheme="minorHAnsi" w:hAnsiTheme="minorHAnsi" w:cstheme="minorHAnsi"/>
        </w:rPr>
        <w:t>expected to close</w:t>
      </w:r>
      <w:r w:rsidRPr="00A74CC7">
        <w:rPr>
          <w:rFonts w:asciiTheme="minorHAnsi" w:hAnsiTheme="minorHAnsi" w:cstheme="minorHAnsi"/>
        </w:rPr>
        <w:t xml:space="preserve"> at the end of 2016</w:t>
      </w:r>
      <w:r>
        <w:rPr>
          <w:rStyle w:val="FootnoteReference"/>
          <w:rFonts w:cstheme="minorHAnsi"/>
        </w:rPr>
        <w:footnoteReference w:id="3"/>
      </w:r>
      <w:r w:rsidRPr="00A74CC7">
        <w:rPr>
          <w:rFonts w:asciiTheme="minorHAnsi" w:hAnsiTheme="minorHAnsi" w:cstheme="minorHAnsi"/>
        </w:rPr>
        <w:t xml:space="preserve"> and Component 4 concluding in mid-2017, the emphasis of the 2015 APPR differs a little to that of </w:t>
      </w:r>
      <w:r w:rsidRPr="00A74CC7">
        <w:rPr>
          <w:rFonts w:asciiTheme="minorHAnsi" w:hAnsiTheme="minorHAnsi" w:cstheme="minorHAnsi"/>
        </w:rPr>
        <w:lastRenderedPageBreak/>
        <w:t>previous years. Where appropriate, the APPR continues to support improvements to the management and implementation of the EP. That is particularly the case insofar as Component 4 is concerned. However, elsewhere the emphasis shifts to informing GoI/GoA on the performance of the EP and</w:t>
      </w:r>
      <w:r>
        <w:rPr>
          <w:rFonts w:asciiTheme="minorHAnsi" w:hAnsiTheme="minorHAnsi" w:cstheme="minorHAnsi"/>
        </w:rPr>
        <w:t xml:space="preserve"> to identifying recommendations that should ensure optimal effectiveness, impact and sustainability. Equally, POM has sought to</w:t>
      </w:r>
      <w:r w:rsidRPr="00A74CC7">
        <w:rPr>
          <w:rFonts w:asciiTheme="minorHAnsi" w:hAnsiTheme="minorHAnsi" w:cstheme="minorHAnsi"/>
        </w:rPr>
        <w:t xml:space="preserve"> </w:t>
      </w:r>
      <w:r>
        <w:rPr>
          <w:rFonts w:asciiTheme="minorHAnsi" w:hAnsiTheme="minorHAnsi" w:cstheme="minorHAnsi"/>
        </w:rPr>
        <w:t xml:space="preserve">capture lessons that have relevance to DFAT’s </w:t>
      </w:r>
      <w:r w:rsidRPr="00A74CC7">
        <w:rPr>
          <w:rFonts w:asciiTheme="minorHAnsi" w:hAnsiTheme="minorHAnsi" w:cstheme="minorHAnsi"/>
        </w:rPr>
        <w:t>Forward Program</w:t>
      </w:r>
      <w:r w:rsidRPr="00A74CC7">
        <w:rPr>
          <w:rStyle w:val="FootnoteReference"/>
          <w:rFonts w:cstheme="minorHAnsi"/>
        </w:rPr>
        <w:footnoteReference w:id="4"/>
      </w:r>
      <w:r w:rsidRPr="00A74CC7">
        <w:rPr>
          <w:rFonts w:asciiTheme="minorHAnsi" w:hAnsiTheme="minorHAnsi" w:cstheme="minorHAnsi"/>
        </w:rPr>
        <w:t>, particularly insofar as its design, delivery, management, governance and performance appraisal is concerned.</w:t>
      </w:r>
      <w:r>
        <w:rPr>
          <w:rFonts w:asciiTheme="minorHAnsi" w:hAnsiTheme="minorHAnsi" w:cstheme="minorHAnsi"/>
        </w:rPr>
        <w:t xml:space="preserve"> </w:t>
      </w:r>
    </w:p>
    <w:p w:rsidR="008C7BE3" w:rsidRDefault="008C7BE3" w:rsidP="008C7BE3">
      <w:pPr>
        <w:rPr>
          <w:rFonts w:eastAsia="Calibri" w:cs="Times New Roman"/>
          <w:b/>
          <w:bCs/>
          <w:i/>
          <w:iCs/>
          <w:color w:val="4F81BD" w:themeColor="accent1"/>
          <w:szCs w:val="24"/>
          <w:lang w:eastAsia="en-AU"/>
        </w:rPr>
      </w:pPr>
      <w:r>
        <w:rPr>
          <w:rFonts w:eastAsia="Calibri" w:cs="Times New Roman"/>
          <w:b/>
          <w:bCs/>
          <w:i/>
          <w:iCs/>
          <w:color w:val="4F81BD" w:themeColor="accent1"/>
          <w:szCs w:val="24"/>
          <w:lang w:eastAsia="en-AU"/>
        </w:rPr>
        <w:t>What is POM’s overall assessment of EP performance?</w:t>
      </w:r>
    </w:p>
    <w:p w:rsidR="008C7BE3" w:rsidRDefault="008C7BE3" w:rsidP="008C7BE3">
      <w:r>
        <w:t>If 2014 was the year during which the installation of new governments on both sides of the Partnership</w:t>
      </w:r>
      <w:r w:rsidR="00D915BC">
        <w:t xml:space="preserve"> signalled change to the scope of EP activities and a revision of priorities</w:t>
      </w:r>
      <w:r>
        <w:t xml:space="preserve">, </w:t>
      </w:r>
      <w:r w:rsidR="00D915BC">
        <w:t xml:space="preserve">then </w:t>
      </w:r>
      <w:r>
        <w:t>2015 has been the year in which policy changes</w:t>
      </w:r>
      <w:r w:rsidR="00293145">
        <w:t xml:space="preserve"> and priorities</w:t>
      </w:r>
      <w:r>
        <w:t xml:space="preserve"> have been interpreted and translated into action. Significant cuts to the EP budget, coupled with major restructuring within the main counterpart ministry (the Ministry of Education and Culture or MoEC)</w:t>
      </w:r>
      <w:r w:rsidR="00293145">
        <w:t>,</w:t>
      </w:r>
      <w:r>
        <w:t xml:space="preserve"> ensured that the final year of the Partnership has been a challenging one</w:t>
      </w:r>
      <w:r w:rsidR="00293145">
        <w:t xml:space="preserve">: for the institutional partners </w:t>
      </w:r>
      <w:r>
        <w:t xml:space="preserve">tasked with interpreting new policies </w:t>
      </w:r>
      <w:r w:rsidR="00293145">
        <w:t xml:space="preserve">and for the </w:t>
      </w:r>
      <w:r>
        <w:t>implementing partners tasked with making the relevant adjustments to activities</w:t>
      </w:r>
      <w:r w:rsidR="00293145">
        <w:t xml:space="preserve"> and ways of working</w:t>
      </w:r>
      <w:r>
        <w:t xml:space="preserve">. It has been an equally challenging year from an evaluation perspective, as the effects of budget cuts and restructuring have been felt unevenly across the </w:t>
      </w:r>
      <w:r w:rsidR="00293145">
        <w:t>Partnership</w:t>
      </w:r>
      <w:r>
        <w:t xml:space="preserve">. As a consequence, </w:t>
      </w:r>
      <w:r w:rsidR="00293145">
        <w:t>POM’s overall assessment has been shaped by efforts to retain the consistency of approach that is required of a linear series of evaluations, but with careful consideration of the unique dynamics of the final year of the Partnership and the circumstances within which decisions had to be made.</w:t>
      </w:r>
    </w:p>
    <w:p w:rsidR="008C7BE3" w:rsidRDefault="008C7BE3" w:rsidP="008C7BE3">
      <w:r>
        <w:t xml:space="preserve">The balance of POM’s assessment of Partnership performance in 2015 falls on positive ground. </w:t>
      </w:r>
      <w:r w:rsidR="00293145">
        <w:t>The Partnership in general proved to be sufficiently flexible in adapting to significant policy changes, while Components demonstrated initiative in overcoming specific constraints posed by those changes. Moreover, a</w:t>
      </w:r>
      <w:r>
        <w:t xml:space="preserve"> general upswing in the effectiveness of program activities was accompanied by </w:t>
      </w:r>
      <w:r w:rsidR="00293145">
        <w:t xml:space="preserve">the Government of Indonesia’s uptake of a range of </w:t>
      </w:r>
      <w:r>
        <w:t>discreet elements of the program</w:t>
      </w:r>
      <w:r w:rsidR="00293145">
        <w:t xml:space="preserve">. POM is hopeful that this </w:t>
      </w:r>
      <w:r>
        <w:t>will have a lasting impact upon the quality of education services in Indonesia</w:t>
      </w:r>
      <w:r w:rsidR="0082676E">
        <w:t xml:space="preserve">. However, outstanding critical </w:t>
      </w:r>
      <w:r>
        <w:t>issues coalesce around the question of the EP’s legacy</w:t>
      </w:r>
      <w:r w:rsidR="0082676E">
        <w:t xml:space="preserve"> and therefore the extent to which key (institutional) benefits will be sustained</w:t>
      </w:r>
      <w:r>
        <w:t>.</w:t>
      </w:r>
    </w:p>
    <w:p w:rsidR="008C7BE3" w:rsidRDefault="008C7BE3" w:rsidP="008C7BE3">
      <w:pPr>
        <w:rPr>
          <w:rFonts w:eastAsia="Calibri" w:cs="Times New Roman"/>
          <w:b/>
          <w:bCs/>
          <w:i/>
          <w:iCs/>
          <w:color w:val="4F81BD" w:themeColor="accent1"/>
          <w:szCs w:val="24"/>
          <w:lang w:eastAsia="en-AU"/>
        </w:rPr>
      </w:pPr>
      <w:r>
        <w:rPr>
          <w:rFonts w:eastAsia="Calibri" w:cs="Times New Roman"/>
          <w:b/>
          <w:bCs/>
          <w:i/>
          <w:iCs/>
          <w:color w:val="4F81BD" w:themeColor="accent1"/>
          <w:szCs w:val="24"/>
          <w:lang w:eastAsia="en-AU"/>
        </w:rPr>
        <w:t>What did the APPR conclude about Component 1?</w:t>
      </w:r>
    </w:p>
    <w:p w:rsidR="008C7BE3" w:rsidRPr="00985389" w:rsidRDefault="008C7BE3" w:rsidP="00985389">
      <w:pPr>
        <w:pStyle w:val="ListParagraph"/>
        <w:numPr>
          <w:ilvl w:val="0"/>
          <w:numId w:val="47"/>
        </w:numPr>
        <w:rPr>
          <w:lang w:eastAsia="en-AU"/>
        </w:rPr>
      </w:pPr>
      <w:r>
        <w:t xml:space="preserve">By December 2015, 996 schools – 587 USB and 409 SATAP – had been completed in 240 districts in 29 provinces. Construction of these new schools has led to the creation of 4,749 new classrooms and an additional 151,968 student places. Of the 1,005 schools constructed in the first three cycles, only nine were incomplete at the end of 2015 (&lt;1%). </w:t>
      </w:r>
      <w:r w:rsidR="001668CB">
        <w:t xml:space="preserve">More importantly, </w:t>
      </w:r>
      <w:r w:rsidR="001668CB" w:rsidRPr="00985389">
        <w:rPr>
          <w:lang w:eastAsia="en-AU"/>
        </w:rPr>
        <w:t>the f</w:t>
      </w:r>
      <w:r w:rsidRPr="00985389">
        <w:rPr>
          <w:lang w:eastAsia="en-AU"/>
        </w:rPr>
        <w:t xml:space="preserve">indings of the </w:t>
      </w:r>
      <w:r w:rsidRPr="00985389">
        <w:rPr>
          <w:i/>
          <w:lang w:eastAsia="en-AU"/>
        </w:rPr>
        <w:t>EOPO 1 Evaluation Study</w:t>
      </w:r>
      <w:r w:rsidRPr="00985389">
        <w:rPr>
          <w:lang w:eastAsia="en-AU"/>
        </w:rPr>
        <w:t xml:space="preserve"> (2015) indicate that C1 attained the </w:t>
      </w:r>
      <w:r w:rsidRPr="00985389">
        <w:rPr>
          <w:lang w:eastAsia="en-AU"/>
        </w:rPr>
        <w:lastRenderedPageBreak/>
        <w:t xml:space="preserve">EOPO of increased enrolments for Junior Secondary Education (JSE) in targeted districts. </w:t>
      </w:r>
      <w:r w:rsidR="001668CB" w:rsidRPr="00985389">
        <w:rPr>
          <w:lang w:eastAsia="en-AU"/>
        </w:rPr>
        <w:t xml:space="preserve">Moreover, </w:t>
      </w:r>
      <w:r w:rsidR="001668CB" w:rsidRPr="00985389">
        <w:rPr>
          <w:rFonts w:cs="Times New Roman"/>
          <w:lang w:eastAsia="en-AU"/>
        </w:rPr>
        <w:t>a</w:t>
      </w:r>
      <w:r w:rsidRPr="00985389">
        <w:rPr>
          <w:rFonts w:cs="Times New Roman"/>
          <w:lang w:eastAsia="en-AU"/>
        </w:rPr>
        <w:t xml:space="preserve">nalysis of district data indicated that improvement across a range of related JSE indicators was attributable to C1 </w:t>
      </w:r>
      <w:r w:rsidR="0082676E" w:rsidRPr="00985389">
        <w:rPr>
          <w:rFonts w:cs="Times New Roman"/>
          <w:lang w:eastAsia="en-AU"/>
        </w:rPr>
        <w:t>investments</w:t>
      </w:r>
      <w:r w:rsidRPr="00985389">
        <w:rPr>
          <w:rFonts w:cs="Times New Roman"/>
          <w:lang w:eastAsia="en-AU"/>
        </w:rPr>
        <w:t xml:space="preserve">. </w:t>
      </w:r>
    </w:p>
    <w:p w:rsidR="008C7BE3" w:rsidRPr="00985389" w:rsidRDefault="008C7BE3" w:rsidP="00985389">
      <w:pPr>
        <w:pStyle w:val="ListParagraph"/>
        <w:numPr>
          <w:ilvl w:val="0"/>
          <w:numId w:val="47"/>
        </w:numPr>
        <w:rPr>
          <w:lang w:eastAsia="en-AU"/>
        </w:rPr>
      </w:pPr>
      <w:r>
        <w:t>The development of an audio-visual package of construction guidelines for Cycle 4 produced improvements in the efficiency of school construction</w:t>
      </w:r>
      <w:r w:rsidR="0082676E">
        <w:t xml:space="preserve">. Importantly, they also </w:t>
      </w:r>
      <w:r>
        <w:t xml:space="preserve">represent a valuable asset for </w:t>
      </w:r>
      <w:r w:rsidRPr="00985389">
        <w:rPr>
          <w:rFonts w:asciiTheme="minorHAnsi" w:hAnsiTheme="minorHAnsi"/>
        </w:rPr>
        <w:t>future school construction activities.</w:t>
      </w:r>
      <w:r w:rsidR="0082676E" w:rsidRPr="00985389">
        <w:rPr>
          <w:rFonts w:asciiTheme="minorHAnsi" w:hAnsiTheme="minorHAnsi"/>
        </w:rPr>
        <w:t xml:space="preserve"> </w:t>
      </w:r>
      <w:r>
        <w:rPr>
          <w:lang w:eastAsia="en-AU"/>
        </w:rPr>
        <w:t xml:space="preserve">GoI has stated an interest in the adoption of various C1 practices and resources. </w:t>
      </w:r>
      <w:r w:rsidR="0082676E">
        <w:rPr>
          <w:lang w:eastAsia="en-AU"/>
        </w:rPr>
        <w:t>POM is confident that t</w:t>
      </w:r>
      <w:r>
        <w:rPr>
          <w:lang w:eastAsia="en-AU"/>
        </w:rPr>
        <w:t xml:space="preserve">he Field Monitor (FM) system and Complaint Handling System (CHS) will be adopted in part. The take-up of site selection and school construction systems (i.e. manuals, guidelines, training modules, database management technologies) will be more comprehensive. It has been proposed </w:t>
      </w:r>
      <w:r w:rsidR="0082676E">
        <w:rPr>
          <w:lang w:eastAsia="en-AU"/>
        </w:rPr>
        <w:t xml:space="preserve">by MoEC </w:t>
      </w:r>
      <w:r>
        <w:rPr>
          <w:lang w:eastAsia="en-AU"/>
        </w:rPr>
        <w:t>that generic forms of these systems be developed in order that they may be applied to primary and senior secondary school planning and construction</w:t>
      </w:r>
      <w:r w:rsidR="0082676E">
        <w:rPr>
          <w:lang w:eastAsia="en-AU"/>
        </w:rPr>
        <w:t>: a positive development</w:t>
      </w:r>
      <w:r>
        <w:rPr>
          <w:lang w:eastAsia="en-AU"/>
        </w:rPr>
        <w:t xml:space="preserve">. </w:t>
      </w:r>
    </w:p>
    <w:p w:rsidR="008C7BE3" w:rsidRPr="00985389" w:rsidRDefault="008C7BE3" w:rsidP="00985389">
      <w:pPr>
        <w:pStyle w:val="ListParagraph"/>
        <w:numPr>
          <w:ilvl w:val="0"/>
          <w:numId w:val="47"/>
        </w:numPr>
        <w:rPr>
          <w:lang w:eastAsia="en-AU"/>
        </w:rPr>
      </w:pPr>
      <w:r w:rsidRPr="00985389">
        <w:rPr>
          <w:lang w:eastAsia="en-AU"/>
        </w:rPr>
        <w:t>These positives must be considered in light of the following concerns:</w:t>
      </w:r>
    </w:p>
    <w:p w:rsidR="008C7BE3" w:rsidRPr="00985389" w:rsidRDefault="008C7BE3" w:rsidP="00985389">
      <w:pPr>
        <w:pStyle w:val="ListParagraph"/>
        <w:numPr>
          <w:ilvl w:val="1"/>
          <w:numId w:val="47"/>
        </w:numPr>
        <w:rPr>
          <w:lang w:eastAsia="en-AU"/>
        </w:rPr>
      </w:pPr>
      <w:r w:rsidRPr="00985389">
        <w:rPr>
          <w:lang w:eastAsia="en-AU"/>
        </w:rPr>
        <w:t xml:space="preserve">Projections made for Cycle 4 school construction estimate that 40 schools will not be completed before the </w:t>
      </w:r>
      <w:r w:rsidR="0082676E" w:rsidRPr="00985389">
        <w:rPr>
          <w:lang w:eastAsia="en-AU"/>
        </w:rPr>
        <w:t xml:space="preserve">Component’s </w:t>
      </w:r>
      <w:r w:rsidRPr="00985389">
        <w:rPr>
          <w:lang w:eastAsia="en-AU"/>
        </w:rPr>
        <w:t xml:space="preserve">scheduled closure date </w:t>
      </w:r>
      <w:r w:rsidR="0082676E" w:rsidRPr="00985389">
        <w:rPr>
          <w:lang w:eastAsia="en-AU"/>
        </w:rPr>
        <w:t>of 30 June 2016</w:t>
      </w:r>
      <w:r w:rsidRPr="00985389">
        <w:rPr>
          <w:lang w:eastAsia="en-AU"/>
        </w:rPr>
        <w:t>. The cessation of Field Monitoring and other construction oversight activities pose a risk to the security of Cycle 4 investments.</w:t>
      </w:r>
    </w:p>
    <w:p w:rsidR="008C7BE3" w:rsidRPr="00985389" w:rsidRDefault="0082676E" w:rsidP="00985389">
      <w:pPr>
        <w:pStyle w:val="ListParagraph"/>
        <w:numPr>
          <w:ilvl w:val="1"/>
          <w:numId w:val="47"/>
        </w:numPr>
        <w:rPr>
          <w:lang w:eastAsia="en-AU"/>
        </w:rPr>
      </w:pPr>
      <w:r w:rsidRPr="00985389">
        <w:rPr>
          <w:lang w:eastAsia="en-AU"/>
        </w:rPr>
        <w:t xml:space="preserve">Despite a decade of </w:t>
      </w:r>
      <w:r w:rsidR="001668CB" w:rsidRPr="00985389">
        <w:rPr>
          <w:lang w:eastAsia="en-AU"/>
        </w:rPr>
        <w:t xml:space="preserve">Australian-funded </w:t>
      </w:r>
      <w:r w:rsidRPr="00985389">
        <w:rPr>
          <w:lang w:eastAsia="en-AU"/>
        </w:rPr>
        <w:t xml:space="preserve">school construction activity – first through </w:t>
      </w:r>
      <w:r w:rsidR="001668CB" w:rsidRPr="00985389">
        <w:rPr>
          <w:lang w:eastAsia="en-AU"/>
        </w:rPr>
        <w:t xml:space="preserve">the Australia Indonesia Basic Education Program </w:t>
      </w:r>
      <w:r w:rsidRPr="00985389">
        <w:rPr>
          <w:lang w:eastAsia="en-AU"/>
        </w:rPr>
        <w:t>(2005-11) and then the EP (2011-16) - t</w:t>
      </w:r>
      <w:r w:rsidR="008C7BE3" w:rsidRPr="00985389">
        <w:rPr>
          <w:lang w:eastAsia="en-AU"/>
        </w:rPr>
        <w:t xml:space="preserve">he limited time and resources available for the preparation and handover of C1 best practices and resources, </w:t>
      </w:r>
      <w:r w:rsidR="008C7BE3" w:rsidRPr="00985389">
        <w:rPr>
          <w:i/>
          <w:lang w:eastAsia="en-AU"/>
        </w:rPr>
        <w:t>and the assisted integration of those resources into existing GoI systems</w:t>
      </w:r>
      <w:r w:rsidR="008C7BE3" w:rsidRPr="00985389">
        <w:rPr>
          <w:lang w:eastAsia="en-AU"/>
        </w:rPr>
        <w:t>, may undermine the long-term</w:t>
      </w:r>
      <w:r w:rsidRPr="00985389">
        <w:rPr>
          <w:lang w:eastAsia="en-AU"/>
        </w:rPr>
        <w:t xml:space="preserve"> institutional</w:t>
      </w:r>
      <w:r w:rsidR="008C7BE3" w:rsidRPr="00985389">
        <w:rPr>
          <w:lang w:eastAsia="en-AU"/>
        </w:rPr>
        <w:t xml:space="preserve"> impact of specific Component investments.</w:t>
      </w:r>
    </w:p>
    <w:p w:rsidR="008C7BE3" w:rsidRPr="00985389" w:rsidRDefault="008C7BE3" w:rsidP="00985389">
      <w:pPr>
        <w:pStyle w:val="ListParagraph"/>
        <w:numPr>
          <w:ilvl w:val="0"/>
          <w:numId w:val="47"/>
        </w:numPr>
        <w:rPr>
          <w:lang w:eastAsia="en-AU"/>
        </w:rPr>
      </w:pPr>
      <w:r w:rsidRPr="00985389">
        <w:rPr>
          <w:lang w:eastAsia="en-AU"/>
        </w:rPr>
        <w:t xml:space="preserve">In terms of assessment against DAC criteria, the relevance of </w:t>
      </w:r>
      <w:r w:rsidRPr="00985389">
        <w:rPr>
          <w:rFonts w:asciiTheme="minorHAnsi" w:hAnsiTheme="minorHAnsi" w:cstheme="minorHAnsi"/>
          <w:lang w:eastAsia="en-AU"/>
        </w:rPr>
        <w:t>Component</w:t>
      </w:r>
      <w:r w:rsidRPr="00985389">
        <w:rPr>
          <w:lang w:eastAsia="en-AU"/>
        </w:rPr>
        <w:t xml:space="preserve"> 1 remained unchanged (</w:t>
      </w:r>
      <w:r w:rsidR="001668CB" w:rsidRPr="00985389">
        <w:rPr>
          <w:lang w:eastAsia="en-AU"/>
        </w:rPr>
        <w:t>S</w:t>
      </w:r>
      <w:r w:rsidRPr="00985389">
        <w:rPr>
          <w:lang w:eastAsia="en-AU"/>
        </w:rPr>
        <w:t>core: 3). While the efficiency of routine activities improved, the risk posed by incomplete schools warranted a lowering of the score for efficiency (</w:t>
      </w:r>
      <w:r w:rsidR="001668CB" w:rsidRPr="00985389">
        <w:rPr>
          <w:lang w:eastAsia="en-AU"/>
        </w:rPr>
        <w:t>S</w:t>
      </w:r>
      <w:r w:rsidRPr="00985389">
        <w:rPr>
          <w:lang w:eastAsia="en-AU"/>
        </w:rPr>
        <w:t>core: 5). Evidence of improving enrolment rates and attributable program impact for them was reflected in an improved score for effectiveness (</w:t>
      </w:r>
      <w:r w:rsidR="001668CB" w:rsidRPr="00985389">
        <w:rPr>
          <w:lang w:eastAsia="en-AU"/>
        </w:rPr>
        <w:t>S</w:t>
      </w:r>
      <w:r w:rsidRPr="00985389">
        <w:rPr>
          <w:lang w:eastAsia="en-AU"/>
        </w:rPr>
        <w:t>core: 5). Impact assessment (</w:t>
      </w:r>
      <w:r w:rsidR="001668CB" w:rsidRPr="00985389">
        <w:rPr>
          <w:lang w:eastAsia="en-AU"/>
        </w:rPr>
        <w:t>S</w:t>
      </w:r>
      <w:r w:rsidRPr="00985389">
        <w:rPr>
          <w:lang w:eastAsia="en-AU"/>
        </w:rPr>
        <w:t xml:space="preserve">core: 4) remained steady, </w:t>
      </w:r>
      <w:r w:rsidR="001668CB" w:rsidRPr="00985389">
        <w:rPr>
          <w:lang w:eastAsia="en-AU"/>
        </w:rPr>
        <w:t xml:space="preserve">while </w:t>
      </w:r>
      <w:r w:rsidRPr="00985389">
        <w:rPr>
          <w:lang w:eastAsia="en-AU"/>
        </w:rPr>
        <w:t>the overall sustainability of C1 improved (</w:t>
      </w:r>
      <w:r w:rsidR="001668CB" w:rsidRPr="00985389">
        <w:rPr>
          <w:lang w:eastAsia="en-AU"/>
        </w:rPr>
        <w:t>S</w:t>
      </w:r>
      <w:r w:rsidRPr="00985389">
        <w:rPr>
          <w:lang w:eastAsia="en-AU"/>
        </w:rPr>
        <w:t>core: 5).</w:t>
      </w:r>
    </w:p>
    <w:p w:rsidR="002C3049" w:rsidRDefault="002C3049" w:rsidP="002C3049">
      <w:pPr>
        <w:spacing w:before="240"/>
        <w:rPr>
          <w:rFonts w:eastAsia="Calibri" w:cs="Times New Roman"/>
          <w:b/>
          <w:bCs/>
          <w:i/>
          <w:iCs/>
          <w:color w:val="4F81BD" w:themeColor="accent1"/>
          <w:szCs w:val="24"/>
          <w:lang w:eastAsia="en-AU"/>
        </w:rPr>
      </w:pPr>
      <w:r>
        <w:rPr>
          <w:rFonts w:eastAsia="Calibri" w:cs="Times New Roman"/>
          <w:b/>
          <w:bCs/>
          <w:i/>
          <w:iCs/>
          <w:color w:val="4F81BD" w:themeColor="accent1"/>
          <w:szCs w:val="24"/>
          <w:lang w:eastAsia="en-AU"/>
        </w:rPr>
        <w:t xml:space="preserve">What did the APPR conclude about Component 2? </w:t>
      </w:r>
    </w:p>
    <w:p w:rsidR="002C3049" w:rsidRPr="006C437F" w:rsidRDefault="002C3049" w:rsidP="002C3049">
      <w:pPr>
        <w:pStyle w:val="ListParagraph"/>
        <w:numPr>
          <w:ilvl w:val="0"/>
          <w:numId w:val="18"/>
        </w:numPr>
      </w:pPr>
      <w:r w:rsidRPr="006C437F">
        <w:t xml:space="preserve">Component 2 recorded a limited number of achievements in 2015. Grant Agreement-financed training in 2015 was </w:t>
      </w:r>
      <w:r>
        <w:t>provided to</w:t>
      </w:r>
      <w:r w:rsidRPr="006C437F">
        <w:t xml:space="preserve"> </w:t>
      </w:r>
      <w:r>
        <w:t>9,179</w:t>
      </w:r>
      <w:r w:rsidRPr="006C437F">
        <w:t xml:space="preserve"> participants between October and December 2015. The majority of </w:t>
      </w:r>
      <w:r>
        <w:t>these participants were engaged in</w:t>
      </w:r>
      <w:r w:rsidRPr="006C437F">
        <w:t xml:space="preserve"> </w:t>
      </w:r>
      <w:r>
        <w:t xml:space="preserve">principal’s </w:t>
      </w:r>
      <w:r w:rsidRPr="006C437F">
        <w:t xml:space="preserve">Continuous Professional Development (CPD), with a smaller number (n = 62) being trained in the Supervisor Professional Development (SPD) and </w:t>
      </w:r>
      <w:r w:rsidRPr="0069023F">
        <w:rPr>
          <w:rFonts w:asciiTheme="minorHAnsi" w:hAnsiTheme="minorHAnsi"/>
        </w:rPr>
        <w:t>Principals Performance Improvement Program</w:t>
      </w:r>
      <w:r w:rsidRPr="006C437F" w:rsidDel="001668CB">
        <w:t xml:space="preserve"> </w:t>
      </w:r>
      <w:r>
        <w:t xml:space="preserve">(PPIP) </w:t>
      </w:r>
      <w:r w:rsidRPr="006C437F">
        <w:t xml:space="preserve">components. </w:t>
      </w:r>
    </w:p>
    <w:p w:rsidR="002C3049" w:rsidRPr="001668CB" w:rsidRDefault="002C3049" w:rsidP="002C3049">
      <w:pPr>
        <w:pStyle w:val="ListParagraph"/>
        <w:numPr>
          <w:ilvl w:val="0"/>
          <w:numId w:val="18"/>
        </w:numPr>
        <w:rPr>
          <w:bCs/>
          <w:iCs/>
        </w:rPr>
      </w:pPr>
      <w:r w:rsidRPr="006C437F">
        <w:t xml:space="preserve">There is widespread consensus that ProDEP remains relevant to the needs and priorities of the Government of Indonesia (and specifically MoEC), </w:t>
      </w:r>
      <w:r>
        <w:t xml:space="preserve">that </w:t>
      </w:r>
      <w:r w:rsidRPr="006C437F">
        <w:t xml:space="preserve">its technical basis has numerous upsides </w:t>
      </w:r>
      <w:r>
        <w:t xml:space="preserve">and </w:t>
      </w:r>
      <w:r w:rsidRPr="006C437F">
        <w:t>that its ambitions are well aligned with DFAT commitments</w:t>
      </w:r>
      <w:r>
        <w:t>, i.e. to improve the quality of education</w:t>
      </w:r>
      <w:r w:rsidRPr="006C437F">
        <w:t>.</w:t>
      </w:r>
      <w:r>
        <w:t xml:space="preserve"> The establishment of t</w:t>
      </w:r>
      <w:r w:rsidRPr="001668CB">
        <w:rPr>
          <w:rFonts w:eastAsiaTheme="minorHAnsi"/>
        </w:rPr>
        <w:t>he On-Line Learning (OLL) system in 2015 w</w:t>
      </w:r>
      <w:r w:rsidRPr="00731149">
        <w:rPr>
          <w:rFonts w:eastAsiaTheme="minorHAnsi"/>
        </w:rPr>
        <w:t xml:space="preserve">as consistent with </w:t>
      </w:r>
      <w:r>
        <w:rPr>
          <w:rFonts w:eastAsiaTheme="minorHAnsi"/>
        </w:rPr>
        <w:t>MoEC</w:t>
      </w:r>
      <w:r w:rsidRPr="0077380B">
        <w:rPr>
          <w:rFonts w:eastAsiaTheme="minorHAnsi"/>
        </w:rPr>
        <w:t xml:space="preserve"> priorities and it could offer</w:t>
      </w:r>
      <w:r w:rsidRPr="001668CB">
        <w:rPr>
          <w:rFonts w:eastAsiaTheme="minorHAnsi"/>
        </w:rPr>
        <w:t xml:space="preserve"> potential upsides in terms of its cost-effective ‘reach’ in due course.</w:t>
      </w:r>
      <w:r>
        <w:rPr>
          <w:rFonts w:eastAsiaTheme="minorHAnsi"/>
        </w:rPr>
        <w:t xml:space="preserve"> The On-Line-Learning modality is now implemented in 40 districts with MoEC financing. </w:t>
      </w:r>
    </w:p>
    <w:p w:rsidR="002C3049" w:rsidRPr="006C437F" w:rsidRDefault="002C3049" w:rsidP="002C3049">
      <w:pPr>
        <w:pStyle w:val="ListParagraph"/>
        <w:numPr>
          <w:ilvl w:val="0"/>
          <w:numId w:val="18"/>
        </w:numPr>
        <w:rPr>
          <w:lang w:eastAsia="en-AU"/>
        </w:rPr>
      </w:pPr>
      <w:r w:rsidRPr="006C437F">
        <w:rPr>
          <w:lang w:eastAsia="en-AU"/>
        </w:rPr>
        <w:lastRenderedPageBreak/>
        <w:t>These positives must be considered in light of two concerns:</w:t>
      </w:r>
    </w:p>
    <w:p w:rsidR="002C3049" w:rsidRPr="006C437F" w:rsidRDefault="002C3049" w:rsidP="002C3049">
      <w:pPr>
        <w:pStyle w:val="ListParagraph"/>
        <w:numPr>
          <w:ilvl w:val="1"/>
          <w:numId w:val="18"/>
        </w:numPr>
        <w:rPr>
          <w:rFonts w:cs="Times New Roman"/>
          <w:szCs w:val="24"/>
          <w:lang w:eastAsia="en-AU"/>
        </w:rPr>
      </w:pPr>
      <w:r w:rsidRPr="006C437F">
        <w:rPr>
          <w:rFonts w:cs="Times New Roman"/>
          <w:szCs w:val="24"/>
          <w:lang w:eastAsia="en-AU"/>
        </w:rPr>
        <w:t xml:space="preserve">The overall progress of C2 in 2015 was severely compromised by delays caused by </w:t>
      </w:r>
      <w:r>
        <w:rPr>
          <w:rFonts w:cs="Times New Roman"/>
          <w:szCs w:val="24"/>
          <w:lang w:eastAsia="en-AU"/>
        </w:rPr>
        <w:t xml:space="preserve">changes to its institutional, policy and political landscape, most notably </w:t>
      </w:r>
      <w:r w:rsidRPr="006C437F">
        <w:rPr>
          <w:rFonts w:cs="Times New Roman"/>
          <w:szCs w:val="24"/>
          <w:lang w:eastAsia="en-AU"/>
        </w:rPr>
        <w:t xml:space="preserve">a restructure within </w:t>
      </w:r>
      <w:r>
        <w:rPr>
          <w:rFonts w:cs="Times New Roman"/>
          <w:szCs w:val="24"/>
          <w:lang w:eastAsia="en-AU"/>
        </w:rPr>
        <w:t>MoEC in mid-2015. These events conspired to compound the impacts of delays to C2 implementation in earlier years</w:t>
      </w:r>
      <w:r w:rsidRPr="006C437F">
        <w:rPr>
          <w:rFonts w:cs="Times New Roman"/>
          <w:szCs w:val="24"/>
          <w:lang w:eastAsia="en-AU"/>
        </w:rPr>
        <w:t xml:space="preserve">. This meant that </w:t>
      </w:r>
      <w:r>
        <w:rPr>
          <w:rFonts w:cs="Times New Roman"/>
          <w:szCs w:val="24"/>
          <w:lang w:eastAsia="en-AU"/>
        </w:rPr>
        <w:t xml:space="preserve">the delivery of the 2015 training program </w:t>
      </w:r>
      <w:r w:rsidRPr="006C437F">
        <w:rPr>
          <w:rFonts w:cs="Times New Roman"/>
          <w:szCs w:val="24"/>
          <w:lang w:eastAsia="en-AU"/>
        </w:rPr>
        <w:t>did not commence until October.</w:t>
      </w:r>
    </w:p>
    <w:p w:rsidR="002C3049" w:rsidRPr="006C437F" w:rsidRDefault="002C3049" w:rsidP="002C3049">
      <w:pPr>
        <w:pStyle w:val="ListParagraph"/>
        <w:numPr>
          <w:ilvl w:val="1"/>
          <w:numId w:val="18"/>
        </w:numPr>
        <w:rPr>
          <w:rFonts w:cs="Times New Roman"/>
          <w:szCs w:val="24"/>
          <w:lang w:eastAsia="en-AU"/>
        </w:rPr>
      </w:pPr>
      <w:r>
        <w:rPr>
          <w:rFonts w:cs="Times New Roman"/>
          <w:szCs w:val="24"/>
          <w:lang w:eastAsia="en-AU"/>
        </w:rPr>
        <w:t>The numbers of education personnel participating in ProDEP to date are below initial expectations</w:t>
      </w:r>
      <w:r w:rsidRPr="000756C0">
        <w:rPr>
          <w:rFonts w:cs="Times New Roman"/>
          <w:szCs w:val="24"/>
          <w:lang w:eastAsia="en-AU"/>
        </w:rPr>
        <w:t xml:space="preserve"> </w:t>
      </w:r>
      <w:r>
        <w:rPr>
          <w:rFonts w:cs="Times New Roman"/>
          <w:szCs w:val="24"/>
          <w:lang w:eastAsia="en-AU"/>
        </w:rPr>
        <w:t>and there is insufficient appetite in 2015/16 to conduct an initial exploration of the effectiveness of ProDEP</w:t>
      </w:r>
      <w:r w:rsidRPr="006C437F">
        <w:rPr>
          <w:rFonts w:cs="Times New Roman"/>
          <w:szCs w:val="24"/>
          <w:lang w:eastAsia="en-AU"/>
        </w:rPr>
        <w:t xml:space="preserve"> as a </w:t>
      </w:r>
      <w:r>
        <w:rPr>
          <w:rFonts w:cs="Times New Roman"/>
          <w:szCs w:val="24"/>
          <w:lang w:eastAsia="en-AU"/>
        </w:rPr>
        <w:t>vehicle</w:t>
      </w:r>
      <w:r w:rsidRPr="006C437F">
        <w:rPr>
          <w:rFonts w:cs="Times New Roman"/>
          <w:szCs w:val="24"/>
          <w:lang w:eastAsia="en-AU"/>
        </w:rPr>
        <w:t xml:space="preserve"> for producing improvements in education service quality</w:t>
      </w:r>
      <w:r>
        <w:rPr>
          <w:rFonts w:cs="Times New Roman"/>
          <w:szCs w:val="24"/>
          <w:lang w:eastAsia="en-AU"/>
        </w:rPr>
        <w:t xml:space="preserve">. </w:t>
      </w:r>
      <w:r w:rsidRPr="006C437F">
        <w:rPr>
          <w:rFonts w:cs="Times New Roman"/>
          <w:szCs w:val="24"/>
          <w:lang w:eastAsia="en-AU"/>
        </w:rPr>
        <w:t xml:space="preserve">While the </w:t>
      </w:r>
      <w:r>
        <w:rPr>
          <w:rFonts w:cs="Times New Roman"/>
          <w:szCs w:val="24"/>
          <w:lang w:eastAsia="en-AU"/>
        </w:rPr>
        <w:t>technical</w:t>
      </w:r>
      <w:r w:rsidRPr="006C437F">
        <w:rPr>
          <w:rFonts w:cs="Times New Roman"/>
          <w:szCs w:val="24"/>
          <w:lang w:eastAsia="en-AU"/>
        </w:rPr>
        <w:t xml:space="preserve"> foundations </w:t>
      </w:r>
      <w:r>
        <w:rPr>
          <w:rFonts w:cs="Times New Roman"/>
          <w:szCs w:val="24"/>
          <w:lang w:eastAsia="en-AU"/>
        </w:rPr>
        <w:t>appear</w:t>
      </w:r>
      <w:r w:rsidRPr="006C437F">
        <w:rPr>
          <w:rFonts w:cs="Times New Roman"/>
          <w:szCs w:val="24"/>
          <w:lang w:eastAsia="en-AU"/>
        </w:rPr>
        <w:t xml:space="preserve"> strong and </w:t>
      </w:r>
      <w:r>
        <w:rPr>
          <w:rFonts w:cs="Times New Roman"/>
          <w:szCs w:val="24"/>
          <w:lang w:eastAsia="en-AU"/>
        </w:rPr>
        <w:t xml:space="preserve">GoI has made </w:t>
      </w:r>
      <w:r w:rsidRPr="006C437F">
        <w:rPr>
          <w:rFonts w:cs="Times New Roman"/>
          <w:szCs w:val="24"/>
          <w:lang w:eastAsia="en-AU"/>
        </w:rPr>
        <w:t xml:space="preserve">various commitments to </w:t>
      </w:r>
      <w:r>
        <w:rPr>
          <w:rFonts w:cs="Times New Roman"/>
          <w:szCs w:val="24"/>
          <w:lang w:eastAsia="en-AU"/>
        </w:rPr>
        <w:t>continue</w:t>
      </w:r>
      <w:r w:rsidRPr="006C437F">
        <w:rPr>
          <w:rFonts w:cs="Times New Roman"/>
          <w:szCs w:val="24"/>
          <w:lang w:eastAsia="en-AU"/>
        </w:rPr>
        <w:t xml:space="preserve"> ProDEP, </w:t>
      </w:r>
      <w:r>
        <w:rPr>
          <w:rFonts w:cs="Times New Roman"/>
          <w:szCs w:val="24"/>
          <w:lang w:eastAsia="en-AU"/>
        </w:rPr>
        <w:t xml:space="preserve">the system remains in a fledging state as DFAT’s commitment to C2 comes to a close in mid-2016. </w:t>
      </w:r>
    </w:p>
    <w:p w:rsidR="008C7BE3" w:rsidRPr="006C437F" w:rsidRDefault="002C3049" w:rsidP="002C3049">
      <w:pPr>
        <w:pStyle w:val="ListParagraph"/>
        <w:numPr>
          <w:ilvl w:val="0"/>
          <w:numId w:val="18"/>
        </w:numPr>
        <w:rPr>
          <w:lang w:eastAsia="en-AU"/>
        </w:rPr>
      </w:pPr>
      <w:r w:rsidRPr="006C437F">
        <w:rPr>
          <w:lang w:eastAsia="en-AU"/>
        </w:rPr>
        <w:t xml:space="preserve">In terms of assessment against DAC criteria, C2 remains highly relevant in </w:t>
      </w:r>
      <w:r>
        <w:rPr>
          <w:lang w:eastAsia="en-AU"/>
        </w:rPr>
        <w:t xml:space="preserve">terms of its aspirations but the WiPs-based approach upon which Australian support was founded sat increasingly at odds with DFAT policy </w:t>
      </w:r>
      <w:r w:rsidRPr="006C437F">
        <w:rPr>
          <w:lang w:eastAsia="en-AU"/>
        </w:rPr>
        <w:t>(</w:t>
      </w:r>
      <w:r>
        <w:rPr>
          <w:lang w:eastAsia="en-AU"/>
        </w:rPr>
        <w:t>S</w:t>
      </w:r>
      <w:r w:rsidRPr="006C437F">
        <w:rPr>
          <w:lang w:eastAsia="en-AU"/>
        </w:rPr>
        <w:t>core: 4). The efficiency of the program was severely compromised by various delays in 2015 (</w:t>
      </w:r>
      <w:r>
        <w:rPr>
          <w:lang w:eastAsia="en-AU"/>
        </w:rPr>
        <w:t>S</w:t>
      </w:r>
      <w:r w:rsidRPr="006C437F">
        <w:rPr>
          <w:lang w:eastAsia="en-AU"/>
        </w:rPr>
        <w:t xml:space="preserve">core: 3), while the effectiveness of the program was hampered by </w:t>
      </w:r>
      <w:r>
        <w:rPr>
          <w:lang w:eastAsia="en-AU"/>
        </w:rPr>
        <w:t>the ongoing</w:t>
      </w:r>
      <w:r w:rsidRPr="006C437F">
        <w:rPr>
          <w:lang w:eastAsia="en-AU"/>
        </w:rPr>
        <w:t xml:space="preserve"> absence of</w:t>
      </w:r>
      <w:r>
        <w:rPr>
          <w:lang w:eastAsia="en-AU"/>
        </w:rPr>
        <w:t xml:space="preserve"> a critical mass of trained persons applying their new competencies and an associated absence of evidence of the actual or probable effect of</w:t>
      </w:r>
      <w:r w:rsidRPr="006C437F">
        <w:rPr>
          <w:lang w:eastAsia="en-AU"/>
        </w:rPr>
        <w:t xml:space="preserve"> </w:t>
      </w:r>
      <w:r>
        <w:rPr>
          <w:lang w:eastAsia="en-AU"/>
        </w:rPr>
        <w:t xml:space="preserve">that application on the quality of school management </w:t>
      </w:r>
      <w:r w:rsidRPr="006C437F">
        <w:rPr>
          <w:lang w:eastAsia="en-AU"/>
        </w:rPr>
        <w:t>(</w:t>
      </w:r>
      <w:r>
        <w:rPr>
          <w:lang w:eastAsia="en-AU"/>
        </w:rPr>
        <w:t>S</w:t>
      </w:r>
      <w:r w:rsidRPr="006C437F">
        <w:rPr>
          <w:lang w:eastAsia="en-AU"/>
        </w:rPr>
        <w:t xml:space="preserve">core: 3). </w:t>
      </w:r>
      <w:r>
        <w:rPr>
          <w:lang w:eastAsia="en-AU"/>
        </w:rPr>
        <w:t>As a consequence,</w:t>
      </w:r>
      <w:r w:rsidR="002010DB">
        <w:rPr>
          <w:lang w:eastAsia="en-AU"/>
        </w:rPr>
        <w:t xml:space="preserve"> </w:t>
      </w:r>
      <w:r>
        <w:rPr>
          <w:lang w:eastAsia="en-AU"/>
        </w:rPr>
        <w:t>it is difficult to say with any confidence that ProDEP will deliver positive long-term impacts in all participating districts</w:t>
      </w:r>
      <w:r w:rsidRPr="006C437F">
        <w:rPr>
          <w:lang w:eastAsia="en-AU"/>
        </w:rPr>
        <w:t xml:space="preserve"> </w:t>
      </w:r>
      <w:r>
        <w:rPr>
          <w:lang w:eastAsia="en-AU"/>
        </w:rPr>
        <w:t>(Score: 3), though there are signs that GoI is keen to sustain the initiative (Score: 4)</w:t>
      </w:r>
      <w:r w:rsidRPr="006C437F">
        <w:rPr>
          <w:lang w:eastAsia="en-AU"/>
        </w:rPr>
        <w:t>.</w:t>
      </w:r>
    </w:p>
    <w:p w:rsidR="008C7BE3" w:rsidRDefault="008C7BE3" w:rsidP="008C7BE3">
      <w:pPr>
        <w:spacing w:before="360"/>
        <w:rPr>
          <w:rFonts w:eastAsia="Calibri" w:cs="Times New Roman"/>
          <w:b/>
          <w:bCs/>
          <w:i/>
          <w:iCs/>
          <w:color w:val="4F81BD" w:themeColor="accent1"/>
          <w:szCs w:val="24"/>
          <w:lang w:eastAsia="en-AU"/>
        </w:rPr>
      </w:pPr>
      <w:r>
        <w:rPr>
          <w:rFonts w:eastAsia="Calibri" w:cs="Times New Roman"/>
          <w:b/>
          <w:bCs/>
          <w:i/>
          <w:iCs/>
          <w:color w:val="4F81BD" w:themeColor="accent1"/>
          <w:szCs w:val="24"/>
          <w:lang w:eastAsia="en-AU"/>
        </w:rPr>
        <w:t>What did the APPR conclude about Component 3?</w:t>
      </w:r>
    </w:p>
    <w:p w:rsidR="008C7BE3" w:rsidRDefault="008C7BE3" w:rsidP="00B14021">
      <w:pPr>
        <w:pStyle w:val="ListParagraph"/>
        <w:numPr>
          <w:ilvl w:val="0"/>
          <w:numId w:val="17"/>
        </w:numPr>
        <w:spacing w:after="120"/>
      </w:pPr>
      <w:r>
        <w:rPr>
          <w:bCs/>
        </w:rPr>
        <w:t xml:space="preserve">C3 </w:t>
      </w:r>
      <w:r w:rsidR="00F842AD">
        <w:rPr>
          <w:bCs/>
        </w:rPr>
        <w:t>has</w:t>
      </w:r>
      <w:r>
        <w:rPr>
          <w:bCs/>
        </w:rPr>
        <w:t xml:space="preserve"> supported </w:t>
      </w:r>
      <w:r w:rsidR="00522782">
        <w:rPr>
          <w:bCs/>
        </w:rPr>
        <w:t>1,632</w:t>
      </w:r>
      <w:r>
        <w:rPr>
          <w:bCs/>
        </w:rPr>
        <w:t xml:space="preserve"> </w:t>
      </w:r>
      <w:r w:rsidR="004729E4">
        <w:rPr>
          <w:bCs/>
        </w:rPr>
        <w:t>Madrasah</w:t>
      </w:r>
      <w:r>
        <w:rPr>
          <w:bCs/>
        </w:rPr>
        <w:t xml:space="preserve"> (1,500 targeted and </w:t>
      </w:r>
      <w:r w:rsidR="00522782">
        <w:rPr>
          <w:bCs/>
        </w:rPr>
        <w:t>132</w:t>
      </w:r>
      <w:r>
        <w:rPr>
          <w:bCs/>
        </w:rPr>
        <w:t xml:space="preserve"> non-targeted) for accreditation preparation. The sectoral impact of the program was significantly augmented in 2015 by MoRA’s own accreditation preparation program for 3,153 </w:t>
      </w:r>
      <w:r w:rsidR="004729E4">
        <w:rPr>
          <w:bCs/>
        </w:rPr>
        <w:t>Madrasah</w:t>
      </w:r>
      <w:r>
        <w:rPr>
          <w:bCs/>
        </w:rPr>
        <w:t>. C3 made valuable contributions to this program in terms of technical assistance and training.</w:t>
      </w:r>
    </w:p>
    <w:p w:rsidR="00F842AD" w:rsidRDefault="008C7BE3" w:rsidP="00F842AD">
      <w:pPr>
        <w:pStyle w:val="ListParagraph"/>
        <w:numPr>
          <w:ilvl w:val="0"/>
          <w:numId w:val="17"/>
        </w:numPr>
        <w:spacing w:after="120"/>
      </w:pPr>
      <w:r>
        <w:t>Accreditation preparation activities during 2015 produced the strongest outcomes to date.</w:t>
      </w:r>
      <w:r w:rsidR="002010DB">
        <w:t xml:space="preserve"> </w:t>
      </w:r>
      <w:r>
        <w:t xml:space="preserve">Four hundred and sixteen (416) </w:t>
      </w:r>
      <w:r w:rsidR="004729E4">
        <w:t>Madrasah</w:t>
      </w:r>
      <w:r>
        <w:t xml:space="preserve"> were targeted for assistance during Phase 3 of the program. Assessment results showed that 96% attained a ranking of A or B, an outcome that was well-above the MORA’s Renstra target of 50%. </w:t>
      </w:r>
      <w:r w:rsidR="00F842AD">
        <w:t>At a systems level, the</w:t>
      </w:r>
      <w:r>
        <w:t xml:space="preserve"> </w:t>
      </w:r>
      <w:r w:rsidRPr="00F842AD">
        <w:rPr>
          <w:bCs/>
        </w:rPr>
        <w:t xml:space="preserve">demonstrated success of the C3 model as a mechanism for </w:t>
      </w:r>
      <w:r w:rsidR="004729E4">
        <w:rPr>
          <w:bCs/>
        </w:rPr>
        <w:t>Madrasah</w:t>
      </w:r>
      <w:r w:rsidRPr="00F842AD">
        <w:rPr>
          <w:bCs/>
        </w:rPr>
        <w:t xml:space="preserve"> accreditation produced the traction required for more complex forms of collaboration at both the central and </w:t>
      </w:r>
      <w:r w:rsidR="00F842AD" w:rsidRPr="00F842AD">
        <w:rPr>
          <w:bCs/>
        </w:rPr>
        <w:t>provincial</w:t>
      </w:r>
      <w:r w:rsidRPr="00F842AD">
        <w:rPr>
          <w:bCs/>
        </w:rPr>
        <w:t xml:space="preserve"> levels. This collaboration underwrote the production of a regulation to develop a key component of a proposed quality assurance framework for the Islamic education sector.</w:t>
      </w:r>
      <w:r w:rsidR="00F842AD" w:rsidRPr="00F842AD">
        <w:rPr>
          <w:bCs/>
        </w:rPr>
        <w:t xml:space="preserve"> </w:t>
      </w:r>
    </w:p>
    <w:p w:rsidR="008C7BE3" w:rsidRDefault="008C7BE3" w:rsidP="00F842AD">
      <w:pPr>
        <w:pStyle w:val="ListParagraph"/>
        <w:numPr>
          <w:ilvl w:val="0"/>
          <w:numId w:val="17"/>
        </w:numPr>
        <w:spacing w:after="120"/>
      </w:pPr>
      <w:r>
        <w:t xml:space="preserve">Overall, C3 demonstrated a much improved balance in terms of activities related to </w:t>
      </w:r>
      <w:r w:rsidR="004729E4">
        <w:t>Madrasah</w:t>
      </w:r>
      <w:r>
        <w:t xml:space="preserve"> accreditation and activities directed towards strengthening the system for improved service provision. The latter activities stimulated MoRA’s appetite to support such an agenda.</w:t>
      </w:r>
    </w:p>
    <w:p w:rsidR="008C7BE3" w:rsidRDefault="008C7BE3" w:rsidP="00B14021">
      <w:pPr>
        <w:pStyle w:val="ListParagraph"/>
        <w:numPr>
          <w:ilvl w:val="0"/>
          <w:numId w:val="17"/>
        </w:numPr>
        <w:spacing w:after="120"/>
      </w:pPr>
      <w:r>
        <w:t>These positives</w:t>
      </w:r>
      <w:r>
        <w:rPr>
          <w:rFonts w:asciiTheme="minorHAnsi" w:hAnsiTheme="minorHAnsi" w:cstheme="minorHAnsi"/>
          <w:szCs w:val="24"/>
          <w:lang w:eastAsia="en-AU"/>
        </w:rPr>
        <w:t xml:space="preserve"> must be considered in light of the following concern:</w:t>
      </w:r>
    </w:p>
    <w:p w:rsidR="008C7BE3" w:rsidRDefault="008C7BE3" w:rsidP="00B14021">
      <w:pPr>
        <w:numPr>
          <w:ilvl w:val="1"/>
          <w:numId w:val="17"/>
        </w:numPr>
        <w:spacing w:before="0" w:after="240"/>
        <w:contextualSpacing/>
        <w:rPr>
          <w:rFonts w:eastAsia="Calibri" w:cs="Times New Roman"/>
          <w:szCs w:val="24"/>
          <w:lang w:eastAsia="en-AU"/>
        </w:rPr>
      </w:pPr>
      <w:r>
        <w:rPr>
          <w:rFonts w:asciiTheme="minorHAnsi" w:eastAsia="Calibri" w:hAnsiTheme="minorHAnsi" w:cstheme="minorHAnsi"/>
          <w:szCs w:val="24"/>
          <w:lang w:eastAsia="en-AU"/>
        </w:rPr>
        <w:t>Key system strengthening outcomes (</w:t>
      </w:r>
      <w:r w:rsidR="00F842AD">
        <w:rPr>
          <w:rFonts w:asciiTheme="minorHAnsi" w:eastAsia="Calibri" w:hAnsiTheme="minorHAnsi" w:cstheme="minorHAnsi"/>
          <w:szCs w:val="24"/>
          <w:lang w:eastAsia="en-AU"/>
        </w:rPr>
        <w:t xml:space="preserve">e.g. the </w:t>
      </w:r>
      <w:r>
        <w:rPr>
          <w:rFonts w:asciiTheme="minorHAnsi" w:eastAsia="Calibri" w:hAnsiTheme="minorHAnsi" w:cstheme="minorHAnsi"/>
          <w:szCs w:val="24"/>
          <w:lang w:eastAsia="en-AU"/>
        </w:rPr>
        <w:t>M</w:t>
      </w:r>
      <w:r w:rsidR="00F842AD">
        <w:rPr>
          <w:rFonts w:asciiTheme="minorHAnsi" w:eastAsia="Calibri" w:hAnsiTheme="minorHAnsi" w:cstheme="minorHAnsi"/>
          <w:szCs w:val="24"/>
          <w:lang w:eastAsia="en-AU"/>
        </w:rPr>
        <w:t xml:space="preserve">adrasah </w:t>
      </w:r>
      <w:r>
        <w:rPr>
          <w:rFonts w:asciiTheme="minorHAnsi" w:eastAsia="Calibri" w:hAnsiTheme="minorHAnsi" w:cstheme="minorHAnsi"/>
          <w:szCs w:val="24"/>
          <w:lang w:eastAsia="en-AU"/>
        </w:rPr>
        <w:t>D</w:t>
      </w:r>
      <w:r w:rsidR="00F842AD">
        <w:rPr>
          <w:rFonts w:asciiTheme="minorHAnsi" w:eastAsia="Calibri" w:hAnsiTheme="minorHAnsi" w:cstheme="minorHAnsi"/>
          <w:szCs w:val="24"/>
          <w:lang w:eastAsia="en-AU"/>
        </w:rPr>
        <w:t xml:space="preserve">evelopment </w:t>
      </w:r>
      <w:r w:rsidR="00522782">
        <w:rPr>
          <w:rFonts w:asciiTheme="minorHAnsi" w:eastAsia="Calibri" w:hAnsiTheme="minorHAnsi" w:cstheme="minorHAnsi"/>
          <w:szCs w:val="24"/>
          <w:lang w:eastAsia="en-AU"/>
        </w:rPr>
        <w:t>Center</w:t>
      </w:r>
      <w:r>
        <w:rPr>
          <w:rFonts w:asciiTheme="minorHAnsi" w:eastAsia="Calibri" w:hAnsiTheme="minorHAnsi" w:cstheme="minorHAnsi"/>
          <w:szCs w:val="24"/>
          <w:lang w:eastAsia="en-AU"/>
        </w:rPr>
        <w:t xml:space="preserve"> regulation and the Grand Design) currently have a </w:t>
      </w:r>
      <w:r w:rsidR="00F842AD">
        <w:rPr>
          <w:rFonts w:asciiTheme="minorHAnsi" w:eastAsia="Calibri" w:hAnsiTheme="minorHAnsi" w:cstheme="minorHAnsi"/>
          <w:szCs w:val="24"/>
          <w:lang w:eastAsia="en-AU"/>
        </w:rPr>
        <w:t>‘</w:t>
      </w:r>
      <w:r>
        <w:rPr>
          <w:rFonts w:asciiTheme="minorHAnsi" w:eastAsia="Calibri" w:hAnsiTheme="minorHAnsi" w:cstheme="minorHAnsi"/>
          <w:szCs w:val="24"/>
          <w:lang w:eastAsia="en-AU"/>
        </w:rPr>
        <w:t>provisional status</w:t>
      </w:r>
      <w:r w:rsidR="00F842AD">
        <w:rPr>
          <w:rFonts w:asciiTheme="minorHAnsi" w:eastAsia="Calibri" w:hAnsiTheme="minorHAnsi" w:cstheme="minorHAnsi"/>
          <w:szCs w:val="24"/>
          <w:lang w:eastAsia="en-AU"/>
        </w:rPr>
        <w:t>’</w:t>
      </w:r>
      <w:r>
        <w:rPr>
          <w:rFonts w:asciiTheme="minorHAnsi" w:eastAsia="Calibri" w:hAnsiTheme="minorHAnsi" w:cstheme="minorHAnsi"/>
          <w:szCs w:val="24"/>
          <w:lang w:eastAsia="en-AU"/>
        </w:rPr>
        <w:t xml:space="preserve"> in terms of </w:t>
      </w:r>
      <w:r>
        <w:rPr>
          <w:rFonts w:asciiTheme="minorHAnsi" w:eastAsia="Calibri" w:hAnsiTheme="minorHAnsi" w:cstheme="minorHAnsi"/>
          <w:szCs w:val="24"/>
          <w:lang w:eastAsia="en-AU"/>
        </w:rPr>
        <w:lastRenderedPageBreak/>
        <w:t>anticipated impacts</w:t>
      </w:r>
      <w:r w:rsidR="00F842AD">
        <w:rPr>
          <w:rFonts w:asciiTheme="minorHAnsi" w:eastAsia="Calibri" w:hAnsiTheme="minorHAnsi" w:cstheme="minorHAnsi"/>
          <w:szCs w:val="24"/>
          <w:lang w:eastAsia="en-AU"/>
        </w:rPr>
        <w:t xml:space="preserve"> in the sense that i</w:t>
      </w:r>
      <w:r>
        <w:rPr>
          <w:rFonts w:asciiTheme="minorHAnsi" w:eastAsia="Calibri" w:hAnsiTheme="minorHAnsi" w:cstheme="minorHAnsi"/>
          <w:szCs w:val="24"/>
          <w:lang w:eastAsia="en-AU"/>
        </w:rPr>
        <w:t xml:space="preserve">t is not clear where the momentum to carry them forward will come from </w:t>
      </w:r>
      <w:r w:rsidR="00F842AD">
        <w:rPr>
          <w:rFonts w:asciiTheme="minorHAnsi" w:eastAsia="Calibri" w:hAnsiTheme="minorHAnsi" w:cstheme="minorHAnsi"/>
          <w:szCs w:val="24"/>
          <w:lang w:eastAsia="en-AU"/>
        </w:rPr>
        <w:t>as Component draws to an end</w:t>
      </w:r>
      <w:r>
        <w:rPr>
          <w:rFonts w:asciiTheme="minorHAnsi" w:eastAsia="Calibri" w:hAnsiTheme="minorHAnsi" w:cstheme="minorHAnsi"/>
          <w:szCs w:val="24"/>
          <w:lang w:eastAsia="en-AU"/>
        </w:rPr>
        <w:t>.</w:t>
      </w:r>
    </w:p>
    <w:p w:rsidR="008C7BE3" w:rsidRDefault="008C7BE3" w:rsidP="00B14021">
      <w:pPr>
        <w:numPr>
          <w:ilvl w:val="1"/>
          <w:numId w:val="17"/>
        </w:numPr>
        <w:spacing w:before="0" w:after="240"/>
        <w:contextualSpacing/>
        <w:rPr>
          <w:rFonts w:eastAsia="Calibri" w:cs="Times New Roman"/>
          <w:szCs w:val="24"/>
          <w:lang w:eastAsia="en-AU"/>
        </w:rPr>
      </w:pPr>
      <w:r>
        <w:rPr>
          <w:rFonts w:eastAsia="Calibri" w:cs="Times New Roman"/>
          <w:szCs w:val="24"/>
          <w:lang w:eastAsia="en-AU"/>
        </w:rPr>
        <w:t>The maximisation of C3 outcomes requires ongoing investments to address equity issues</w:t>
      </w:r>
      <w:r w:rsidR="00F842AD">
        <w:rPr>
          <w:rFonts w:eastAsia="Calibri" w:cs="Times New Roman"/>
          <w:szCs w:val="24"/>
          <w:lang w:eastAsia="en-AU"/>
        </w:rPr>
        <w:t xml:space="preserve"> (e.g. </w:t>
      </w:r>
      <w:r w:rsidR="00206953">
        <w:rPr>
          <w:rFonts w:eastAsia="Calibri" w:cs="Times New Roman"/>
          <w:szCs w:val="24"/>
          <w:lang w:eastAsia="en-AU"/>
        </w:rPr>
        <w:t xml:space="preserve">varying capacity of </w:t>
      </w:r>
      <w:r w:rsidR="00F842AD">
        <w:rPr>
          <w:rFonts w:eastAsia="Calibri" w:cs="Times New Roman"/>
          <w:szCs w:val="24"/>
          <w:lang w:eastAsia="en-AU"/>
        </w:rPr>
        <w:t>MDCs)</w:t>
      </w:r>
      <w:r>
        <w:rPr>
          <w:rFonts w:eastAsia="Calibri" w:cs="Times New Roman"/>
          <w:szCs w:val="24"/>
          <w:lang w:eastAsia="en-AU"/>
        </w:rPr>
        <w:t xml:space="preserve"> and to boost MoRA capacity at the point of service delivery in </w:t>
      </w:r>
      <w:r w:rsidR="004729E4">
        <w:rPr>
          <w:rFonts w:eastAsia="Calibri" w:cs="Times New Roman"/>
          <w:szCs w:val="24"/>
          <w:lang w:eastAsia="en-AU"/>
        </w:rPr>
        <w:t>Madrasah</w:t>
      </w:r>
      <w:r>
        <w:rPr>
          <w:rFonts w:eastAsia="Calibri" w:cs="Times New Roman"/>
          <w:szCs w:val="24"/>
          <w:lang w:eastAsia="en-AU"/>
        </w:rPr>
        <w:t xml:space="preserve"> themselves.</w:t>
      </w:r>
    </w:p>
    <w:p w:rsidR="008C7BE3" w:rsidRDefault="008C7BE3" w:rsidP="00B14021">
      <w:pPr>
        <w:numPr>
          <w:ilvl w:val="0"/>
          <w:numId w:val="17"/>
        </w:numPr>
        <w:spacing w:before="0" w:after="240"/>
        <w:contextualSpacing/>
        <w:rPr>
          <w:rFonts w:eastAsia="Calibri" w:cs="Times New Roman"/>
          <w:szCs w:val="24"/>
          <w:lang w:eastAsia="en-AU"/>
        </w:rPr>
      </w:pPr>
      <w:r>
        <w:rPr>
          <w:rFonts w:eastAsia="Calibri" w:cs="Times New Roman"/>
          <w:szCs w:val="24"/>
          <w:lang w:eastAsia="en-AU"/>
        </w:rPr>
        <w:t>In terms of assessment against DAC criteria, C3’s performance warranted score increases</w:t>
      </w:r>
      <w:r w:rsidR="00F842AD">
        <w:rPr>
          <w:rFonts w:eastAsia="Calibri" w:cs="Times New Roman"/>
          <w:szCs w:val="24"/>
          <w:lang w:eastAsia="en-AU"/>
        </w:rPr>
        <w:t xml:space="preserve"> across all five criteria. C3 performed particularly well in the areas of </w:t>
      </w:r>
      <w:r w:rsidR="007575F6">
        <w:rPr>
          <w:rFonts w:eastAsia="Calibri" w:cs="Times New Roman"/>
          <w:szCs w:val="24"/>
          <w:lang w:eastAsia="en-AU"/>
        </w:rPr>
        <w:t>r</w:t>
      </w:r>
      <w:r w:rsidR="00F842AD">
        <w:rPr>
          <w:rFonts w:eastAsia="Calibri" w:cs="Times New Roman"/>
          <w:szCs w:val="24"/>
          <w:lang w:eastAsia="en-AU"/>
        </w:rPr>
        <w:t xml:space="preserve">elevance (Score: 6), </w:t>
      </w:r>
      <w:r w:rsidR="007575F6">
        <w:rPr>
          <w:rFonts w:eastAsia="Calibri" w:cs="Times New Roman"/>
          <w:szCs w:val="24"/>
          <w:lang w:eastAsia="en-AU"/>
        </w:rPr>
        <w:t>e</w:t>
      </w:r>
      <w:r w:rsidR="00F842AD">
        <w:rPr>
          <w:rFonts w:eastAsia="Calibri" w:cs="Times New Roman"/>
          <w:szCs w:val="24"/>
          <w:lang w:eastAsia="en-AU"/>
        </w:rPr>
        <w:t>fficiency (Score: 5</w:t>
      </w:r>
      <w:r w:rsidR="007575F6">
        <w:rPr>
          <w:rFonts w:eastAsia="Calibri" w:cs="Times New Roman"/>
          <w:szCs w:val="24"/>
          <w:lang w:eastAsia="en-AU"/>
        </w:rPr>
        <w:t>) and e</w:t>
      </w:r>
      <w:r w:rsidR="00F842AD">
        <w:rPr>
          <w:rFonts w:eastAsia="Calibri" w:cs="Times New Roman"/>
          <w:szCs w:val="24"/>
          <w:lang w:eastAsia="en-AU"/>
        </w:rPr>
        <w:t>ffectiveness (Score: 5)</w:t>
      </w:r>
      <w:r>
        <w:rPr>
          <w:rFonts w:eastAsia="Calibri" w:cs="Times New Roman"/>
          <w:szCs w:val="24"/>
          <w:lang w:eastAsia="en-AU"/>
        </w:rPr>
        <w:t xml:space="preserve">. </w:t>
      </w:r>
      <w:r w:rsidR="00F842AD">
        <w:rPr>
          <w:rFonts w:eastAsia="Calibri" w:cs="Times New Roman"/>
          <w:szCs w:val="24"/>
          <w:lang w:eastAsia="en-AU"/>
        </w:rPr>
        <w:t xml:space="preserve">The lower </w:t>
      </w:r>
      <w:r>
        <w:rPr>
          <w:rFonts w:eastAsia="Calibri" w:cs="Times New Roman"/>
          <w:szCs w:val="24"/>
          <w:lang w:eastAsia="en-AU"/>
        </w:rPr>
        <w:t xml:space="preserve">scores for the criteria of </w:t>
      </w:r>
      <w:r w:rsidR="007575F6">
        <w:rPr>
          <w:rFonts w:eastAsia="Calibri" w:cs="Times New Roman"/>
          <w:szCs w:val="24"/>
          <w:lang w:eastAsia="en-AU"/>
        </w:rPr>
        <w:t>i</w:t>
      </w:r>
      <w:r>
        <w:rPr>
          <w:rFonts w:eastAsia="Calibri" w:cs="Times New Roman"/>
          <w:szCs w:val="24"/>
          <w:lang w:eastAsia="en-AU"/>
        </w:rPr>
        <w:t>mpact (</w:t>
      </w:r>
      <w:r w:rsidR="00F842AD">
        <w:rPr>
          <w:rFonts w:eastAsia="Calibri" w:cs="Times New Roman"/>
          <w:szCs w:val="24"/>
          <w:lang w:eastAsia="en-AU"/>
        </w:rPr>
        <w:t xml:space="preserve">Score: </w:t>
      </w:r>
      <w:r>
        <w:rPr>
          <w:rFonts w:eastAsia="Calibri" w:cs="Times New Roman"/>
          <w:szCs w:val="24"/>
          <w:lang w:eastAsia="en-AU"/>
        </w:rPr>
        <w:t xml:space="preserve">4) and </w:t>
      </w:r>
      <w:r w:rsidR="007575F6">
        <w:rPr>
          <w:rFonts w:eastAsia="Calibri" w:cs="Times New Roman"/>
          <w:szCs w:val="24"/>
          <w:lang w:eastAsia="en-AU"/>
        </w:rPr>
        <w:t>s</w:t>
      </w:r>
      <w:r>
        <w:rPr>
          <w:rFonts w:eastAsia="Calibri" w:cs="Times New Roman"/>
          <w:szCs w:val="24"/>
          <w:lang w:eastAsia="en-AU"/>
        </w:rPr>
        <w:t>ustainability (</w:t>
      </w:r>
      <w:r w:rsidR="00F842AD">
        <w:rPr>
          <w:rFonts w:eastAsia="Calibri" w:cs="Times New Roman"/>
          <w:szCs w:val="24"/>
          <w:lang w:eastAsia="en-AU"/>
        </w:rPr>
        <w:t xml:space="preserve">Score: </w:t>
      </w:r>
      <w:r>
        <w:rPr>
          <w:rFonts w:eastAsia="Calibri" w:cs="Times New Roman"/>
          <w:szCs w:val="24"/>
          <w:lang w:eastAsia="en-AU"/>
        </w:rPr>
        <w:t xml:space="preserve">4), relate to the </w:t>
      </w:r>
      <w:r w:rsidR="00F842AD">
        <w:rPr>
          <w:rFonts w:eastAsia="Calibri" w:cs="Times New Roman"/>
          <w:szCs w:val="24"/>
          <w:lang w:eastAsia="en-AU"/>
        </w:rPr>
        <w:t>afore</w:t>
      </w:r>
      <w:r>
        <w:rPr>
          <w:rFonts w:eastAsia="Calibri" w:cs="Times New Roman"/>
          <w:szCs w:val="24"/>
          <w:lang w:eastAsia="en-AU"/>
        </w:rPr>
        <w:t>mentioned concerns about how the ‘momentum’ generated by C3 will be sustained.</w:t>
      </w:r>
    </w:p>
    <w:p w:rsidR="008C7BE3" w:rsidRDefault="008C7BE3" w:rsidP="008C7BE3">
      <w:pPr>
        <w:keepNext/>
        <w:spacing w:before="360"/>
        <w:rPr>
          <w:rFonts w:eastAsia="Calibri" w:cs="Times New Roman"/>
          <w:b/>
          <w:bCs/>
          <w:i/>
          <w:iCs/>
          <w:color w:val="4F81BD" w:themeColor="accent1"/>
          <w:szCs w:val="24"/>
          <w:lang w:eastAsia="en-AU"/>
        </w:rPr>
      </w:pPr>
      <w:r>
        <w:rPr>
          <w:rFonts w:eastAsia="Calibri" w:cs="Times New Roman"/>
          <w:b/>
          <w:bCs/>
          <w:i/>
          <w:iCs/>
          <w:color w:val="4F81BD" w:themeColor="accent1"/>
          <w:szCs w:val="24"/>
          <w:lang w:eastAsia="en-AU"/>
        </w:rPr>
        <w:t>What did the APPR conclude about Component 4?</w:t>
      </w:r>
    </w:p>
    <w:p w:rsidR="006C437F" w:rsidRPr="006C437F" w:rsidRDefault="006C437F" w:rsidP="004D5A94">
      <w:pPr>
        <w:pStyle w:val="ListParagraph"/>
        <w:numPr>
          <w:ilvl w:val="0"/>
          <w:numId w:val="19"/>
        </w:numPr>
      </w:pPr>
      <w:r w:rsidRPr="006C437F">
        <w:t>At the end of December 2015 ACDP had completed 34 studies. A further six studies or activities of a similar nature were ongoing. Together, these 40 activities constitute about USD 30m of contracted commitments.</w:t>
      </w:r>
      <w:r w:rsidR="004D5A94">
        <w:t xml:space="preserve"> Besides its support to the conclusion of GoI’s mid-term planning documents, n</w:t>
      </w:r>
      <w:r w:rsidRPr="006C437F">
        <w:t xml:space="preserve">otable achievements in 2015 included the submission of the final Overview of Islamic Education Sub-Sector in Indonesia to MoRA’s Directorate General of Islamic Education, the successful conclusion of policy research on behalf of the Provincial Coordinating Team for Aceh Education Development (TK-PPA), and the </w:t>
      </w:r>
      <w:r w:rsidRPr="004D5A94">
        <w:rPr>
          <w:rFonts w:eastAsiaTheme="minorHAnsi" w:cstheme="minorBidi"/>
        </w:rPr>
        <w:t xml:space="preserve">submission of the </w:t>
      </w:r>
      <w:r w:rsidRPr="004D5A94">
        <w:rPr>
          <w:rFonts w:eastAsiaTheme="minorHAnsi" w:cstheme="minorBidi"/>
          <w:i/>
        </w:rPr>
        <w:t>Final Evaluation of ICT in Education in Papua</w:t>
      </w:r>
      <w:r w:rsidRPr="004D5A94">
        <w:rPr>
          <w:rFonts w:eastAsiaTheme="minorHAnsi" w:cstheme="minorBidi"/>
        </w:rPr>
        <w:t>.</w:t>
      </w:r>
    </w:p>
    <w:p w:rsidR="006C437F" w:rsidRPr="006C437F" w:rsidRDefault="004D5A94" w:rsidP="004D5A94">
      <w:pPr>
        <w:pStyle w:val="ListParagraph"/>
        <w:numPr>
          <w:ilvl w:val="0"/>
          <w:numId w:val="19"/>
        </w:numPr>
      </w:pPr>
      <w:r>
        <w:t>Encouragingly, t</w:t>
      </w:r>
      <w:r w:rsidR="006C437F" w:rsidRPr="006C437F">
        <w:t xml:space="preserve">he ACDP exhibited far greater diversity and flexibility in terms of its product offerings and activities in 2015. This included the development of various policy briefs and </w:t>
      </w:r>
      <w:r>
        <w:t xml:space="preserve">the provision of </w:t>
      </w:r>
      <w:r w:rsidR="006C437F" w:rsidRPr="004D5A94">
        <w:rPr>
          <w:i/>
        </w:rPr>
        <w:t>ad hoc</w:t>
      </w:r>
      <w:r w:rsidR="006C437F" w:rsidRPr="006C437F">
        <w:t xml:space="preserve"> support </w:t>
      </w:r>
      <w:r>
        <w:t xml:space="preserve">to various </w:t>
      </w:r>
      <w:r w:rsidR="006C437F" w:rsidRPr="006C437F">
        <w:t>partner institutions.</w:t>
      </w:r>
      <w:r>
        <w:t xml:space="preserve"> However, its standout achievement in 2015 was its increased willingness and </w:t>
      </w:r>
      <w:r w:rsidR="006C437F" w:rsidRPr="006C437F">
        <w:t>improved ability to communicate and disseminate research findings</w:t>
      </w:r>
      <w:r>
        <w:t>, both within government and through the media</w:t>
      </w:r>
      <w:r w:rsidR="006C437F" w:rsidRPr="006C437F">
        <w:t>.</w:t>
      </w:r>
      <w:r>
        <w:t xml:space="preserve"> These changes bode well for ACDP’s effectiveness over the next 12-15 months.</w:t>
      </w:r>
    </w:p>
    <w:p w:rsidR="006C437F" w:rsidRPr="006C437F" w:rsidRDefault="006C437F" w:rsidP="00B14021">
      <w:pPr>
        <w:pStyle w:val="ListParagraph"/>
        <w:numPr>
          <w:ilvl w:val="0"/>
          <w:numId w:val="19"/>
        </w:numPr>
      </w:pPr>
      <w:r w:rsidRPr="006C437F">
        <w:rPr>
          <w:szCs w:val="24"/>
          <w:lang w:eastAsia="en-AU"/>
        </w:rPr>
        <w:t>These positives must be considered in light of two concerns:</w:t>
      </w:r>
    </w:p>
    <w:p w:rsidR="00146C78" w:rsidRDefault="00146C78" w:rsidP="00B14021">
      <w:pPr>
        <w:pStyle w:val="ListParagraph"/>
        <w:numPr>
          <w:ilvl w:val="1"/>
          <w:numId w:val="19"/>
        </w:numPr>
        <w:rPr>
          <w:rFonts w:cs="Times New Roman"/>
          <w:szCs w:val="24"/>
          <w:lang w:eastAsia="en-AU"/>
        </w:rPr>
      </w:pPr>
      <w:r w:rsidRPr="00146C78">
        <w:rPr>
          <w:rFonts w:cs="Times New Roman"/>
          <w:szCs w:val="24"/>
          <w:lang w:eastAsia="en-AU"/>
        </w:rPr>
        <w:t xml:space="preserve">A range of (senior) GoI stakeholders </w:t>
      </w:r>
      <w:r>
        <w:rPr>
          <w:rFonts w:cs="Times New Roman"/>
          <w:szCs w:val="24"/>
          <w:lang w:eastAsia="en-AU"/>
        </w:rPr>
        <w:t>continue</w:t>
      </w:r>
      <w:r w:rsidRPr="00146C78">
        <w:rPr>
          <w:rFonts w:cs="Times New Roman"/>
          <w:szCs w:val="24"/>
          <w:lang w:eastAsia="en-AU"/>
        </w:rPr>
        <w:t xml:space="preserve"> to express concerns about the delays associated with procurement and mobilisation</w:t>
      </w:r>
      <w:r>
        <w:rPr>
          <w:rFonts w:cs="Times New Roman"/>
          <w:szCs w:val="24"/>
          <w:lang w:eastAsia="en-AU"/>
        </w:rPr>
        <w:t>.</w:t>
      </w:r>
      <w:r w:rsidRPr="00146C78" w:rsidDel="00146C78">
        <w:rPr>
          <w:rFonts w:cs="Times New Roman"/>
          <w:szCs w:val="24"/>
          <w:lang w:eastAsia="en-AU"/>
        </w:rPr>
        <w:t xml:space="preserve"> </w:t>
      </w:r>
    </w:p>
    <w:p w:rsidR="006C437F" w:rsidRPr="006C437F" w:rsidRDefault="007575F6" w:rsidP="00B14021">
      <w:pPr>
        <w:pStyle w:val="ListParagraph"/>
        <w:numPr>
          <w:ilvl w:val="1"/>
          <w:numId w:val="19"/>
        </w:numPr>
        <w:rPr>
          <w:rFonts w:cs="Times New Roman"/>
          <w:szCs w:val="24"/>
          <w:lang w:eastAsia="en-AU"/>
        </w:rPr>
      </w:pPr>
      <w:r>
        <w:rPr>
          <w:rFonts w:cs="Times New Roman"/>
          <w:szCs w:val="24"/>
          <w:lang w:eastAsia="en-AU"/>
        </w:rPr>
        <w:t>T</w:t>
      </w:r>
      <w:r w:rsidR="006C437F" w:rsidRPr="006C437F">
        <w:rPr>
          <w:rFonts w:cs="Times New Roman"/>
          <w:szCs w:val="24"/>
          <w:lang w:eastAsia="en-AU"/>
        </w:rPr>
        <w:t>here is no clear indication of what</w:t>
      </w:r>
      <w:r>
        <w:rPr>
          <w:rFonts w:cs="Times New Roman"/>
          <w:szCs w:val="24"/>
          <w:lang w:eastAsia="en-AU"/>
        </w:rPr>
        <w:t>, if any, institutional benefits ACDP wishes to sustain</w:t>
      </w:r>
      <w:r w:rsidR="006C437F" w:rsidRPr="006C437F">
        <w:rPr>
          <w:rFonts w:cs="Times New Roman"/>
          <w:szCs w:val="24"/>
          <w:lang w:eastAsia="en-AU"/>
        </w:rPr>
        <w:t xml:space="preserve"> and how that may be achieved during the remaining phase of operations</w:t>
      </w:r>
      <w:r>
        <w:rPr>
          <w:rFonts w:cs="Times New Roman"/>
          <w:szCs w:val="24"/>
          <w:lang w:eastAsia="en-AU"/>
        </w:rPr>
        <w:t>, d</w:t>
      </w:r>
      <w:r w:rsidRPr="006C437F">
        <w:rPr>
          <w:rFonts w:cs="Times New Roman"/>
          <w:szCs w:val="24"/>
          <w:lang w:eastAsia="en-AU"/>
        </w:rPr>
        <w:t xml:space="preserve">espite the tabling of a sustainability </w:t>
      </w:r>
      <w:r>
        <w:rPr>
          <w:rFonts w:cs="Times New Roman"/>
          <w:szCs w:val="24"/>
          <w:lang w:eastAsia="en-AU"/>
        </w:rPr>
        <w:t>strategy</w:t>
      </w:r>
      <w:r w:rsidRPr="006C437F">
        <w:rPr>
          <w:rFonts w:cs="Times New Roman"/>
          <w:szCs w:val="24"/>
          <w:lang w:eastAsia="en-AU"/>
        </w:rPr>
        <w:t xml:space="preserve"> as part of contract extension negotiations</w:t>
      </w:r>
      <w:r>
        <w:rPr>
          <w:rFonts w:cs="Times New Roman"/>
          <w:szCs w:val="24"/>
          <w:lang w:eastAsia="en-AU"/>
        </w:rPr>
        <w:t xml:space="preserve"> in the first half of 2015</w:t>
      </w:r>
      <w:r w:rsidR="006C437F" w:rsidRPr="006C437F">
        <w:rPr>
          <w:rFonts w:cs="Times New Roman"/>
          <w:szCs w:val="24"/>
          <w:lang w:eastAsia="en-AU"/>
        </w:rPr>
        <w:t>.</w:t>
      </w:r>
    </w:p>
    <w:p w:rsidR="008C7BE3" w:rsidRPr="006C437F" w:rsidRDefault="006C437F" w:rsidP="00B14021">
      <w:pPr>
        <w:pStyle w:val="ListParagraph"/>
        <w:numPr>
          <w:ilvl w:val="0"/>
          <w:numId w:val="19"/>
        </w:numPr>
        <w:rPr>
          <w:lang w:eastAsia="en-AU"/>
        </w:rPr>
      </w:pPr>
      <w:r w:rsidRPr="006C437F">
        <w:rPr>
          <w:rFonts w:cs="Times New Roman"/>
          <w:szCs w:val="24"/>
          <w:lang w:eastAsia="en-AU"/>
        </w:rPr>
        <w:t xml:space="preserve">In terms of assessment against DAC criteria, the </w:t>
      </w:r>
      <w:r w:rsidR="007575F6">
        <w:rPr>
          <w:rFonts w:cs="Times New Roman"/>
          <w:szCs w:val="24"/>
          <w:lang w:eastAsia="en-AU"/>
        </w:rPr>
        <w:t>internal and external</w:t>
      </w:r>
      <w:r w:rsidRPr="006C437F">
        <w:rPr>
          <w:rFonts w:cs="Times New Roman"/>
          <w:szCs w:val="24"/>
          <w:lang w:eastAsia="en-AU"/>
        </w:rPr>
        <w:t xml:space="preserve"> relevance of the program </w:t>
      </w:r>
      <w:r w:rsidR="007575F6">
        <w:rPr>
          <w:rFonts w:cs="Times New Roman"/>
          <w:szCs w:val="24"/>
          <w:lang w:eastAsia="en-AU"/>
        </w:rPr>
        <w:t xml:space="preserve">increased in 2015 </w:t>
      </w:r>
      <w:r w:rsidRPr="006C437F">
        <w:rPr>
          <w:rFonts w:cs="Times New Roman"/>
          <w:szCs w:val="24"/>
          <w:lang w:eastAsia="en-AU"/>
        </w:rPr>
        <w:t>(</w:t>
      </w:r>
      <w:r w:rsidR="007575F6">
        <w:rPr>
          <w:rFonts w:cs="Times New Roman"/>
          <w:szCs w:val="24"/>
          <w:lang w:eastAsia="en-AU"/>
        </w:rPr>
        <w:t>S</w:t>
      </w:r>
      <w:r w:rsidRPr="006C437F">
        <w:rPr>
          <w:rFonts w:cs="Times New Roman"/>
          <w:szCs w:val="24"/>
          <w:lang w:eastAsia="en-AU"/>
        </w:rPr>
        <w:t>core: 5)</w:t>
      </w:r>
      <w:r w:rsidR="007575F6">
        <w:rPr>
          <w:rFonts w:cs="Times New Roman"/>
          <w:szCs w:val="24"/>
          <w:lang w:eastAsia="en-AU"/>
        </w:rPr>
        <w:t xml:space="preserve">, whereas its efficiency (Score: </w:t>
      </w:r>
      <w:r w:rsidR="00522782">
        <w:rPr>
          <w:rFonts w:cs="Times New Roman"/>
          <w:szCs w:val="24"/>
          <w:lang w:eastAsia="en-AU"/>
        </w:rPr>
        <w:t>3</w:t>
      </w:r>
      <w:r w:rsidR="007575F6">
        <w:rPr>
          <w:rFonts w:cs="Times New Roman"/>
          <w:szCs w:val="24"/>
          <w:lang w:eastAsia="en-AU"/>
        </w:rPr>
        <w:t>) and sustainability (Score: 2) remain areas of concern</w:t>
      </w:r>
      <w:r w:rsidR="00522782">
        <w:rPr>
          <w:rFonts w:cs="Times New Roman"/>
          <w:szCs w:val="24"/>
          <w:lang w:eastAsia="en-AU"/>
        </w:rPr>
        <w:t>.</w:t>
      </w:r>
      <w:r w:rsidR="007575F6">
        <w:rPr>
          <w:rFonts w:cs="Times New Roman"/>
          <w:szCs w:val="24"/>
          <w:lang w:eastAsia="en-AU"/>
        </w:rPr>
        <w:t xml:space="preserve"> A change in ACDP’s approach in 2014-15 suggests greater actual and potential effectiveness (Score: 5) and impact (Score: 4), even if its tracking and reporting of high-level results remain poor</w:t>
      </w:r>
      <w:r w:rsidRPr="006C437F">
        <w:rPr>
          <w:rFonts w:cs="Times New Roman"/>
          <w:szCs w:val="24"/>
          <w:lang w:eastAsia="en-AU"/>
        </w:rPr>
        <w:t>.</w:t>
      </w:r>
      <w:r w:rsidR="008C7BE3" w:rsidRPr="006C437F">
        <w:rPr>
          <w:lang w:eastAsia="en-AU"/>
        </w:rPr>
        <w:t xml:space="preserve"> </w:t>
      </w:r>
    </w:p>
    <w:p w:rsidR="008C7BE3" w:rsidRDefault="008C7BE3" w:rsidP="008C7BE3">
      <w:pPr>
        <w:spacing w:before="360"/>
        <w:rPr>
          <w:rFonts w:eastAsia="Calibri" w:cs="Times New Roman"/>
          <w:b/>
          <w:bCs/>
          <w:i/>
          <w:iCs/>
          <w:color w:val="4F81BD" w:themeColor="accent1"/>
          <w:szCs w:val="24"/>
          <w:lang w:eastAsia="en-AU"/>
        </w:rPr>
      </w:pPr>
      <w:r>
        <w:rPr>
          <w:rFonts w:eastAsia="Calibri" w:cs="Times New Roman"/>
          <w:b/>
          <w:bCs/>
          <w:i/>
          <w:iCs/>
          <w:color w:val="4F81BD" w:themeColor="accent1"/>
          <w:szCs w:val="24"/>
          <w:lang w:eastAsia="en-AU"/>
        </w:rPr>
        <w:t xml:space="preserve">What did the APPR conclude about program oversight? </w:t>
      </w:r>
    </w:p>
    <w:p w:rsidR="00002BB4" w:rsidRPr="0069023F" w:rsidRDefault="001D2009" w:rsidP="00002BB4">
      <w:pPr>
        <w:pStyle w:val="ListParagraph"/>
        <w:numPr>
          <w:ilvl w:val="0"/>
          <w:numId w:val="39"/>
        </w:numPr>
        <w:rPr>
          <w:rFonts w:asciiTheme="minorHAnsi" w:eastAsia="Times New Roman" w:hAnsiTheme="minorHAnsi"/>
        </w:rPr>
      </w:pPr>
      <w:r w:rsidRPr="001D2009">
        <w:rPr>
          <w:lang w:eastAsia="en-AU"/>
        </w:rPr>
        <w:t>2015 was a highly challenging year from a program oversight perspective</w:t>
      </w:r>
      <w:r w:rsidR="00E41FE4">
        <w:rPr>
          <w:lang w:eastAsia="en-AU"/>
        </w:rPr>
        <w:t xml:space="preserve">. </w:t>
      </w:r>
      <w:r w:rsidR="00002BB4">
        <w:rPr>
          <w:lang w:eastAsia="en-AU"/>
        </w:rPr>
        <w:t>DFAT, GoI and Implementing Partners found themselves having to</w:t>
      </w:r>
      <w:r w:rsidR="00002BB4" w:rsidRPr="00002BB4">
        <w:rPr>
          <w:bCs/>
        </w:rPr>
        <w:t xml:space="preserve"> respond to the Indonesian Government’s new</w:t>
      </w:r>
      <w:r w:rsidR="00002BB4" w:rsidRPr="0077380B">
        <w:rPr>
          <w:bCs/>
        </w:rPr>
        <w:t xml:space="preserve"> high-level aspirations </w:t>
      </w:r>
      <w:r w:rsidR="00002BB4" w:rsidRPr="00002BB4">
        <w:rPr>
          <w:bCs/>
        </w:rPr>
        <w:t xml:space="preserve">coupled with the restructuring and re-staffing of MoEC. In parallel, they also found themselves having to interpret </w:t>
      </w:r>
      <w:r w:rsidR="00002BB4">
        <w:rPr>
          <w:lang w:eastAsia="en-AU"/>
        </w:rPr>
        <w:t xml:space="preserve">Australia’s </w:t>
      </w:r>
      <w:r w:rsidR="00002BB4" w:rsidRPr="001D2009">
        <w:rPr>
          <w:lang w:eastAsia="en-AU"/>
        </w:rPr>
        <w:t xml:space="preserve">new aid policy </w:t>
      </w:r>
      <w:r w:rsidR="00002BB4" w:rsidRPr="001D2009">
        <w:rPr>
          <w:lang w:eastAsia="en-AU"/>
        </w:rPr>
        <w:lastRenderedPageBreak/>
        <w:t>framework</w:t>
      </w:r>
      <w:r w:rsidR="00002BB4">
        <w:rPr>
          <w:lang w:eastAsia="en-AU"/>
        </w:rPr>
        <w:t xml:space="preserve">, respond to the attendant need to secure </w:t>
      </w:r>
      <w:r w:rsidR="00002BB4" w:rsidRPr="001D2009">
        <w:rPr>
          <w:lang w:eastAsia="en-AU"/>
        </w:rPr>
        <w:t>political return on aid investments</w:t>
      </w:r>
      <w:r w:rsidR="00002BB4">
        <w:rPr>
          <w:lang w:eastAsia="en-AU"/>
        </w:rPr>
        <w:t>, and the ramifications of various staffing and budget cuts. When taken together, 2015 was characterised by a</w:t>
      </w:r>
      <w:r w:rsidR="007575F6">
        <w:rPr>
          <w:lang w:eastAsia="en-AU"/>
        </w:rPr>
        <w:t xml:space="preserve"> </w:t>
      </w:r>
      <w:r w:rsidRPr="001D2009">
        <w:rPr>
          <w:lang w:eastAsia="en-AU"/>
        </w:rPr>
        <w:t>general sense of uncertainty</w:t>
      </w:r>
      <w:r w:rsidR="007575F6">
        <w:rPr>
          <w:lang w:eastAsia="en-AU"/>
        </w:rPr>
        <w:t xml:space="preserve"> about expectations and intentions.</w:t>
      </w:r>
      <w:r w:rsidR="00E41FE4">
        <w:rPr>
          <w:lang w:eastAsia="en-AU"/>
        </w:rPr>
        <w:t xml:space="preserve"> </w:t>
      </w:r>
      <w:r w:rsidR="00E41FE4" w:rsidRPr="00002BB4">
        <w:rPr>
          <w:bCs/>
        </w:rPr>
        <w:t>While C1 and C3 were comparatively sheltered, the institutional changes and associated uncertainties had considerable impact on</w:t>
      </w:r>
      <w:r w:rsidR="00E41FE4">
        <w:t xml:space="preserve"> C2 and C4: the two components with the</w:t>
      </w:r>
      <w:r w:rsidR="00522782">
        <w:t xml:space="preserve"> most </w:t>
      </w:r>
      <w:r w:rsidR="00E41FE4">
        <w:t xml:space="preserve">numerous government stakeholders and arguably the loftiest aspirations. </w:t>
      </w:r>
    </w:p>
    <w:p w:rsidR="00002BB4" w:rsidRDefault="00002BB4" w:rsidP="00002BB4">
      <w:pPr>
        <w:pStyle w:val="ListParagraph"/>
        <w:numPr>
          <w:ilvl w:val="0"/>
          <w:numId w:val="39"/>
        </w:numPr>
        <w:rPr>
          <w:lang w:eastAsia="en-AU"/>
        </w:rPr>
      </w:pPr>
      <w:r>
        <w:rPr>
          <w:rFonts w:asciiTheme="minorHAnsi" w:hAnsiTheme="minorHAnsi"/>
        </w:rPr>
        <w:t>Those</w:t>
      </w:r>
      <w:r w:rsidR="00E41FE4">
        <w:rPr>
          <w:rFonts w:asciiTheme="minorHAnsi" w:hAnsiTheme="minorHAnsi"/>
        </w:rPr>
        <w:t xml:space="preserve"> Comp</w:t>
      </w:r>
      <w:r w:rsidR="00E41FE4" w:rsidRPr="001D2009">
        <w:rPr>
          <w:rFonts w:asciiTheme="minorHAnsi" w:hAnsiTheme="minorHAnsi"/>
        </w:rPr>
        <w:t>onents in which support was delivered via a WiPS modality (C1 and C2) were subjected to a higher</w:t>
      </w:r>
      <w:r w:rsidR="00E41FE4">
        <w:rPr>
          <w:rFonts w:asciiTheme="minorHAnsi" w:hAnsiTheme="minorHAnsi"/>
        </w:rPr>
        <w:t xml:space="preserve"> (and understandable)</w:t>
      </w:r>
      <w:r w:rsidR="00E41FE4" w:rsidRPr="001D2009">
        <w:rPr>
          <w:rFonts w:asciiTheme="minorHAnsi" w:hAnsiTheme="minorHAnsi"/>
        </w:rPr>
        <w:t xml:space="preserve"> degree of scrutiny</w:t>
      </w:r>
      <w:r>
        <w:rPr>
          <w:rFonts w:asciiTheme="minorHAnsi" w:hAnsiTheme="minorHAnsi"/>
        </w:rPr>
        <w:t xml:space="preserve">. They also </w:t>
      </w:r>
      <w:r w:rsidR="00E41FE4" w:rsidRPr="001D2009">
        <w:rPr>
          <w:rFonts w:asciiTheme="minorHAnsi" w:hAnsiTheme="minorHAnsi"/>
        </w:rPr>
        <w:t>experienced the highest reductions in budget (both real and as a percentage). The corresponding reduction in scope of Component activities was generally accepted by GoI partners and in some instance reflected an appropriate scaling-back of commitments in light of GoI financing capacity and declining rates of return on investments (e.g. slowing rates of JSE GER growth). However, the uncertainty produced by the way in which cuts were made, particular</w:t>
      </w:r>
      <w:r>
        <w:rPr>
          <w:rFonts w:asciiTheme="minorHAnsi" w:hAnsiTheme="minorHAnsi"/>
        </w:rPr>
        <w:t>ly</w:t>
      </w:r>
      <w:r w:rsidR="00E41FE4" w:rsidRPr="001D2009">
        <w:rPr>
          <w:rFonts w:asciiTheme="minorHAnsi" w:hAnsiTheme="minorHAnsi"/>
        </w:rPr>
        <w:t xml:space="preserve"> in</w:t>
      </w:r>
      <w:r>
        <w:rPr>
          <w:rFonts w:asciiTheme="minorHAnsi" w:hAnsiTheme="minorHAnsi"/>
        </w:rPr>
        <w:t xml:space="preserve"> relation to</w:t>
      </w:r>
      <w:r w:rsidR="00E41FE4" w:rsidRPr="001D2009">
        <w:rPr>
          <w:rFonts w:asciiTheme="minorHAnsi" w:hAnsiTheme="minorHAnsi"/>
        </w:rPr>
        <w:t xml:space="preserve"> Component 2, </w:t>
      </w:r>
      <w:r w:rsidR="00E41FE4">
        <w:rPr>
          <w:rFonts w:asciiTheme="minorHAnsi" w:hAnsiTheme="minorHAnsi"/>
        </w:rPr>
        <w:t>was a source of concern to key stakeholders throughout the year</w:t>
      </w:r>
      <w:r w:rsidR="00E41FE4" w:rsidRPr="001D2009">
        <w:rPr>
          <w:rFonts w:asciiTheme="minorHAnsi" w:hAnsiTheme="minorHAnsi"/>
        </w:rPr>
        <w:t xml:space="preserve">. </w:t>
      </w:r>
      <w:r>
        <w:rPr>
          <w:rFonts w:asciiTheme="minorHAnsi" w:hAnsiTheme="minorHAnsi"/>
        </w:rPr>
        <w:t xml:space="preserve">Equally, DFAT’s </w:t>
      </w:r>
      <w:r>
        <w:rPr>
          <w:lang w:eastAsia="en-AU"/>
        </w:rPr>
        <w:t>apparent</w:t>
      </w:r>
      <w:r w:rsidR="00E41FE4">
        <w:rPr>
          <w:lang w:eastAsia="en-AU"/>
        </w:rPr>
        <w:t xml:space="preserve"> drive</w:t>
      </w:r>
      <w:r w:rsidR="001D2009" w:rsidRPr="001D2009">
        <w:rPr>
          <w:lang w:eastAsia="en-AU"/>
        </w:rPr>
        <w:t xml:space="preserve"> to ‘wrap-up and hand-over’ rather than ‘transition’ the EP towards future forms of engagement</w:t>
      </w:r>
      <w:r>
        <w:rPr>
          <w:lang w:eastAsia="en-AU"/>
        </w:rPr>
        <w:t xml:space="preserve"> is regarded as being regretful</w:t>
      </w:r>
      <w:r w:rsidR="00522782">
        <w:rPr>
          <w:lang w:eastAsia="en-AU"/>
        </w:rPr>
        <w:t xml:space="preserve"> by implementing partners.</w:t>
      </w:r>
    </w:p>
    <w:p w:rsidR="00E41FE4" w:rsidRDefault="00E41FE4" w:rsidP="00E41FE4">
      <w:pPr>
        <w:pStyle w:val="ListParagraph"/>
        <w:numPr>
          <w:ilvl w:val="0"/>
          <w:numId w:val="39"/>
        </w:numPr>
      </w:pPr>
      <w:r>
        <w:t xml:space="preserve">Looking ahead, </w:t>
      </w:r>
      <w:r w:rsidRPr="000615A3">
        <w:t xml:space="preserve">Implementing partners and key GoI figures </w:t>
      </w:r>
      <w:r>
        <w:t xml:space="preserve">are </w:t>
      </w:r>
      <w:r w:rsidRPr="000615A3">
        <w:t xml:space="preserve">generally supportive of </w:t>
      </w:r>
      <w:r>
        <w:t>the Embassy’s</w:t>
      </w:r>
      <w:r w:rsidRPr="000615A3">
        <w:t xml:space="preserve"> shift </w:t>
      </w:r>
      <w:r>
        <w:t>to a leaner, more agile program</w:t>
      </w:r>
      <w:r w:rsidRPr="000615A3">
        <w:t>.</w:t>
      </w:r>
      <w:r>
        <w:t xml:space="preserve"> Equally, there is an acceptance that new aid investments must go further to blend the attainment of developmental </w:t>
      </w:r>
      <w:r w:rsidRPr="00963EA7">
        <w:t xml:space="preserve">outcomes with </w:t>
      </w:r>
      <w:r>
        <w:t xml:space="preserve">the Embassy’s </w:t>
      </w:r>
      <w:r w:rsidRPr="00963EA7">
        <w:t>political</w:t>
      </w:r>
      <w:r>
        <w:t xml:space="preserve"> needs and</w:t>
      </w:r>
      <w:r w:rsidRPr="00963EA7">
        <w:t xml:space="preserve"> aspirations</w:t>
      </w:r>
      <w:r>
        <w:t xml:space="preserve">. To that extent, the Basic Education Unit could rightly argue that its implementation of DFAT’s rhetorical and policy commitments </w:t>
      </w:r>
      <w:r w:rsidR="00522782">
        <w:t>is</w:t>
      </w:r>
      <w:r>
        <w:t xml:space="preserve"> fully consistent with GoA’s desire to transition its relationship with Indonesia from that of donor-aid recipient to that of a mature relationship between two G20 neighbours</w:t>
      </w:r>
      <w:r w:rsidRPr="006052AF">
        <w:t>.</w:t>
      </w:r>
      <w:r>
        <w:t xml:space="preserve"> </w:t>
      </w:r>
    </w:p>
    <w:p w:rsidR="00E41FE4" w:rsidRDefault="0077380B" w:rsidP="00E41FE4">
      <w:pPr>
        <w:pStyle w:val="ListParagraph"/>
        <w:numPr>
          <w:ilvl w:val="0"/>
          <w:numId w:val="39"/>
        </w:numPr>
      </w:pPr>
      <w:r w:rsidRPr="001D2009">
        <w:rPr>
          <w:lang w:eastAsia="en-AU"/>
        </w:rPr>
        <w:t xml:space="preserve">DFAT worked hard to expand forms of engagement at a variety of levels, with a particular focus on high level engagements within the key counterpart ministry (MoEC). </w:t>
      </w:r>
      <w:r w:rsidR="00E41FE4">
        <w:t xml:space="preserve">In time, it is distinctly possible that the Forward Program will constitute a stronger “partnership” between the two governments than what was seen in the </w:t>
      </w:r>
      <w:r w:rsidR="00E41FE4" w:rsidRPr="00E41FE4">
        <w:rPr>
          <w:i/>
        </w:rPr>
        <w:t>Education Partnership</w:t>
      </w:r>
      <w:r w:rsidR="00E41FE4">
        <w:t xml:space="preserve"> of 2011-16/17. Nonetheless, a</w:t>
      </w:r>
      <w:r w:rsidR="00E41FE4" w:rsidRPr="00E41FE4">
        <w:rPr>
          <w:bCs/>
        </w:rPr>
        <w:t xml:space="preserve">s the Embassy transitions from the EP to its Forward Program it must ensure that it sets a clear strategic direction, that it clearly communicates what it wants from its investments and those implementing them, and that it invests in appropriate capacity building measures such that key actors possess the understanding, the capacity and the capability to meet the Embassy’s more political expectations of its aid program. </w:t>
      </w:r>
    </w:p>
    <w:p w:rsidR="008C7BE3" w:rsidRDefault="008C7BE3" w:rsidP="008C7BE3">
      <w:pPr>
        <w:spacing w:before="360"/>
        <w:rPr>
          <w:rFonts w:eastAsia="Calibri" w:cs="Times New Roman"/>
          <w:b/>
          <w:bCs/>
          <w:i/>
          <w:iCs/>
          <w:color w:val="4F81BD" w:themeColor="accent1"/>
          <w:szCs w:val="24"/>
          <w:lang w:eastAsia="en-AU"/>
        </w:rPr>
      </w:pPr>
      <w:r>
        <w:rPr>
          <w:rFonts w:eastAsia="Calibri" w:cs="Times New Roman"/>
          <w:b/>
          <w:bCs/>
          <w:i/>
          <w:iCs/>
          <w:color w:val="4F81BD" w:themeColor="accent1"/>
          <w:szCs w:val="24"/>
          <w:lang w:eastAsia="en-AU"/>
        </w:rPr>
        <w:t>What next steps are proposed?</w:t>
      </w:r>
    </w:p>
    <w:p w:rsidR="0024509E" w:rsidRDefault="008C7BE3" w:rsidP="00775568">
      <w:pPr>
        <w:rPr>
          <w:rFonts w:eastAsia="Calibri"/>
          <w:lang w:eastAsia="en-AU"/>
        </w:rPr>
      </w:pPr>
      <w:r>
        <w:rPr>
          <w:rFonts w:eastAsia="Calibri" w:cs="Times New Roman"/>
          <w:szCs w:val="24"/>
          <w:lang w:eastAsia="en-AU"/>
        </w:rPr>
        <w:t xml:space="preserve">Based on its findings, the APPR offers a total of </w:t>
      </w:r>
      <w:r w:rsidR="00467730">
        <w:rPr>
          <w:rFonts w:eastAsia="Calibri" w:cs="Times New Roman"/>
          <w:szCs w:val="24"/>
          <w:lang w:eastAsia="en-AU"/>
        </w:rPr>
        <w:t>2</w:t>
      </w:r>
      <w:r w:rsidR="00BE4367">
        <w:rPr>
          <w:rFonts w:eastAsia="Calibri" w:cs="Times New Roman"/>
          <w:szCs w:val="24"/>
          <w:lang w:eastAsia="en-AU"/>
        </w:rPr>
        <w:t>5</w:t>
      </w:r>
      <w:r>
        <w:rPr>
          <w:rFonts w:eastAsia="Calibri" w:cs="Times New Roman"/>
          <w:szCs w:val="24"/>
          <w:lang w:eastAsia="en-AU"/>
        </w:rPr>
        <w:t xml:space="preserve"> recommendations. These are presented over the page</w:t>
      </w:r>
      <w:r w:rsidR="00AA3473" w:rsidRPr="00851EC7">
        <w:rPr>
          <w:rFonts w:eastAsia="Calibri"/>
          <w:lang w:eastAsia="en-AU"/>
        </w:rPr>
        <w:t>.</w:t>
      </w:r>
      <w:r w:rsidR="00BE4367" w:rsidRPr="00BE4367">
        <w:t xml:space="preserve"> </w:t>
      </w:r>
      <w:r w:rsidR="00BE4367" w:rsidRPr="00BE4367">
        <w:rPr>
          <w:rFonts w:eastAsia="Calibri"/>
          <w:lang w:eastAsia="en-AU"/>
        </w:rPr>
        <w:t>It is recognised that some recommendations relate to ongoing work and that considerable progress in actioning some of the recommendations may already have been made.</w:t>
      </w:r>
    </w:p>
    <w:p w:rsidR="00BE4367" w:rsidRPr="00851EC7" w:rsidRDefault="00BE4367" w:rsidP="00775568">
      <w:pPr>
        <w:sectPr w:rsidR="00BE4367" w:rsidRPr="00851EC7" w:rsidSect="00045CAA">
          <w:type w:val="oddPage"/>
          <w:pgSz w:w="11909" w:h="16834" w:code="9"/>
          <w:pgMar w:top="1440" w:right="1440" w:bottom="1440" w:left="1440" w:header="432" w:footer="720" w:gutter="0"/>
          <w:pgNumType w:fmt="lowerRoman"/>
          <w:cols w:space="720"/>
          <w:docGrid w:linePitch="360"/>
        </w:sectPr>
      </w:pPr>
    </w:p>
    <w:p w:rsidR="00123F1E" w:rsidRDefault="0024509E" w:rsidP="00775568">
      <w:pPr>
        <w:rPr>
          <w:rStyle w:val="IntenseEmphasis"/>
        </w:rPr>
      </w:pPr>
      <w:r w:rsidRPr="00851EC7">
        <w:rPr>
          <w:rStyle w:val="IntenseEmphasis"/>
        </w:rPr>
        <w:lastRenderedPageBreak/>
        <w:t>Key recommendations</w:t>
      </w:r>
    </w:p>
    <w:p w:rsidR="00123F1E" w:rsidRPr="00851EC7" w:rsidRDefault="00123F1E" w:rsidP="00775568"/>
    <w:tbl>
      <w:tblPr>
        <w:tblStyle w:val="TableGrid37"/>
        <w:tblW w:w="5001" w:type="pct"/>
        <w:tblLayout w:type="fixed"/>
        <w:tblLook w:val="04A0" w:firstRow="1" w:lastRow="0" w:firstColumn="1" w:lastColumn="0" w:noHBand="0" w:noVBand="1"/>
      </w:tblPr>
      <w:tblGrid>
        <w:gridCol w:w="10032"/>
        <w:gridCol w:w="992"/>
        <w:gridCol w:w="3149"/>
      </w:tblGrid>
      <w:tr w:rsidR="00123F1E" w:rsidRPr="002010DB" w:rsidTr="003E2F36">
        <w:trPr>
          <w:trHeight w:val="567"/>
          <w:tblHeader/>
        </w:trPr>
        <w:tc>
          <w:tcPr>
            <w:tcW w:w="3539" w:type="pct"/>
            <w:tcBorders>
              <w:bottom w:val="single" w:sz="4" w:space="0" w:color="auto"/>
            </w:tcBorders>
            <w:shd w:val="clear" w:color="auto" w:fill="1F497D" w:themeFill="text2"/>
            <w:vAlign w:val="center"/>
          </w:tcPr>
          <w:p w:rsidR="00123F1E" w:rsidRPr="002010DB" w:rsidRDefault="00123F1E" w:rsidP="003E2F36">
            <w:pPr>
              <w:jc w:val="center"/>
              <w:rPr>
                <w:b/>
                <w:color w:val="FFFFFF" w:themeColor="background1"/>
              </w:rPr>
            </w:pPr>
            <w:r w:rsidRPr="002010DB">
              <w:rPr>
                <w:b/>
                <w:color w:val="FFFFFF" w:themeColor="background1"/>
              </w:rPr>
              <w:t>Recommendations</w:t>
            </w:r>
          </w:p>
        </w:tc>
        <w:tc>
          <w:tcPr>
            <w:tcW w:w="350" w:type="pct"/>
            <w:tcBorders>
              <w:bottom w:val="single" w:sz="4" w:space="0" w:color="auto"/>
            </w:tcBorders>
            <w:shd w:val="clear" w:color="auto" w:fill="1F497D" w:themeFill="text2"/>
            <w:vAlign w:val="center"/>
          </w:tcPr>
          <w:p w:rsidR="00123F1E" w:rsidRPr="002010DB" w:rsidRDefault="00123F1E" w:rsidP="003E2F36">
            <w:pPr>
              <w:jc w:val="center"/>
              <w:rPr>
                <w:b/>
                <w:color w:val="FFFFFF" w:themeColor="background1"/>
              </w:rPr>
            </w:pPr>
            <w:r w:rsidRPr="002010DB">
              <w:rPr>
                <w:b/>
                <w:color w:val="FFFFFF" w:themeColor="background1"/>
              </w:rPr>
              <w:t>Level of urgency</w:t>
            </w:r>
          </w:p>
        </w:tc>
        <w:tc>
          <w:tcPr>
            <w:tcW w:w="1111" w:type="pct"/>
            <w:tcBorders>
              <w:bottom w:val="single" w:sz="4" w:space="0" w:color="auto"/>
            </w:tcBorders>
            <w:shd w:val="clear" w:color="auto" w:fill="1F497D" w:themeFill="text2"/>
            <w:vAlign w:val="center"/>
          </w:tcPr>
          <w:p w:rsidR="00123F1E" w:rsidRPr="002010DB" w:rsidRDefault="00123F1E" w:rsidP="003E2F36">
            <w:pPr>
              <w:jc w:val="center"/>
              <w:rPr>
                <w:b/>
                <w:color w:val="FFFFFF" w:themeColor="background1"/>
              </w:rPr>
            </w:pPr>
            <w:r w:rsidRPr="002010DB">
              <w:rPr>
                <w:b/>
                <w:color w:val="FFFFFF" w:themeColor="background1"/>
              </w:rPr>
              <w:t>Prime Responsibility</w:t>
            </w:r>
          </w:p>
        </w:tc>
      </w:tr>
      <w:tr w:rsidR="00123F1E" w:rsidRPr="002010DB" w:rsidTr="002010DB">
        <w:trPr>
          <w:trHeight w:val="850"/>
        </w:trPr>
        <w:tc>
          <w:tcPr>
            <w:tcW w:w="5000" w:type="pct"/>
            <w:gridSpan w:val="3"/>
            <w:shd w:val="clear" w:color="auto" w:fill="DBE5F1" w:themeFill="accent1" w:themeFillTint="33"/>
            <w:vAlign w:val="center"/>
          </w:tcPr>
          <w:p w:rsidR="00123F1E" w:rsidRPr="002010DB" w:rsidRDefault="00123F1E" w:rsidP="003E2F36">
            <w:pPr>
              <w:jc w:val="left"/>
              <w:rPr>
                <w:b/>
              </w:rPr>
            </w:pPr>
            <w:r w:rsidRPr="002010DB">
              <w:rPr>
                <w:b/>
              </w:rPr>
              <w:t>Component 1</w:t>
            </w:r>
          </w:p>
        </w:tc>
      </w:tr>
      <w:tr w:rsidR="00124EEE" w:rsidRPr="002010DB" w:rsidTr="002010DB">
        <w:trPr>
          <w:trHeight w:val="850"/>
        </w:trPr>
        <w:tc>
          <w:tcPr>
            <w:tcW w:w="3539" w:type="pct"/>
            <w:vAlign w:val="center"/>
          </w:tcPr>
          <w:p w:rsidR="00124EEE" w:rsidRPr="002010DB" w:rsidRDefault="00124EEE" w:rsidP="003E2F36">
            <w:pPr>
              <w:ind w:left="567" w:hanging="567"/>
              <w:jc w:val="left"/>
            </w:pPr>
            <w:r w:rsidRPr="002010DB">
              <w:t>R1:</w:t>
            </w:r>
            <w:r w:rsidRPr="002010DB">
              <w:tab/>
              <w:t xml:space="preserve">Institutional partners should develop and implement a plan to ensure professional completion of </w:t>
            </w:r>
            <w:r w:rsidR="00062DAC" w:rsidRPr="002010DB">
              <w:t xml:space="preserve">Cycle 4 </w:t>
            </w:r>
            <w:r w:rsidRPr="002010DB">
              <w:t>schools</w:t>
            </w:r>
            <w:r w:rsidR="00062DAC" w:rsidRPr="002010DB">
              <w:t>.</w:t>
            </w:r>
          </w:p>
        </w:tc>
        <w:tc>
          <w:tcPr>
            <w:tcW w:w="350" w:type="pct"/>
            <w:tcBorders>
              <w:bottom w:val="single" w:sz="4" w:space="0" w:color="auto"/>
            </w:tcBorders>
            <w:shd w:val="clear" w:color="auto" w:fill="FF0000"/>
            <w:vAlign w:val="center"/>
          </w:tcPr>
          <w:p w:rsidR="00124EEE" w:rsidRPr="002010DB" w:rsidRDefault="00124EEE" w:rsidP="00124EEE">
            <w:pPr>
              <w:jc w:val="center"/>
            </w:pPr>
            <w:r w:rsidRPr="002010DB">
              <w:t>***</w:t>
            </w:r>
          </w:p>
        </w:tc>
        <w:tc>
          <w:tcPr>
            <w:tcW w:w="1111" w:type="pct"/>
            <w:vAlign w:val="center"/>
          </w:tcPr>
          <w:p w:rsidR="00124EEE" w:rsidRPr="002010DB" w:rsidRDefault="00124EEE" w:rsidP="00775568">
            <w:r w:rsidRPr="002010DB">
              <w:t>DFAT and MoEC</w:t>
            </w:r>
          </w:p>
        </w:tc>
      </w:tr>
      <w:tr w:rsidR="00124EEE" w:rsidRPr="002010DB" w:rsidTr="002010DB">
        <w:trPr>
          <w:trHeight w:val="850"/>
        </w:trPr>
        <w:tc>
          <w:tcPr>
            <w:tcW w:w="3539" w:type="pct"/>
            <w:vAlign w:val="center"/>
          </w:tcPr>
          <w:p w:rsidR="00124EEE" w:rsidRPr="002010DB" w:rsidRDefault="00124EEE" w:rsidP="00040C3F">
            <w:pPr>
              <w:ind w:left="567" w:hanging="567"/>
              <w:jc w:val="left"/>
            </w:pPr>
            <w:r w:rsidRPr="002010DB">
              <w:t>R2:</w:t>
            </w:r>
            <w:r w:rsidRPr="002010DB">
              <w:tab/>
            </w:r>
            <w:r w:rsidR="001E6E15" w:rsidRPr="002010DB">
              <w:t xml:space="preserve">MoEC and DFAT should continue their efforts to </w:t>
            </w:r>
            <w:r w:rsidR="00040C3F" w:rsidRPr="002010DB">
              <w:t>maximi</w:t>
            </w:r>
            <w:r w:rsidR="00040C3F">
              <w:t>s</w:t>
            </w:r>
            <w:r w:rsidR="00040C3F" w:rsidRPr="002010DB">
              <w:t xml:space="preserve">e </w:t>
            </w:r>
            <w:r w:rsidR="001E6E15" w:rsidRPr="002010DB">
              <w:t>existing investments in systems strengthening (e.g. guidelines, monitoring, CHS, and site selection).</w:t>
            </w:r>
          </w:p>
        </w:tc>
        <w:tc>
          <w:tcPr>
            <w:tcW w:w="350" w:type="pct"/>
            <w:tcBorders>
              <w:bottom w:val="single" w:sz="4" w:space="0" w:color="auto"/>
            </w:tcBorders>
            <w:shd w:val="clear" w:color="auto" w:fill="FF0000"/>
            <w:vAlign w:val="center"/>
          </w:tcPr>
          <w:p w:rsidR="00124EEE" w:rsidRPr="002010DB" w:rsidRDefault="00124EEE" w:rsidP="00124EEE">
            <w:pPr>
              <w:jc w:val="center"/>
            </w:pPr>
            <w:r w:rsidRPr="002010DB">
              <w:t>***</w:t>
            </w:r>
          </w:p>
        </w:tc>
        <w:tc>
          <w:tcPr>
            <w:tcW w:w="1111" w:type="pct"/>
            <w:vAlign w:val="center"/>
          </w:tcPr>
          <w:p w:rsidR="00124EEE" w:rsidRPr="002010DB" w:rsidRDefault="00124EEE" w:rsidP="00775568">
            <w:r w:rsidRPr="002010DB">
              <w:t>MoEC and DFAT</w:t>
            </w:r>
          </w:p>
        </w:tc>
      </w:tr>
      <w:tr w:rsidR="00123F1E" w:rsidRPr="002010DB" w:rsidTr="002010DB">
        <w:trPr>
          <w:trHeight w:val="850"/>
        </w:trPr>
        <w:tc>
          <w:tcPr>
            <w:tcW w:w="5000" w:type="pct"/>
            <w:gridSpan w:val="3"/>
            <w:shd w:val="clear" w:color="auto" w:fill="DBE5F1" w:themeFill="accent1" w:themeFillTint="33"/>
            <w:vAlign w:val="center"/>
          </w:tcPr>
          <w:p w:rsidR="00123F1E" w:rsidRPr="002010DB" w:rsidRDefault="00123F1E" w:rsidP="003E2F36">
            <w:pPr>
              <w:jc w:val="left"/>
              <w:rPr>
                <w:b/>
              </w:rPr>
            </w:pPr>
            <w:r w:rsidRPr="002010DB">
              <w:rPr>
                <w:b/>
              </w:rPr>
              <w:t>Component 2</w:t>
            </w:r>
          </w:p>
        </w:tc>
      </w:tr>
      <w:tr w:rsidR="00124EEE" w:rsidRPr="002010DB" w:rsidTr="00234400">
        <w:trPr>
          <w:trHeight w:val="695"/>
        </w:trPr>
        <w:tc>
          <w:tcPr>
            <w:tcW w:w="3539" w:type="pct"/>
            <w:vAlign w:val="center"/>
          </w:tcPr>
          <w:p w:rsidR="00124EEE" w:rsidRPr="002010DB" w:rsidRDefault="00124EEE" w:rsidP="001E6E15">
            <w:pPr>
              <w:ind w:left="567" w:hanging="567"/>
              <w:jc w:val="left"/>
            </w:pPr>
            <w:r w:rsidRPr="002010DB">
              <w:t>R3:</w:t>
            </w:r>
            <w:r w:rsidRPr="002010DB">
              <w:tab/>
            </w:r>
            <w:r w:rsidR="001E6E15" w:rsidRPr="002010DB">
              <w:t>The performance of ProDEP, be assessed with due consideration given to the relative merits of its Units of Learning, components (e.g. CPD, SPD), and delivery modalities (e.g. direct, on-line learning) that are particularly applied in GoI financed districts.</w:t>
            </w:r>
          </w:p>
        </w:tc>
        <w:tc>
          <w:tcPr>
            <w:tcW w:w="350" w:type="pct"/>
            <w:tcBorders>
              <w:bottom w:val="single" w:sz="4" w:space="0" w:color="auto"/>
            </w:tcBorders>
            <w:shd w:val="clear" w:color="auto" w:fill="FF0000"/>
            <w:vAlign w:val="center"/>
          </w:tcPr>
          <w:p w:rsidR="00124EEE" w:rsidRPr="002010DB" w:rsidRDefault="00124EEE" w:rsidP="00AD3A37">
            <w:pPr>
              <w:jc w:val="center"/>
            </w:pPr>
            <w:r w:rsidRPr="002010DB">
              <w:t>***</w:t>
            </w:r>
          </w:p>
        </w:tc>
        <w:tc>
          <w:tcPr>
            <w:tcW w:w="1111" w:type="pct"/>
            <w:vAlign w:val="center"/>
          </w:tcPr>
          <w:p w:rsidR="00124EEE" w:rsidRPr="002010DB" w:rsidRDefault="00124EEE" w:rsidP="00234400">
            <w:pPr>
              <w:jc w:val="left"/>
            </w:pPr>
            <w:r w:rsidRPr="002010DB">
              <w:t xml:space="preserve">MoEC with DFAT </w:t>
            </w:r>
          </w:p>
        </w:tc>
      </w:tr>
      <w:tr w:rsidR="003E2F36" w:rsidRPr="002010DB" w:rsidTr="002010DB">
        <w:trPr>
          <w:trHeight w:val="850"/>
        </w:trPr>
        <w:tc>
          <w:tcPr>
            <w:tcW w:w="3539" w:type="pct"/>
            <w:vAlign w:val="center"/>
          </w:tcPr>
          <w:p w:rsidR="003E2F36" w:rsidRPr="002010DB" w:rsidRDefault="003E2F36" w:rsidP="003E2F36">
            <w:pPr>
              <w:ind w:left="567" w:hanging="567"/>
              <w:jc w:val="left"/>
            </w:pPr>
            <w:r w:rsidRPr="002010DB">
              <w:rPr>
                <w:color w:val="000000" w:themeColor="text1"/>
              </w:rPr>
              <w:t>R4:</w:t>
            </w:r>
            <w:r w:rsidRPr="002010DB">
              <w:rPr>
                <w:color w:val="000000" w:themeColor="text1"/>
              </w:rPr>
              <w:tab/>
            </w:r>
            <w:r w:rsidR="001E6E15" w:rsidRPr="002010DB">
              <w:rPr>
                <w:color w:val="000000" w:themeColor="text1"/>
              </w:rPr>
              <w:t xml:space="preserve">The relevant findings and implications of ACDP’s </w:t>
            </w:r>
            <w:r w:rsidR="001E6E15" w:rsidRPr="002010DB">
              <w:rPr>
                <w:i/>
                <w:color w:val="000000" w:themeColor="text1"/>
              </w:rPr>
              <w:t>Evaluation of Principals Preparation Program</w:t>
            </w:r>
            <w:r w:rsidR="001E6E15" w:rsidRPr="002010DB">
              <w:rPr>
                <w:color w:val="000000" w:themeColor="text1"/>
              </w:rPr>
              <w:t xml:space="preserve"> (ACDP 042) for ProDEP be identified and applied.</w:t>
            </w:r>
          </w:p>
        </w:tc>
        <w:tc>
          <w:tcPr>
            <w:tcW w:w="350" w:type="pct"/>
            <w:tcBorders>
              <w:bottom w:val="single" w:sz="4" w:space="0" w:color="auto"/>
            </w:tcBorders>
            <w:shd w:val="clear" w:color="auto" w:fill="FF0000"/>
            <w:vAlign w:val="center"/>
          </w:tcPr>
          <w:p w:rsidR="003E2F36" w:rsidRPr="002010DB" w:rsidRDefault="003E2F36" w:rsidP="00AD3A37">
            <w:pPr>
              <w:jc w:val="center"/>
            </w:pPr>
            <w:r w:rsidRPr="002010DB">
              <w:rPr>
                <w:color w:val="000000" w:themeColor="text1"/>
              </w:rPr>
              <w:t>***</w:t>
            </w:r>
          </w:p>
        </w:tc>
        <w:tc>
          <w:tcPr>
            <w:tcW w:w="1111" w:type="pct"/>
            <w:vAlign w:val="center"/>
          </w:tcPr>
          <w:p w:rsidR="003E2F36" w:rsidRPr="002010DB" w:rsidRDefault="003E2F36" w:rsidP="00234400">
            <w:pPr>
              <w:jc w:val="left"/>
            </w:pPr>
            <w:r w:rsidRPr="002010DB">
              <w:rPr>
                <w:color w:val="000000" w:themeColor="text1"/>
              </w:rPr>
              <w:t>MoEC with DFAT and ACDP</w:t>
            </w:r>
          </w:p>
        </w:tc>
      </w:tr>
      <w:tr w:rsidR="003E2F36" w:rsidRPr="002010DB" w:rsidTr="00234400">
        <w:trPr>
          <w:trHeight w:val="695"/>
        </w:trPr>
        <w:tc>
          <w:tcPr>
            <w:tcW w:w="3539" w:type="pct"/>
            <w:vAlign w:val="center"/>
          </w:tcPr>
          <w:p w:rsidR="003E2F36" w:rsidRPr="002010DB" w:rsidRDefault="003E2F36" w:rsidP="003E2F36">
            <w:pPr>
              <w:ind w:left="567" w:hanging="567"/>
              <w:jc w:val="left"/>
            </w:pPr>
            <w:r w:rsidRPr="002010DB">
              <w:rPr>
                <w:color w:val="000000" w:themeColor="text1"/>
              </w:rPr>
              <w:t xml:space="preserve">R5: </w:t>
            </w:r>
            <w:r w:rsidRPr="002010DB">
              <w:rPr>
                <w:color w:val="000000" w:themeColor="text1"/>
              </w:rPr>
              <w:tab/>
            </w:r>
            <w:r w:rsidR="001E6E15" w:rsidRPr="002010DB">
              <w:rPr>
                <w:color w:val="000000" w:themeColor="text1"/>
              </w:rPr>
              <w:t xml:space="preserve">Light-touch reviews of the GoI-financed ProDEP “replication” in 2016 </w:t>
            </w:r>
            <w:r w:rsidR="000878B0">
              <w:rPr>
                <w:color w:val="000000" w:themeColor="text1"/>
              </w:rPr>
              <w:t xml:space="preserve">should </w:t>
            </w:r>
            <w:r w:rsidR="001E6E15" w:rsidRPr="002010DB">
              <w:rPr>
                <w:color w:val="000000" w:themeColor="text1"/>
              </w:rPr>
              <w:t>be undertaken on a frequent and ongoing basis so that real-time learnings are captured and applied, and such that more evidence becomes available about ProDEP’s ongoing relevance and effectiveness.</w:t>
            </w:r>
          </w:p>
        </w:tc>
        <w:tc>
          <w:tcPr>
            <w:tcW w:w="350" w:type="pct"/>
            <w:tcBorders>
              <w:bottom w:val="single" w:sz="4" w:space="0" w:color="auto"/>
            </w:tcBorders>
            <w:shd w:val="clear" w:color="auto" w:fill="FFC000"/>
            <w:vAlign w:val="center"/>
          </w:tcPr>
          <w:p w:rsidR="003E2F36" w:rsidRPr="002010DB" w:rsidRDefault="003E2F36" w:rsidP="00AD3A37">
            <w:pPr>
              <w:jc w:val="center"/>
            </w:pPr>
            <w:r w:rsidRPr="002010DB">
              <w:rPr>
                <w:color w:val="000000" w:themeColor="text1"/>
              </w:rPr>
              <w:t>**</w:t>
            </w:r>
          </w:p>
        </w:tc>
        <w:tc>
          <w:tcPr>
            <w:tcW w:w="1111" w:type="pct"/>
            <w:vAlign w:val="center"/>
          </w:tcPr>
          <w:p w:rsidR="003E2F36" w:rsidRPr="002010DB" w:rsidRDefault="003E2F36" w:rsidP="00234400">
            <w:pPr>
              <w:jc w:val="left"/>
            </w:pPr>
            <w:r w:rsidRPr="002010DB">
              <w:rPr>
                <w:color w:val="000000" w:themeColor="text1"/>
              </w:rPr>
              <w:t>MoEC with DFAT</w:t>
            </w:r>
          </w:p>
        </w:tc>
      </w:tr>
      <w:tr w:rsidR="00124EEE" w:rsidRPr="002010DB" w:rsidTr="002010DB">
        <w:trPr>
          <w:trHeight w:val="399"/>
        </w:trPr>
        <w:tc>
          <w:tcPr>
            <w:tcW w:w="3539" w:type="pct"/>
            <w:vAlign w:val="center"/>
          </w:tcPr>
          <w:p w:rsidR="00124EEE" w:rsidRPr="002010DB" w:rsidRDefault="003E2F36" w:rsidP="002010DB">
            <w:pPr>
              <w:ind w:left="567" w:hanging="567"/>
              <w:jc w:val="left"/>
            </w:pPr>
            <w:r w:rsidRPr="002010DB">
              <w:t>R6</w:t>
            </w:r>
            <w:r w:rsidR="00124EEE" w:rsidRPr="002010DB">
              <w:t>:</w:t>
            </w:r>
            <w:r w:rsidR="00124EEE" w:rsidRPr="002010DB">
              <w:tab/>
            </w:r>
            <w:r w:rsidR="001E6E15" w:rsidRPr="002010DB">
              <w:t xml:space="preserve">Subsequent to assessing the performance of ProDEP, a revised sustainability plan should be developed </w:t>
            </w:r>
            <w:r w:rsidR="001E6E15" w:rsidRPr="002010DB">
              <w:lastRenderedPageBreak/>
              <w:t>that reflects experience to date and emerging opportunities at national and district levels to adopt a properly timed and sequenced ProDEP that is relevant to the needs of the sector and decision makers.</w:t>
            </w:r>
          </w:p>
        </w:tc>
        <w:tc>
          <w:tcPr>
            <w:tcW w:w="350" w:type="pct"/>
            <w:tcBorders>
              <w:bottom w:val="single" w:sz="4" w:space="0" w:color="auto"/>
            </w:tcBorders>
            <w:shd w:val="clear" w:color="auto" w:fill="FF0000"/>
            <w:vAlign w:val="center"/>
          </w:tcPr>
          <w:p w:rsidR="00124EEE" w:rsidRPr="002010DB" w:rsidRDefault="00124EEE" w:rsidP="00AD3A37">
            <w:pPr>
              <w:jc w:val="center"/>
            </w:pPr>
            <w:r w:rsidRPr="002010DB">
              <w:lastRenderedPageBreak/>
              <w:t>***</w:t>
            </w:r>
          </w:p>
        </w:tc>
        <w:tc>
          <w:tcPr>
            <w:tcW w:w="1111" w:type="pct"/>
            <w:vAlign w:val="center"/>
          </w:tcPr>
          <w:p w:rsidR="00124EEE" w:rsidRPr="002010DB" w:rsidRDefault="00124EEE" w:rsidP="00234400">
            <w:pPr>
              <w:jc w:val="left"/>
            </w:pPr>
            <w:r w:rsidRPr="002010DB">
              <w:t>MoEC with DFAT</w:t>
            </w:r>
          </w:p>
        </w:tc>
      </w:tr>
      <w:tr w:rsidR="00304D21" w:rsidRPr="002010DB" w:rsidTr="002010DB">
        <w:trPr>
          <w:cantSplit/>
          <w:trHeight w:val="850"/>
        </w:trPr>
        <w:tc>
          <w:tcPr>
            <w:tcW w:w="3539" w:type="pct"/>
            <w:vAlign w:val="center"/>
          </w:tcPr>
          <w:p w:rsidR="00304D21" w:rsidRPr="002010DB" w:rsidRDefault="003E2F36" w:rsidP="003E2F36">
            <w:pPr>
              <w:ind w:left="567" w:hanging="567"/>
              <w:jc w:val="left"/>
            </w:pPr>
            <w:r w:rsidRPr="002010DB">
              <w:lastRenderedPageBreak/>
              <w:t>R7</w:t>
            </w:r>
            <w:r w:rsidR="00304D21" w:rsidRPr="002010DB">
              <w:t>:</w:t>
            </w:r>
            <w:r w:rsidR="00304D21" w:rsidRPr="002010DB">
              <w:tab/>
            </w:r>
            <w:r w:rsidR="001E6E15" w:rsidRPr="002010DB">
              <w:t>Consideration should be given to the provision of DFAT-financed technical assistance in support of the appraisal and, where applicable, further development of ProDEP.</w:t>
            </w:r>
            <w:r w:rsidR="002010DB" w:rsidRPr="002010DB">
              <w:t xml:space="preserve"> </w:t>
            </w:r>
          </w:p>
        </w:tc>
        <w:tc>
          <w:tcPr>
            <w:tcW w:w="350" w:type="pct"/>
            <w:tcBorders>
              <w:bottom w:val="single" w:sz="4" w:space="0" w:color="auto"/>
            </w:tcBorders>
            <w:shd w:val="clear" w:color="auto" w:fill="FFC000"/>
            <w:vAlign w:val="center"/>
          </w:tcPr>
          <w:p w:rsidR="00304D21" w:rsidRPr="002010DB" w:rsidRDefault="003E1475" w:rsidP="00124EEE">
            <w:pPr>
              <w:jc w:val="center"/>
            </w:pPr>
            <w:r w:rsidRPr="002010DB">
              <w:t>**</w:t>
            </w:r>
          </w:p>
        </w:tc>
        <w:tc>
          <w:tcPr>
            <w:tcW w:w="1111" w:type="pct"/>
            <w:vAlign w:val="center"/>
          </w:tcPr>
          <w:p w:rsidR="00304D21" w:rsidRPr="002010DB" w:rsidRDefault="003E1475" w:rsidP="00775568">
            <w:r w:rsidRPr="002010DB">
              <w:t>DFAT</w:t>
            </w:r>
          </w:p>
        </w:tc>
      </w:tr>
      <w:tr w:rsidR="00123F1E" w:rsidRPr="002010DB" w:rsidTr="002010DB">
        <w:trPr>
          <w:trHeight w:val="850"/>
        </w:trPr>
        <w:tc>
          <w:tcPr>
            <w:tcW w:w="5000" w:type="pct"/>
            <w:gridSpan w:val="3"/>
            <w:shd w:val="clear" w:color="auto" w:fill="DBE5F1" w:themeFill="accent1" w:themeFillTint="33"/>
            <w:vAlign w:val="center"/>
          </w:tcPr>
          <w:p w:rsidR="00123F1E" w:rsidRPr="002010DB" w:rsidRDefault="00123F1E" w:rsidP="003E2F36">
            <w:pPr>
              <w:jc w:val="left"/>
              <w:rPr>
                <w:b/>
              </w:rPr>
            </w:pPr>
            <w:r w:rsidRPr="002010DB">
              <w:rPr>
                <w:b/>
              </w:rPr>
              <w:t>Component 3</w:t>
            </w:r>
          </w:p>
        </w:tc>
      </w:tr>
      <w:tr w:rsidR="001E6E15" w:rsidRPr="002010DB" w:rsidTr="002010DB">
        <w:trPr>
          <w:trHeight w:val="850"/>
        </w:trPr>
        <w:tc>
          <w:tcPr>
            <w:tcW w:w="3539" w:type="pct"/>
            <w:vAlign w:val="center"/>
          </w:tcPr>
          <w:p w:rsidR="001E6E15" w:rsidRPr="002010DB" w:rsidRDefault="001E6E15" w:rsidP="003E2F36">
            <w:pPr>
              <w:ind w:left="567" w:hanging="567"/>
              <w:jc w:val="left"/>
            </w:pPr>
            <w:r w:rsidRPr="002010DB">
              <w:t>R8:</w:t>
            </w:r>
            <w:r w:rsidRPr="002010DB">
              <w:tab/>
              <w:t>Lessons should be captured about how external funding has been secured for Madrasah quality improvement measures.</w:t>
            </w:r>
          </w:p>
        </w:tc>
        <w:tc>
          <w:tcPr>
            <w:tcW w:w="350" w:type="pct"/>
            <w:tcBorders>
              <w:bottom w:val="single" w:sz="4" w:space="0" w:color="auto"/>
            </w:tcBorders>
            <w:shd w:val="clear" w:color="auto" w:fill="FF0000"/>
            <w:vAlign w:val="center"/>
          </w:tcPr>
          <w:p w:rsidR="001E6E15" w:rsidRPr="002010DB" w:rsidRDefault="001E6E15" w:rsidP="00124EEE">
            <w:pPr>
              <w:jc w:val="center"/>
            </w:pPr>
            <w:r w:rsidRPr="002010DB">
              <w:t>***</w:t>
            </w:r>
          </w:p>
        </w:tc>
        <w:tc>
          <w:tcPr>
            <w:tcW w:w="1111" w:type="pct"/>
            <w:vAlign w:val="center"/>
          </w:tcPr>
          <w:p w:rsidR="001E6E15" w:rsidRPr="002010DB" w:rsidRDefault="001E6E15" w:rsidP="00775568">
            <w:r w:rsidRPr="002010DB">
              <w:t xml:space="preserve"> MoRA</w:t>
            </w:r>
          </w:p>
        </w:tc>
      </w:tr>
      <w:tr w:rsidR="001E6E15" w:rsidRPr="002010DB" w:rsidTr="00BE4367">
        <w:trPr>
          <w:trHeight w:val="850"/>
        </w:trPr>
        <w:tc>
          <w:tcPr>
            <w:tcW w:w="3539" w:type="pct"/>
            <w:vAlign w:val="center"/>
          </w:tcPr>
          <w:p w:rsidR="001E6E15" w:rsidRPr="002010DB" w:rsidRDefault="001E6E15" w:rsidP="006721CD">
            <w:pPr>
              <w:ind w:left="567" w:hanging="567"/>
              <w:jc w:val="left"/>
            </w:pPr>
            <w:r w:rsidRPr="002010DB">
              <w:t>R9:</w:t>
            </w:r>
            <w:r w:rsidRPr="002010DB">
              <w:tab/>
              <w:t>The first meeting of the steering committee for the Grand Design should be convened at the earliest convenience to identify priorities and forms of further technical assistance that may accelerate implementation of the Grand Design.</w:t>
            </w:r>
          </w:p>
        </w:tc>
        <w:tc>
          <w:tcPr>
            <w:tcW w:w="350" w:type="pct"/>
            <w:tcBorders>
              <w:bottom w:val="single" w:sz="4" w:space="0" w:color="auto"/>
            </w:tcBorders>
            <w:shd w:val="clear" w:color="auto" w:fill="FF0000"/>
            <w:vAlign w:val="center"/>
          </w:tcPr>
          <w:p w:rsidR="001E6E15" w:rsidRPr="002010DB" w:rsidRDefault="001E6E15" w:rsidP="00124EEE">
            <w:pPr>
              <w:jc w:val="center"/>
            </w:pPr>
            <w:r w:rsidRPr="002010DB">
              <w:t>***</w:t>
            </w:r>
          </w:p>
        </w:tc>
        <w:tc>
          <w:tcPr>
            <w:tcW w:w="1111" w:type="pct"/>
            <w:vAlign w:val="center"/>
          </w:tcPr>
          <w:p w:rsidR="001E6E15" w:rsidRPr="002010DB" w:rsidRDefault="001E6E15" w:rsidP="00775568">
            <w:r w:rsidRPr="002010DB">
              <w:t>MoRA</w:t>
            </w:r>
            <w:r w:rsidR="002010DB" w:rsidRPr="002010DB">
              <w:t xml:space="preserve"> </w:t>
            </w:r>
          </w:p>
        </w:tc>
      </w:tr>
      <w:tr w:rsidR="001E6E15" w:rsidRPr="002010DB" w:rsidTr="002010DB">
        <w:trPr>
          <w:trHeight w:val="850"/>
        </w:trPr>
        <w:tc>
          <w:tcPr>
            <w:tcW w:w="3539" w:type="pct"/>
            <w:vAlign w:val="center"/>
          </w:tcPr>
          <w:p w:rsidR="001E6E15" w:rsidRPr="002010DB" w:rsidRDefault="001E6E15" w:rsidP="003E2F36">
            <w:pPr>
              <w:ind w:left="567" w:hanging="567"/>
              <w:jc w:val="left"/>
            </w:pPr>
            <w:r w:rsidRPr="002010DB">
              <w:t>R10:</w:t>
            </w:r>
            <w:r w:rsidRPr="002010DB">
              <w:tab/>
              <w:t>The merits of introducing a variable-funding mechanism to improve MDC capacity should be considered under existing financing plans for MDCs.</w:t>
            </w:r>
          </w:p>
        </w:tc>
        <w:tc>
          <w:tcPr>
            <w:tcW w:w="350" w:type="pct"/>
            <w:tcBorders>
              <w:bottom w:val="single" w:sz="4" w:space="0" w:color="auto"/>
            </w:tcBorders>
            <w:shd w:val="clear" w:color="auto" w:fill="FFC000"/>
            <w:vAlign w:val="center"/>
          </w:tcPr>
          <w:p w:rsidR="001E6E15" w:rsidRPr="002010DB" w:rsidRDefault="001E6E15" w:rsidP="00467730">
            <w:pPr>
              <w:jc w:val="center"/>
            </w:pPr>
            <w:r w:rsidRPr="002010DB">
              <w:t>**</w:t>
            </w:r>
          </w:p>
        </w:tc>
        <w:tc>
          <w:tcPr>
            <w:tcW w:w="1111" w:type="pct"/>
            <w:vAlign w:val="center"/>
          </w:tcPr>
          <w:p w:rsidR="001E6E15" w:rsidRPr="002010DB" w:rsidRDefault="001E6E15" w:rsidP="00775568">
            <w:r w:rsidRPr="002010DB">
              <w:t>MoRA</w:t>
            </w:r>
          </w:p>
        </w:tc>
      </w:tr>
      <w:tr w:rsidR="001E6E15" w:rsidRPr="002010DB" w:rsidTr="002010DB">
        <w:trPr>
          <w:trHeight w:val="850"/>
        </w:trPr>
        <w:tc>
          <w:tcPr>
            <w:tcW w:w="3539" w:type="pct"/>
            <w:vAlign w:val="center"/>
          </w:tcPr>
          <w:p w:rsidR="001E6E15" w:rsidRPr="002010DB" w:rsidRDefault="001E6E15" w:rsidP="003E2F36">
            <w:pPr>
              <w:ind w:left="567" w:hanging="567"/>
              <w:jc w:val="left"/>
            </w:pPr>
            <w:r w:rsidRPr="002010DB">
              <w:t>R11:</w:t>
            </w:r>
            <w:r w:rsidRPr="002010DB">
              <w:tab/>
              <w:t>The efficacy and size of block grants as a stimulus for quality improvement should be assessed. Block grants earmarked for training programs are an option that should be investigated.</w:t>
            </w:r>
          </w:p>
        </w:tc>
        <w:tc>
          <w:tcPr>
            <w:tcW w:w="350" w:type="pct"/>
            <w:tcBorders>
              <w:bottom w:val="single" w:sz="4" w:space="0" w:color="auto"/>
            </w:tcBorders>
            <w:shd w:val="clear" w:color="auto" w:fill="FFC000"/>
            <w:vAlign w:val="center"/>
          </w:tcPr>
          <w:p w:rsidR="001E6E15" w:rsidRPr="002010DB" w:rsidRDefault="001E6E15" w:rsidP="00467730">
            <w:pPr>
              <w:jc w:val="center"/>
            </w:pPr>
            <w:r w:rsidRPr="002010DB">
              <w:t>**</w:t>
            </w:r>
          </w:p>
        </w:tc>
        <w:tc>
          <w:tcPr>
            <w:tcW w:w="1111" w:type="pct"/>
            <w:vAlign w:val="center"/>
          </w:tcPr>
          <w:p w:rsidR="001E6E15" w:rsidRPr="002010DB" w:rsidRDefault="001E6E15" w:rsidP="00775568">
            <w:r w:rsidRPr="002010DB">
              <w:t>MoRA</w:t>
            </w:r>
          </w:p>
        </w:tc>
      </w:tr>
      <w:tr w:rsidR="001E6E15" w:rsidRPr="002010DB" w:rsidTr="002010DB">
        <w:trPr>
          <w:trHeight w:val="850"/>
        </w:trPr>
        <w:tc>
          <w:tcPr>
            <w:tcW w:w="3539" w:type="pct"/>
            <w:vAlign w:val="center"/>
          </w:tcPr>
          <w:p w:rsidR="001E6E15" w:rsidRPr="002010DB" w:rsidRDefault="001E6E15" w:rsidP="003E2F36">
            <w:pPr>
              <w:ind w:left="567" w:hanging="567"/>
              <w:jc w:val="left"/>
            </w:pPr>
            <w:r w:rsidRPr="002010DB">
              <w:t>R12:</w:t>
            </w:r>
            <w:r w:rsidRPr="002010DB">
              <w:tab/>
              <w:t xml:space="preserve">The suitability and performance of Madrasah Working Groups (KKM) in facilitating MoRA’s Madrasah Upgrading Program should be evaluated. </w:t>
            </w:r>
          </w:p>
        </w:tc>
        <w:tc>
          <w:tcPr>
            <w:tcW w:w="350" w:type="pct"/>
            <w:tcBorders>
              <w:bottom w:val="single" w:sz="4" w:space="0" w:color="auto"/>
            </w:tcBorders>
            <w:shd w:val="clear" w:color="auto" w:fill="FFC000"/>
            <w:vAlign w:val="center"/>
          </w:tcPr>
          <w:p w:rsidR="001E6E15" w:rsidRPr="002010DB" w:rsidRDefault="001E6E15" w:rsidP="00467730">
            <w:pPr>
              <w:jc w:val="center"/>
            </w:pPr>
            <w:r w:rsidRPr="002010DB">
              <w:t>**</w:t>
            </w:r>
          </w:p>
        </w:tc>
        <w:tc>
          <w:tcPr>
            <w:tcW w:w="1111" w:type="pct"/>
            <w:vAlign w:val="center"/>
          </w:tcPr>
          <w:p w:rsidR="001E6E15" w:rsidRPr="002010DB" w:rsidRDefault="001E6E15" w:rsidP="00775568">
            <w:r w:rsidRPr="002010DB">
              <w:t>MoRA</w:t>
            </w:r>
          </w:p>
        </w:tc>
      </w:tr>
      <w:tr w:rsidR="001E6E15" w:rsidRPr="002010DB" w:rsidTr="002010DB">
        <w:trPr>
          <w:trHeight w:val="850"/>
        </w:trPr>
        <w:tc>
          <w:tcPr>
            <w:tcW w:w="3539" w:type="pct"/>
            <w:vAlign w:val="center"/>
          </w:tcPr>
          <w:p w:rsidR="001E6E15" w:rsidRPr="002010DB" w:rsidRDefault="001E6E15" w:rsidP="003E2F36">
            <w:pPr>
              <w:ind w:left="567" w:hanging="567"/>
              <w:jc w:val="left"/>
            </w:pPr>
            <w:r w:rsidRPr="002010DB">
              <w:t>R13:</w:t>
            </w:r>
            <w:r w:rsidRPr="002010DB">
              <w:tab/>
              <w:t>The findings of the social inclusion pilot program should be assessed in order to better understand how the Islamic education section might take a lead in social inclusion strategies.</w:t>
            </w:r>
          </w:p>
        </w:tc>
        <w:tc>
          <w:tcPr>
            <w:tcW w:w="350" w:type="pct"/>
            <w:tcBorders>
              <w:bottom w:val="single" w:sz="4" w:space="0" w:color="auto"/>
            </w:tcBorders>
            <w:shd w:val="clear" w:color="auto" w:fill="92D050"/>
            <w:vAlign w:val="center"/>
          </w:tcPr>
          <w:p w:rsidR="001E6E15" w:rsidRPr="002010DB" w:rsidRDefault="001E6E15" w:rsidP="00467730">
            <w:pPr>
              <w:jc w:val="center"/>
            </w:pPr>
            <w:r w:rsidRPr="002010DB">
              <w:t>*</w:t>
            </w:r>
          </w:p>
        </w:tc>
        <w:tc>
          <w:tcPr>
            <w:tcW w:w="1111" w:type="pct"/>
            <w:vAlign w:val="center"/>
          </w:tcPr>
          <w:p w:rsidR="001E6E15" w:rsidRPr="002010DB" w:rsidRDefault="001E6E15" w:rsidP="00775568">
            <w:r w:rsidRPr="002010DB">
              <w:t>MoRA</w:t>
            </w:r>
          </w:p>
        </w:tc>
      </w:tr>
      <w:tr w:rsidR="006721CD" w:rsidRPr="002010DB" w:rsidTr="00BE4367">
        <w:trPr>
          <w:trHeight w:val="850"/>
        </w:trPr>
        <w:tc>
          <w:tcPr>
            <w:tcW w:w="3539" w:type="pct"/>
            <w:vAlign w:val="center"/>
          </w:tcPr>
          <w:p w:rsidR="006721CD" w:rsidRPr="002010DB" w:rsidRDefault="006721CD" w:rsidP="003E2F36">
            <w:pPr>
              <w:ind w:left="567" w:hanging="567"/>
              <w:jc w:val="left"/>
            </w:pPr>
            <w:r w:rsidRPr="002010DB">
              <w:lastRenderedPageBreak/>
              <w:t>R14:</w:t>
            </w:r>
            <w:r w:rsidRPr="002010DB">
              <w:tab/>
              <w:t>Consideration should be given to involving representatives of non-state organisations (e.g. Al Ma’arif) in decision-making about private Madrasah quality improvement.</w:t>
            </w:r>
          </w:p>
        </w:tc>
        <w:tc>
          <w:tcPr>
            <w:tcW w:w="350" w:type="pct"/>
            <w:tcBorders>
              <w:bottom w:val="single" w:sz="4" w:space="0" w:color="auto"/>
            </w:tcBorders>
            <w:shd w:val="clear" w:color="auto" w:fill="92D050"/>
            <w:vAlign w:val="center"/>
          </w:tcPr>
          <w:p w:rsidR="006721CD" w:rsidRPr="002010DB" w:rsidRDefault="006721CD" w:rsidP="00467730">
            <w:pPr>
              <w:jc w:val="center"/>
            </w:pPr>
            <w:r w:rsidRPr="002010DB">
              <w:t>*</w:t>
            </w:r>
          </w:p>
        </w:tc>
        <w:tc>
          <w:tcPr>
            <w:tcW w:w="1111" w:type="pct"/>
            <w:vAlign w:val="center"/>
          </w:tcPr>
          <w:p w:rsidR="006721CD" w:rsidRPr="002010DB" w:rsidRDefault="006721CD" w:rsidP="00775568">
            <w:r w:rsidRPr="002010DB">
              <w:t>MoRA</w:t>
            </w:r>
          </w:p>
        </w:tc>
      </w:tr>
      <w:tr w:rsidR="00124EEE" w:rsidRPr="002010DB" w:rsidTr="002010DB">
        <w:trPr>
          <w:trHeight w:val="850"/>
        </w:trPr>
        <w:tc>
          <w:tcPr>
            <w:tcW w:w="5000" w:type="pct"/>
            <w:gridSpan w:val="3"/>
            <w:shd w:val="clear" w:color="auto" w:fill="DBE5F1" w:themeFill="accent1" w:themeFillTint="33"/>
            <w:vAlign w:val="center"/>
          </w:tcPr>
          <w:p w:rsidR="00124EEE" w:rsidRPr="002010DB" w:rsidRDefault="00124EEE" w:rsidP="003E2F36">
            <w:pPr>
              <w:jc w:val="left"/>
              <w:rPr>
                <w:b/>
              </w:rPr>
            </w:pPr>
            <w:r w:rsidRPr="002010DB">
              <w:rPr>
                <w:b/>
              </w:rPr>
              <w:t>Component 4</w:t>
            </w:r>
          </w:p>
        </w:tc>
      </w:tr>
      <w:tr w:rsidR="00124EEE" w:rsidRPr="002010DB" w:rsidTr="002010DB">
        <w:trPr>
          <w:trHeight w:val="850"/>
        </w:trPr>
        <w:tc>
          <w:tcPr>
            <w:tcW w:w="3539" w:type="pct"/>
            <w:vAlign w:val="center"/>
          </w:tcPr>
          <w:p w:rsidR="00124EEE" w:rsidRPr="002010DB" w:rsidRDefault="00124EEE" w:rsidP="00BE4367">
            <w:pPr>
              <w:ind w:left="567" w:hanging="567"/>
              <w:jc w:val="left"/>
            </w:pPr>
            <w:r w:rsidRPr="002010DB">
              <w:t>R1</w:t>
            </w:r>
            <w:r w:rsidR="00BE4367" w:rsidRPr="002010DB">
              <w:t>5</w:t>
            </w:r>
            <w:r w:rsidRPr="002010DB">
              <w:t>:</w:t>
            </w:r>
            <w:r w:rsidRPr="002010DB">
              <w:tab/>
              <w:t xml:space="preserve">ACDP should invest in full-time, dedicated M&amp;E resources to improve reporting and to facilitate learning, continuous improvement and </w:t>
            </w:r>
            <w:r w:rsidR="004F2FE0" w:rsidRPr="002010DB">
              <w:t xml:space="preserve">the </w:t>
            </w:r>
            <w:r w:rsidRPr="002010DB">
              <w:t xml:space="preserve">strategic management of its portfolio. </w:t>
            </w:r>
          </w:p>
        </w:tc>
        <w:tc>
          <w:tcPr>
            <w:tcW w:w="350" w:type="pct"/>
            <w:tcBorders>
              <w:bottom w:val="single" w:sz="4" w:space="0" w:color="auto"/>
            </w:tcBorders>
            <w:shd w:val="clear" w:color="auto" w:fill="FF0000"/>
            <w:vAlign w:val="center"/>
          </w:tcPr>
          <w:p w:rsidR="00124EEE" w:rsidRPr="002010DB" w:rsidRDefault="00124EEE" w:rsidP="00467730">
            <w:pPr>
              <w:jc w:val="center"/>
            </w:pPr>
            <w:r w:rsidRPr="002010DB">
              <w:t>***</w:t>
            </w:r>
          </w:p>
        </w:tc>
        <w:tc>
          <w:tcPr>
            <w:tcW w:w="1111" w:type="pct"/>
            <w:vAlign w:val="center"/>
          </w:tcPr>
          <w:p w:rsidR="00124EEE" w:rsidRPr="002010DB" w:rsidRDefault="00124EEE" w:rsidP="00775568">
            <w:r w:rsidRPr="002010DB">
              <w:t>ACDP with ADB</w:t>
            </w:r>
          </w:p>
        </w:tc>
      </w:tr>
      <w:tr w:rsidR="00124EEE" w:rsidRPr="002010DB" w:rsidTr="002010DB">
        <w:trPr>
          <w:trHeight w:val="850"/>
        </w:trPr>
        <w:tc>
          <w:tcPr>
            <w:tcW w:w="3539" w:type="pct"/>
            <w:vAlign w:val="center"/>
          </w:tcPr>
          <w:p w:rsidR="00124EEE" w:rsidRPr="002010DB" w:rsidRDefault="00124EEE" w:rsidP="00BE4367">
            <w:pPr>
              <w:ind w:left="567" w:hanging="567"/>
              <w:jc w:val="left"/>
            </w:pPr>
            <w:r w:rsidRPr="002010DB">
              <w:t>R1</w:t>
            </w:r>
            <w:r w:rsidR="00BE4367" w:rsidRPr="002010DB">
              <w:t>6</w:t>
            </w:r>
            <w:r w:rsidR="004F2FE0" w:rsidRPr="002010DB">
              <w:t xml:space="preserve">: </w:t>
            </w:r>
            <w:r w:rsidR="004F2FE0" w:rsidRPr="002010DB">
              <w:tab/>
              <w:t>ADB’</w:t>
            </w:r>
            <w:r w:rsidRPr="002010DB">
              <w:t>s procurement processes should be reviewed and subsequently revised to ensure that they facilitate the timely deliver</w:t>
            </w:r>
            <w:r w:rsidR="004F2FE0" w:rsidRPr="002010DB">
              <w:t>y of required services so</w:t>
            </w:r>
            <w:r w:rsidRPr="002010DB">
              <w:t xml:space="preserve"> that the Secretariat can meet GoI’s</w:t>
            </w:r>
            <w:r w:rsidR="004F2FE0" w:rsidRPr="002010DB">
              <w:t xml:space="preserve"> expectations.</w:t>
            </w:r>
          </w:p>
        </w:tc>
        <w:tc>
          <w:tcPr>
            <w:tcW w:w="350" w:type="pct"/>
            <w:tcBorders>
              <w:bottom w:val="single" w:sz="4" w:space="0" w:color="auto"/>
            </w:tcBorders>
            <w:shd w:val="clear" w:color="auto" w:fill="FF0000"/>
            <w:vAlign w:val="center"/>
          </w:tcPr>
          <w:p w:rsidR="00124EEE" w:rsidRPr="002010DB" w:rsidRDefault="00124EEE" w:rsidP="00467730">
            <w:pPr>
              <w:jc w:val="center"/>
            </w:pPr>
            <w:r w:rsidRPr="002010DB">
              <w:t>***</w:t>
            </w:r>
          </w:p>
        </w:tc>
        <w:tc>
          <w:tcPr>
            <w:tcW w:w="1111" w:type="pct"/>
            <w:vAlign w:val="center"/>
          </w:tcPr>
          <w:p w:rsidR="00124EEE" w:rsidRPr="002010DB" w:rsidRDefault="00AD3A37" w:rsidP="00775568">
            <w:r w:rsidRPr="002010DB">
              <w:t>ADB with ACDP</w:t>
            </w:r>
          </w:p>
        </w:tc>
      </w:tr>
      <w:tr w:rsidR="00124EEE" w:rsidRPr="002010DB" w:rsidTr="002010DB">
        <w:trPr>
          <w:trHeight w:val="850"/>
        </w:trPr>
        <w:tc>
          <w:tcPr>
            <w:tcW w:w="3539" w:type="pct"/>
            <w:vAlign w:val="center"/>
          </w:tcPr>
          <w:p w:rsidR="00124EEE" w:rsidRPr="002010DB" w:rsidRDefault="00124EEE" w:rsidP="00BE4367">
            <w:pPr>
              <w:ind w:left="567" w:hanging="567"/>
              <w:jc w:val="left"/>
            </w:pPr>
            <w:r w:rsidRPr="002010DB">
              <w:t>R1</w:t>
            </w:r>
            <w:r w:rsidR="00BE4367" w:rsidRPr="002010DB">
              <w:t>7</w:t>
            </w:r>
            <w:r w:rsidRPr="002010DB">
              <w:t xml:space="preserve">: </w:t>
            </w:r>
            <w:r w:rsidRPr="002010DB">
              <w:tab/>
              <w:t>The draft Sustainability Strategy prepared in the first half of 2015 should be reviewed, finalised, and then implemented.</w:t>
            </w:r>
          </w:p>
        </w:tc>
        <w:tc>
          <w:tcPr>
            <w:tcW w:w="350" w:type="pct"/>
            <w:tcBorders>
              <w:bottom w:val="single" w:sz="4" w:space="0" w:color="auto"/>
            </w:tcBorders>
            <w:shd w:val="clear" w:color="auto" w:fill="FF0000"/>
            <w:vAlign w:val="center"/>
          </w:tcPr>
          <w:p w:rsidR="00124EEE" w:rsidRPr="002010DB" w:rsidRDefault="00124EEE" w:rsidP="00467730">
            <w:pPr>
              <w:jc w:val="center"/>
            </w:pPr>
            <w:r w:rsidRPr="002010DB">
              <w:t>***</w:t>
            </w:r>
          </w:p>
        </w:tc>
        <w:tc>
          <w:tcPr>
            <w:tcW w:w="1111" w:type="pct"/>
            <w:vAlign w:val="center"/>
          </w:tcPr>
          <w:p w:rsidR="00124EEE" w:rsidRPr="002010DB" w:rsidRDefault="00124EEE" w:rsidP="00775568">
            <w:r w:rsidRPr="002010DB">
              <w:t>ACDP</w:t>
            </w:r>
            <w:r w:rsidR="002010DB" w:rsidRPr="002010DB">
              <w:t xml:space="preserve"> </w:t>
            </w:r>
          </w:p>
        </w:tc>
      </w:tr>
      <w:tr w:rsidR="00124EEE" w:rsidRPr="002010DB" w:rsidTr="002010DB">
        <w:trPr>
          <w:trHeight w:val="850"/>
        </w:trPr>
        <w:tc>
          <w:tcPr>
            <w:tcW w:w="3539" w:type="pct"/>
            <w:vAlign w:val="center"/>
          </w:tcPr>
          <w:p w:rsidR="00124EEE" w:rsidRPr="002010DB" w:rsidRDefault="00124EEE" w:rsidP="00BE4367">
            <w:pPr>
              <w:ind w:left="567" w:hanging="567"/>
              <w:jc w:val="left"/>
            </w:pPr>
            <w:r w:rsidRPr="002010DB">
              <w:t>R1</w:t>
            </w:r>
            <w:r w:rsidR="00BE4367" w:rsidRPr="002010DB">
              <w:t>8</w:t>
            </w:r>
            <w:r w:rsidRPr="002010DB">
              <w:t>:</w:t>
            </w:r>
            <w:r w:rsidRPr="002010DB">
              <w:tab/>
              <w:t xml:space="preserve">The ACDP should facilitate evidence utilisation and incorporation by ensuring that the K2P component of activities is sufficiently resourced and implemented. </w:t>
            </w:r>
          </w:p>
        </w:tc>
        <w:tc>
          <w:tcPr>
            <w:tcW w:w="350" w:type="pct"/>
            <w:shd w:val="clear" w:color="auto" w:fill="FFC000"/>
            <w:vAlign w:val="center"/>
          </w:tcPr>
          <w:p w:rsidR="00124EEE" w:rsidRPr="002010DB" w:rsidRDefault="00124EEE" w:rsidP="00467730">
            <w:pPr>
              <w:jc w:val="center"/>
            </w:pPr>
            <w:r w:rsidRPr="002010DB">
              <w:t>**</w:t>
            </w:r>
          </w:p>
        </w:tc>
        <w:tc>
          <w:tcPr>
            <w:tcW w:w="1111" w:type="pct"/>
            <w:vAlign w:val="center"/>
          </w:tcPr>
          <w:p w:rsidR="00124EEE" w:rsidRPr="002010DB" w:rsidRDefault="00124EEE" w:rsidP="00775568">
            <w:r w:rsidRPr="002010DB">
              <w:t>ACDP</w:t>
            </w:r>
          </w:p>
        </w:tc>
      </w:tr>
      <w:tr w:rsidR="00124EEE" w:rsidRPr="002010DB" w:rsidTr="002010DB">
        <w:trPr>
          <w:trHeight w:val="850"/>
        </w:trPr>
        <w:tc>
          <w:tcPr>
            <w:tcW w:w="5000" w:type="pct"/>
            <w:gridSpan w:val="3"/>
            <w:shd w:val="clear" w:color="auto" w:fill="DBE5F1" w:themeFill="accent1" w:themeFillTint="33"/>
            <w:vAlign w:val="center"/>
          </w:tcPr>
          <w:p w:rsidR="00124EEE" w:rsidRPr="002010DB" w:rsidRDefault="00124EEE" w:rsidP="003E2F36">
            <w:pPr>
              <w:jc w:val="left"/>
              <w:rPr>
                <w:b/>
              </w:rPr>
            </w:pPr>
            <w:r w:rsidRPr="002010DB">
              <w:rPr>
                <w:b/>
              </w:rPr>
              <w:t>Program Oversight</w:t>
            </w:r>
          </w:p>
        </w:tc>
      </w:tr>
      <w:tr w:rsidR="00BE4367" w:rsidRPr="002010DB" w:rsidTr="003E2F36">
        <w:trPr>
          <w:trHeight w:val="695"/>
        </w:trPr>
        <w:tc>
          <w:tcPr>
            <w:tcW w:w="3539" w:type="pct"/>
            <w:vAlign w:val="center"/>
          </w:tcPr>
          <w:p w:rsidR="00BE4367" w:rsidRPr="002010DB" w:rsidRDefault="00BE4367" w:rsidP="003E2F36">
            <w:pPr>
              <w:ind w:left="567" w:hanging="567"/>
              <w:jc w:val="left"/>
            </w:pPr>
            <w:r w:rsidRPr="002010DB">
              <w:t>R19:</w:t>
            </w:r>
            <w:r w:rsidRPr="002010DB">
              <w:tab/>
              <w:t>A clear description of both the development and political outcomes expected from future investments under the DFAT Education Forward Program should be provided not least to facilitate program design, implementation, monitoring and evaluation.</w:t>
            </w:r>
          </w:p>
        </w:tc>
        <w:tc>
          <w:tcPr>
            <w:tcW w:w="350" w:type="pct"/>
            <w:tcBorders>
              <w:bottom w:val="single" w:sz="4" w:space="0" w:color="auto"/>
            </w:tcBorders>
            <w:shd w:val="clear" w:color="auto" w:fill="FF0000"/>
            <w:vAlign w:val="center"/>
          </w:tcPr>
          <w:p w:rsidR="00BE4367" w:rsidRPr="002010DB" w:rsidRDefault="00BE4367" w:rsidP="00467730">
            <w:pPr>
              <w:jc w:val="center"/>
            </w:pPr>
            <w:r w:rsidRPr="002010DB">
              <w:t>***</w:t>
            </w:r>
          </w:p>
        </w:tc>
        <w:tc>
          <w:tcPr>
            <w:tcW w:w="1111" w:type="pct"/>
            <w:vAlign w:val="center"/>
          </w:tcPr>
          <w:p w:rsidR="00BE4367" w:rsidRPr="002010DB" w:rsidRDefault="00BE4367" w:rsidP="00775568">
            <w:r w:rsidRPr="002010DB">
              <w:t>DFAT</w:t>
            </w:r>
          </w:p>
        </w:tc>
      </w:tr>
      <w:tr w:rsidR="00BE4367" w:rsidRPr="002010DB" w:rsidTr="00BE4367">
        <w:trPr>
          <w:trHeight w:val="850"/>
        </w:trPr>
        <w:tc>
          <w:tcPr>
            <w:tcW w:w="3539" w:type="pct"/>
            <w:vAlign w:val="center"/>
          </w:tcPr>
          <w:p w:rsidR="00BE4367" w:rsidRPr="002010DB" w:rsidRDefault="00BE4367" w:rsidP="003E2F36">
            <w:pPr>
              <w:ind w:left="567" w:hanging="567"/>
              <w:jc w:val="left"/>
            </w:pPr>
            <w:r w:rsidRPr="002010DB">
              <w:t xml:space="preserve">R20: </w:t>
            </w:r>
            <w:r w:rsidRPr="002010DB">
              <w:tab/>
              <w:t>Clearer guidance should be provided to DFAT staff and Implementing Partners about the Basic Education Unit’s expectations for achieving political outcomes and how these might be achieved.</w:t>
            </w:r>
          </w:p>
        </w:tc>
        <w:tc>
          <w:tcPr>
            <w:tcW w:w="350" w:type="pct"/>
            <w:tcBorders>
              <w:bottom w:val="single" w:sz="4" w:space="0" w:color="auto"/>
            </w:tcBorders>
            <w:shd w:val="clear" w:color="auto" w:fill="FFC000"/>
            <w:vAlign w:val="center"/>
          </w:tcPr>
          <w:p w:rsidR="00BE4367" w:rsidRPr="002010DB" w:rsidRDefault="00BE4367" w:rsidP="00467730">
            <w:pPr>
              <w:jc w:val="center"/>
            </w:pPr>
            <w:r w:rsidRPr="002010DB">
              <w:t>**</w:t>
            </w:r>
          </w:p>
        </w:tc>
        <w:tc>
          <w:tcPr>
            <w:tcW w:w="1111" w:type="pct"/>
            <w:vAlign w:val="center"/>
          </w:tcPr>
          <w:p w:rsidR="00BE4367" w:rsidRPr="002010DB" w:rsidRDefault="00BE4367" w:rsidP="00775568">
            <w:r w:rsidRPr="002010DB">
              <w:t>DFAT</w:t>
            </w:r>
          </w:p>
        </w:tc>
      </w:tr>
      <w:tr w:rsidR="00BE4367" w:rsidRPr="002010DB" w:rsidTr="00EC36D2">
        <w:trPr>
          <w:trHeight w:val="695"/>
        </w:trPr>
        <w:tc>
          <w:tcPr>
            <w:tcW w:w="3539" w:type="pct"/>
          </w:tcPr>
          <w:p w:rsidR="00BE4367" w:rsidRPr="002010DB" w:rsidRDefault="00BE4367" w:rsidP="003E2F36">
            <w:pPr>
              <w:ind w:left="567" w:hanging="567"/>
              <w:jc w:val="left"/>
            </w:pPr>
            <w:r w:rsidRPr="002010DB">
              <w:lastRenderedPageBreak/>
              <w:t>R21:</w:t>
            </w:r>
            <w:r w:rsidRPr="002010DB">
              <w:tab/>
              <w:t>Regular (six-monthly) reviews should be undertaken related to the achievement of the high-level outcomes expected in DFAT’s Education Forward Program, coupled with an identification of opportunities to improve the return on DFAT’s investment.</w:t>
            </w:r>
          </w:p>
        </w:tc>
        <w:tc>
          <w:tcPr>
            <w:tcW w:w="350" w:type="pct"/>
            <w:tcBorders>
              <w:bottom w:val="single" w:sz="4" w:space="0" w:color="auto"/>
            </w:tcBorders>
            <w:shd w:val="clear" w:color="auto" w:fill="FF0000"/>
            <w:vAlign w:val="center"/>
          </w:tcPr>
          <w:p w:rsidR="00BE4367" w:rsidRPr="002010DB" w:rsidRDefault="00BE4367" w:rsidP="00467730">
            <w:pPr>
              <w:jc w:val="center"/>
            </w:pPr>
            <w:r w:rsidRPr="002010DB">
              <w:t>***</w:t>
            </w:r>
          </w:p>
        </w:tc>
        <w:tc>
          <w:tcPr>
            <w:tcW w:w="1111" w:type="pct"/>
            <w:vAlign w:val="center"/>
          </w:tcPr>
          <w:p w:rsidR="00BE4367" w:rsidRPr="002010DB" w:rsidRDefault="00BE4367" w:rsidP="00775568">
            <w:r w:rsidRPr="002010DB">
              <w:t>DFAT</w:t>
            </w:r>
          </w:p>
        </w:tc>
      </w:tr>
      <w:tr w:rsidR="00BE4367" w:rsidRPr="002010DB" w:rsidTr="00BE4367">
        <w:trPr>
          <w:trHeight w:val="399"/>
        </w:trPr>
        <w:tc>
          <w:tcPr>
            <w:tcW w:w="3539" w:type="pct"/>
            <w:vAlign w:val="center"/>
          </w:tcPr>
          <w:p w:rsidR="00BE4367" w:rsidRPr="002010DB" w:rsidRDefault="00BE4367" w:rsidP="003E2F36">
            <w:pPr>
              <w:ind w:left="567" w:hanging="567"/>
              <w:jc w:val="left"/>
            </w:pPr>
            <w:r w:rsidRPr="002010DB">
              <w:t>R22:</w:t>
            </w:r>
            <w:r w:rsidRPr="002010DB">
              <w:tab/>
              <w:t>To ensure transparency, mutual accountability and shared understanding, agreed formal management and governance meetings should supplement less formal stakeholder engagement.</w:t>
            </w:r>
          </w:p>
        </w:tc>
        <w:tc>
          <w:tcPr>
            <w:tcW w:w="350" w:type="pct"/>
            <w:shd w:val="clear" w:color="auto" w:fill="FF0000"/>
            <w:vAlign w:val="center"/>
          </w:tcPr>
          <w:p w:rsidR="00BE4367" w:rsidRPr="002010DB" w:rsidRDefault="00BE4367" w:rsidP="00467730">
            <w:pPr>
              <w:jc w:val="center"/>
            </w:pPr>
            <w:r w:rsidRPr="002010DB">
              <w:t>***</w:t>
            </w:r>
          </w:p>
        </w:tc>
        <w:tc>
          <w:tcPr>
            <w:tcW w:w="1111" w:type="pct"/>
            <w:vAlign w:val="center"/>
          </w:tcPr>
          <w:p w:rsidR="00BE4367" w:rsidRPr="002010DB" w:rsidRDefault="00BE4367" w:rsidP="00775568">
            <w:r w:rsidRPr="002010DB">
              <w:t>DFAT with GoI</w:t>
            </w:r>
          </w:p>
        </w:tc>
      </w:tr>
      <w:tr w:rsidR="00BE4367" w:rsidRPr="002010DB" w:rsidTr="003E2F36">
        <w:trPr>
          <w:trHeight w:val="695"/>
        </w:trPr>
        <w:tc>
          <w:tcPr>
            <w:tcW w:w="3539" w:type="pct"/>
            <w:vAlign w:val="center"/>
          </w:tcPr>
          <w:p w:rsidR="00BE4367" w:rsidRPr="002010DB" w:rsidRDefault="00BE4367" w:rsidP="003E2F36">
            <w:pPr>
              <w:ind w:left="567" w:hanging="567"/>
              <w:jc w:val="left"/>
            </w:pPr>
            <w:r w:rsidRPr="002010DB">
              <w:t>R23:</w:t>
            </w:r>
            <w:r w:rsidRPr="002010DB">
              <w:tab/>
              <w:t xml:space="preserve">A lessons learned review should be undertaken of the 2014/15 transition process in DFAT’s Basic Education Unit and other Development Cooperation sections in the Embassy in Jakarta to inform DFAT policy and programing. </w:t>
            </w:r>
          </w:p>
        </w:tc>
        <w:tc>
          <w:tcPr>
            <w:tcW w:w="350" w:type="pct"/>
            <w:shd w:val="clear" w:color="auto" w:fill="92D050"/>
            <w:vAlign w:val="center"/>
          </w:tcPr>
          <w:p w:rsidR="00BE4367" w:rsidRPr="002010DB" w:rsidRDefault="00BE4367" w:rsidP="00467730">
            <w:pPr>
              <w:jc w:val="center"/>
            </w:pPr>
            <w:r w:rsidRPr="002010DB">
              <w:t>*</w:t>
            </w:r>
          </w:p>
        </w:tc>
        <w:tc>
          <w:tcPr>
            <w:tcW w:w="1111" w:type="pct"/>
            <w:vAlign w:val="center"/>
          </w:tcPr>
          <w:p w:rsidR="00BE4367" w:rsidRPr="002010DB" w:rsidRDefault="00BE4367" w:rsidP="00775568">
            <w:r w:rsidRPr="002010DB">
              <w:t>DFAT Jakarta and Canberra</w:t>
            </w:r>
          </w:p>
        </w:tc>
      </w:tr>
      <w:tr w:rsidR="00BE4367" w:rsidRPr="002010DB" w:rsidTr="00EC36D2">
        <w:trPr>
          <w:cantSplit/>
          <w:trHeight w:val="695"/>
        </w:trPr>
        <w:tc>
          <w:tcPr>
            <w:tcW w:w="3539" w:type="pct"/>
          </w:tcPr>
          <w:p w:rsidR="00BE4367" w:rsidRPr="002010DB" w:rsidRDefault="00BE4367" w:rsidP="003E2F36">
            <w:pPr>
              <w:ind w:left="567" w:hanging="567"/>
              <w:jc w:val="left"/>
            </w:pPr>
            <w:r w:rsidRPr="002010DB">
              <w:t>R24:</w:t>
            </w:r>
            <w:r w:rsidRPr="002010DB">
              <w:tab/>
              <w:t xml:space="preserve">Consideration should be given to the necessary DFAT and MC staff skillsets required to deliver the new aid paradigm and the need to adjust recruitment plans accordingly. </w:t>
            </w:r>
          </w:p>
        </w:tc>
        <w:tc>
          <w:tcPr>
            <w:tcW w:w="350" w:type="pct"/>
            <w:shd w:val="clear" w:color="auto" w:fill="FFC000"/>
            <w:vAlign w:val="center"/>
          </w:tcPr>
          <w:p w:rsidR="00BE4367" w:rsidRPr="002010DB" w:rsidRDefault="00BE4367" w:rsidP="00467730">
            <w:pPr>
              <w:jc w:val="center"/>
            </w:pPr>
            <w:r w:rsidRPr="002010DB">
              <w:t>**</w:t>
            </w:r>
          </w:p>
        </w:tc>
        <w:tc>
          <w:tcPr>
            <w:tcW w:w="1111" w:type="pct"/>
            <w:vAlign w:val="center"/>
          </w:tcPr>
          <w:p w:rsidR="00BE4367" w:rsidRPr="002010DB" w:rsidRDefault="00BE4367" w:rsidP="00775568">
            <w:r w:rsidRPr="002010DB">
              <w:t>DFAT, Implementing Partners</w:t>
            </w:r>
          </w:p>
        </w:tc>
      </w:tr>
      <w:tr w:rsidR="00BE4367" w:rsidRPr="002010DB" w:rsidTr="00EC36D2">
        <w:trPr>
          <w:trHeight w:val="695"/>
        </w:trPr>
        <w:tc>
          <w:tcPr>
            <w:tcW w:w="3539" w:type="pct"/>
          </w:tcPr>
          <w:p w:rsidR="00BE4367" w:rsidRPr="002010DB" w:rsidRDefault="00BE4367" w:rsidP="003E2F36">
            <w:pPr>
              <w:ind w:left="567" w:hanging="567"/>
              <w:jc w:val="left"/>
            </w:pPr>
            <w:r w:rsidRPr="002010DB">
              <w:t>R25:</w:t>
            </w:r>
            <w:r w:rsidRPr="002010DB">
              <w:tab/>
              <w:t>Separate Gender and Disability Action Plans should be developed as part of an overall Social Inclusion Strategy for DFAT’s Education Forward Program.</w:t>
            </w:r>
          </w:p>
        </w:tc>
        <w:tc>
          <w:tcPr>
            <w:tcW w:w="350" w:type="pct"/>
            <w:shd w:val="clear" w:color="auto" w:fill="FFC000"/>
            <w:vAlign w:val="center"/>
          </w:tcPr>
          <w:p w:rsidR="00BE4367" w:rsidRPr="002010DB" w:rsidRDefault="00BE4367" w:rsidP="00467730">
            <w:pPr>
              <w:jc w:val="center"/>
            </w:pPr>
            <w:r w:rsidRPr="002010DB">
              <w:t>**</w:t>
            </w:r>
          </w:p>
        </w:tc>
        <w:tc>
          <w:tcPr>
            <w:tcW w:w="1111" w:type="pct"/>
            <w:vAlign w:val="center"/>
          </w:tcPr>
          <w:p w:rsidR="00BE4367" w:rsidRPr="002010DB" w:rsidRDefault="00BE4367" w:rsidP="00775568">
            <w:r w:rsidRPr="002010DB">
              <w:t>DFAT</w:t>
            </w:r>
          </w:p>
        </w:tc>
      </w:tr>
    </w:tbl>
    <w:p w:rsidR="0024509E" w:rsidRPr="00851EC7" w:rsidRDefault="0024509E" w:rsidP="00775568">
      <w:r w:rsidRPr="00851EC7">
        <w:t>NB: Red</w:t>
      </w:r>
      <w:r w:rsidR="00191A9B" w:rsidRPr="00851EC7">
        <w:t xml:space="preserve"> (***)</w:t>
      </w:r>
      <w:r w:rsidRPr="00851EC7">
        <w:t xml:space="preserve"> - high urgency; Orange</w:t>
      </w:r>
      <w:r w:rsidR="00191A9B" w:rsidRPr="00851EC7">
        <w:t xml:space="preserve"> (**)</w:t>
      </w:r>
      <w:r w:rsidRPr="00851EC7">
        <w:t xml:space="preserve"> - medium urgency; Green</w:t>
      </w:r>
      <w:r w:rsidR="00191A9B" w:rsidRPr="00851EC7">
        <w:t xml:space="preserve"> (*)</w:t>
      </w:r>
      <w:r w:rsidRPr="00851EC7">
        <w:t xml:space="preserve"> - low urgency</w:t>
      </w:r>
    </w:p>
    <w:p w:rsidR="00045CAA" w:rsidRPr="00851EC7" w:rsidRDefault="00045CAA" w:rsidP="00775568">
      <w:pPr>
        <w:sectPr w:rsidR="00045CAA" w:rsidRPr="00851EC7" w:rsidSect="00045CAA">
          <w:pgSz w:w="16834" w:h="11909" w:orient="landscape" w:code="9"/>
          <w:pgMar w:top="1440" w:right="1440" w:bottom="1440" w:left="1440" w:header="432" w:footer="720" w:gutter="0"/>
          <w:pgNumType w:fmt="lowerRoman"/>
          <w:cols w:space="720"/>
          <w:docGrid w:linePitch="360"/>
        </w:sectPr>
      </w:pPr>
    </w:p>
    <w:p w:rsidR="00045CAA" w:rsidRPr="00851EC7" w:rsidRDefault="00045CAA" w:rsidP="00AD74D4">
      <w:pPr>
        <w:pStyle w:val="DividerStyle"/>
      </w:pPr>
      <w:r w:rsidRPr="00851EC7">
        <w:rPr>
          <w:noProof/>
          <w:lang w:eastAsia="en-AU"/>
        </w:rPr>
        <w:lastRenderedPageBreak/>
        <w:drawing>
          <wp:anchor distT="0" distB="0" distL="114300" distR="114300" simplePos="0" relativeHeight="251672576" behindDoc="1" locked="0" layoutInCell="1" allowOverlap="1" wp14:anchorId="453C2797" wp14:editId="2FC7ADF0">
            <wp:simplePos x="0" y="0"/>
            <wp:positionH relativeFrom="page">
              <wp:posOffset>-7620</wp:posOffset>
            </wp:positionH>
            <wp:positionV relativeFrom="page">
              <wp:posOffset>2540</wp:posOffset>
            </wp:positionV>
            <wp:extent cx="7580630" cy="10709275"/>
            <wp:effectExtent l="0" t="0" r="1270" b="0"/>
            <wp:wrapNone/>
            <wp:docPr id="11" name="Picture 11" descr="D:\WORK\EPOS AusAid\130212 FINAL\Templates 2\Reports\130228 Report Contents-Chapte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EPOS AusAid\130212 FINAL\Templates 2\Reports\130228 Report Contents-Chapter-Divid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80630" cy="1070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5CAA" w:rsidRPr="00851EC7" w:rsidRDefault="00045CAA" w:rsidP="00AD74D4">
      <w:pPr>
        <w:pStyle w:val="DividerStyle"/>
      </w:pPr>
    </w:p>
    <w:p w:rsidR="00045CAA" w:rsidRPr="00851EC7" w:rsidRDefault="00045CAA" w:rsidP="00AD74D4">
      <w:pPr>
        <w:pStyle w:val="DividerStyle"/>
      </w:pPr>
    </w:p>
    <w:p w:rsidR="00045CAA" w:rsidRPr="00851EC7" w:rsidRDefault="00045CAA" w:rsidP="00AD74D4">
      <w:pPr>
        <w:pStyle w:val="DividerStyle"/>
      </w:pPr>
    </w:p>
    <w:p w:rsidR="00045CAA" w:rsidRPr="00851EC7" w:rsidRDefault="00045CAA" w:rsidP="00AD74D4">
      <w:pPr>
        <w:pStyle w:val="DividerStyle"/>
      </w:pPr>
    </w:p>
    <w:p w:rsidR="00045CAA" w:rsidRPr="00851EC7" w:rsidRDefault="00045CAA" w:rsidP="00AD74D4">
      <w:pPr>
        <w:pStyle w:val="DividerStyle"/>
      </w:pPr>
    </w:p>
    <w:p w:rsidR="00045CAA" w:rsidRPr="00851EC7" w:rsidRDefault="00045CAA" w:rsidP="00AD74D4">
      <w:pPr>
        <w:pStyle w:val="DividerStyle"/>
      </w:pPr>
    </w:p>
    <w:p w:rsidR="00045CAA" w:rsidRPr="00851EC7" w:rsidRDefault="00045CAA" w:rsidP="00AD74D4">
      <w:pPr>
        <w:pStyle w:val="DividerStyle"/>
      </w:pPr>
    </w:p>
    <w:p w:rsidR="00045CAA" w:rsidRPr="00851EC7" w:rsidRDefault="00045CAA" w:rsidP="00AD74D4">
      <w:pPr>
        <w:pStyle w:val="DividerStyle"/>
      </w:pPr>
    </w:p>
    <w:p w:rsidR="00045CAA" w:rsidRPr="00851EC7" w:rsidRDefault="00045CAA" w:rsidP="00AD74D4">
      <w:pPr>
        <w:pStyle w:val="DividerStyle"/>
        <w:rPr>
          <w:i/>
          <w:sz w:val="32"/>
          <w:szCs w:val="32"/>
        </w:rPr>
      </w:pPr>
      <w:r w:rsidRPr="00851EC7">
        <w:t>Introduction, Approach and Methodology</w:t>
      </w:r>
    </w:p>
    <w:p w:rsidR="00045CAA" w:rsidRPr="00851EC7" w:rsidRDefault="00045CAA" w:rsidP="00775568">
      <w:pPr>
        <w:sectPr w:rsidR="00045CAA" w:rsidRPr="00851EC7" w:rsidSect="00693E96">
          <w:headerReference w:type="default" r:id="rId22"/>
          <w:footerReference w:type="default" r:id="rId23"/>
          <w:type w:val="oddPage"/>
          <w:pgSz w:w="11909" w:h="16834" w:code="9"/>
          <w:pgMar w:top="1440" w:right="1440" w:bottom="1440" w:left="1440" w:header="431" w:footer="720" w:gutter="0"/>
          <w:pgNumType w:start="1"/>
          <w:cols w:space="720"/>
          <w:docGrid w:linePitch="360"/>
        </w:sectPr>
      </w:pPr>
    </w:p>
    <w:p w:rsidR="00396227" w:rsidRPr="00851EC7" w:rsidRDefault="00396227" w:rsidP="007D685B">
      <w:pPr>
        <w:pStyle w:val="Heading1"/>
      </w:pPr>
      <w:bookmarkStart w:id="8" w:name="_Toc372401475"/>
      <w:bookmarkStart w:id="9" w:name="_Toc448156324"/>
      <w:r w:rsidRPr="007D685B">
        <w:lastRenderedPageBreak/>
        <w:t>Introduction</w:t>
      </w:r>
      <w:bookmarkEnd w:id="8"/>
      <w:bookmarkEnd w:id="9"/>
    </w:p>
    <w:p w:rsidR="00396227" w:rsidRPr="00851EC7" w:rsidRDefault="00396227" w:rsidP="00775568">
      <w:pPr>
        <w:pStyle w:val="Heading2"/>
      </w:pPr>
      <w:bookmarkStart w:id="10" w:name="_Toc372401476"/>
      <w:r w:rsidRPr="00851EC7">
        <w:t>The Education Partnership</w:t>
      </w:r>
      <w:bookmarkEnd w:id="10"/>
      <w:r w:rsidRPr="00851EC7">
        <w:t xml:space="preserve"> </w:t>
      </w:r>
    </w:p>
    <w:p w:rsidR="00F7738B" w:rsidRPr="00851EC7" w:rsidRDefault="00F7738B" w:rsidP="00F7738B">
      <w:pPr>
        <w:rPr>
          <w:rFonts w:asciiTheme="minorHAnsi" w:hAnsiTheme="minorHAnsi" w:cstheme="minorHAnsi"/>
        </w:rPr>
      </w:pPr>
      <w:r w:rsidRPr="00851EC7">
        <w:rPr>
          <w:rFonts w:asciiTheme="minorHAnsi" w:hAnsiTheme="minorHAnsi" w:cstheme="minorHAnsi"/>
        </w:rPr>
        <w:t xml:space="preserve">The Government of Australia (GoA) has </w:t>
      </w:r>
      <w:r>
        <w:rPr>
          <w:rFonts w:asciiTheme="minorHAnsi" w:hAnsiTheme="minorHAnsi" w:cstheme="minorHAnsi"/>
        </w:rPr>
        <w:t>invested</w:t>
      </w:r>
      <w:r w:rsidRPr="00851EC7">
        <w:rPr>
          <w:rFonts w:asciiTheme="minorHAnsi" w:hAnsiTheme="minorHAnsi" w:cstheme="minorHAnsi"/>
        </w:rPr>
        <w:t xml:space="preserve"> in Indonesia’s basic education sector for a number of years, most notably through the flagship AUD 395</w:t>
      </w:r>
      <w:r>
        <w:rPr>
          <w:rFonts w:asciiTheme="minorHAnsi" w:hAnsiTheme="minorHAnsi" w:cstheme="minorHAnsi"/>
        </w:rPr>
        <w:t>m</w:t>
      </w:r>
      <w:r w:rsidRPr="00851EC7">
        <w:rPr>
          <w:rFonts w:asciiTheme="minorHAnsi" w:hAnsiTheme="minorHAnsi" w:cstheme="minorHAnsi"/>
        </w:rPr>
        <w:t xml:space="preserve"> Australia Indonesia Basic Education Program (AIBEP) (2006-2011) and now through the Australia</w:t>
      </w:r>
      <w:r w:rsidR="000E480F">
        <w:rPr>
          <w:rFonts w:asciiTheme="minorHAnsi" w:hAnsiTheme="minorHAnsi" w:cstheme="minorHAnsi"/>
        </w:rPr>
        <w:t>’s</w:t>
      </w:r>
      <w:r w:rsidRPr="00851EC7">
        <w:rPr>
          <w:rFonts w:asciiTheme="minorHAnsi" w:hAnsiTheme="minorHAnsi" w:cstheme="minorHAnsi"/>
        </w:rPr>
        <w:t xml:space="preserve"> Education Partnership </w:t>
      </w:r>
      <w:r w:rsidR="000E480F">
        <w:rPr>
          <w:rFonts w:asciiTheme="minorHAnsi" w:hAnsiTheme="minorHAnsi" w:cstheme="minorHAnsi"/>
        </w:rPr>
        <w:t xml:space="preserve">with Indonesia </w:t>
      </w:r>
      <w:r w:rsidRPr="00851EC7">
        <w:rPr>
          <w:rFonts w:asciiTheme="minorHAnsi" w:hAnsiTheme="minorHAnsi" w:cstheme="minorHAnsi"/>
        </w:rPr>
        <w:t xml:space="preserve">(EP): a five-year, AUD </w:t>
      </w:r>
      <w:r>
        <w:rPr>
          <w:rFonts w:asciiTheme="minorHAnsi" w:hAnsiTheme="minorHAnsi" w:cstheme="minorHAnsi"/>
        </w:rPr>
        <w:t>368.8m</w:t>
      </w:r>
      <w:r w:rsidRPr="00851EC7">
        <w:rPr>
          <w:rStyle w:val="FootnoteReference"/>
          <w:rFonts w:cstheme="minorHAnsi"/>
        </w:rPr>
        <w:footnoteReference w:id="5"/>
      </w:r>
      <w:r w:rsidRPr="00851EC7">
        <w:rPr>
          <w:rFonts w:asciiTheme="minorHAnsi" w:hAnsiTheme="minorHAnsi" w:cstheme="minorHAnsi"/>
        </w:rPr>
        <w:t xml:space="preserve"> program that </w:t>
      </w:r>
      <w:r>
        <w:rPr>
          <w:rFonts w:asciiTheme="minorHAnsi" w:hAnsiTheme="minorHAnsi" w:cstheme="minorHAnsi"/>
        </w:rPr>
        <w:t>started in 2011 and which will finish in 2016/17.</w:t>
      </w:r>
      <w:r w:rsidRPr="00851EC7">
        <w:rPr>
          <w:rFonts w:asciiTheme="minorHAnsi" w:hAnsiTheme="minorHAnsi" w:cstheme="minorHAnsi"/>
        </w:rPr>
        <w:t xml:space="preserve"> </w:t>
      </w:r>
    </w:p>
    <w:p w:rsidR="00F7738B" w:rsidRPr="00851EC7" w:rsidRDefault="00F7738B" w:rsidP="00F7738B">
      <w:pPr>
        <w:rPr>
          <w:rFonts w:asciiTheme="minorHAnsi" w:hAnsiTheme="minorHAnsi" w:cstheme="minorHAnsi"/>
        </w:rPr>
      </w:pPr>
      <w:r>
        <w:rPr>
          <w:rFonts w:asciiTheme="minorHAnsi" w:hAnsiTheme="minorHAnsi" w:cstheme="minorHAnsi"/>
        </w:rPr>
        <w:t xml:space="preserve">Through the EP, </w:t>
      </w:r>
      <w:r w:rsidRPr="00851EC7">
        <w:rPr>
          <w:rFonts w:asciiTheme="minorHAnsi" w:hAnsiTheme="minorHAnsi" w:cstheme="minorHAnsi"/>
        </w:rPr>
        <w:t xml:space="preserve">Australia </w:t>
      </w:r>
      <w:r>
        <w:rPr>
          <w:rFonts w:asciiTheme="minorHAnsi" w:hAnsiTheme="minorHAnsi" w:cstheme="minorHAnsi"/>
        </w:rPr>
        <w:t>supports</w:t>
      </w:r>
      <w:r w:rsidRPr="00851EC7">
        <w:rPr>
          <w:rFonts w:asciiTheme="minorHAnsi" w:hAnsiTheme="minorHAnsi" w:cstheme="minorHAnsi"/>
        </w:rPr>
        <w:t xml:space="preserve"> the Government of Indonesia (GoI) to achieve its policy goals in relation to access, quality and governance of basic education (defined as primary and junior secondary education). The EP’s vision is to improve education service delivery in Indonesia. To achieve this, it focuses on three goals:</w:t>
      </w:r>
    </w:p>
    <w:p w:rsidR="00F7738B" w:rsidRPr="00851EC7" w:rsidRDefault="00F7738B" w:rsidP="0015009B">
      <w:pPr>
        <w:pStyle w:val="ListParagraph"/>
        <w:numPr>
          <w:ilvl w:val="0"/>
          <w:numId w:val="26"/>
        </w:numPr>
      </w:pPr>
      <w:r w:rsidRPr="00851EC7">
        <w:t xml:space="preserve">To increase participation in Junior Secondary Education (JSE) schooling. </w:t>
      </w:r>
    </w:p>
    <w:p w:rsidR="00F7738B" w:rsidRPr="00851EC7" w:rsidRDefault="00F7738B" w:rsidP="0015009B">
      <w:pPr>
        <w:pStyle w:val="ListParagraph"/>
        <w:numPr>
          <w:ilvl w:val="0"/>
          <w:numId w:val="26"/>
        </w:numPr>
      </w:pPr>
      <w:r w:rsidRPr="00851EC7">
        <w:t>To improve the quality of education in public and private schools, including Madrasah.</w:t>
      </w:r>
    </w:p>
    <w:p w:rsidR="00F7738B" w:rsidRPr="00851EC7" w:rsidRDefault="00F7738B" w:rsidP="0015009B">
      <w:pPr>
        <w:pStyle w:val="ListParagraph"/>
        <w:numPr>
          <w:ilvl w:val="0"/>
          <w:numId w:val="26"/>
        </w:numPr>
      </w:pPr>
      <w:r w:rsidRPr="00851EC7">
        <w:t>To improve sector governance through increased use of evidence for decision-making.</w:t>
      </w:r>
    </w:p>
    <w:p w:rsidR="00F7738B" w:rsidRPr="00851EC7" w:rsidRDefault="00F7738B" w:rsidP="00F7738B">
      <w:pPr>
        <w:rPr>
          <w:rFonts w:asciiTheme="minorHAnsi" w:hAnsiTheme="minorHAnsi" w:cstheme="minorHAnsi"/>
        </w:rPr>
      </w:pPr>
      <w:r w:rsidRPr="00851EC7">
        <w:rPr>
          <w:rFonts w:asciiTheme="minorHAnsi" w:hAnsiTheme="minorHAnsi" w:cstheme="minorHAnsi"/>
        </w:rPr>
        <w:t>The EP recognizes that these goals are aspirational and are influenced by a multitude of factors, many of which are outside the control or even direct influence of the Partnership. As such, the EP focuses its effort on the attainment of four End-of-Partnership-Outcomes (EOPOs):</w:t>
      </w:r>
    </w:p>
    <w:p w:rsidR="00F7738B" w:rsidRPr="00F7738B" w:rsidRDefault="00F7738B" w:rsidP="0015009B">
      <w:pPr>
        <w:pStyle w:val="ListParagraph"/>
        <w:numPr>
          <w:ilvl w:val="0"/>
          <w:numId w:val="27"/>
        </w:numPr>
        <w:rPr>
          <w:lang w:eastAsia="en-AU"/>
        </w:rPr>
      </w:pPr>
      <w:r w:rsidRPr="00F7738B">
        <w:rPr>
          <w:lang w:eastAsia="en-AU"/>
        </w:rPr>
        <w:t xml:space="preserve">Enrolment in JSE in participating districts increases (Component 1). </w:t>
      </w:r>
    </w:p>
    <w:p w:rsidR="00F7738B" w:rsidRPr="00F7738B" w:rsidRDefault="00F7738B" w:rsidP="0015009B">
      <w:pPr>
        <w:pStyle w:val="ListParagraph"/>
        <w:numPr>
          <w:ilvl w:val="0"/>
          <w:numId w:val="27"/>
        </w:numPr>
        <w:rPr>
          <w:lang w:eastAsia="en-AU"/>
        </w:rPr>
      </w:pPr>
      <w:r w:rsidRPr="00F7738B">
        <w:rPr>
          <w:lang w:eastAsia="en-AU"/>
        </w:rPr>
        <w:t xml:space="preserve">Management of schools and Madrasah improves in participating districts (Component 2). </w:t>
      </w:r>
    </w:p>
    <w:p w:rsidR="00F7738B" w:rsidRPr="00F7738B" w:rsidRDefault="00F7738B" w:rsidP="0015009B">
      <w:pPr>
        <w:pStyle w:val="ListParagraph"/>
        <w:numPr>
          <w:ilvl w:val="0"/>
          <w:numId w:val="27"/>
        </w:numPr>
        <w:rPr>
          <w:lang w:eastAsia="en-AU"/>
        </w:rPr>
      </w:pPr>
      <w:r w:rsidRPr="00F7738B">
        <w:rPr>
          <w:lang w:eastAsia="en-AU"/>
        </w:rPr>
        <w:t>Quality of Madrasah service provision improves (in line with National Education Standards) in targeted districts (Component 3).</w:t>
      </w:r>
    </w:p>
    <w:p w:rsidR="00F7738B" w:rsidRPr="00F7738B" w:rsidRDefault="00F7738B" w:rsidP="0015009B">
      <w:pPr>
        <w:pStyle w:val="ListParagraph"/>
        <w:numPr>
          <w:ilvl w:val="0"/>
          <w:numId w:val="27"/>
        </w:numPr>
        <w:rPr>
          <w:lang w:eastAsia="en-AU"/>
        </w:rPr>
      </w:pPr>
      <w:r w:rsidRPr="00F7738B">
        <w:rPr>
          <w:lang w:eastAsia="en-AU"/>
        </w:rPr>
        <w:t>ACDP evidence is incorporated in relevant education sector policies, regulations, plans and budgets (Component 4).</w:t>
      </w:r>
    </w:p>
    <w:p w:rsidR="00F7738B" w:rsidRPr="00851EC7" w:rsidRDefault="00F7738B" w:rsidP="00F7738B">
      <w:pPr>
        <w:rPr>
          <w:rFonts w:asciiTheme="minorHAnsi" w:hAnsiTheme="minorHAnsi" w:cstheme="minorHAnsi"/>
        </w:rPr>
      </w:pPr>
      <w:r w:rsidRPr="00851EC7">
        <w:rPr>
          <w:rFonts w:asciiTheme="minorHAnsi" w:hAnsiTheme="minorHAnsi" w:cstheme="minorHAnsi"/>
        </w:rPr>
        <w:t>These EOPOs describe the highest level of change over which the EP has significant influence (see the current</w:t>
      </w:r>
      <w:r w:rsidRPr="00851EC7">
        <w:rPr>
          <w:rStyle w:val="FootnoteReference"/>
          <w:rFonts w:cstheme="minorHAnsi"/>
        </w:rPr>
        <w:footnoteReference w:id="6"/>
      </w:r>
      <w:r w:rsidRPr="00851EC7">
        <w:rPr>
          <w:rFonts w:asciiTheme="minorHAnsi" w:hAnsiTheme="minorHAnsi" w:cstheme="minorHAnsi"/>
        </w:rPr>
        <w:t xml:space="preserve"> EP logic architecture in Annex I). The EP uses various modalities to deliver its support, e.g. earmarked budget support (Components 1 and 2), project delivery (Component 3), and technical assistance to GoI agencies (Components 1-4). </w:t>
      </w:r>
      <w:r>
        <w:rPr>
          <w:rFonts w:asciiTheme="minorHAnsi" w:hAnsiTheme="minorHAnsi" w:cstheme="minorHAnsi"/>
        </w:rPr>
        <w:t>From</w:t>
      </w:r>
      <w:r w:rsidRPr="00851EC7">
        <w:rPr>
          <w:rFonts w:asciiTheme="minorHAnsi" w:hAnsiTheme="minorHAnsi" w:cstheme="minorHAnsi"/>
        </w:rPr>
        <w:t xml:space="preserve"> late 2013</w:t>
      </w:r>
      <w:r>
        <w:rPr>
          <w:rFonts w:asciiTheme="minorHAnsi" w:hAnsiTheme="minorHAnsi" w:cstheme="minorHAnsi"/>
        </w:rPr>
        <w:t xml:space="preserve"> to the end of 2015</w:t>
      </w:r>
      <w:r w:rsidRPr="00851EC7">
        <w:rPr>
          <w:rFonts w:asciiTheme="minorHAnsi" w:hAnsiTheme="minorHAnsi" w:cstheme="minorHAnsi"/>
        </w:rPr>
        <w:t xml:space="preserve">, the majority of expenditure in Components 1 and 2 </w:t>
      </w:r>
      <w:r>
        <w:rPr>
          <w:rFonts w:asciiTheme="minorHAnsi" w:hAnsiTheme="minorHAnsi" w:cstheme="minorHAnsi"/>
        </w:rPr>
        <w:t>was</w:t>
      </w:r>
      <w:r w:rsidRPr="00851EC7">
        <w:rPr>
          <w:rFonts w:asciiTheme="minorHAnsi" w:hAnsiTheme="minorHAnsi" w:cstheme="minorHAnsi"/>
        </w:rPr>
        <w:t xml:space="preserve"> made through government systems.</w:t>
      </w:r>
    </w:p>
    <w:p w:rsidR="00396227" w:rsidRPr="00851EC7" w:rsidRDefault="00396227" w:rsidP="00775568">
      <w:pPr>
        <w:pStyle w:val="Heading2"/>
      </w:pPr>
      <w:bookmarkStart w:id="11" w:name="_Toc372401477"/>
      <w:r w:rsidRPr="00851EC7">
        <w:t xml:space="preserve">The Annual </w:t>
      </w:r>
      <w:r w:rsidR="00466FA8" w:rsidRPr="00851EC7">
        <w:t>Partnership Performance</w:t>
      </w:r>
      <w:r w:rsidRPr="00851EC7">
        <w:t xml:space="preserve"> Report</w:t>
      </w:r>
      <w:bookmarkEnd w:id="11"/>
    </w:p>
    <w:p w:rsidR="00396227" w:rsidRPr="00851EC7" w:rsidRDefault="00396227" w:rsidP="00775568">
      <w:pPr>
        <w:pStyle w:val="Heading3"/>
      </w:pPr>
      <w:bookmarkStart w:id="12" w:name="_Toc372401478"/>
      <w:r w:rsidRPr="00851EC7">
        <w:t>Objective</w:t>
      </w:r>
      <w:bookmarkEnd w:id="12"/>
    </w:p>
    <w:p w:rsidR="00F7738B" w:rsidRPr="00851EC7" w:rsidRDefault="00F7738B" w:rsidP="00F7738B">
      <w:pPr>
        <w:rPr>
          <w:rFonts w:asciiTheme="minorHAnsi" w:hAnsiTheme="minorHAnsi" w:cstheme="minorHAnsi"/>
        </w:rPr>
      </w:pPr>
      <w:bookmarkStart w:id="13" w:name="_Toc372401482"/>
      <w:r w:rsidRPr="00851EC7">
        <w:rPr>
          <w:rFonts w:asciiTheme="minorHAnsi" w:hAnsiTheme="minorHAnsi" w:cstheme="minorHAnsi"/>
        </w:rPr>
        <w:t xml:space="preserve">The EP remains Australia’s largest ever bilateral program. It is important that the program generates significant ‘developmental return’, that implementation is carefully scrutinized, and that results and lessons are captured, shared and fed into decision-making processes. The EP Performance Oversight </w:t>
      </w:r>
      <w:r w:rsidRPr="00851EC7">
        <w:rPr>
          <w:rFonts w:asciiTheme="minorHAnsi" w:hAnsiTheme="minorHAnsi" w:cstheme="minorHAnsi"/>
        </w:rPr>
        <w:lastRenderedPageBreak/>
        <w:t xml:space="preserve">and Monitoring (POM) team is charged with generating timely evidence and actionable recommendations so that the Australian Department </w:t>
      </w:r>
      <w:r w:rsidR="00F621BB">
        <w:rPr>
          <w:rFonts w:asciiTheme="minorHAnsi" w:hAnsiTheme="minorHAnsi" w:cstheme="minorHAnsi"/>
        </w:rPr>
        <w:t>of</w:t>
      </w:r>
      <w:r w:rsidR="00F621BB" w:rsidRPr="00851EC7">
        <w:rPr>
          <w:rFonts w:asciiTheme="minorHAnsi" w:hAnsiTheme="minorHAnsi" w:cstheme="minorHAnsi"/>
        </w:rPr>
        <w:t xml:space="preserve"> </w:t>
      </w:r>
      <w:r w:rsidRPr="00851EC7">
        <w:rPr>
          <w:rFonts w:asciiTheme="minorHAnsi" w:hAnsiTheme="minorHAnsi" w:cstheme="minorHAnsi"/>
        </w:rPr>
        <w:t>Foreign Affairs and Trade (DFAT) and its partners can safeguard Australia’s investment in the EP; improve EP management and implementation; strengthen education policy dialogue with the GoI; and guide future Australian investment in the Indonesian education sector.</w:t>
      </w:r>
    </w:p>
    <w:p w:rsidR="00F7738B" w:rsidRPr="00851EC7" w:rsidRDefault="00F7738B" w:rsidP="00F7738B">
      <w:pPr>
        <w:rPr>
          <w:rFonts w:asciiTheme="minorHAnsi" w:hAnsiTheme="minorHAnsi" w:cstheme="minorHAnsi"/>
        </w:rPr>
      </w:pPr>
      <w:r w:rsidRPr="00851EC7">
        <w:rPr>
          <w:rFonts w:asciiTheme="minorHAnsi" w:hAnsiTheme="minorHAnsi" w:cstheme="minorHAnsi"/>
        </w:rPr>
        <w:t xml:space="preserve">The Annual Partnership Performance Report (APPR) provides an objective assessment of program achievements, weaknesses, opportunities and challenges. As such, it speaks to DFAT’s aid scrutiny objectives, whilst also seeking to inform program management decisions and strategic dialogue between the Governments of Australia and of Indonesia about sector performance and emerging priorities. </w:t>
      </w:r>
    </w:p>
    <w:p w:rsidR="00F7738B" w:rsidRPr="00851EC7" w:rsidRDefault="00F7738B" w:rsidP="00F7738B">
      <w:pPr>
        <w:rPr>
          <w:rFonts w:asciiTheme="minorHAnsi" w:hAnsiTheme="minorHAnsi" w:cstheme="minorHAnsi"/>
        </w:rPr>
      </w:pPr>
      <w:r w:rsidRPr="00851EC7">
        <w:rPr>
          <w:rFonts w:asciiTheme="minorHAnsi" w:hAnsiTheme="minorHAnsi" w:cstheme="minorHAnsi"/>
        </w:rPr>
        <w:t>The 201</w:t>
      </w:r>
      <w:r>
        <w:rPr>
          <w:rFonts w:asciiTheme="minorHAnsi" w:hAnsiTheme="minorHAnsi" w:cstheme="minorHAnsi"/>
        </w:rPr>
        <w:t>5</w:t>
      </w:r>
      <w:r w:rsidRPr="00851EC7">
        <w:rPr>
          <w:rFonts w:asciiTheme="minorHAnsi" w:hAnsiTheme="minorHAnsi" w:cstheme="minorHAnsi"/>
        </w:rPr>
        <w:t xml:space="preserve"> APPR – POM’s </w:t>
      </w:r>
      <w:r>
        <w:rPr>
          <w:rFonts w:asciiTheme="minorHAnsi" w:hAnsiTheme="minorHAnsi" w:cstheme="minorHAnsi"/>
        </w:rPr>
        <w:t>fourth</w:t>
      </w:r>
      <w:r w:rsidRPr="00851EC7">
        <w:rPr>
          <w:rFonts w:asciiTheme="minorHAnsi" w:hAnsiTheme="minorHAnsi" w:cstheme="minorHAnsi"/>
        </w:rPr>
        <w:t xml:space="preserve">, full APPR of the EP – reports </w:t>
      </w:r>
      <w:r w:rsidR="00F621BB">
        <w:rPr>
          <w:rFonts w:asciiTheme="minorHAnsi" w:hAnsiTheme="minorHAnsi" w:cstheme="minorHAnsi"/>
        </w:rPr>
        <w:t xml:space="preserve">on </w:t>
      </w:r>
      <w:r w:rsidRPr="00851EC7">
        <w:rPr>
          <w:rFonts w:asciiTheme="minorHAnsi" w:hAnsiTheme="minorHAnsi" w:cstheme="minorHAnsi"/>
        </w:rPr>
        <w:t>and analyses program performance in 201</w:t>
      </w:r>
      <w:r>
        <w:rPr>
          <w:rFonts w:asciiTheme="minorHAnsi" w:hAnsiTheme="minorHAnsi" w:cstheme="minorHAnsi"/>
        </w:rPr>
        <w:t>5</w:t>
      </w:r>
      <w:r w:rsidRPr="00851EC7">
        <w:rPr>
          <w:rFonts w:asciiTheme="minorHAnsi" w:hAnsiTheme="minorHAnsi" w:cstheme="minorHAnsi"/>
        </w:rPr>
        <w:t>. It seeks to deliver:</w:t>
      </w:r>
    </w:p>
    <w:p w:rsidR="00F7738B" w:rsidRPr="00851EC7" w:rsidRDefault="00F7738B" w:rsidP="0015009B">
      <w:pPr>
        <w:pStyle w:val="ListParagraph"/>
        <w:numPr>
          <w:ilvl w:val="0"/>
          <w:numId w:val="28"/>
        </w:numPr>
      </w:pPr>
      <w:r w:rsidRPr="00851EC7">
        <w:t>A clear, concise and evidence-informed picture of achievements over the year.</w:t>
      </w:r>
    </w:p>
    <w:p w:rsidR="00F7738B" w:rsidRPr="00851EC7" w:rsidRDefault="00F7738B" w:rsidP="0015009B">
      <w:pPr>
        <w:pStyle w:val="ListParagraph"/>
        <w:numPr>
          <w:ilvl w:val="0"/>
          <w:numId w:val="28"/>
        </w:numPr>
      </w:pPr>
      <w:r w:rsidRPr="00851EC7">
        <w:t xml:space="preserve">A clear and concise commentary about concerns and possible challenges in </w:t>
      </w:r>
      <w:r>
        <w:t>2016 and beyond</w:t>
      </w:r>
      <w:r w:rsidRPr="00851EC7">
        <w:t>.</w:t>
      </w:r>
    </w:p>
    <w:p w:rsidR="00F7738B" w:rsidRDefault="00F7738B" w:rsidP="0015009B">
      <w:pPr>
        <w:pStyle w:val="ListParagraph"/>
        <w:numPr>
          <w:ilvl w:val="0"/>
          <w:numId w:val="28"/>
        </w:numPr>
      </w:pPr>
      <w:r w:rsidRPr="00851EC7">
        <w:t>A set of action-oriented recommendations.</w:t>
      </w:r>
    </w:p>
    <w:p w:rsidR="00F7738B" w:rsidRDefault="00F7738B" w:rsidP="00F7738B">
      <w:pPr>
        <w:rPr>
          <w:rFonts w:asciiTheme="minorHAnsi" w:hAnsiTheme="minorHAnsi" w:cstheme="minorHAnsi"/>
        </w:rPr>
      </w:pPr>
      <w:r w:rsidRPr="00A74CC7">
        <w:rPr>
          <w:rFonts w:asciiTheme="minorHAnsi" w:hAnsiTheme="minorHAnsi" w:cstheme="minorHAnsi"/>
        </w:rPr>
        <w:t xml:space="preserve">With Components 2 and 3 closing in June 2016, Component </w:t>
      </w:r>
      <w:r w:rsidR="00F621BB">
        <w:rPr>
          <w:rFonts w:asciiTheme="minorHAnsi" w:hAnsiTheme="minorHAnsi" w:cstheme="minorHAnsi"/>
        </w:rPr>
        <w:t xml:space="preserve">1 </w:t>
      </w:r>
      <w:r>
        <w:rPr>
          <w:rFonts w:asciiTheme="minorHAnsi" w:hAnsiTheme="minorHAnsi" w:cstheme="minorHAnsi"/>
        </w:rPr>
        <w:t>expected to close</w:t>
      </w:r>
      <w:r w:rsidRPr="00A74CC7">
        <w:rPr>
          <w:rFonts w:asciiTheme="minorHAnsi" w:hAnsiTheme="minorHAnsi" w:cstheme="minorHAnsi"/>
        </w:rPr>
        <w:t xml:space="preserve"> at the end of 2016</w:t>
      </w:r>
      <w:r>
        <w:rPr>
          <w:rStyle w:val="FootnoteReference"/>
          <w:rFonts w:cstheme="minorHAnsi"/>
        </w:rPr>
        <w:footnoteReference w:id="7"/>
      </w:r>
      <w:r w:rsidRPr="00A74CC7">
        <w:rPr>
          <w:rFonts w:asciiTheme="minorHAnsi" w:hAnsiTheme="minorHAnsi" w:cstheme="minorHAnsi"/>
        </w:rPr>
        <w:t xml:space="preserve"> and Component 4 concluding in mid-2017, the emphasis of the 2015 APPR differs a little to that of previous years. Where appropriate, the APPR </w:t>
      </w:r>
      <w:r w:rsidR="00BD4CD3">
        <w:rPr>
          <w:rFonts w:asciiTheme="minorHAnsi" w:hAnsiTheme="minorHAnsi" w:cstheme="minorHAnsi"/>
        </w:rPr>
        <w:t xml:space="preserve">is angled to measures that should improve </w:t>
      </w:r>
      <w:r w:rsidRPr="00A74CC7">
        <w:rPr>
          <w:rFonts w:asciiTheme="minorHAnsi" w:hAnsiTheme="minorHAnsi" w:cstheme="minorHAnsi"/>
        </w:rPr>
        <w:t xml:space="preserve">the </w:t>
      </w:r>
      <w:r w:rsidR="00BD4CD3">
        <w:rPr>
          <w:rFonts w:asciiTheme="minorHAnsi" w:hAnsiTheme="minorHAnsi" w:cstheme="minorHAnsi"/>
        </w:rPr>
        <w:t>efficiency</w:t>
      </w:r>
      <w:r w:rsidRPr="00A74CC7">
        <w:rPr>
          <w:rFonts w:asciiTheme="minorHAnsi" w:hAnsiTheme="minorHAnsi" w:cstheme="minorHAnsi"/>
        </w:rPr>
        <w:t xml:space="preserve"> of the EP. That is particularly the case insofar as Component 4 is concerned. However, elsewhere the emphasis shifts to informing GoI/GoA on the performance of the EP and</w:t>
      </w:r>
      <w:r>
        <w:rPr>
          <w:rFonts w:asciiTheme="minorHAnsi" w:hAnsiTheme="minorHAnsi" w:cstheme="minorHAnsi"/>
        </w:rPr>
        <w:t xml:space="preserve"> to identifying recommendations that should ensure optimal effectiveness, impact and sustainability. Equally, POM has sought to</w:t>
      </w:r>
      <w:r w:rsidRPr="00A74CC7">
        <w:rPr>
          <w:rFonts w:asciiTheme="minorHAnsi" w:hAnsiTheme="minorHAnsi" w:cstheme="minorHAnsi"/>
        </w:rPr>
        <w:t xml:space="preserve"> </w:t>
      </w:r>
      <w:r>
        <w:rPr>
          <w:rFonts w:asciiTheme="minorHAnsi" w:hAnsiTheme="minorHAnsi" w:cstheme="minorHAnsi"/>
        </w:rPr>
        <w:t xml:space="preserve">capture lessons that have relevance to DFAT’s </w:t>
      </w:r>
      <w:r w:rsidRPr="00A74CC7">
        <w:rPr>
          <w:rFonts w:asciiTheme="minorHAnsi" w:hAnsiTheme="minorHAnsi" w:cstheme="minorHAnsi"/>
        </w:rPr>
        <w:t>Forward Program</w:t>
      </w:r>
      <w:r w:rsidRPr="00A74CC7">
        <w:rPr>
          <w:rStyle w:val="FootnoteReference"/>
          <w:rFonts w:cstheme="minorHAnsi"/>
        </w:rPr>
        <w:footnoteReference w:id="8"/>
      </w:r>
      <w:r w:rsidRPr="00A74CC7">
        <w:rPr>
          <w:rFonts w:asciiTheme="minorHAnsi" w:hAnsiTheme="minorHAnsi" w:cstheme="minorHAnsi"/>
        </w:rPr>
        <w:t>, particularly in</w:t>
      </w:r>
      <w:r w:rsidR="00F621BB">
        <w:rPr>
          <w:rFonts w:asciiTheme="minorHAnsi" w:hAnsiTheme="minorHAnsi" w:cstheme="minorHAnsi"/>
        </w:rPr>
        <w:t xml:space="preserve"> relation to</w:t>
      </w:r>
      <w:r w:rsidRPr="00A74CC7">
        <w:rPr>
          <w:rFonts w:asciiTheme="minorHAnsi" w:hAnsiTheme="minorHAnsi" w:cstheme="minorHAnsi"/>
        </w:rPr>
        <w:t xml:space="preserve"> its design, delivery, management, governance and performance appraisal.</w:t>
      </w:r>
      <w:r>
        <w:rPr>
          <w:rFonts w:asciiTheme="minorHAnsi" w:hAnsiTheme="minorHAnsi" w:cstheme="minorHAnsi"/>
        </w:rPr>
        <w:t xml:space="preserve"> </w:t>
      </w:r>
    </w:p>
    <w:p w:rsidR="00F7738B" w:rsidRDefault="00F7738B" w:rsidP="00F7738B">
      <w:pPr>
        <w:rPr>
          <w:rFonts w:asciiTheme="minorHAnsi" w:hAnsiTheme="minorHAnsi" w:cstheme="minorHAnsi"/>
        </w:rPr>
      </w:pPr>
      <w:r>
        <w:rPr>
          <w:rFonts w:asciiTheme="minorHAnsi" w:hAnsiTheme="minorHAnsi" w:cstheme="minorHAnsi"/>
        </w:rPr>
        <w:t>This report is POM’s last APPR of the EP. In the second half of 2016 POM will prepare an Independent Completion Report of the EP.</w:t>
      </w:r>
      <w:r w:rsidRPr="00361DF6">
        <w:t xml:space="preserve"> </w:t>
      </w:r>
      <w:r>
        <w:t>The upcoming Independent Completion Report will pay particular attention to lesson sharing.</w:t>
      </w:r>
    </w:p>
    <w:p w:rsidR="00F7738B" w:rsidRDefault="00F7738B" w:rsidP="00F7738B">
      <w:pPr>
        <w:pStyle w:val="Heading3"/>
      </w:pPr>
      <w:bookmarkStart w:id="14" w:name="_Toc372401483"/>
      <w:r w:rsidRPr="00F7738B">
        <w:t>Approach</w:t>
      </w:r>
      <w:bookmarkEnd w:id="14"/>
    </w:p>
    <w:p w:rsidR="00F7738B" w:rsidRPr="009B1E53" w:rsidRDefault="00F7738B" w:rsidP="00F7738B">
      <w:pPr>
        <w:rPr>
          <w:rFonts w:asciiTheme="minorHAnsi" w:hAnsiTheme="minorHAnsi" w:cstheme="minorHAnsi"/>
        </w:rPr>
      </w:pPr>
      <w:r w:rsidRPr="00DD730E">
        <w:rPr>
          <w:rFonts w:asciiTheme="minorHAnsi" w:hAnsiTheme="minorHAnsi" w:cstheme="minorHAnsi"/>
        </w:rPr>
        <w:t xml:space="preserve">POM’s analysis of EP performance draws on </w:t>
      </w:r>
      <w:r w:rsidR="00F621BB">
        <w:rPr>
          <w:rFonts w:asciiTheme="minorHAnsi" w:hAnsiTheme="minorHAnsi" w:cstheme="minorHAnsi"/>
        </w:rPr>
        <w:t xml:space="preserve">the </w:t>
      </w:r>
      <w:r w:rsidRPr="00DD730E">
        <w:rPr>
          <w:rFonts w:asciiTheme="minorHAnsi" w:hAnsiTheme="minorHAnsi" w:cstheme="minorHAnsi"/>
        </w:rPr>
        <w:t xml:space="preserve">OECD’s DAC criteria of relevance, efficiency, effectiveness, impact and sustainability. As such, it also speaks to the requirements of GoA’s </w:t>
      </w:r>
      <w:r>
        <w:rPr>
          <w:rFonts w:asciiTheme="minorHAnsi" w:hAnsiTheme="minorHAnsi" w:cstheme="minorHAnsi"/>
        </w:rPr>
        <w:t>Investment Q</w:t>
      </w:r>
      <w:r w:rsidRPr="009B1E53">
        <w:rPr>
          <w:rFonts w:asciiTheme="minorHAnsi" w:hAnsiTheme="minorHAnsi" w:cstheme="minorHAnsi"/>
        </w:rPr>
        <w:t xml:space="preserve">uality </w:t>
      </w:r>
      <w:r>
        <w:rPr>
          <w:rFonts w:asciiTheme="minorHAnsi" w:hAnsiTheme="minorHAnsi" w:cstheme="minorHAnsi"/>
        </w:rPr>
        <w:t xml:space="preserve">Reporting (IQR) and the associated </w:t>
      </w:r>
      <w:r>
        <w:rPr>
          <w:rFonts w:asciiTheme="minorHAnsi" w:hAnsiTheme="minorHAnsi" w:cstheme="minorHAnsi"/>
        </w:rPr>
        <w:tab/>
        <w:t xml:space="preserve">Aid Quality Checks (AQC). </w:t>
      </w:r>
      <w:r w:rsidRPr="009B1E53">
        <w:rPr>
          <w:rFonts w:asciiTheme="minorHAnsi" w:hAnsiTheme="minorHAnsi" w:cstheme="minorHAnsi"/>
        </w:rPr>
        <w:t xml:space="preserve">Annex II explains the APPR interpretation of the DAC criteria and the Rating Scale used in this APPR is presented in Annex III. </w:t>
      </w:r>
    </w:p>
    <w:p w:rsidR="00F7738B" w:rsidRPr="00851EC7" w:rsidRDefault="00F7738B" w:rsidP="00F7738B">
      <w:pPr>
        <w:rPr>
          <w:rFonts w:asciiTheme="minorHAnsi" w:hAnsiTheme="minorHAnsi" w:cstheme="minorHAnsi"/>
        </w:rPr>
      </w:pPr>
      <w:r w:rsidRPr="00851EC7">
        <w:rPr>
          <w:rFonts w:asciiTheme="minorHAnsi" w:hAnsiTheme="minorHAnsi" w:cstheme="minorHAnsi"/>
        </w:rPr>
        <w:lastRenderedPageBreak/>
        <w:t xml:space="preserve">The performance of each EOPO is scored, using the same system and guidelines contained within GoA’s Independent Completion Reporting (ICR) framework. Scores </w:t>
      </w:r>
      <w:r>
        <w:rPr>
          <w:rFonts w:asciiTheme="minorHAnsi" w:hAnsiTheme="minorHAnsi" w:cstheme="minorHAnsi"/>
        </w:rPr>
        <w:t>from the</w:t>
      </w:r>
      <w:r w:rsidRPr="00851EC7">
        <w:rPr>
          <w:rFonts w:asciiTheme="minorHAnsi" w:hAnsiTheme="minorHAnsi" w:cstheme="minorHAnsi"/>
        </w:rPr>
        <w:t xml:space="preserve"> 2013 </w:t>
      </w:r>
      <w:r>
        <w:rPr>
          <w:rFonts w:asciiTheme="minorHAnsi" w:hAnsiTheme="minorHAnsi" w:cstheme="minorHAnsi"/>
        </w:rPr>
        <w:t xml:space="preserve">and 2014 APPRs </w:t>
      </w:r>
      <w:r w:rsidRPr="00851EC7">
        <w:rPr>
          <w:rFonts w:asciiTheme="minorHAnsi" w:hAnsiTheme="minorHAnsi" w:cstheme="minorHAnsi"/>
        </w:rPr>
        <w:t>are also presented such that the reader can see the evolution of component performance.</w:t>
      </w:r>
      <w:r>
        <w:rPr>
          <w:rFonts w:asciiTheme="minorHAnsi" w:hAnsiTheme="minorHAnsi" w:cstheme="minorHAnsi"/>
        </w:rPr>
        <w:t xml:space="preserve"> </w:t>
      </w:r>
    </w:p>
    <w:p w:rsidR="00F7738B" w:rsidRPr="00851EC7" w:rsidRDefault="00F7738B" w:rsidP="00F7738B">
      <w:pPr>
        <w:rPr>
          <w:rFonts w:asciiTheme="minorHAnsi" w:hAnsiTheme="minorHAnsi" w:cstheme="minorHAnsi"/>
        </w:rPr>
      </w:pPr>
      <w:r w:rsidRPr="00851EC7">
        <w:rPr>
          <w:rFonts w:asciiTheme="minorHAnsi" w:hAnsiTheme="minorHAnsi" w:cstheme="minorHAnsi"/>
        </w:rPr>
        <w:t xml:space="preserve">In 2013, POM believed it was too early to provide defensible scores in some cases, particularly in the case of </w:t>
      </w:r>
      <w:r w:rsidRPr="00851EC7">
        <w:rPr>
          <w:rFonts w:asciiTheme="minorHAnsi" w:hAnsiTheme="minorHAnsi" w:cstheme="minorHAnsi"/>
          <w:i/>
        </w:rPr>
        <w:t>impact</w:t>
      </w:r>
      <w:r w:rsidRPr="00851EC7">
        <w:rPr>
          <w:rFonts w:asciiTheme="minorHAnsi" w:hAnsiTheme="minorHAnsi" w:cstheme="minorHAnsi"/>
        </w:rPr>
        <w:t xml:space="preserve">, i.e. long-term change. </w:t>
      </w:r>
      <w:r>
        <w:rPr>
          <w:rFonts w:asciiTheme="minorHAnsi" w:hAnsiTheme="minorHAnsi" w:cstheme="minorHAnsi"/>
        </w:rPr>
        <w:t>For the last two years</w:t>
      </w:r>
      <w:r w:rsidRPr="00851EC7">
        <w:rPr>
          <w:rFonts w:asciiTheme="minorHAnsi" w:hAnsiTheme="minorHAnsi" w:cstheme="minorHAnsi"/>
        </w:rPr>
        <w:t xml:space="preserve"> POM has sought to score all criteria, though in some cases, such as </w:t>
      </w:r>
      <w:r w:rsidR="00F621BB">
        <w:rPr>
          <w:rFonts w:asciiTheme="minorHAnsi" w:hAnsiTheme="minorHAnsi" w:cstheme="minorHAnsi"/>
        </w:rPr>
        <w:t xml:space="preserve">for </w:t>
      </w:r>
      <w:r w:rsidRPr="00851EC7">
        <w:rPr>
          <w:rFonts w:asciiTheme="minorHAnsi" w:hAnsiTheme="minorHAnsi" w:cstheme="minorHAnsi"/>
        </w:rPr>
        <w:t xml:space="preserve">impact and sustainability, the score and the narrative speak to probability or likelihood. In all cases POM has scored the component and not the performance of individual implementing partners working within the component. </w:t>
      </w:r>
    </w:p>
    <w:p w:rsidR="00F7738B" w:rsidRPr="00851EC7" w:rsidRDefault="00F7738B" w:rsidP="00F7738B">
      <w:pPr>
        <w:pStyle w:val="Heading3"/>
      </w:pPr>
      <w:bookmarkStart w:id="15" w:name="_Toc372401484"/>
      <w:bookmarkStart w:id="16" w:name="_Ref448145487"/>
      <w:r w:rsidRPr="00F7738B">
        <w:t>Methodology</w:t>
      </w:r>
      <w:bookmarkEnd w:id="15"/>
      <w:bookmarkEnd w:id="16"/>
    </w:p>
    <w:p w:rsidR="00F7738B" w:rsidRPr="00851EC7" w:rsidRDefault="00F7738B" w:rsidP="00F7738B">
      <w:pPr>
        <w:rPr>
          <w:rFonts w:asciiTheme="minorHAnsi" w:hAnsiTheme="minorHAnsi" w:cstheme="minorHAnsi"/>
        </w:rPr>
      </w:pPr>
      <w:r w:rsidRPr="00851EC7">
        <w:rPr>
          <w:rFonts w:asciiTheme="minorHAnsi" w:hAnsiTheme="minorHAnsi" w:cstheme="minorHAnsi"/>
        </w:rPr>
        <w:t xml:space="preserve">The APPR assessment process was conducted in </w:t>
      </w:r>
      <w:r>
        <w:rPr>
          <w:rFonts w:asciiTheme="minorHAnsi" w:hAnsiTheme="minorHAnsi" w:cstheme="minorHAnsi"/>
        </w:rPr>
        <w:t>January-April</w:t>
      </w:r>
      <w:r w:rsidRPr="00851EC7">
        <w:rPr>
          <w:rFonts w:asciiTheme="minorHAnsi" w:hAnsiTheme="minorHAnsi" w:cstheme="minorHAnsi"/>
        </w:rPr>
        <w:t xml:space="preserve"> 201</w:t>
      </w:r>
      <w:r>
        <w:rPr>
          <w:rFonts w:asciiTheme="minorHAnsi" w:hAnsiTheme="minorHAnsi" w:cstheme="minorHAnsi"/>
        </w:rPr>
        <w:t>6</w:t>
      </w:r>
      <w:r w:rsidRPr="00851EC7">
        <w:rPr>
          <w:rFonts w:asciiTheme="minorHAnsi" w:hAnsiTheme="minorHAnsi" w:cstheme="minorHAnsi"/>
        </w:rPr>
        <w:t xml:space="preserve">. It contained </w:t>
      </w:r>
      <w:r>
        <w:rPr>
          <w:rFonts w:asciiTheme="minorHAnsi" w:hAnsiTheme="minorHAnsi" w:cstheme="minorHAnsi"/>
        </w:rPr>
        <w:t>eight</w:t>
      </w:r>
      <w:r w:rsidRPr="00851EC7">
        <w:rPr>
          <w:rFonts w:asciiTheme="minorHAnsi" w:hAnsiTheme="minorHAnsi" w:cstheme="minorHAnsi"/>
        </w:rPr>
        <w:t xml:space="preserve"> key steps:</w:t>
      </w:r>
    </w:p>
    <w:p w:rsidR="00F7738B" w:rsidRPr="00F7738B" w:rsidRDefault="00F7738B" w:rsidP="0015009B">
      <w:pPr>
        <w:pStyle w:val="ListParagraph"/>
        <w:numPr>
          <w:ilvl w:val="0"/>
          <w:numId w:val="29"/>
        </w:numPr>
        <w:rPr>
          <w:rFonts w:eastAsiaTheme="minorHAnsi"/>
        </w:rPr>
      </w:pPr>
      <w:r w:rsidRPr="00F7738B">
        <w:rPr>
          <w:rFonts w:eastAsiaTheme="minorHAnsi"/>
          <w:b/>
        </w:rPr>
        <w:t>Step 1: A critical appraisal and revision of the EP Analytical Framework</w:t>
      </w:r>
      <w:r w:rsidRPr="00F7738B">
        <w:rPr>
          <w:rFonts w:eastAsiaTheme="minorHAnsi"/>
        </w:rPr>
        <w:t xml:space="preserve"> (see Annex V).</w:t>
      </w:r>
    </w:p>
    <w:p w:rsidR="00F7738B" w:rsidRPr="00F7738B" w:rsidRDefault="00F7738B" w:rsidP="0015009B">
      <w:pPr>
        <w:pStyle w:val="ListParagraph"/>
        <w:numPr>
          <w:ilvl w:val="0"/>
          <w:numId w:val="29"/>
        </w:numPr>
        <w:rPr>
          <w:rFonts w:eastAsiaTheme="minorHAnsi"/>
          <w:sz w:val="24"/>
        </w:rPr>
      </w:pPr>
      <w:r w:rsidRPr="00F7738B">
        <w:rPr>
          <w:b/>
        </w:rPr>
        <w:t>Step 2: A desk review and screening</w:t>
      </w:r>
      <w:r w:rsidRPr="00851EC7">
        <w:t xml:space="preserve"> </w:t>
      </w:r>
      <w:r w:rsidRPr="00F7738B">
        <w:rPr>
          <w:szCs w:val="20"/>
        </w:rPr>
        <w:t xml:space="preserve">of </w:t>
      </w:r>
      <w:r w:rsidR="000A1E86">
        <w:t>key reports</w:t>
      </w:r>
      <w:r w:rsidRPr="00851EC7">
        <w:t xml:space="preserve"> related to EP performance that was submitted or received by POM in </w:t>
      </w:r>
      <w:r>
        <w:t>2015</w:t>
      </w:r>
      <w:r w:rsidRPr="00851EC7">
        <w:t xml:space="preserve"> (see Annex IV)</w:t>
      </w:r>
      <w:r w:rsidRPr="00F7738B">
        <w:rPr>
          <w:szCs w:val="20"/>
        </w:rPr>
        <w:t xml:space="preserve">. </w:t>
      </w:r>
    </w:p>
    <w:p w:rsidR="00F7738B" w:rsidRPr="00851EC7" w:rsidRDefault="00F7738B" w:rsidP="0015009B">
      <w:pPr>
        <w:pStyle w:val="ListParagraph"/>
        <w:numPr>
          <w:ilvl w:val="0"/>
          <w:numId w:val="29"/>
        </w:numPr>
      </w:pPr>
      <w:r w:rsidRPr="00F7738B">
        <w:rPr>
          <w:b/>
        </w:rPr>
        <w:t xml:space="preserve">Step 3: Semi-structured interviews with key </w:t>
      </w:r>
      <w:r w:rsidR="000A1E86">
        <w:rPr>
          <w:b/>
        </w:rPr>
        <w:t>stakeholders</w:t>
      </w:r>
      <w:r w:rsidRPr="00851EC7">
        <w:t xml:space="preserve">, with a view to further developing and testing POM’s understanding of key matters. Lines of enquiry drew on insights gleaned from the desk review (see Annex VI for a list of persons consulted and those approached but unavailable). </w:t>
      </w:r>
    </w:p>
    <w:p w:rsidR="00F7738B" w:rsidRPr="00851EC7" w:rsidRDefault="00F7738B" w:rsidP="0015009B">
      <w:pPr>
        <w:pStyle w:val="ListParagraph"/>
        <w:numPr>
          <w:ilvl w:val="0"/>
          <w:numId w:val="29"/>
        </w:numPr>
      </w:pPr>
      <w:r w:rsidRPr="00F7738B">
        <w:rPr>
          <w:b/>
        </w:rPr>
        <w:t>Step 4: An internal POM APPR workshop</w:t>
      </w:r>
      <w:r w:rsidRPr="00851EC7">
        <w:t xml:space="preserve"> in </w:t>
      </w:r>
      <w:r>
        <w:t>February 2016</w:t>
      </w:r>
      <w:r w:rsidRPr="00851EC7">
        <w:t xml:space="preserve"> during which POM staff identified and discussed key findings, messages and implications. </w:t>
      </w:r>
    </w:p>
    <w:p w:rsidR="00F7738B" w:rsidRPr="00851EC7" w:rsidRDefault="00F7738B" w:rsidP="0015009B">
      <w:pPr>
        <w:pStyle w:val="ListParagraph"/>
        <w:numPr>
          <w:ilvl w:val="0"/>
          <w:numId w:val="29"/>
        </w:numPr>
      </w:pPr>
      <w:r w:rsidRPr="00F7738B">
        <w:rPr>
          <w:b/>
        </w:rPr>
        <w:t xml:space="preserve">Step 5: A series of half-day Component and Program Oversight meetings with key </w:t>
      </w:r>
      <w:r w:rsidR="000A1E86">
        <w:rPr>
          <w:b/>
        </w:rPr>
        <w:t>representatives of i</w:t>
      </w:r>
      <w:r w:rsidRPr="00F7738B">
        <w:rPr>
          <w:b/>
        </w:rPr>
        <w:t>nstitutional and implementing partners</w:t>
      </w:r>
      <w:r w:rsidRPr="00851EC7">
        <w:t xml:space="preserve"> between </w:t>
      </w:r>
      <w:r w:rsidR="00497D1A">
        <w:t xml:space="preserve">03 March </w:t>
      </w:r>
      <w:r>
        <w:t>and 16 March 2016</w:t>
      </w:r>
      <w:r w:rsidRPr="00851EC7">
        <w:t xml:space="preserve"> during which emerging findings were presented and discussed. </w:t>
      </w:r>
    </w:p>
    <w:p w:rsidR="00F7738B" w:rsidRPr="00851EC7" w:rsidRDefault="00F7738B" w:rsidP="0015009B">
      <w:pPr>
        <w:pStyle w:val="ListParagraph"/>
        <w:numPr>
          <w:ilvl w:val="0"/>
          <w:numId w:val="29"/>
        </w:numPr>
      </w:pPr>
      <w:r w:rsidRPr="00F7738B">
        <w:rPr>
          <w:b/>
        </w:rPr>
        <w:t>Step 6: Circulation of draft Component</w:t>
      </w:r>
      <w:r w:rsidRPr="00851EC7">
        <w:t xml:space="preserve"> </w:t>
      </w:r>
      <w:r w:rsidRPr="000A1E86">
        <w:rPr>
          <w:b/>
        </w:rPr>
        <w:t>chapters to Component Managers</w:t>
      </w:r>
      <w:r w:rsidRPr="00851EC7">
        <w:t xml:space="preserve"> </w:t>
      </w:r>
      <w:r>
        <w:t xml:space="preserve">during week commencing 04 April 2016 </w:t>
      </w:r>
      <w:r w:rsidRPr="00851EC7">
        <w:t>for review, and specifically to correct any factual inaccuracies</w:t>
      </w:r>
      <w:r w:rsidR="0077380B">
        <w:rPr>
          <w:rStyle w:val="FootnoteReference"/>
        </w:rPr>
        <w:footnoteReference w:id="9"/>
      </w:r>
      <w:r w:rsidRPr="00851EC7">
        <w:t xml:space="preserve">. </w:t>
      </w:r>
    </w:p>
    <w:p w:rsidR="00F7738B" w:rsidRPr="00F7738B" w:rsidRDefault="00F7738B" w:rsidP="0015009B">
      <w:pPr>
        <w:pStyle w:val="ListParagraph"/>
        <w:numPr>
          <w:ilvl w:val="0"/>
          <w:numId w:val="29"/>
        </w:numPr>
        <w:rPr>
          <w:b/>
        </w:rPr>
      </w:pPr>
      <w:r w:rsidRPr="00F7738B">
        <w:rPr>
          <w:b/>
        </w:rPr>
        <w:t>Step 7: Production and submission of the Draft APPR to DFAT on 11 April 2016.</w:t>
      </w:r>
    </w:p>
    <w:p w:rsidR="00F7738B" w:rsidRPr="00851EC7" w:rsidRDefault="00F7738B" w:rsidP="0015009B">
      <w:pPr>
        <w:pStyle w:val="ListParagraph"/>
        <w:numPr>
          <w:ilvl w:val="0"/>
          <w:numId w:val="29"/>
        </w:numPr>
      </w:pPr>
      <w:r w:rsidRPr="00F7738B">
        <w:rPr>
          <w:b/>
        </w:rPr>
        <w:t>Step 8: Submission of the Final APPR to DFAT</w:t>
      </w:r>
      <w:r w:rsidRPr="00851EC7">
        <w:t xml:space="preserve"> following factual corrections on basis of comments received from DFAT.</w:t>
      </w:r>
    </w:p>
    <w:p w:rsidR="00F7738B" w:rsidRPr="00851EC7" w:rsidRDefault="00F7738B" w:rsidP="00F7738B">
      <w:pPr>
        <w:pStyle w:val="Heading3"/>
      </w:pPr>
      <w:bookmarkStart w:id="17" w:name="_Toc372401489"/>
      <w:r w:rsidRPr="00F7738B">
        <w:t>Caveats</w:t>
      </w:r>
      <w:r w:rsidRPr="00851EC7">
        <w:t xml:space="preserve"> and limitations</w:t>
      </w:r>
      <w:bookmarkEnd w:id="17"/>
      <w:r w:rsidRPr="00851EC7">
        <w:t xml:space="preserve"> </w:t>
      </w:r>
    </w:p>
    <w:p w:rsidR="00F7738B" w:rsidRPr="00851EC7" w:rsidRDefault="00F7738B" w:rsidP="00F7738B">
      <w:pPr>
        <w:rPr>
          <w:rFonts w:asciiTheme="minorHAnsi" w:hAnsiTheme="minorHAnsi" w:cstheme="minorHAnsi"/>
        </w:rPr>
      </w:pPr>
      <w:r w:rsidRPr="00851EC7">
        <w:rPr>
          <w:rFonts w:asciiTheme="minorHAnsi" w:hAnsiTheme="minorHAnsi" w:cstheme="minorHAnsi"/>
        </w:rPr>
        <w:t xml:space="preserve">Every effort has been made to present credible, robust and evidence-informed findings and recommendations. Nevertheless, there are always limitations. Of particular note is the absence of EP-wide performance data that speak to the content of the EP Performance Milestone Framework (PMF). </w:t>
      </w:r>
      <w:r>
        <w:rPr>
          <w:rFonts w:asciiTheme="minorHAnsi" w:hAnsiTheme="minorHAnsi" w:cstheme="minorHAnsi"/>
        </w:rPr>
        <w:t xml:space="preserve">This </w:t>
      </w:r>
      <w:r w:rsidR="00497D1A">
        <w:rPr>
          <w:rFonts w:asciiTheme="minorHAnsi" w:hAnsiTheme="minorHAnsi" w:cstheme="minorHAnsi"/>
        </w:rPr>
        <w:t xml:space="preserve">is </w:t>
      </w:r>
      <w:r>
        <w:rPr>
          <w:rFonts w:asciiTheme="minorHAnsi" w:hAnsiTheme="minorHAnsi" w:cstheme="minorHAnsi"/>
        </w:rPr>
        <w:t xml:space="preserve">particularly the case </w:t>
      </w:r>
      <w:r w:rsidR="00497D1A">
        <w:rPr>
          <w:rFonts w:asciiTheme="minorHAnsi" w:hAnsiTheme="minorHAnsi" w:cstheme="minorHAnsi"/>
        </w:rPr>
        <w:t xml:space="preserve">for </w:t>
      </w:r>
      <w:r>
        <w:rPr>
          <w:rFonts w:asciiTheme="minorHAnsi" w:hAnsiTheme="minorHAnsi" w:cstheme="minorHAnsi"/>
        </w:rPr>
        <w:t xml:space="preserve">Component 4, though it is noteworthy that Component 2 data </w:t>
      </w:r>
      <w:r w:rsidR="00497D1A">
        <w:rPr>
          <w:rFonts w:asciiTheme="minorHAnsi" w:hAnsiTheme="minorHAnsi" w:cstheme="minorHAnsi"/>
        </w:rPr>
        <w:t xml:space="preserve">are </w:t>
      </w:r>
      <w:r>
        <w:rPr>
          <w:rFonts w:asciiTheme="minorHAnsi" w:hAnsiTheme="minorHAnsi" w:cstheme="minorHAnsi"/>
        </w:rPr>
        <w:t xml:space="preserve">typically available to POM about </w:t>
      </w:r>
      <w:r w:rsidR="006A5BC6">
        <w:rPr>
          <w:rFonts w:asciiTheme="minorHAnsi" w:hAnsiTheme="minorHAnsi" w:cstheme="minorHAnsi"/>
        </w:rPr>
        <w:t>two</w:t>
      </w:r>
      <w:r>
        <w:rPr>
          <w:rFonts w:asciiTheme="minorHAnsi" w:hAnsiTheme="minorHAnsi" w:cstheme="minorHAnsi"/>
        </w:rPr>
        <w:t xml:space="preserve"> months after the event and sometimes with gaps</w:t>
      </w:r>
      <w:r w:rsidRPr="00851EC7">
        <w:rPr>
          <w:rFonts w:asciiTheme="minorHAnsi" w:hAnsiTheme="minorHAnsi" w:cstheme="minorHAnsi"/>
        </w:rPr>
        <w:t>.</w:t>
      </w:r>
    </w:p>
    <w:p w:rsidR="00F7738B" w:rsidRPr="00851EC7" w:rsidRDefault="00F7738B" w:rsidP="00F7738B">
      <w:pPr>
        <w:pStyle w:val="Heading2"/>
        <w:spacing w:before="120" w:line="240" w:lineRule="auto"/>
        <w:jc w:val="left"/>
      </w:pPr>
      <w:r w:rsidRPr="00851EC7">
        <w:t xml:space="preserve">Report structure </w:t>
      </w:r>
    </w:p>
    <w:p w:rsidR="00F7738B" w:rsidRPr="00851EC7" w:rsidRDefault="00F7738B" w:rsidP="00F7738B">
      <w:pPr>
        <w:rPr>
          <w:rFonts w:asciiTheme="minorHAnsi" w:hAnsiTheme="minorHAnsi" w:cstheme="minorHAnsi"/>
        </w:rPr>
      </w:pPr>
      <w:r w:rsidRPr="00851EC7">
        <w:rPr>
          <w:rFonts w:asciiTheme="minorHAnsi" w:hAnsiTheme="minorHAnsi" w:cstheme="minorHAnsi"/>
        </w:rPr>
        <w:t xml:space="preserve">The layout of the APPR seeks to present information in a succinct and logical manner. Guidance on the contents of the report has been taken from the Monitoring and Evaluation Standards developed by the DFAT-Jakarta Evaluation Capacity Building Program (ECBP). More specifically, this report </w:t>
      </w:r>
      <w:r w:rsidRPr="00851EC7">
        <w:rPr>
          <w:rFonts w:asciiTheme="minorHAnsi" w:hAnsiTheme="minorHAnsi" w:cstheme="minorHAnsi"/>
        </w:rPr>
        <w:lastRenderedPageBreak/>
        <w:t xml:space="preserve">includes, as Annex VII, an assessment of its compliance with the proposed features listed in ‘Standard 3: Initiative Progress Reporting’. </w:t>
      </w:r>
    </w:p>
    <w:p w:rsidR="00F7738B" w:rsidRPr="00851EC7" w:rsidRDefault="00F7738B" w:rsidP="00F7738B">
      <w:pPr>
        <w:rPr>
          <w:rFonts w:asciiTheme="minorHAnsi" w:hAnsiTheme="minorHAnsi" w:cstheme="minorHAnsi"/>
        </w:rPr>
      </w:pPr>
      <w:r w:rsidRPr="00851EC7">
        <w:rPr>
          <w:rFonts w:asciiTheme="minorHAnsi" w:hAnsiTheme="minorHAnsi" w:cstheme="minorHAnsi"/>
        </w:rPr>
        <w:t>The APPR is divided into three parts:</w:t>
      </w:r>
    </w:p>
    <w:p w:rsidR="00F7738B" w:rsidRPr="00851EC7" w:rsidRDefault="00F7738B" w:rsidP="0015009B">
      <w:pPr>
        <w:pStyle w:val="ListParagraph"/>
        <w:numPr>
          <w:ilvl w:val="0"/>
          <w:numId w:val="30"/>
        </w:numPr>
      </w:pPr>
      <w:r w:rsidRPr="00851EC7">
        <w:t xml:space="preserve">Part A </w:t>
      </w:r>
      <w:r w:rsidR="000A1E86">
        <w:t>focuses</w:t>
      </w:r>
      <w:r w:rsidRPr="00851EC7">
        <w:t xml:space="preserve"> on component-by-component performance: it considers the context in which the component operates; it highlights the achievements of the past year; it analyses progress and performance in relation to the DAC criteria of </w:t>
      </w:r>
      <w:r w:rsidR="00497D1A">
        <w:t xml:space="preserve">relevance, </w:t>
      </w:r>
      <w:r w:rsidRPr="00851EC7">
        <w:t>efficiency, effectiveness, impact</w:t>
      </w:r>
      <w:r w:rsidR="00497D1A">
        <w:t xml:space="preserve"> and </w:t>
      </w:r>
      <w:r w:rsidRPr="00851EC7">
        <w:t xml:space="preserve">sustainability; and it proposes recommendations for action in light of that analysis. </w:t>
      </w:r>
    </w:p>
    <w:p w:rsidR="00F7738B" w:rsidRPr="00851EC7" w:rsidRDefault="00F7738B" w:rsidP="0015009B">
      <w:pPr>
        <w:pStyle w:val="ListParagraph"/>
        <w:numPr>
          <w:ilvl w:val="0"/>
          <w:numId w:val="30"/>
        </w:numPr>
      </w:pPr>
      <w:r w:rsidRPr="00851EC7">
        <w:t xml:space="preserve">Part B </w:t>
      </w:r>
      <w:r w:rsidR="000A1E86">
        <w:t xml:space="preserve">examines </w:t>
      </w:r>
      <w:r w:rsidRPr="00851EC7">
        <w:t xml:space="preserve">program oversight, and specifically </w:t>
      </w:r>
      <w:r w:rsidR="00497D1A">
        <w:t>how</w:t>
      </w:r>
      <w:r w:rsidRPr="00851EC7">
        <w:t xml:space="preserve"> the </w:t>
      </w:r>
      <w:r>
        <w:t>management and governance of the EP</w:t>
      </w:r>
      <w:r w:rsidR="00497D1A">
        <w:t xml:space="preserve"> has affected individual component performance.</w:t>
      </w:r>
      <w:r w:rsidRPr="00851EC7">
        <w:t xml:space="preserve"> </w:t>
      </w:r>
    </w:p>
    <w:p w:rsidR="00F7738B" w:rsidRPr="00851EC7" w:rsidRDefault="00F7738B" w:rsidP="0015009B">
      <w:pPr>
        <w:pStyle w:val="ListParagraph"/>
        <w:numPr>
          <w:ilvl w:val="0"/>
          <w:numId w:val="30"/>
        </w:numPr>
      </w:pPr>
      <w:r w:rsidRPr="00851EC7">
        <w:t xml:space="preserve">Part C describes conclusions and presents a consolidated set of recommendations. </w:t>
      </w:r>
    </w:p>
    <w:p w:rsidR="00F7738B" w:rsidRPr="00851EC7" w:rsidRDefault="00F7738B" w:rsidP="00F7738B">
      <w:pPr>
        <w:rPr>
          <w:rFonts w:asciiTheme="minorHAnsi" w:hAnsiTheme="minorHAnsi" w:cstheme="minorHAnsi"/>
        </w:rPr>
      </w:pPr>
      <w:r w:rsidRPr="00851EC7">
        <w:rPr>
          <w:rFonts w:asciiTheme="minorHAnsi" w:hAnsiTheme="minorHAnsi" w:cstheme="minorHAnsi"/>
        </w:rPr>
        <w:t xml:space="preserve">Each recommendation in the APPR is accompanied by a nominated stakeholder who is assigned prime responsibility for implementation. Recommendations are presented </w:t>
      </w:r>
      <w:r w:rsidR="00497D1A">
        <w:rPr>
          <w:rFonts w:asciiTheme="minorHAnsi" w:hAnsiTheme="minorHAnsi" w:cstheme="minorHAnsi"/>
        </w:rPr>
        <w:t>using</w:t>
      </w:r>
      <w:r w:rsidR="00497D1A" w:rsidRPr="00851EC7">
        <w:rPr>
          <w:rFonts w:asciiTheme="minorHAnsi" w:hAnsiTheme="minorHAnsi" w:cstheme="minorHAnsi"/>
        </w:rPr>
        <w:t xml:space="preserve"> </w:t>
      </w:r>
      <w:r w:rsidRPr="00851EC7">
        <w:rPr>
          <w:rFonts w:asciiTheme="minorHAnsi" w:hAnsiTheme="minorHAnsi" w:cstheme="minorHAnsi"/>
        </w:rPr>
        <w:t>a colo</w:t>
      </w:r>
      <w:r w:rsidR="00497D1A">
        <w:rPr>
          <w:rFonts w:asciiTheme="minorHAnsi" w:hAnsiTheme="minorHAnsi" w:cstheme="minorHAnsi"/>
        </w:rPr>
        <w:t>u</w:t>
      </w:r>
      <w:r w:rsidRPr="00851EC7">
        <w:rPr>
          <w:rFonts w:asciiTheme="minorHAnsi" w:hAnsiTheme="minorHAnsi" w:cstheme="minorHAnsi"/>
        </w:rPr>
        <w:t>r-coded system that indicates the relative immediacy of the issue.</w:t>
      </w:r>
    </w:p>
    <w:p w:rsidR="00F7738B" w:rsidRPr="000A1E86" w:rsidRDefault="00F7738B" w:rsidP="000A1E86">
      <w:pPr>
        <w:rPr>
          <w:rFonts w:asciiTheme="minorHAnsi" w:hAnsiTheme="minorHAnsi" w:cstheme="minorHAnsi"/>
        </w:rPr>
      </w:pPr>
      <w:r w:rsidRPr="00851EC7">
        <w:rPr>
          <w:rFonts w:asciiTheme="minorHAnsi" w:hAnsiTheme="minorHAnsi" w:cstheme="minorHAnsi"/>
        </w:rPr>
        <w:t xml:space="preserve">Footnotes and endnotes are </w:t>
      </w:r>
      <w:r w:rsidR="00040C3F" w:rsidRPr="00851EC7">
        <w:rPr>
          <w:rFonts w:asciiTheme="minorHAnsi" w:hAnsiTheme="minorHAnsi" w:cstheme="minorHAnsi"/>
        </w:rPr>
        <w:t>utili</w:t>
      </w:r>
      <w:r w:rsidR="00040C3F">
        <w:rPr>
          <w:rFonts w:asciiTheme="minorHAnsi" w:hAnsiTheme="minorHAnsi" w:cstheme="minorHAnsi"/>
        </w:rPr>
        <w:t>s</w:t>
      </w:r>
      <w:r w:rsidR="00040C3F" w:rsidRPr="00851EC7">
        <w:rPr>
          <w:rFonts w:asciiTheme="minorHAnsi" w:hAnsiTheme="minorHAnsi" w:cstheme="minorHAnsi"/>
        </w:rPr>
        <w:t xml:space="preserve">ed </w:t>
      </w:r>
      <w:r w:rsidRPr="00851EC7">
        <w:rPr>
          <w:rFonts w:asciiTheme="minorHAnsi" w:hAnsiTheme="minorHAnsi" w:cstheme="minorHAnsi"/>
        </w:rPr>
        <w:t>throughout the document: footnotes are employed to provide clarification on a point; endnotes are employed to reference a source.</w:t>
      </w:r>
    </w:p>
    <w:p w:rsidR="00396227" w:rsidRPr="00851EC7" w:rsidRDefault="00396227" w:rsidP="00775568"/>
    <w:p w:rsidR="005A6E38" w:rsidRPr="00851EC7" w:rsidRDefault="005A6E38" w:rsidP="00775568">
      <w:pPr>
        <w:sectPr w:rsidR="005A6E38" w:rsidRPr="00851EC7" w:rsidSect="008F2D9C">
          <w:type w:val="oddPage"/>
          <w:pgSz w:w="11909" w:h="16834" w:code="9"/>
          <w:pgMar w:top="1440" w:right="1440" w:bottom="1440" w:left="1440" w:header="432" w:footer="720" w:gutter="0"/>
          <w:pgNumType w:start="1"/>
          <w:cols w:space="720"/>
          <w:docGrid w:linePitch="360"/>
        </w:sectPr>
      </w:pPr>
    </w:p>
    <w:bookmarkEnd w:id="13"/>
    <w:p w:rsidR="00743482" w:rsidRPr="00AD74D4" w:rsidRDefault="00AD74D4" w:rsidP="00AD74D4">
      <w:pPr>
        <w:pStyle w:val="DividerStyle"/>
      </w:pPr>
      <w:r w:rsidRPr="00851EC7">
        <w:rPr>
          <w:noProof/>
          <w:lang w:eastAsia="en-AU"/>
        </w:rPr>
        <w:lastRenderedPageBreak/>
        <w:drawing>
          <wp:anchor distT="0" distB="0" distL="114300" distR="114300" simplePos="0" relativeHeight="251677696" behindDoc="1" locked="0" layoutInCell="1" allowOverlap="1" wp14:anchorId="5A18E211" wp14:editId="07A57F1F">
            <wp:simplePos x="0" y="0"/>
            <wp:positionH relativeFrom="page">
              <wp:posOffset>-8626</wp:posOffset>
            </wp:positionH>
            <wp:positionV relativeFrom="page">
              <wp:posOffset>0</wp:posOffset>
            </wp:positionV>
            <wp:extent cx="7582618" cy="10705381"/>
            <wp:effectExtent l="0" t="0" r="0" b="1270"/>
            <wp:wrapNone/>
            <wp:docPr id="14" name="Picture 14" descr="D:\WORK\EPOS AusAid\130212 FINAL\Templates 2\Reports\130228 Report Contents-Chapte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EPOS AusAid\130212 FINAL\Templates 2\Reports\130228 Report Contents-Chapter-Divid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82618" cy="107053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6227" w:rsidRPr="00AD74D4" w:rsidRDefault="00396227" w:rsidP="00AD74D4">
      <w:pPr>
        <w:pStyle w:val="DividerStyle"/>
      </w:pPr>
    </w:p>
    <w:p w:rsidR="00DE0C5D" w:rsidRPr="00AD74D4" w:rsidRDefault="00DE0C5D" w:rsidP="00AD74D4">
      <w:pPr>
        <w:pStyle w:val="DividerStyle"/>
      </w:pPr>
    </w:p>
    <w:p w:rsidR="00DE0C5D" w:rsidRPr="00AD74D4" w:rsidRDefault="00DE0C5D" w:rsidP="00AD74D4">
      <w:pPr>
        <w:pStyle w:val="DividerStyle"/>
      </w:pPr>
    </w:p>
    <w:p w:rsidR="00DE0C5D" w:rsidRPr="00AD74D4" w:rsidRDefault="00DE0C5D" w:rsidP="00AD74D4">
      <w:pPr>
        <w:pStyle w:val="DividerStyle"/>
      </w:pPr>
    </w:p>
    <w:p w:rsidR="00DE0C5D" w:rsidRPr="00AD74D4" w:rsidRDefault="00DE0C5D" w:rsidP="00AD74D4">
      <w:pPr>
        <w:pStyle w:val="DividerStyle"/>
      </w:pPr>
    </w:p>
    <w:p w:rsidR="00DE0C5D" w:rsidRPr="00AD74D4" w:rsidRDefault="00DE0C5D" w:rsidP="00AD74D4">
      <w:pPr>
        <w:pStyle w:val="DividerStyle"/>
      </w:pPr>
    </w:p>
    <w:p w:rsidR="00DE0C5D" w:rsidRDefault="00DE0C5D" w:rsidP="00AD74D4">
      <w:pPr>
        <w:pStyle w:val="DividerStyle"/>
      </w:pPr>
    </w:p>
    <w:p w:rsidR="001D3402" w:rsidRPr="00AD74D4" w:rsidRDefault="001D3402" w:rsidP="00AD74D4">
      <w:pPr>
        <w:pStyle w:val="DividerStyle"/>
      </w:pPr>
    </w:p>
    <w:p w:rsidR="00DE0C5D" w:rsidRPr="00AD74D4" w:rsidRDefault="002D621D" w:rsidP="00AD74D4">
      <w:pPr>
        <w:pStyle w:val="DividerStyle"/>
      </w:pPr>
      <w:r w:rsidRPr="00AD74D4">
        <w:t xml:space="preserve">Part A: </w:t>
      </w:r>
    </w:p>
    <w:p w:rsidR="00DE0C5D" w:rsidRPr="00AD74D4" w:rsidRDefault="00062CCA" w:rsidP="00AD74D4">
      <w:pPr>
        <w:pStyle w:val="DividerStyle"/>
      </w:pPr>
      <w:r w:rsidRPr="00AD74D4">
        <w:t xml:space="preserve">Component performance </w:t>
      </w:r>
    </w:p>
    <w:p w:rsidR="00DE0C5D" w:rsidRPr="00851EC7" w:rsidRDefault="00DE0C5D" w:rsidP="00775568">
      <w:pPr>
        <w:sectPr w:rsidR="00DE0C5D" w:rsidRPr="00851EC7" w:rsidSect="00EE0C3E">
          <w:type w:val="oddPage"/>
          <w:pgSz w:w="11909" w:h="16834" w:code="9"/>
          <w:pgMar w:top="1440" w:right="1440" w:bottom="1440" w:left="1440" w:header="431" w:footer="720" w:gutter="0"/>
          <w:cols w:space="720"/>
          <w:noEndnote/>
          <w:docGrid w:linePitch="360"/>
        </w:sectPr>
      </w:pPr>
    </w:p>
    <w:p w:rsidR="00B33BC8" w:rsidRPr="00851EC7" w:rsidRDefault="00B33BC8" w:rsidP="00775568">
      <w:pPr>
        <w:pStyle w:val="Heading1"/>
      </w:pPr>
      <w:bookmarkStart w:id="18" w:name="_Toc375124627"/>
      <w:bookmarkStart w:id="19" w:name="_Toc448156325"/>
      <w:r w:rsidRPr="00851EC7">
        <w:lastRenderedPageBreak/>
        <w:t>Component 1: School Construction</w:t>
      </w:r>
      <w:bookmarkEnd w:id="18"/>
      <w:bookmarkEnd w:id="19"/>
    </w:p>
    <w:p w:rsidR="00B33BC8" w:rsidRPr="00851EC7" w:rsidRDefault="00B33BC8" w:rsidP="00775568">
      <w:pPr>
        <w:pStyle w:val="Heading2"/>
      </w:pPr>
      <w:bookmarkStart w:id="20" w:name="_Toc372401491"/>
      <w:r w:rsidRPr="00851EC7">
        <w:t>Introduction</w:t>
      </w:r>
      <w:bookmarkEnd w:id="20"/>
      <w:r w:rsidRPr="00851EC7">
        <w:t xml:space="preserve"> </w:t>
      </w:r>
    </w:p>
    <w:p w:rsidR="00B33BC8" w:rsidRDefault="00B33BC8" w:rsidP="00775568">
      <w:pPr>
        <w:pStyle w:val="Heading3"/>
      </w:pPr>
      <w:r w:rsidRPr="00851EC7">
        <w:t xml:space="preserve">The EP investment </w:t>
      </w:r>
    </w:p>
    <w:p w:rsidR="00736CD3" w:rsidRPr="00851EC7" w:rsidRDefault="00736CD3" w:rsidP="00736CD3">
      <w:r w:rsidRPr="00851EC7">
        <w:t xml:space="preserve">The Government of Australia </w:t>
      </w:r>
      <w:r w:rsidR="00497D1A">
        <w:t xml:space="preserve">is </w:t>
      </w:r>
      <w:r w:rsidR="008C685C">
        <w:t>support</w:t>
      </w:r>
      <w:r w:rsidR="00497D1A">
        <w:t>ing</w:t>
      </w:r>
      <w:r w:rsidR="008C685C">
        <w:t xml:space="preserve"> </w:t>
      </w:r>
      <w:r w:rsidR="00497D1A">
        <w:t xml:space="preserve">the Government of Indonesia </w:t>
      </w:r>
      <w:r w:rsidRPr="00851EC7">
        <w:t>to build up to 1,15</w:t>
      </w:r>
      <w:r>
        <w:t>5</w:t>
      </w:r>
      <w:r w:rsidRPr="00851EC7">
        <w:t xml:space="preserve"> new junior secondary schools (USBs) and one-roof junior secondary schools (SATAPs)</w:t>
      </w:r>
      <w:r>
        <w:t>,</w:t>
      </w:r>
      <w:r w:rsidRPr="00851EC7">
        <w:t xml:space="preserve"> creating up to 160,000 new student places between 2011 and 2016</w:t>
      </w:r>
      <w:r w:rsidRPr="002510D1">
        <w:rPr>
          <w:rStyle w:val="EndnoteReference"/>
        </w:rPr>
        <w:endnoteReference w:id="1"/>
      </w:r>
      <w:r w:rsidRPr="00851EC7">
        <w:rPr>
          <w:rFonts w:asciiTheme="minorHAnsi" w:hAnsiTheme="minorHAnsi" w:cstheme="minorHAnsi"/>
        </w:rPr>
        <w:t xml:space="preserve">. </w:t>
      </w:r>
      <w:r w:rsidRPr="00851EC7">
        <w:t>The resulting increase in available student places in participating districts (EOCO) is expected to lead to an increase in enrolment in Junior Secondary Education (JSE) in participating districts (EOPO).</w:t>
      </w:r>
    </w:p>
    <w:p w:rsidR="00736CD3" w:rsidRPr="00851EC7" w:rsidRDefault="00736CD3" w:rsidP="00736CD3">
      <w:r w:rsidRPr="00851EC7">
        <w:t>The supply of new JSE places is expected to provide (prospective) learners with improved physical access to JSE. The closer proximity of schools to households is also expected to reduce financial barriers to enrolment (costs of student transportation and/or lodging) and therefore enable continued and improved participation</w:t>
      </w:r>
      <w:r w:rsidRPr="00851EC7">
        <w:rPr>
          <w:rFonts w:cstheme="minorHAnsi"/>
          <w:vertAlign w:val="superscript"/>
        </w:rPr>
        <w:endnoteReference w:id="2"/>
      </w:r>
      <w:r w:rsidRPr="00851EC7">
        <w:t xml:space="preserve">. Within participating districts, the investment is expected to have an impact on JSE enrolment and retention rates, and rates of transition of students from primary to junior secondary school. </w:t>
      </w:r>
    </w:p>
    <w:p w:rsidR="00736CD3" w:rsidRPr="00851EC7" w:rsidRDefault="00736CD3" w:rsidP="00736CD3">
      <w:pPr>
        <w:rPr>
          <w:rFonts w:asciiTheme="minorHAnsi" w:hAnsiTheme="minorHAnsi" w:cstheme="minorHAnsi"/>
        </w:rPr>
      </w:pPr>
      <w:r w:rsidRPr="00851EC7">
        <w:t>The GoA seeks to focus its EP investment on districts with low junior secondary enrolment rates</w:t>
      </w:r>
      <w:r w:rsidRPr="00851EC7">
        <w:rPr>
          <w:rStyle w:val="FootnoteReference"/>
          <w:rFonts w:cstheme="minorHAnsi"/>
        </w:rPr>
        <w:footnoteReference w:id="10"/>
      </w:r>
      <w:r w:rsidRPr="00851EC7">
        <w:rPr>
          <w:rFonts w:asciiTheme="minorHAnsi" w:hAnsiTheme="minorHAnsi" w:cstheme="minorHAnsi"/>
        </w:rPr>
        <w:t xml:space="preserve"> </w:t>
      </w:r>
      <w:r w:rsidR="00DC3B76">
        <w:rPr>
          <w:rFonts w:asciiTheme="minorHAnsi" w:hAnsiTheme="minorHAnsi" w:cstheme="minorHAnsi"/>
        </w:rPr>
        <w:t>in order to</w:t>
      </w:r>
      <w:r w:rsidRPr="00851EC7">
        <w:t xml:space="preserve"> reduce inter-district disparities in enrolment rates. In doing so, it </w:t>
      </w:r>
      <w:r w:rsidR="00DC3B76">
        <w:t>aims</w:t>
      </w:r>
      <w:r w:rsidR="00DC3B76" w:rsidRPr="00851EC7">
        <w:t xml:space="preserve"> </w:t>
      </w:r>
      <w:r w:rsidRPr="00851EC7">
        <w:t>to make a contribution to the GoI target of increasing the percentage of districts with a JSE Gross Enrolment Rate (GER) of 90% or greater, to 85% by 2014 from 75% in 2011</w:t>
      </w:r>
      <w:r w:rsidRPr="00851EC7">
        <w:rPr>
          <w:rFonts w:asciiTheme="minorHAnsi" w:hAnsiTheme="minorHAnsi" w:cstheme="minorHAnsi"/>
          <w:vertAlign w:val="superscript"/>
        </w:rPr>
        <w:endnoteReference w:id="3"/>
      </w:r>
      <w:r w:rsidRPr="00851EC7">
        <w:rPr>
          <w:rFonts w:asciiTheme="minorHAnsi" w:hAnsiTheme="minorHAnsi" w:cstheme="minorHAnsi"/>
        </w:rPr>
        <w:t xml:space="preserve">. </w:t>
      </w:r>
      <w:r w:rsidRPr="00851EC7">
        <w:t xml:space="preserve">It also expects to assist </w:t>
      </w:r>
      <w:r w:rsidR="000A1E86">
        <w:t xml:space="preserve">GoI </w:t>
      </w:r>
      <w:r w:rsidRPr="00851EC7">
        <w:t xml:space="preserve">to deliver on its 2010-14 </w:t>
      </w:r>
      <w:r w:rsidRPr="006D4DD4">
        <w:rPr>
          <w:i/>
        </w:rPr>
        <w:t>Renstra</w:t>
      </w:r>
      <w:r w:rsidRPr="00851EC7">
        <w:t xml:space="preserve"> targets by improving access to nine years of basic education for boys and girls, and children with physical disabilities, in un-served and under-served areas of the country</w:t>
      </w:r>
      <w:r w:rsidRPr="00851EC7">
        <w:rPr>
          <w:rFonts w:cstheme="minorHAnsi"/>
          <w:vertAlign w:val="superscript"/>
        </w:rPr>
        <w:endnoteReference w:id="4"/>
      </w:r>
      <w:r w:rsidRPr="00851EC7">
        <w:rPr>
          <w:rFonts w:asciiTheme="minorHAnsi" w:hAnsiTheme="minorHAnsi" w:cstheme="minorHAnsi"/>
        </w:rPr>
        <w:t xml:space="preserve">. </w:t>
      </w:r>
    </w:p>
    <w:p w:rsidR="00736CD3" w:rsidRPr="00851EC7" w:rsidRDefault="00736CD3" w:rsidP="00736CD3">
      <w:pPr>
        <w:rPr>
          <w:rFonts w:asciiTheme="minorHAnsi" w:hAnsiTheme="minorHAnsi" w:cstheme="minorHAnsi"/>
        </w:rPr>
      </w:pPr>
      <w:r w:rsidRPr="00851EC7">
        <w:t>Component 1 does not expect to deliver systemic change</w:t>
      </w:r>
      <w:r w:rsidRPr="00851EC7">
        <w:rPr>
          <w:rFonts w:ascii="Times New Roman" w:hAnsi="Times New Roman" w:cstheme="minorHAnsi"/>
          <w:vertAlign w:val="superscript"/>
        </w:rPr>
        <w:footnoteReference w:id="11"/>
      </w:r>
      <w:r w:rsidRPr="00851EC7">
        <w:rPr>
          <w:rFonts w:asciiTheme="minorHAnsi" w:hAnsiTheme="minorHAnsi" w:cstheme="minorHAnsi"/>
        </w:rPr>
        <w:t xml:space="preserve"> </w:t>
      </w:r>
      <w:r w:rsidRPr="00851EC7">
        <w:t xml:space="preserve">in government policy, planning and service delivery, </w:t>
      </w:r>
      <w:r w:rsidR="0088004F">
        <w:t>al</w:t>
      </w:r>
      <w:r w:rsidRPr="00851EC7">
        <w:t xml:space="preserve">though indirect benefits may accrue. The primary output is the construction of new schools and the additional places they offer learners, with the expectation that increased enrolment (the expected </w:t>
      </w:r>
      <w:r w:rsidR="000A1E86">
        <w:t>EOPO</w:t>
      </w:r>
      <w:r w:rsidRPr="00851EC7">
        <w:t>) and sustained participation (the expected goal) will follow</w:t>
      </w:r>
      <w:r w:rsidRPr="00851EC7">
        <w:rPr>
          <w:rFonts w:asciiTheme="minorHAnsi" w:hAnsiTheme="minorHAnsi" w:cstheme="minorHAnsi"/>
        </w:rPr>
        <w:t>.</w:t>
      </w:r>
    </w:p>
    <w:p w:rsidR="00736CD3" w:rsidRPr="00851EC7" w:rsidRDefault="00736CD3" w:rsidP="00736CD3">
      <w:pPr>
        <w:rPr>
          <w:rFonts w:asciiTheme="minorHAnsi" w:hAnsiTheme="minorHAnsi" w:cstheme="minorHAnsi"/>
        </w:rPr>
      </w:pPr>
      <w:r w:rsidRPr="00851EC7">
        <w:t xml:space="preserve">All schools are expected to be fully operational within six months </w:t>
      </w:r>
      <w:r>
        <w:t>of</w:t>
      </w:r>
      <w:r w:rsidRPr="00851EC7">
        <w:t xml:space="preserve"> completion of construction, and be capable of delivering effective formal and non-formal education services</w:t>
      </w:r>
      <w:r w:rsidRPr="00851EC7">
        <w:rPr>
          <w:rFonts w:cstheme="minorHAnsi"/>
          <w:vertAlign w:val="superscript"/>
        </w:rPr>
        <w:endnoteReference w:id="5"/>
      </w:r>
      <w:r w:rsidRPr="00851EC7">
        <w:t>. This expectation requires that the schools be fully staffed and equipped (e.g. with laboratory equipment and books), and have accessed the necessary GoI operational funds to run and maintain the schools</w:t>
      </w:r>
      <w:r w:rsidRPr="00851EC7">
        <w:rPr>
          <w:rFonts w:asciiTheme="minorHAnsi" w:hAnsiTheme="minorHAnsi" w:cstheme="minorHAnsi"/>
          <w:vertAlign w:val="superscript"/>
        </w:rPr>
        <w:endnoteReference w:id="6"/>
      </w:r>
      <w:r w:rsidRPr="00851EC7">
        <w:rPr>
          <w:rFonts w:asciiTheme="minorHAnsi" w:hAnsiTheme="minorHAnsi" w:cstheme="minorHAnsi"/>
        </w:rPr>
        <w:t xml:space="preserve">. </w:t>
      </w:r>
      <w:r w:rsidRPr="00851EC7">
        <w:t>The Grant Agreement between GoA and GoI provides for the SATAPs to receive an initial “start-up” grant upon school completion to ensure smooth initial operations; the USBs do not have the same entitlement</w:t>
      </w:r>
      <w:r w:rsidRPr="00851EC7">
        <w:rPr>
          <w:rFonts w:asciiTheme="minorHAnsi" w:hAnsiTheme="minorHAnsi" w:cstheme="minorHAnsi"/>
        </w:rPr>
        <w:t>.</w:t>
      </w:r>
    </w:p>
    <w:p w:rsidR="00B33BC8" w:rsidRDefault="00B33BC8" w:rsidP="00775568">
      <w:pPr>
        <w:pStyle w:val="Heading3"/>
      </w:pPr>
      <w:bookmarkStart w:id="21" w:name="_Toc372401496"/>
      <w:r w:rsidRPr="00851EC7">
        <w:t>The delivery mechanisms and support provided by the EP</w:t>
      </w:r>
      <w:bookmarkEnd w:id="21"/>
    </w:p>
    <w:p w:rsidR="00736CD3" w:rsidRPr="00851EC7" w:rsidRDefault="00736CD3" w:rsidP="00736CD3">
      <w:pPr>
        <w:rPr>
          <w:rFonts w:asciiTheme="minorHAnsi" w:hAnsiTheme="minorHAnsi" w:cstheme="minorHAnsi"/>
        </w:rPr>
      </w:pPr>
      <w:r w:rsidRPr="00851EC7">
        <w:t>Support provided through Component 1 is delivered through a combination of technical assistance and budget support to MoEC</w:t>
      </w:r>
      <w:r w:rsidRPr="00851EC7">
        <w:rPr>
          <w:rFonts w:cstheme="minorHAnsi"/>
          <w:vertAlign w:val="superscript"/>
        </w:rPr>
        <w:endnoteReference w:id="7"/>
      </w:r>
      <w:r w:rsidRPr="00851EC7">
        <w:rPr>
          <w:rFonts w:asciiTheme="minorHAnsi" w:hAnsiTheme="minorHAnsi" w:cstheme="minorHAnsi"/>
        </w:rPr>
        <w:t xml:space="preserve">. </w:t>
      </w:r>
      <w:r w:rsidRPr="00851EC7">
        <w:t xml:space="preserve">Technical assistance and training are provided by the managing </w:t>
      </w:r>
      <w:r w:rsidRPr="00851EC7">
        <w:lastRenderedPageBreak/>
        <w:t>contractor that holds the School Systems and Quality (SSQ) contract. Funding for school construction is channelled through GoI systems</w:t>
      </w:r>
      <w:r w:rsidR="0088004F">
        <w:t xml:space="preserve">. Consequently, </w:t>
      </w:r>
      <w:r w:rsidRPr="00851EC7">
        <w:t>overall responsibility for the construction process lies with MoEC</w:t>
      </w:r>
      <w:r w:rsidRPr="00851EC7">
        <w:rPr>
          <w:rFonts w:asciiTheme="minorHAnsi" w:hAnsiTheme="minorHAnsi" w:cstheme="minorHAnsi"/>
        </w:rPr>
        <w:t>.</w:t>
      </w:r>
    </w:p>
    <w:p w:rsidR="00736CD3" w:rsidRPr="00851EC7" w:rsidRDefault="0088004F" w:rsidP="00736CD3">
      <w:pPr>
        <w:rPr>
          <w:rFonts w:asciiTheme="minorHAnsi" w:hAnsiTheme="minorHAnsi" w:cstheme="minorHAnsi"/>
        </w:rPr>
      </w:pPr>
      <w:r>
        <w:t>Given</w:t>
      </w:r>
      <w:r w:rsidRPr="00851EC7">
        <w:t xml:space="preserve"> </w:t>
      </w:r>
      <w:r w:rsidR="00736CD3" w:rsidRPr="00851EC7">
        <w:t>that context, GoA provides</w:t>
      </w:r>
      <w:r w:rsidR="00736CD3" w:rsidRPr="00851EC7">
        <w:rPr>
          <w:rFonts w:asciiTheme="minorHAnsi" w:hAnsiTheme="minorHAnsi" w:cstheme="minorHAnsi"/>
        </w:rPr>
        <w:t>:</w:t>
      </w:r>
    </w:p>
    <w:p w:rsidR="00736CD3" w:rsidRPr="00851EC7" w:rsidRDefault="00736CD3" w:rsidP="00736CD3">
      <w:pPr>
        <w:pStyle w:val="ScoreParagraph"/>
        <w:rPr>
          <w:rFonts w:asciiTheme="minorHAnsi" w:hAnsiTheme="minorHAnsi" w:cstheme="minorHAnsi"/>
        </w:rPr>
      </w:pPr>
      <w:r w:rsidRPr="00851EC7">
        <w:t>AUD 1</w:t>
      </w:r>
      <w:r w:rsidR="006C437F">
        <w:t>5</w:t>
      </w:r>
      <w:r w:rsidR="00D2526D">
        <w:t>6</w:t>
      </w:r>
      <w:r w:rsidRPr="00851EC7">
        <w:t>m of grants</w:t>
      </w:r>
      <w:r w:rsidRPr="00851EC7">
        <w:rPr>
          <w:rFonts w:cstheme="minorHAnsi"/>
          <w:vertAlign w:val="superscript"/>
        </w:rPr>
        <w:endnoteReference w:id="8"/>
      </w:r>
      <w:r w:rsidRPr="00851EC7">
        <w:rPr>
          <w:rFonts w:cstheme="minorHAnsi"/>
          <w:vertAlign w:val="superscript"/>
        </w:rPr>
        <w:t xml:space="preserve"> </w:t>
      </w:r>
      <w:r w:rsidRPr="00851EC7">
        <w:t>to fund the community-based JSE school construction.</w:t>
      </w:r>
      <w:r w:rsidRPr="00851EC7">
        <w:rPr>
          <w:rFonts w:asciiTheme="minorHAnsi" w:hAnsiTheme="minorHAnsi" w:cstheme="minorHAnsi"/>
        </w:rPr>
        <w:t xml:space="preserve"> </w:t>
      </w:r>
    </w:p>
    <w:p w:rsidR="00736CD3" w:rsidRPr="00851EC7" w:rsidRDefault="00736CD3" w:rsidP="00736CD3">
      <w:pPr>
        <w:pStyle w:val="ScoreParagraph"/>
      </w:pPr>
      <w:r w:rsidRPr="00851EC7">
        <w:t xml:space="preserve">Technical assistance and training to MoEC, School Construction Committees (SCCs) and District Education Officials (DEOs) concerning site selection and subsequent monitoring of school construction. </w:t>
      </w:r>
    </w:p>
    <w:p w:rsidR="00736CD3" w:rsidRPr="00851EC7" w:rsidRDefault="00736CD3" w:rsidP="00736CD3">
      <w:pPr>
        <w:pStyle w:val="ScoreParagraph"/>
      </w:pPr>
      <w:r w:rsidRPr="00851EC7">
        <w:t xml:space="preserve">Training in </w:t>
      </w:r>
      <w:r w:rsidR="008C685C">
        <w:t>School-Based Management (SBM)</w:t>
      </w:r>
      <w:r w:rsidR="008C685C" w:rsidRPr="00851EC7">
        <w:t xml:space="preserve"> </w:t>
      </w:r>
      <w:r w:rsidRPr="00851EC7">
        <w:t>for principals, school committees, DEOs and community members through the New</w:t>
      </w:r>
      <w:r>
        <w:t xml:space="preserve"> School Induction Program (NSIP). N</w:t>
      </w:r>
      <w:r w:rsidR="0088004F">
        <w:t>SI</w:t>
      </w:r>
      <w:r>
        <w:t>P training was limited to the first two cycles of the program (2011-2014).</w:t>
      </w:r>
    </w:p>
    <w:p w:rsidR="00736CD3" w:rsidRPr="00851EC7" w:rsidRDefault="00736CD3" w:rsidP="00736CD3">
      <w:pPr>
        <w:pStyle w:val="ScoreParagraph"/>
      </w:pPr>
      <w:r w:rsidRPr="00851EC7">
        <w:t>Support to the establishment and implementation of a MoEC-managed Complaint</w:t>
      </w:r>
      <w:r w:rsidR="000A1E86">
        <w:t>s</w:t>
      </w:r>
      <w:r w:rsidRPr="00851EC7">
        <w:t xml:space="preserve"> Handling System (CHS).</w:t>
      </w:r>
    </w:p>
    <w:p w:rsidR="00736CD3" w:rsidRPr="00851EC7" w:rsidRDefault="00736CD3" w:rsidP="00736CD3">
      <w:pPr>
        <w:pStyle w:val="ScoreParagraph"/>
      </w:pPr>
      <w:r w:rsidRPr="00851EC7">
        <w:t xml:space="preserve">Financing </w:t>
      </w:r>
      <w:r w:rsidR="0088004F">
        <w:t>for</w:t>
      </w:r>
      <w:r w:rsidR="0088004F" w:rsidRPr="00851EC7">
        <w:t xml:space="preserve"> </w:t>
      </w:r>
      <w:r w:rsidRPr="00851EC7">
        <w:t>supplementary independent audits.</w:t>
      </w:r>
    </w:p>
    <w:p w:rsidR="00B33BC8" w:rsidRDefault="00B33BC8" w:rsidP="00775568">
      <w:pPr>
        <w:pStyle w:val="Heading2"/>
      </w:pPr>
      <w:bookmarkStart w:id="22" w:name="_Ref448145111"/>
      <w:r w:rsidRPr="00851EC7">
        <w:t>Context</w:t>
      </w:r>
      <w:bookmarkEnd w:id="22"/>
    </w:p>
    <w:p w:rsidR="00736CD3" w:rsidRDefault="00736CD3" w:rsidP="00736CD3">
      <w:r>
        <w:t>The context in which C1 operated during 2015 was a changing one. The reformulation of GoA’s overseas aid framework – the so-called ‘new aid paradigm’ – signalled a shift away from Working in Partner Systems (WiPS) and direct service provision. While policy changes did not seek to adjust the basis of existing WiPS-based programs such as C1, arrangements were subjected to intensified risk analysis to enhance the accountability of overseas aid spending</w:t>
      </w:r>
      <w:r w:rsidR="008C685C">
        <w:t xml:space="preserve"> in line with policy</w:t>
      </w:r>
      <w:r>
        <w:rPr>
          <w:rStyle w:val="FootnoteReference"/>
        </w:rPr>
        <w:footnoteReference w:id="12"/>
      </w:r>
      <w:r>
        <w:t>.</w:t>
      </w:r>
    </w:p>
    <w:p w:rsidR="00736CD3" w:rsidRDefault="00736CD3" w:rsidP="00736CD3">
      <w:r>
        <w:t xml:space="preserve">The operating context was also affected by staffing changes on both sides of the Partnership. The </w:t>
      </w:r>
      <w:r w:rsidR="008C685C">
        <w:t>E</w:t>
      </w:r>
      <w:r>
        <w:t xml:space="preserve">mbassy’s </w:t>
      </w:r>
      <w:r w:rsidR="008C685C">
        <w:t xml:space="preserve">Basic </w:t>
      </w:r>
      <w:r>
        <w:t>Education Unit experienced a number of staffing changes, which included the departure of staff with significant institutional knowledge of C1. On the GoI side, 2015 saw the implementation of structural reforms introduced by the new Minister of Education</w:t>
      </w:r>
      <w:r w:rsidR="00D92E25">
        <w:t xml:space="preserve"> and Culture</w:t>
      </w:r>
      <w:r>
        <w:t xml:space="preserve"> (appointed in 2014). For C1, these reforms </w:t>
      </w:r>
      <w:r w:rsidR="00D92E25">
        <w:t xml:space="preserve">had </w:t>
      </w:r>
      <w:r>
        <w:t>significant implications</w:t>
      </w:r>
      <w:r w:rsidR="00D92E25">
        <w:t xml:space="preserve">, not least of which was </w:t>
      </w:r>
      <w:r>
        <w:t xml:space="preserve">the appointment of new </w:t>
      </w:r>
      <w:r w:rsidR="00D92E25">
        <w:t>senior officials, including the Head of the Directorate of Junior Secondary Education.</w:t>
      </w:r>
    </w:p>
    <w:p w:rsidR="00736CD3" w:rsidRDefault="00736CD3" w:rsidP="00736CD3">
      <w:r>
        <w:t xml:space="preserve">The sectoral priorities of MoEC underwent some modification with the issuance of </w:t>
      </w:r>
      <w:r w:rsidR="0088004F">
        <w:t xml:space="preserve">a </w:t>
      </w:r>
      <w:r>
        <w:t xml:space="preserve">new Strategic Plan </w:t>
      </w:r>
      <w:r w:rsidR="00D92E25">
        <w:t xml:space="preserve">or </w:t>
      </w:r>
      <w:r w:rsidRPr="0069023F">
        <w:rPr>
          <w:i/>
        </w:rPr>
        <w:t>Renstra</w:t>
      </w:r>
      <w:r>
        <w:t xml:space="preserve"> for 2015-2019. The central platform of ‘access to education’ (particularly JSE) was replaced </w:t>
      </w:r>
      <w:r w:rsidR="0088004F">
        <w:t xml:space="preserve">with </w:t>
      </w:r>
      <w:r>
        <w:t xml:space="preserve">that of ‘quality improvement’. Targets related to JSE access were repositioned from being an end in themselves (i.e. developing Indonesia’s basic education sector or grades 1-9) to one of support for the expanded agenda of 12 years of universal education. Nevertheless, the focus on quality improvement in the new </w:t>
      </w:r>
      <w:r w:rsidR="00D92E25" w:rsidRPr="0069023F">
        <w:rPr>
          <w:i/>
        </w:rPr>
        <w:t>Renstra</w:t>
      </w:r>
      <w:r w:rsidR="00D92E25">
        <w:t xml:space="preserve"> </w:t>
      </w:r>
      <w:r>
        <w:t xml:space="preserve">did not affect C1 activities. On the contrary, quality improvement strategies have the potential to significantly augment the effectiveness of EP investments. A key conclusion of POM’s </w:t>
      </w:r>
      <w:r w:rsidRPr="00531D4E">
        <w:rPr>
          <w:i/>
        </w:rPr>
        <w:t>EOPO 1 Endline Evaluation Study</w:t>
      </w:r>
      <w:r>
        <w:t xml:space="preserve"> (2015) was that community perceptions of school quality (as opposed to availability/proximity) are a critical influence upon household decisions about education.</w:t>
      </w:r>
    </w:p>
    <w:p w:rsidR="00B33BC8" w:rsidRDefault="00B33BC8" w:rsidP="00775568">
      <w:pPr>
        <w:pStyle w:val="Heading2"/>
      </w:pPr>
      <w:r w:rsidRPr="00851EC7">
        <w:lastRenderedPageBreak/>
        <w:t>Achievements</w:t>
      </w:r>
    </w:p>
    <w:p w:rsidR="00736CD3" w:rsidRPr="009C4263" w:rsidRDefault="00736CD3" w:rsidP="00736CD3">
      <w:pPr>
        <w:rPr>
          <w:rFonts w:eastAsiaTheme="minorEastAsia" w:cs="Arial"/>
          <w:color w:val="222222"/>
        </w:rPr>
      </w:pPr>
      <w:r w:rsidRPr="00851EC7">
        <w:t>By December 201</w:t>
      </w:r>
      <w:r>
        <w:t>5</w:t>
      </w:r>
      <w:r w:rsidRPr="00851EC7">
        <w:t xml:space="preserve">, </w:t>
      </w:r>
      <w:r>
        <w:t>996</w:t>
      </w:r>
      <w:r w:rsidRPr="00851EC7">
        <w:t xml:space="preserve"> schools – </w:t>
      </w:r>
      <w:r>
        <w:t>587</w:t>
      </w:r>
      <w:r w:rsidRPr="00851EC7">
        <w:t xml:space="preserve"> USB and </w:t>
      </w:r>
      <w:r>
        <w:t>409</w:t>
      </w:r>
      <w:r w:rsidRPr="00851EC7">
        <w:t xml:space="preserve"> SATAP – </w:t>
      </w:r>
      <w:r>
        <w:t>had</w:t>
      </w:r>
      <w:r w:rsidRPr="00851EC7">
        <w:t xml:space="preserve"> been </w:t>
      </w:r>
      <w:r>
        <w:t xml:space="preserve">completed </w:t>
      </w:r>
      <w:r w:rsidRPr="00851EC7">
        <w:t xml:space="preserve">in </w:t>
      </w:r>
      <w:r w:rsidRPr="00531D4E">
        <w:t xml:space="preserve">240 districts </w:t>
      </w:r>
      <w:r>
        <w:t>in</w:t>
      </w:r>
      <w:r w:rsidRPr="00531D4E">
        <w:t xml:space="preserve"> 29 </w:t>
      </w:r>
      <w:r>
        <w:t>provinces</w:t>
      </w:r>
      <w:r w:rsidRPr="00851EC7">
        <w:t xml:space="preserve">. </w:t>
      </w:r>
      <w:r>
        <w:t>Construction of these</w:t>
      </w:r>
      <w:r w:rsidRPr="00851EC7">
        <w:t xml:space="preserve"> new schools </w:t>
      </w:r>
      <w:r>
        <w:t>has led to the creation of 4,749</w:t>
      </w:r>
      <w:r w:rsidRPr="00851EC7">
        <w:t xml:space="preserve"> new classrooms</w:t>
      </w:r>
      <w:r w:rsidRPr="00851EC7">
        <w:rPr>
          <w:rStyle w:val="FootnoteReference"/>
          <w:rFonts w:eastAsiaTheme="minorEastAsia" w:cs="Arial"/>
          <w:color w:val="222222"/>
        </w:rPr>
        <w:footnoteReference w:id="13"/>
      </w:r>
      <w:r w:rsidRPr="00851EC7">
        <w:rPr>
          <w:rFonts w:eastAsiaTheme="minorEastAsia" w:cs="Arial"/>
          <w:color w:val="222222"/>
        </w:rPr>
        <w:t xml:space="preserve"> and </w:t>
      </w:r>
      <w:r w:rsidRPr="00851EC7">
        <w:t xml:space="preserve">an additional </w:t>
      </w:r>
      <w:r>
        <w:t>151,968</w:t>
      </w:r>
      <w:r w:rsidRPr="00851EC7">
        <w:t xml:space="preserve"> student places</w:t>
      </w:r>
      <w:r w:rsidRPr="00851EC7">
        <w:rPr>
          <w:rFonts w:ascii="Times New Roman" w:hAnsi="Times New Roman" w:cstheme="minorHAnsi"/>
          <w:vertAlign w:val="superscript"/>
        </w:rPr>
        <w:footnoteReference w:id="14"/>
      </w:r>
      <w:r w:rsidRPr="00851EC7">
        <w:t>. </w:t>
      </w:r>
      <w:r>
        <w:t xml:space="preserve">Of the 1,005 schools </w:t>
      </w:r>
      <w:r w:rsidR="003560DE">
        <w:t>planned</w:t>
      </w:r>
      <w:r>
        <w:t xml:space="preserve"> in the first three cycles, only nine were incomplete at the end of 2015 </w:t>
      </w:r>
      <w:r w:rsidRPr="00851EC7">
        <w:t>(</w:t>
      </w:r>
      <w:r>
        <w:t xml:space="preserve">&lt;1%). </w:t>
      </w:r>
    </w:p>
    <w:p w:rsidR="00736CD3" w:rsidRPr="00813188" w:rsidRDefault="00736CD3" w:rsidP="00736CD3">
      <w:pPr>
        <w:rPr>
          <w:rFonts w:eastAsiaTheme="minorEastAsia" w:cs="Arial"/>
          <w:color w:val="222222"/>
        </w:rPr>
      </w:pPr>
      <w:r w:rsidRPr="00851EC7">
        <w:t xml:space="preserve">The support provided by the SSQ team to MoEC has been wide-ranging and instrumental in </w:t>
      </w:r>
      <w:r>
        <w:t>securing strong construction outcomes</w:t>
      </w:r>
      <w:r w:rsidRPr="00851EC7">
        <w:t>.</w:t>
      </w:r>
      <w:r>
        <w:t xml:space="preserve"> This support has </w:t>
      </w:r>
      <w:r w:rsidRPr="00851EC7">
        <w:t>included</w:t>
      </w:r>
      <w:r w:rsidRPr="002510D1">
        <w:rPr>
          <w:rStyle w:val="EndnoteReference"/>
        </w:rPr>
        <w:endnoteReference w:id="9"/>
      </w:r>
      <w:r w:rsidRPr="00851EC7">
        <w:t xml:space="preserve">: </w:t>
      </w:r>
    </w:p>
    <w:p w:rsidR="00736CD3" w:rsidRPr="007A52F3" w:rsidDel="00522D80" w:rsidRDefault="00736CD3" w:rsidP="002B6FDD">
      <w:pPr>
        <w:pStyle w:val="ListParagraph"/>
        <w:numPr>
          <w:ilvl w:val="0"/>
          <w:numId w:val="44"/>
        </w:numPr>
      </w:pPr>
      <w:r>
        <w:t>Site ver</w:t>
      </w:r>
      <w:r w:rsidRPr="007A52F3">
        <w:t>ification and review of school proposals for compliance analysis of school sites</w:t>
      </w:r>
      <w:r>
        <w:rPr>
          <w:rStyle w:val="FootnoteReference"/>
        </w:rPr>
        <w:footnoteReference w:id="15"/>
      </w:r>
      <w:r>
        <w:t>.</w:t>
      </w:r>
      <w:r w:rsidRPr="007A52F3">
        <w:t xml:space="preserve"> </w:t>
      </w:r>
    </w:p>
    <w:p w:rsidR="00736CD3" w:rsidRPr="00851EC7" w:rsidRDefault="00736CD3" w:rsidP="002B6FDD">
      <w:pPr>
        <w:pStyle w:val="ListParagraph"/>
        <w:numPr>
          <w:ilvl w:val="0"/>
          <w:numId w:val="44"/>
        </w:numPr>
      </w:pPr>
      <w:r>
        <w:t>T</w:t>
      </w:r>
      <w:r w:rsidR="00AB55B1">
        <w:t>raining of School Construction Committees (SCC) and C</w:t>
      </w:r>
      <w:r w:rsidRPr="00851EC7">
        <w:t>ons</w:t>
      </w:r>
      <w:r w:rsidR="00AB55B1">
        <w:t>truction Management C</w:t>
      </w:r>
      <w:r w:rsidRPr="00851EC7">
        <w:t>onsultants (CMC)</w:t>
      </w:r>
      <w:r>
        <w:t>.</w:t>
      </w:r>
    </w:p>
    <w:p w:rsidR="00736CD3" w:rsidRPr="00851EC7" w:rsidRDefault="00736CD3" w:rsidP="002B6FDD">
      <w:pPr>
        <w:pStyle w:val="ListParagraph"/>
        <w:numPr>
          <w:ilvl w:val="0"/>
          <w:numId w:val="44"/>
        </w:numPr>
      </w:pPr>
      <w:r>
        <w:t>M</w:t>
      </w:r>
      <w:r w:rsidRPr="00851EC7">
        <w:t>onitoring of school construction quality and progress</w:t>
      </w:r>
      <w:r>
        <w:t>.</w:t>
      </w:r>
      <w:r w:rsidRPr="00851EC7">
        <w:t xml:space="preserve"> </w:t>
      </w:r>
    </w:p>
    <w:p w:rsidR="00736CD3" w:rsidRPr="003A07D4" w:rsidRDefault="00736CD3" w:rsidP="002B6FDD">
      <w:pPr>
        <w:pStyle w:val="ListParagraph"/>
        <w:numPr>
          <w:ilvl w:val="0"/>
          <w:numId w:val="44"/>
        </w:numPr>
      </w:pPr>
      <w:r>
        <w:t>Identification of issues in</w:t>
      </w:r>
      <w:r w:rsidRPr="003A07D4">
        <w:t xml:space="preserve"> the field </w:t>
      </w:r>
      <w:r>
        <w:t>and support for the resolution of such</w:t>
      </w:r>
      <w:r w:rsidRPr="003A07D4">
        <w:t xml:space="preserve"> issues</w:t>
      </w:r>
      <w:r>
        <w:t>.</w:t>
      </w:r>
      <w:r w:rsidRPr="003A07D4">
        <w:t xml:space="preserve"> </w:t>
      </w:r>
    </w:p>
    <w:p w:rsidR="00736CD3" w:rsidRDefault="00736CD3" w:rsidP="00736CD3">
      <w:r>
        <w:t>One of the key achievements in 2015 was the development of an audio</w:t>
      </w:r>
      <w:r w:rsidR="00D92E25">
        <w:t>-</w:t>
      </w:r>
      <w:r>
        <w:t xml:space="preserve">visual package of construction guidelines. </w:t>
      </w:r>
      <w:r w:rsidR="00D92E25">
        <w:t>These were</w:t>
      </w:r>
      <w:r>
        <w:t xml:space="preserve"> provided to SCC</w:t>
      </w:r>
      <w:r w:rsidR="00D92E25">
        <w:t>s</w:t>
      </w:r>
      <w:r>
        <w:t xml:space="preserve"> and construction workers as an alternative to the existing package of printed text. GoI, DFAT and SSQ C1 have singled out the new package as a critical stimulus for improvements in construction quality in Cycle</w:t>
      </w:r>
      <w:r w:rsidR="00D92E25">
        <w:t xml:space="preserve"> </w:t>
      </w:r>
      <w:r>
        <w:t xml:space="preserve">4. While no changes were made to the content of the guidelines, the medium by which information was conveyed (e.g. posters and videos), was more accessible and understandable for </w:t>
      </w:r>
      <w:r w:rsidR="00D92E25">
        <w:t xml:space="preserve">the </w:t>
      </w:r>
      <w:r>
        <w:t>SCC</w:t>
      </w:r>
      <w:r w:rsidR="00D92E25">
        <w:t>s</w:t>
      </w:r>
      <w:r>
        <w:t xml:space="preserve"> and workers than the technical descriptions used in the original guideline package. </w:t>
      </w:r>
      <w:r w:rsidR="00AB55B1" w:rsidRPr="00AB55B1">
        <w:t>While the achievement is clearly a positive one, it must also be asked why it has taken more than ten years of school construction activity to produce visual materials for workers who are known to have low levels of literacy.</w:t>
      </w:r>
    </w:p>
    <w:p w:rsidR="00736CD3" w:rsidRDefault="00736CD3" w:rsidP="00736CD3">
      <w:r>
        <w:t>National GER figures passed an important milestone in the past year. The ESSP Joint Result</w:t>
      </w:r>
      <w:r w:rsidR="00CA5CA2">
        <w:t>s</w:t>
      </w:r>
      <w:r>
        <w:t xml:space="preserve"> Framework set a target of 85% of districts with GER over 90%. For the year 2014/15, MoEC data show that 91.2% of districts had surpassed this target. While the outcome cannot be fully attributed to C1, the EP school construction program </w:t>
      </w:r>
      <w:r w:rsidR="00CA5CA2">
        <w:t xml:space="preserve">has </w:t>
      </w:r>
      <w:r>
        <w:t xml:space="preserve">contributed to this impressive result (see </w:t>
      </w:r>
      <w:r w:rsidR="00D92E25">
        <w:t>S</w:t>
      </w:r>
      <w:r>
        <w:t>ection</w:t>
      </w:r>
      <w:r w:rsidR="00D92E25">
        <w:t xml:space="preserve"> </w:t>
      </w:r>
      <w:r w:rsidR="00467730">
        <w:fldChar w:fldCharType="begin"/>
      </w:r>
      <w:r w:rsidR="00467730">
        <w:instrText xml:space="preserve"> REF _Ref448145085 \w \h </w:instrText>
      </w:r>
      <w:r w:rsidR="00467730">
        <w:fldChar w:fldCharType="separate"/>
      </w:r>
      <w:r w:rsidR="00693E96">
        <w:t>2.4.3</w:t>
      </w:r>
      <w:r w:rsidR="00467730">
        <w:fldChar w:fldCharType="end"/>
      </w:r>
      <w:r w:rsidR="00D92E25">
        <w:t xml:space="preserve"> below</w:t>
      </w:r>
      <w:r>
        <w:t>).</w:t>
      </w:r>
    </w:p>
    <w:p w:rsidR="00B33BC8" w:rsidRPr="00851EC7" w:rsidRDefault="00B33BC8" w:rsidP="00775568">
      <w:pPr>
        <w:pStyle w:val="Heading2"/>
      </w:pPr>
      <w:r w:rsidRPr="00851EC7">
        <w:t>Analysis</w:t>
      </w:r>
    </w:p>
    <w:p w:rsidR="00B33BC8" w:rsidRDefault="00B33BC8" w:rsidP="00775568">
      <w:pPr>
        <w:pStyle w:val="Heading3"/>
      </w:pPr>
      <w:r w:rsidRPr="00851EC7">
        <w:t>Relevance</w:t>
      </w:r>
    </w:p>
    <w:p w:rsidR="00736CD3" w:rsidRDefault="00736CD3" w:rsidP="00736CD3">
      <w:r>
        <w:t xml:space="preserve">Despite the shift in </w:t>
      </w:r>
      <w:r w:rsidR="00D92E25" w:rsidRPr="0069023F">
        <w:rPr>
          <w:i/>
        </w:rPr>
        <w:t>Renstra</w:t>
      </w:r>
      <w:r w:rsidR="00D92E25">
        <w:t xml:space="preserve"> </w:t>
      </w:r>
      <w:r>
        <w:t>priorities from access to quality improvement, C1</w:t>
      </w:r>
      <w:r w:rsidRPr="00851EC7">
        <w:t xml:space="preserve"> investment</w:t>
      </w:r>
      <w:r>
        <w:t xml:space="preserve">s in school construction remained relevant </w:t>
      </w:r>
      <w:r w:rsidR="00D92E25">
        <w:t xml:space="preserve">to </w:t>
      </w:r>
      <w:r>
        <w:t>GoI in 2015</w:t>
      </w:r>
      <w:r w:rsidRPr="00851EC7">
        <w:t xml:space="preserve">. </w:t>
      </w:r>
      <w:r>
        <w:t>One indication of this was an increase in MoEC spending on school construction over the past two years. In 2016, MoEC’s Directorate of J</w:t>
      </w:r>
      <w:r w:rsidR="00AB55B1">
        <w:t xml:space="preserve">unior </w:t>
      </w:r>
      <w:r>
        <w:t>S</w:t>
      </w:r>
      <w:r w:rsidR="00AB55B1">
        <w:t>econdary Education</w:t>
      </w:r>
      <w:r>
        <w:t xml:space="preserve"> committed to the construction of up to 400 schools and the provision of grants for the purposes of upgrading 9,000 facilities (e.g. classrooms) in existing schools.</w:t>
      </w:r>
    </w:p>
    <w:p w:rsidR="00736CD3" w:rsidRDefault="00736CD3" w:rsidP="00736CD3">
      <w:r>
        <w:lastRenderedPageBreak/>
        <w:t>For the GoA</w:t>
      </w:r>
      <w:r w:rsidRPr="00851EC7">
        <w:t>,</w:t>
      </w:r>
      <w:r>
        <w:t xml:space="preserve"> revisions to </w:t>
      </w:r>
      <w:r w:rsidR="00D92E25">
        <w:t xml:space="preserve">its </w:t>
      </w:r>
      <w:r>
        <w:t>aid framework (see</w:t>
      </w:r>
      <w:r w:rsidRPr="00EE3DB9">
        <w:rPr>
          <w:i/>
        </w:rPr>
        <w:t xml:space="preserve"> </w:t>
      </w:r>
      <w:r w:rsidR="00D92E25" w:rsidRPr="0069023F">
        <w:t xml:space="preserve">Section </w:t>
      </w:r>
      <w:r w:rsidR="00467730">
        <w:fldChar w:fldCharType="begin"/>
      </w:r>
      <w:r w:rsidR="00467730">
        <w:instrText xml:space="preserve"> REF _Ref448145111 \w \h </w:instrText>
      </w:r>
      <w:r w:rsidR="00467730">
        <w:fldChar w:fldCharType="separate"/>
      </w:r>
      <w:r w:rsidR="00693E96">
        <w:t>2.2</w:t>
      </w:r>
      <w:r w:rsidR="00467730">
        <w:fldChar w:fldCharType="end"/>
      </w:r>
      <w:r w:rsidR="00D92E25" w:rsidRPr="0069023F">
        <w:t xml:space="preserve"> above</w:t>
      </w:r>
      <w:r>
        <w:t xml:space="preserve">) signalled the declining relevance of the C1 WiPs-based approach. A clear indication of this was </w:t>
      </w:r>
      <w:r w:rsidR="00D92E25">
        <w:t xml:space="preserve">its recommitment to the scheduled </w:t>
      </w:r>
      <w:r>
        <w:t xml:space="preserve">program closure </w:t>
      </w:r>
      <w:r w:rsidR="00D92E25">
        <w:t xml:space="preserve">of </w:t>
      </w:r>
      <w:r>
        <w:t>June 2016 despite predictions that not all Cycle 4 schools would be completed by this date</w:t>
      </w:r>
      <w:r w:rsidR="00D92E25">
        <w:rPr>
          <w:rStyle w:val="FootnoteReference"/>
        </w:rPr>
        <w:footnoteReference w:id="16"/>
      </w:r>
      <w:r>
        <w:t xml:space="preserve">. The heightened focus on safeguarding Australian aid money also prompted interventions in Cycle 4 site selection processes in order to </w:t>
      </w:r>
      <w:r w:rsidR="0077380B">
        <w:t xml:space="preserve">minimise </w:t>
      </w:r>
      <w:r>
        <w:t>risks associated with school construction in locations that had a lower likelihood of timely completion.</w:t>
      </w:r>
    </w:p>
    <w:p w:rsidR="00736CD3" w:rsidRDefault="00736CD3" w:rsidP="00736CD3">
      <w:r>
        <w:t>T</w:t>
      </w:r>
      <w:r w:rsidRPr="00851EC7">
        <w:t>he internal relevance of Component 1</w:t>
      </w:r>
      <w:r>
        <w:t xml:space="preserve"> is a measure of how well program outputs relate to the EOPO. In the case of C1, this refers </w:t>
      </w:r>
      <w:r w:rsidR="00D92E25">
        <w:t>to the extent to which</w:t>
      </w:r>
      <w:r>
        <w:t xml:space="preserve"> the construction of schools in appropriate sites is a relevant formula for increasing JSE enrolment in targeted districts.</w:t>
      </w:r>
      <w:r w:rsidRPr="00851EC7">
        <w:t xml:space="preserve"> </w:t>
      </w:r>
      <w:r>
        <w:t xml:space="preserve">It is POM’s view that the internal relevance of the program remains unchanged in 2015. </w:t>
      </w:r>
      <w:r w:rsidR="00D92E25">
        <w:t xml:space="preserve">However, the </w:t>
      </w:r>
      <w:r>
        <w:t>introduction of</w:t>
      </w:r>
      <w:r w:rsidR="00D92E25">
        <w:t xml:space="preserve"> a very small number of</w:t>
      </w:r>
      <w:r>
        <w:t xml:space="preserve"> USB</w:t>
      </w:r>
      <w:r w:rsidR="00D92E25">
        <w:t>s</w:t>
      </w:r>
      <w:r>
        <w:t xml:space="preserve"> with </w:t>
      </w:r>
      <w:r w:rsidR="00D92E25">
        <w:t>three</w:t>
      </w:r>
      <w:r>
        <w:t xml:space="preserve"> classrooms may improve the internal relevance of the component </w:t>
      </w:r>
      <w:r w:rsidR="00CA5CA2">
        <w:t xml:space="preserve">since </w:t>
      </w:r>
      <w:r>
        <w:t>this initiative has resulted in a broader suite of options for school construction (i.e. school design better able to accommodate user</w:t>
      </w:r>
      <w:r w:rsidR="00CA5CA2">
        <w:t xml:space="preserve"> </w:t>
      </w:r>
      <w:r>
        <w:t>demand</w:t>
      </w:r>
      <w:r>
        <w:rPr>
          <w:rStyle w:val="FootnoteReference"/>
        </w:rPr>
        <w:footnoteReference w:id="17"/>
      </w:r>
      <w:r>
        <w:t>).</w:t>
      </w:r>
    </w:p>
    <w:p w:rsidR="00B33BC8" w:rsidRDefault="00B33BC8" w:rsidP="00775568">
      <w:pPr>
        <w:pStyle w:val="Heading3"/>
      </w:pPr>
      <w:r w:rsidRPr="00851EC7">
        <w:t>Efficiency</w:t>
      </w:r>
    </w:p>
    <w:p w:rsidR="00736CD3" w:rsidRDefault="00736CD3" w:rsidP="00736CD3">
      <w:r>
        <w:t xml:space="preserve">The efficiency of C1 is the measure of </w:t>
      </w:r>
      <w:r w:rsidR="00751C70">
        <w:t>how economically (in relation to time and cost) inputs are converted to constructed schools and the creation of additional places</w:t>
      </w:r>
      <w:r>
        <w:t>. C1 performance against 2015 Performance Milestone Framework (PMF) targets presents a positive story. Cycle 4 schools were located in sites with more potential students than was the case for Cycle 3, and there was a significant improvement in the number of schools that were not located within a 6km radius of existing JSS. While the percentage of schools located in sub-districts with adequate demand declined, this indicator was influenced by DFAT</w:t>
      </w:r>
      <w:r w:rsidR="00D92E25">
        <w:t>’s</w:t>
      </w:r>
      <w:r>
        <w:t xml:space="preserve"> decision to minimise the </w:t>
      </w:r>
      <w:r w:rsidR="00D92E25">
        <w:t xml:space="preserve">number </w:t>
      </w:r>
      <w:r>
        <w:t>of Cycle 4 schools in locations that presented risks in terms of possible overrun on construction schedules.</w:t>
      </w:r>
    </w:p>
    <w:p w:rsidR="00736CD3" w:rsidRDefault="00736CD3" w:rsidP="00736CD3">
      <w:r>
        <w:t>Strong results against PMF targets reflect incremental improvements in program management and implementation. The impact of a new audio</w:t>
      </w:r>
      <w:r w:rsidR="00D92E25">
        <w:t>-</w:t>
      </w:r>
      <w:r>
        <w:t>visual package has already been noted. The speed of management responses to independent monitoring visits and recommendations also showed improvements in 2015. For example, recommendations on septic tank sizing, the safety of school furniture for children, and better finishing works were quickly adapted and integrated into construction guideline materials</w:t>
      </w:r>
      <w:r w:rsidRPr="002510D1">
        <w:rPr>
          <w:rStyle w:val="EndnoteReference"/>
        </w:rPr>
        <w:endnoteReference w:id="10"/>
      </w:r>
      <w:r>
        <w:t xml:space="preserve">. The speed of management responses to concerns forwarded via </w:t>
      </w:r>
      <w:r w:rsidRPr="00851EC7">
        <w:t>the Complaints Handling System</w:t>
      </w:r>
      <w:r>
        <w:t xml:space="preserve"> (CHS)</w:t>
      </w:r>
      <w:r w:rsidRPr="00851EC7">
        <w:t xml:space="preserve"> </w:t>
      </w:r>
      <w:r>
        <w:t>also showed improvements in 2015.</w:t>
      </w:r>
    </w:p>
    <w:p w:rsidR="00B51E32" w:rsidRDefault="00736CD3" w:rsidP="00736CD3">
      <w:r>
        <w:t>In regard to site selection, efficiency gains were realised via the better use of ICT. Freely available Google-Map technology was used to create more accurate site maps. The ongoing development of a database for processing new school proposals was enhanced by the inclusion of MoEC education statistics in order to improve the speed and clarity of the site selection process</w:t>
      </w:r>
      <w:r w:rsidRPr="002510D1">
        <w:rPr>
          <w:rStyle w:val="EndnoteReference"/>
        </w:rPr>
        <w:endnoteReference w:id="11"/>
      </w:r>
      <w:r>
        <w:t xml:space="preserve">. </w:t>
      </w:r>
    </w:p>
    <w:p w:rsidR="00736CD3" w:rsidRPr="00851EC7" w:rsidRDefault="00736CD3" w:rsidP="00736CD3">
      <w:pPr>
        <w:rPr>
          <w:bCs/>
          <w:sz w:val="24"/>
          <w:szCs w:val="28"/>
        </w:rPr>
      </w:pPr>
      <w:r>
        <w:t xml:space="preserve">From an audit perspective, the results of the 2015 SCC compliance review for Cycle 3 show no suspected fraud </w:t>
      </w:r>
      <w:r w:rsidR="00751C70">
        <w:t xml:space="preserve">at the sampled sites </w:t>
      </w:r>
      <w:r>
        <w:t xml:space="preserve">occurred during the year </w:t>
      </w:r>
      <w:r w:rsidR="00751C70">
        <w:t xml:space="preserve">– an improvement on earlier years </w:t>
      </w:r>
      <w:r>
        <w:t xml:space="preserve">(see </w:t>
      </w:r>
      <w:r w:rsidR="00DA244C">
        <w:fldChar w:fldCharType="begin"/>
      </w:r>
      <w:r w:rsidR="00DA244C">
        <w:instrText xml:space="preserve"> REF _Ref447790138 \h </w:instrText>
      </w:r>
      <w:r w:rsidR="00DA244C">
        <w:fldChar w:fldCharType="separate"/>
      </w:r>
      <w:r w:rsidR="00693E96">
        <w:t xml:space="preserve">Table </w:t>
      </w:r>
      <w:r w:rsidR="00693E96">
        <w:rPr>
          <w:noProof/>
        </w:rPr>
        <w:t>1</w:t>
      </w:r>
      <w:r w:rsidR="00DA244C">
        <w:fldChar w:fldCharType="end"/>
      </w:r>
      <w:r>
        <w:t xml:space="preserve">). This may be attributed to improved implementation processes, i.e. better CHS implementation, a stronger focus on training for SCS and revisions to guidelines and manuals. The </w:t>
      </w:r>
      <w:r>
        <w:lastRenderedPageBreak/>
        <w:t>frequency of non-compliance cases was similar to previous year</w:t>
      </w:r>
      <w:r w:rsidR="00751C70">
        <w:t>s</w:t>
      </w:r>
      <w:r>
        <w:t>. To an extent, a degree of non-compliance in areas of procurement and financial reporting is an inevitable outcome of the use of a community-based construction model in marginal areas.</w:t>
      </w:r>
    </w:p>
    <w:p w:rsidR="00736CD3" w:rsidRPr="00851EC7" w:rsidRDefault="00736CD3" w:rsidP="00736CD3">
      <w:pPr>
        <w:pStyle w:val="Caption-Table"/>
      </w:pPr>
      <w:bookmarkStart w:id="23" w:name="_Ref447790138"/>
      <w:bookmarkStart w:id="24" w:name="_Toc412534575"/>
      <w:bookmarkStart w:id="25" w:name="_Toc450131622"/>
      <w:r>
        <w:t xml:space="preserve">Table </w:t>
      </w:r>
      <w:r>
        <w:fldChar w:fldCharType="begin"/>
      </w:r>
      <w:r>
        <w:instrText xml:space="preserve"> SEQ Table \* ARABIC </w:instrText>
      </w:r>
      <w:r>
        <w:fldChar w:fldCharType="separate"/>
      </w:r>
      <w:r w:rsidR="00693E96">
        <w:rPr>
          <w:noProof/>
        </w:rPr>
        <w:t>1</w:t>
      </w:r>
      <w:r>
        <w:fldChar w:fldCharType="end"/>
      </w:r>
      <w:bookmarkEnd w:id="23"/>
      <w:r w:rsidRPr="00851EC7">
        <w:t>: Incidence of Suspected Fraud and Non-Compliance</w:t>
      </w:r>
      <w:bookmarkEnd w:id="24"/>
      <w:bookmarkEnd w:id="25"/>
      <w:r w:rsidRPr="00851EC7">
        <w:t xml:space="preserve"> </w:t>
      </w: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4"/>
        <w:gridCol w:w="1791"/>
        <w:gridCol w:w="1772"/>
        <w:gridCol w:w="1778"/>
      </w:tblGrid>
      <w:tr w:rsidR="00736CD3" w:rsidRPr="00B51E32" w:rsidTr="00055F11">
        <w:trPr>
          <w:trHeight w:val="794"/>
          <w:tblHeader/>
          <w:jc w:val="center"/>
        </w:trPr>
        <w:tc>
          <w:tcPr>
            <w:tcW w:w="3344"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736CD3" w:rsidRPr="00B51E32" w:rsidRDefault="00736CD3" w:rsidP="00B51E32">
            <w:pPr>
              <w:spacing w:before="0" w:after="0"/>
              <w:jc w:val="center"/>
              <w:rPr>
                <w:rFonts w:eastAsia="Calibri" w:cs="Times New Roman"/>
                <w:b/>
                <w:color w:val="FFFFFF" w:themeColor="background1"/>
                <w:sz w:val="20"/>
                <w:szCs w:val="20"/>
                <w:lang w:eastAsia="en-AU"/>
              </w:rPr>
            </w:pPr>
            <w:r w:rsidRPr="00B51E32">
              <w:rPr>
                <w:rFonts w:eastAsia="Calibri" w:cs="Times New Roman"/>
                <w:b/>
                <w:color w:val="FFFFFF" w:themeColor="background1"/>
                <w:sz w:val="20"/>
                <w:szCs w:val="20"/>
                <w:lang w:eastAsia="en-AU"/>
              </w:rPr>
              <w:t xml:space="preserve">Risk </w:t>
            </w:r>
          </w:p>
        </w:tc>
        <w:tc>
          <w:tcPr>
            <w:tcW w:w="1791"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736CD3" w:rsidRPr="00B51E32" w:rsidRDefault="00736CD3" w:rsidP="00B51E32">
            <w:pPr>
              <w:spacing w:before="0" w:after="0"/>
              <w:jc w:val="center"/>
              <w:rPr>
                <w:rFonts w:eastAsia="Calibri" w:cs="Times New Roman"/>
                <w:b/>
                <w:color w:val="FFFFFF" w:themeColor="background1"/>
                <w:sz w:val="20"/>
                <w:szCs w:val="20"/>
                <w:lang w:eastAsia="en-AU"/>
              </w:rPr>
            </w:pPr>
            <w:r w:rsidRPr="00B51E32">
              <w:rPr>
                <w:rFonts w:eastAsia="Calibri" w:cs="Times New Roman"/>
                <w:b/>
                <w:color w:val="FFFFFF" w:themeColor="background1"/>
                <w:sz w:val="20"/>
                <w:szCs w:val="20"/>
                <w:lang w:eastAsia="en-AU"/>
              </w:rPr>
              <w:t xml:space="preserve">SCC Compliance Review </w:t>
            </w:r>
            <w:r w:rsidR="00055F11" w:rsidRPr="00B51E32">
              <w:rPr>
                <w:rFonts w:eastAsia="Calibri" w:cs="Times New Roman"/>
                <w:b/>
                <w:color w:val="FFFFFF" w:themeColor="background1"/>
                <w:sz w:val="20"/>
                <w:szCs w:val="20"/>
                <w:lang w:eastAsia="en-AU"/>
              </w:rPr>
              <w:t xml:space="preserve">- </w:t>
            </w:r>
            <w:r w:rsidRPr="00B51E32">
              <w:rPr>
                <w:rFonts w:eastAsia="Calibri" w:cs="Times New Roman"/>
                <w:b/>
                <w:color w:val="FFFFFF" w:themeColor="background1"/>
                <w:sz w:val="20"/>
                <w:szCs w:val="20"/>
                <w:lang w:eastAsia="en-AU"/>
              </w:rPr>
              <w:t>Cycle 1</w:t>
            </w:r>
          </w:p>
          <w:p w:rsidR="00736CD3" w:rsidRPr="00B51E32" w:rsidRDefault="00736CD3" w:rsidP="00B51E32">
            <w:pPr>
              <w:spacing w:before="0" w:after="0"/>
              <w:jc w:val="center"/>
              <w:rPr>
                <w:rFonts w:eastAsia="Calibri" w:cs="Times New Roman"/>
                <w:b/>
                <w:color w:val="FFFFFF" w:themeColor="background1"/>
                <w:sz w:val="20"/>
                <w:szCs w:val="20"/>
                <w:lang w:eastAsia="en-AU"/>
              </w:rPr>
            </w:pPr>
            <w:r w:rsidRPr="00B51E32">
              <w:rPr>
                <w:rFonts w:eastAsia="Calibri" w:cs="Times New Roman"/>
                <w:b/>
                <w:color w:val="FFFFFF" w:themeColor="background1"/>
                <w:sz w:val="20"/>
                <w:szCs w:val="20"/>
                <w:lang w:eastAsia="en-AU"/>
              </w:rPr>
              <w:t>2012/2013</w:t>
            </w:r>
          </w:p>
        </w:tc>
        <w:tc>
          <w:tcPr>
            <w:tcW w:w="1772"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736CD3" w:rsidRPr="00B51E32" w:rsidRDefault="00736CD3" w:rsidP="00B51E32">
            <w:pPr>
              <w:spacing w:before="0" w:after="0"/>
              <w:jc w:val="center"/>
              <w:rPr>
                <w:rFonts w:eastAsia="Calibri" w:cs="Times New Roman"/>
                <w:b/>
                <w:color w:val="FFFFFF" w:themeColor="background1"/>
                <w:sz w:val="20"/>
                <w:szCs w:val="20"/>
                <w:lang w:eastAsia="en-AU"/>
              </w:rPr>
            </w:pPr>
            <w:r w:rsidRPr="00B51E32">
              <w:rPr>
                <w:rFonts w:eastAsia="Calibri" w:cs="Times New Roman"/>
                <w:b/>
                <w:color w:val="FFFFFF" w:themeColor="background1"/>
                <w:sz w:val="20"/>
                <w:szCs w:val="20"/>
                <w:lang w:eastAsia="en-AU"/>
              </w:rPr>
              <w:t xml:space="preserve">SCC Compliance Review </w:t>
            </w:r>
            <w:r w:rsidR="00055F11" w:rsidRPr="00B51E32">
              <w:rPr>
                <w:rFonts w:eastAsia="Calibri" w:cs="Times New Roman"/>
                <w:b/>
                <w:color w:val="FFFFFF" w:themeColor="background1"/>
                <w:sz w:val="20"/>
                <w:szCs w:val="20"/>
                <w:lang w:eastAsia="en-AU"/>
              </w:rPr>
              <w:t>-</w:t>
            </w:r>
            <w:r w:rsidRPr="00B51E32">
              <w:rPr>
                <w:rFonts w:eastAsia="Calibri" w:cs="Times New Roman"/>
                <w:b/>
                <w:color w:val="FFFFFF" w:themeColor="background1"/>
                <w:sz w:val="20"/>
                <w:szCs w:val="20"/>
                <w:lang w:eastAsia="en-AU"/>
              </w:rPr>
              <w:t xml:space="preserve"> Cycle 2</w:t>
            </w:r>
          </w:p>
          <w:p w:rsidR="00736CD3" w:rsidRPr="00B51E32" w:rsidRDefault="00736CD3" w:rsidP="00B51E32">
            <w:pPr>
              <w:spacing w:before="0" w:after="0"/>
              <w:jc w:val="center"/>
              <w:rPr>
                <w:rFonts w:eastAsia="Calibri" w:cs="Times New Roman"/>
                <w:b/>
                <w:color w:val="FFFFFF" w:themeColor="background1"/>
                <w:sz w:val="20"/>
                <w:szCs w:val="20"/>
                <w:lang w:eastAsia="en-AU"/>
              </w:rPr>
            </w:pPr>
            <w:r w:rsidRPr="00B51E32">
              <w:rPr>
                <w:rFonts w:eastAsia="Calibri" w:cs="Times New Roman"/>
                <w:b/>
                <w:color w:val="FFFFFF" w:themeColor="background1"/>
                <w:sz w:val="20"/>
                <w:szCs w:val="20"/>
                <w:lang w:eastAsia="en-AU"/>
              </w:rPr>
              <w:t>2013/2014</w:t>
            </w:r>
          </w:p>
        </w:tc>
        <w:tc>
          <w:tcPr>
            <w:tcW w:w="177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736CD3" w:rsidRPr="00B51E32" w:rsidRDefault="00736CD3" w:rsidP="00B51E32">
            <w:pPr>
              <w:spacing w:before="0" w:after="0"/>
              <w:jc w:val="center"/>
              <w:rPr>
                <w:rFonts w:eastAsia="Calibri" w:cs="Times New Roman"/>
                <w:b/>
                <w:color w:val="FFFFFF" w:themeColor="background1"/>
                <w:sz w:val="20"/>
                <w:szCs w:val="20"/>
                <w:lang w:eastAsia="en-AU"/>
              </w:rPr>
            </w:pPr>
            <w:r w:rsidRPr="00B51E32">
              <w:rPr>
                <w:rFonts w:eastAsia="Calibri" w:cs="Times New Roman"/>
                <w:b/>
                <w:color w:val="FFFFFF" w:themeColor="background1"/>
                <w:sz w:val="20"/>
                <w:szCs w:val="20"/>
                <w:lang w:eastAsia="en-AU"/>
              </w:rPr>
              <w:t xml:space="preserve">SCC Compliance Review </w:t>
            </w:r>
            <w:r w:rsidR="00751C70">
              <w:rPr>
                <w:rFonts w:eastAsia="Calibri" w:cs="Times New Roman"/>
                <w:b/>
                <w:color w:val="FFFFFF" w:themeColor="background1"/>
                <w:sz w:val="20"/>
                <w:szCs w:val="20"/>
                <w:lang w:eastAsia="en-AU"/>
              </w:rPr>
              <w:t>–</w:t>
            </w:r>
            <w:r w:rsidRPr="00B51E32">
              <w:rPr>
                <w:rFonts w:eastAsia="Calibri" w:cs="Times New Roman"/>
                <w:b/>
                <w:color w:val="FFFFFF" w:themeColor="background1"/>
                <w:sz w:val="20"/>
                <w:szCs w:val="20"/>
                <w:lang w:eastAsia="en-AU"/>
              </w:rPr>
              <w:t xml:space="preserve"> Cycle</w:t>
            </w:r>
            <w:r w:rsidR="00751C70">
              <w:rPr>
                <w:rFonts w:eastAsia="Calibri" w:cs="Times New Roman"/>
                <w:b/>
                <w:color w:val="FFFFFF" w:themeColor="background1"/>
                <w:sz w:val="20"/>
                <w:szCs w:val="20"/>
                <w:lang w:eastAsia="en-AU"/>
              </w:rPr>
              <w:t xml:space="preserve"> </w:t>
            </w:r>
            <w:r w:rsidRPr="00B51E32">
              <w:rPr>
                <w:rFonts w:eastAsia="Calibri" w:cs="Times New Roman"/>
                <w:b/>
                <w:color w:val="FFFFFF" w:themeColor="background1"/>
                <w:sz w:val="20"/>
                <w:szCs w:val="20"/>
                <w:lang w:eastAsia="en-AU"/>
              </w:rPr>
              <w:t>3</w:t>
            </w:r>
          </w:p>
          <w:p w:rsidR="00736CD3" w:rsidRPr="00B51E32" w:rsidRDefault="00736CD3" w:rsidP="00B51E32">
            <w:pPr>
              <w:spacing w:before="0" w:after="0"/>
              <w:jc w:val="center"/>
              <w:rPr>
                <w:rFonts w:eastAsia="Calibri" w:cs="Times New Roman"/>
                <w:b/>
                <w:color w:val="FFFFFF" w:themeColor="background1"/>
                <w:sz w:val="20"/>
                <w:szCs w:val="20"/>
                <w:lang w:eastAsia="en-AU"/>
              </w:rPr>
            </w:pPr>
            <w:r w:rsidRPr="00B51E32">
              <w:rPr>
                <w:rFonts w:eastAsia="Calibri" w:cs="Times New Roman"/>
                <w:b/>
                <w:color w:val="FFFFFF" w:themeColor="background1"/>
                <w:sz w:val="20"/>
                <w:szCs w:val="20"/>
                <w:lang w:eastAsia="en-AU"/>
              </w:rPr>
              <w:t>2014/2015</w:t>
            </w:r>
          </w:p>
        </w:tc>
      </w:tr>
      <w:tr w:rsidR="00736CD3" w:rsidRPr="00B51E32" w:rsidTr="00B51E32">
        <w:trPr>
          <w:trHeight w:val="399"/>
          <w:jc w:val="center"/>
        </w:trPr>
        <w:tc>
          <w:tcPr>
            <w:tcW w:w="3344" w:type="dxa"/>
            <w:tcBorders>
              <w:top w:val="single" w:sz="4" w:space="0" w:color="auto"/>
              <w:left w:val="single" w:sz="4" w:space="0" w:color="auto"/>
              <w:bottom w:val="single" w:sz="4" w:space="0" w:color="auto"/>
              <w:right w:val="single" w:sz="4" w:space="0" w:color="auto"/>
            </w:tcBorders>
            <w:vAlign w:val="center"/>
          </w:tcPr>
          <w:p w:rsidR="00736CD3" w:rsidRPr="00B51E32" w:rsidRDefault="00736CD3" w:rsidP="00B51E32">
            <w:pPr>
              <w:spacing w:before="0" w:after="0"/>
              <w:rPr>
                <w:rFonts w:eastAsia="Calibri"/>
                <w:sz w:val="18"/>
                <w:szCs w:val="18"/>
                <w:lang w:eastAsia="en-AU"/>
              </w:rPr>
            </w:pPr>
            <w:r w:rsidRPr="00B51E32">
              <w:rPr>
                <w:rFonts w:eastAsia="Calibri"/>
                <w:sz w:val="18"/>
                <w:szCs w:val="18"/>
                <w:lang w:eastAsia="en-AU"/>
              </w:rPr>
              <w:t>Sampled Sites</w:t>
            </w:r>
          </w:p>
        </w:tc>
        <w:tc>
          <w:tcPr>
            <w:tcW w:w="1791" w:type="dxa"/>
            <w:tcBorders>
              <w:top w:val="single" w:sz="4" w:space="0" w:color="auto"/>
              <w:left w:val="single" w:sz="4" w:space="0" w:color="auto"/>
              <w:bottom w:val="single" w:sz="4" w:space="0" w:color="auto"/>
              <w:right w:val="single" w:sz="4" w:space="0" w:color="auto"/>
            </w:tcBorders>
            <w:vAlign w:val="center"/>
          </w:tcPr>
          <w:p w:rsidR="00736CD3" w:rsidRPr="00B51E32" w:rsidRDefault="00055F11" w:rsidP="00B51E32">
            <w:pPr>
              <w:spacing w:before="0" w:after="0"/>
              <w:jc w:val="center"/>
              <w:rPr>
                <w:rFonts w:eastAsia="Calibri"/>
                <w:sz w:val="18"/>
                <w:szCs w:val="18"/>
                <w:lang w:eastAsia="en-AU"/>
              </w:rPr>
            </w:pPr>
            <w:r w:rsidRPr="00B51E32">
              <w:rPr>
                <w:rFonts w:eastAsia="Calibri"/>
                <w:sz w:val="18"/>
                <w:szCs w:val="18"/>
                <w:lang w:eastAsia="en-AU"/>
              </w:rPr>
              <w:t xml:space="preserve">90 </w:t>
            </w:r>
            <w:r w:rsidR="00736CD3" w:rsidRPr="00B51E32">
              <w:rPr>
                <w:rFonts w:eastAsia="Calibri"/>
                <w:sz w:val="18"/>
                <w:szCs w:val="18"/>
                <w:lang w:eastAsia="en-AU"/>
              </w:rPr>
              <w:t>of 451</w:t>
            </w:r>
            <w:r w:rsidR="00751C70">
              <w:rPr>
                <w:rFonts w:eastAsia="Calibri"/>
                <w:sz w:val="18"/>
                <w:szCs w:val="18"/>
                <w:lang w:eastAsia="en-AU"/>
              </w:rPr>
              <w:t xml:space="preserve"> (20%) </w:t>
            </w:r>
          </w:p>
        </w:tc>
        <w:tc>
          <w:tcPr>
            <w:tcW w:w="1772" w:type="dxa"/>
            <w:tcBorders>
              <w:top w:val="single" w:sz="4" w:space="0" w:color="auto"/>
              <w:left w:val="single" w:sz="4" w:space="0" w:color="auto"/>
              <w:bottom w:val="single" w:sz="4" w:space="0" w:color="auto"/>
              <w:right w:val="single" w:sz="4" w:space="0" w:color="auto"/>
            </w:tcBorders>
            <w:vAlign w:val="center"/>
          </w:tcPr>
          <w:p w:rsidR="00736CD3" w:rsidRPr="00B51E32" w:rsidRDefault="00055F11" w:rsidP="00B51E32">
            <w:pPr>
              <w:spacing w:before="0" w:after="0"/>
              <w:jc w:val="center"/>
              <w:rPr>
                <w:rFonts w:eastAsia="Calibri"/>
                <w:sz w:val="18"/>
                <w:szCs w:val="18"/>
                <w:lang w:eastAsia="en-AU"/>
              </w:rPr>
            </w:pPr>
            <w:r w:rsidRPr="00B51E32">
              <w:rPr>
                <w:rFonts w:eastAsia="Calibri"/>
                <w:sz w:val="18"/>
                <w:szCs w:val="18"/>
                <w:lang w:eastAsia="en-AU"/>
              </w:rPr>
              <w:t xml:space="preserve">63 </w:t>
            </w:r>
            <w:r w:rsidR="00736CD3" w:rsidRPr="00B51E32">
              <w:rPr>
                <w:rFonts w:eastAsia="Calibri"/>
                <w:sz w:val="18"/>
                <w:szCs w:val="18"/>
                <w:lang w:eastAsia="en-AU"/>
              </w:rPr>
              <w:t>of 316</w:t>
            </w:r>
            <w:r w:rsidR="00751C70">
              <w:rPr>
                <w:rFonts w:eastAsia="Calibri"/>
                <w:sz w:val="18"/>
                <w:szCs w:val="18"/>
                <w:lang w:eastAsia="en-AU"/>
              </w:rPr>
              <w:t xml:space="preserve"> (20%)</w:t>
            </w:r>
          </w:p>
        </w:tc>
        <w:tc>
          <w:tcPr>
            <w:tcW w:w="1778" w:type="dxa"/>
            <w:tcBorders>
              <w:top w:val="single" w:sz="4" w:space="0" w:color="auto"/>
              <w:left w:val="single" w:sz="4" w:space="0" w:color="auto"/>
              <w:bottom w:val="single" w:sz="4" w:space="0" w:color="auto"/>
              <w:right w:val="single" w:sz="4" w:space="0" w:color="auto"/>
            </w:tcBorders>
            <w:vAlign w:val="center"/>
          </w:tcPr>
          <w:p w:rsidR="00736CD3" w:rsidRPr="00B51E32" w:rsidRDefault="00055F11" w:rsidP="00B51E32">
            <w:pPr>
              <w:spacing w:before="0" w:after="0"/>
              <w:jc w:val="center"/>
              <w:rPr>
                <w:rFonts w:eastAsia="Calibri"/>
                <w:sz w:val="18"/>
                <w:szCs w:val="18"/>
                <w:lang w:eastAsia="en-AU"/>
              </w:rPr>
            </w:pPr>
            <w:r w:rsidRPr="00B51E32">
              <w:rPr>
                <w:rFonts w:eastAsia="Calibri"/>
                <w:sz w:val="18"/>
                <w:szCs w:val="18"/>
                <w:lang w:eastAsia="en-AU"/>
              </w:rPr>
              <w:t xml:space="preserve">24 </w:t>
            </w:r>
            <w:r w:rsidR="00736CD3" w:rsidRPr="00B51E32">
              <w:rPr>
                <w:rFonts w:eastAsia="Calibri"/>
                <w:sz w:val="18"/>
                <w:szCs w:val="18"/>
                <w:lang w:eastAsia="en-AU"/>
              </w:rPr>
              <w:t>of 238</w:t>
            </w:r>
            <w:r w:rsidR="00751C70">
              <w:rPr>
                <w:rFonts w:eastAsia="Calibri"/>
                <w:sz w:val="18"/>
                <w:szCs w:val="18"/>
                <w:lang w:eastAsia="en-AU"/>
              </w:rPr>
              <w:t xml:space="preserve"> (10%)</w:t>
            </w:r>
          </w:p>
        </w:tc>
      </w:tr>
      <w:tr w:rsidR="00736CD3" w:rsidRPr="00B51E32" w:rsidTr="00B51E32">
        <w:trPr>
          <w:trHeight w:val="399"/>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rsidR="00736CD3" w:rsidRPr="00B51E32" w:rsidRDefault="00736CD3" w:rsidP="00B51E32">
            <w:pPr>
              <w:spacing w:before="0" w:after="0"/>
              <w:rPr>
                <w:rFonts w:eastAsia="Calibri"/>
                <w:b/>
                <w:sz w:val="18"/>
                <w:szCs w:val="18"/>
                <w:lang w:eastAsia="en-AU"/>
              </w:rPr>
            </w:pPr>
            <w:r w:rsidRPr="00B51E32">
              <w:rPr>
                <w:rFonts w:eastAsia="Calibri"/>
                <w:b/>
                <w:sz w:val="18"/>
                <w:szCs w:val="18"/>
                <w:lang w:eastAsia="en-AU"/>
              </w:rPr>
              <w:t xml:space="preserve">Fraud Issues </w:t>
            </w:r>
          </w:p>
        </w:tc>
        <w:tc>
          <w:tcPr>
            <w:tcW w:w="1791" w:type="dxa"/>
            <w:tcBorders>
              <w:top w:val="single" w:sz="4" w:space="0" w:color="auto"/>
              <w:left w:val="single" w:sz="4" w:space="0" w:color="auto"/>
              <w:bottom w:val="single" w:sz="4" w:space="0" w:color="auto"/>
              <w:right w:val="single" w:sz="4" w:space="0" w:color="auto"/>
            </w:tcBorders>
            <w:vAlign w:val="center"/>
            <w:hideMark/>
          </w:tcPr>
          <w:p w:rsidR="00736CD3" w:rsidRPr="00B51E32" w:rsidRDefault="00736CD3" w:rsidP="00B51E32">
            <w:pPr>
              <w:spacing w:before="0" w:after="0"/>
              <w:jc w:val="center"/>
              <w:rPr>
                <w:rFonts w:eastAsia="Calibri"/>
                <w:sz w:val="18"/>
                <w:szCs w:val="18"/>
                <w:lang w:eastAsia="en-AU"/>
              </w:rPr>
            </w:pPr>
            <w:r w:rsidRPr="00B51E32">
              <w:rPr>
                <w:rFonts w:eastAsia="Calibri"/>
                <w:sz w:val="18"/>
                <w:szCs w:val="18"/>
                <w:lang w:eastAsia="en-AU"/>
              </w:rPr>
              <w:t>9</w:t>
            </w:r>
          </w:p>
        </w:tc>
        <w:tc>
          <w:tcPr>
            <w:tcW w:w="1772" w:type="dxa"/>
            <w:tcBorders>
              <w:top w:val="single" w:sz="4" w:space="0" w:color="auto"/>
              <w:left w:val="single" w:sz="4" w:space="0" w:color="auto"/>
              <w:bottom w:val="single" w:sz="4" w:space="0" w:color="auto"/>
              <w:right w:val="single" w:sz="4" w:space="0" w:color="auto"/>
            </w:tcBorders>
            <w:vAlign w:val="center"/>
            <w:hideMark/>
          </w:tcPr>
          <w:p w:rsidR="00736CD3" w:rsidRPr="00B51E32" w:rsidRDefault="00736CD3" w:rsidP="00B51E32">
            <w:pPr>
              <w:spacing w:before="0" w:after="0"/>
              <w:jc w:val="center"/>
              <w:rPr>
                <w:rFonts w:eastAsia="Calibri"/>
                <w:sz w:val="18"/>
                <w:szCs w:val="18"/>
                <w:lang w:eastAsia="en-AU"/>
              </w:rPr>
            </w:pPr>
            <w:r w:rsidRPr="00B51E32">
              <w:rPr>
                <w:rFonts w:eastAsia="Calibri"/>
                <w:sz w:val="18"/>
                <w:szCs w:val="18"/>
                <w:lang w:eastAsia="en-AU"/>
              </w:rPr>
              <w:t>1</w:t>
            </w:r>
          </w:p>
        </w:tc>
        <w:tc>
          <w:tcPr>
            <w:tcW w:w="1778" w:type="dxa"/>
            <w:tcBorders>
              <w:top w:val="single" w:sz="4" w:space="0" w:color="auto"/>
              <w:left w:val="single" w:sz="4" w:space="0" w:color="auto"/>
              <w:bottom w:val="single" w:sz="4" w:space="0" w:color="auto"/>
              <w:right w:val="single" w:sz="4" w:space="0" w:color="auto"/>
            </w:tcBorders>
            <w:vAlign w:val="center"/>
          </w:tcPr>
          <w:p w:rsidR="00736CD3" w:rsidRPr="00B51E32" w:rsidRDefault="00736CD3" w:rsidP="00B51E32">
            <w:pPr>
              <w:spacing w:before="0" w:after="0"/>
              <w:jc w:val="center"/>
              <w:rPr>
                <w:rFonts w:eastAsia="Calibri"/>
                <w:sz w:val="18"/>
                <w:szCs w:val="18"/>
                <w:lang w:eastAsia="en-AU"/>
              </w:rPr>
            </w:pPr>
            <w:r w:rsidRPr="00B51E32">
              <w:rPr>
                <w:rFonts w:eastAsia="Calibri"/>
                <w:sz w:val="18"/>
                <w:szCs w:val="18"/>
                <w:lang w:eastAsia="en-AU"/>
              </w:rPr>
              <w:t>0</w:t>
            </w:r>
          </w:p>
        </w:tc>
      </w:tr>
      <w:tr w:rsidR="00736CD3" w:rsidRPr="00B51E32" w:rsidTr="00B51E32">
        <w:trPr>
          <w:trHeight w:val="399"/>
          <w:jc w:val="center"/>
        </w:trPr>
        <w:tc>
          <w:tcPr>
            <w:tcW w:w="8685" w:type="dxa"/>
            <w:gridSpan w:val="4"/>
            <w:tcBorders>
              <w:top w:val="single" w:sz="4" w:space="0" w:color="auto"/>
              <w:left w:val="single" w:sz="4" w:space="0" w:color="auto"/>
              <w:bottom w:val="single" w:sz="4" w:space="0" w:color="auto"/>
              <w:right w:val="single" w:sz="4" w:space="0" w:color="auto"/>
            </w:tcBorders>
            <w:vAlign w:val="center"/>
          </w:tcPr>
          <w:p w:rsidR="00736CD3" w:rsidRPr="00B51E32" w:rsidRDefault="00736CD3" w:rsidP="00B51E32">
            <w:pPr>
              <w:spacing w:before="0" w:after="0"/>
              <w:rPr>
                <w:rFonts w:eastAsia="Calibri"/>
                <w:b/>
                <w:sz w:val="18"/>
                <w:szCs w:val="18"/>
                <w:lang w:eastAsia="en-AU"/>
              </w:rPr>
            </w:pPr>
            <w:r w:rsidRPr="00B51E32">
              <w:rPr>
                <w:rFonts w:eastAsia="Calibri"/>
                <w:b/>
                <w:sz w:val="18"/>
                <w:szCs w:val="18"/>
                <w:lang w:eastAsia="en-AU"/>
              </w:rPr>
              <w:t>Non-compliance</w:t>
            </w:r>
          </w:p>
        </w:tc>
      </w:tr>
      <w:tr w:rsidR="00736CD3" w:rsidRPr="00B51E32" w:rsidTr="00B51E32">
        <w:trPr>
          <w:trHeight w:val="399"/>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rsidR="00736CD3" w:rsidRPr="00B51E32" w:rsidRDefault="00736CD3" w:rsidP="00B51E32">
            <w:pPr>
              <w:spacing w:before="0" w:after="0"/>
              <w:jc w:val="left"/>
              <w:rPr>
                <w:rFonts w:eastAsia="Calibri"/>
                <w:sz w:val="18"/>
                <w:szCs w:val="18"/>
                <w:lang w:eastAsia="en-AU"/>
              </w:rPr>
            </w:pPr>
            <w:r w:rsidRPr="00B51E32">
              <w:rPr>
                <w:rFonts w:eastAsia="Calibri"/>
                <w:sz w:val="18"/>
                <w:szCs w:val="18"/>
                <w:lang w:eastAsia="en-AU"/>
              </w:rPr>
              <w:t>Procurement and Inventory Related Issues</w:t>
            </w:r>
          </w:p>
        </w:tc>
        <w:tc>
          <w:tcPr>
            <w:tcW w:w="1791" w:type="dxa"/>
            <w:tcBorders>
              <w:top w:val="single" w:sz="4" w:space="0" w:color="auto"/>
              <w:left w:val="single" w:sz="4" w:space="0" w:color="auto"/>
              <w:bottom w:val="single" w:sz="4" w:space="0" w:color="auto"/>
              <w:right w:val="single" w:sz="4" w:space="0" w:color="auto"/>
            </w:tcBorders>
            <w:vAlign w:val="center"/>
            <w:hideMark/>
          </w:tcPr>
          <w:p w:rsidR="00736CD3" w:rsidRPr="00B51E32" w:rsidRDefault="00736CD3" w:rsidP="00B51E32">
            <w:pPr>
              <w:spacing w:before="0" w:after="0"/>
              <w:jc w:val="center"/>
              <w:rPr>
                <w:rFonts w:eastAsia="Calibri"/>
                <w:sz w:val="18"/>
                <w:szCs w:val="18"/>
                <w:lang w:eastAsia="en-AU"/>
              </w:rPr>
            </w:pPr>
            <w:r w:rsidRPr="00B51E32">
              <w:rPr>
                <w:rFonts w:eastAsia="Calibri"/>
                <w:sz w:val="18"/>
                <w:szCs w:val="18"/>
                <w:lang w:eastAsia="en-AU"/>
              </w:rPr>
              <w:t>12</w:t>
            </w:r>
          </w:p>
        </w:tc>
        <w:tc>
          <w:tcPr>
            <w:tcW w:w="1772" w:type="dxa"/>
            <w:tcBorders>
              <w:top w:val="single" w:sz="4" w:space="0" w:color="auto"/>
              <w:left w:val="single" w:sz="4" w:space="0" w:color="auto"/>
              <w:bottom w:val="single" w:sz="4" w:space="0" w:color="auto"/>
              <w:right w:val="single" w:sz="4" w:space="0" w:color="auto"/>
            </w:tcBorders>
            <w:vAlign w:val="center"/>
            <w:hideMark/>
          </w:tcPr>
          <w:p w:rsidR="00736CD3" w:rsidRPr="00B51E32" w:rsidRDefault="00736CD3" w:rsidP="00B51E32">
            <w:pPr>
              <w:spacing w:before="0" w:after="0"/>
              <w:jc w:val="center"/>
              <w:rPr>
                <w:rFonts w:eastAsia="Calibri"/>
                <w:sz w:val="18"/>
                <w:szCs w:val="18"/>
                <w:lang w:eastAsia="en-AU"/>
              </w:rPr>
            </w:pPr>
            <w:r w:rsidRPr="00B51E32">
              <w:rPr>
                <w:rFonts w:eastAsia="Calibri"/>
                <w:sz w:val="18"/>
                <w:szCs w:val="18"/>
                <w:lang w:eastAsia="en-AU"/>
              </w:rPr>
              <w:t>8</w:t>
            </w:r>
          </w:p>
        </w:tc>
        <w:tc>
          <w:tcPr>
            <w:tcW w:w="1778" w:type="dxa"/>
            <w:tcBorders>
              <w:top w:val="single" w:sz="4" w:space="0" w:color="auto"/>
              <w:left w:val="single" w:sz="4" w:space="0" w:color="auto"/>
              <w:bottom w:val="single" w:sz="4" w:space="0" w:color="auto"/>
              <w:right w:val="single" w:sz="4" w:space="0" w:color="auto"/>
            </w:tcBorders>
            <w:vAlign w:val="center"/>
          </w:tcPr>
          <w:p w:rsidR="00736CD3" w:rsidRPr="00B51E32" w:rsidRDefault="00736CD3" w:rsidP="00B51E32">
            <w:pPr>
              <w:spacing w:before="0" w:after="0"/>
              <w:jc w:val="center"/>
              <w:rPr>
                <w:rFonts w:eastAsia="Calibri"/>
                <w:sz w:val="18"/>
                <w:szCs w:val="18"/>
                <w:lang w:eastAsia="en-AU"/>
              </w:rPr>
            </w:pPr>
            <w:r w:rsidRPr="00B51E32">
              <w:rPr>
                <w:rFonts w:eastAsia="Calibri"/>
                <w:sz w:val="18"/>
                <w:szCs w:val="18"/>
                <w:lang w:eastAsia="en-AU"/>
              </w:rPr>
              <w:t>8</w:t>
            </w:r>
          </w:p>
        </w:tc>
      </w:tr>
      <w:tr w:rsidR="00736CD3" w:rsidRPr="00B51E32" w:rsidTr="00B51E32">
        <w:trPr>
          <w:trHeight w:val="399"/>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rsidR="00736CD3" w:rsidRPr="00B51E32" w:rsidRDefault="00736CD3" w:rsidP="00B51E32">
            <w:pPr>
              <w:spacing w:before="0" w:after="0"/>
              <w:rPr>
                <w:rFonts w:eastAsia="Calibri"/>
                <w:sz w:val="18"/>
                <w:szCs w:val="18"/>
                <w:lang w:eastAsia="en-AU"/>
              </w:rPr>
            </w:pPr>
            <w:r w:rsidRPr="00B51E32">
              <w:rPr>
                <w:rFonts w:eastAsia="Calibri"/>
                <w:sz w:val="18"/>
                <w:szCs w:val="18"/>
                <w:lang w:eastAsia="en-AU"/>
              </w:rPr>
              <w:t>Financial Related Issues</w:t>
            </w:r>
          </w:p>
        </w:tc>
        <w:tc>
          <w:tcPr>
            <w:tcW w:w="1791" w:type="dxa"/>
            <w:tcBorders>
              <w:top w:val="single" w:sz="4" w:space="0" w:color="auto"/>
              <w:left w:val="single" w:sz="4" w:space="0" w:color="auto"/>
              <w:bottom w:val="single" w:sz="4" w:space="0" w:color="auto"/>
              <w:right w:val="single" w:sz="4" w:space="0" w:color="auto"/>
            </w:tcBorders>
            <w:vAlign w:val="center"/>
            <w:hideMark/>
          </w:tcPr>
          <w:p w:rsidR="00736CD3" w:rsidRPr="00B51E32" w:rsidRDefault="00736CD3" w:rsidP="00B51E32">
            <w:pPr>
              <w:spacing w:before="0" w:after="0"/>
              <w:jc w:val="center"/>
              <w:rPr>
                <w:rFonts w:eastAsia="Calibri"/>
                <w:sz w:val="18"/>
                <w:szCs w:val="18"/>
                <w:lang w:eastAsia="en-AU"/>
              </w:rPr>
            </w:pPr>
            <w:r w:rsidRPr="00B51E32">
              <w:rPr>
                <w:rFonts w:eastAsia="Calibri"/>
                <w:sz w:val="18"/>
                <w:szCs w:val="18"/>
                <w:lang w:eastAsia="en-AU"/>
              </w:rPr>
              <w:t>27</w:t>
            </w:r>
          </w:p>
        </w:tc>
        <w:tc>
          <w:tcPr>
            <w:tcW w:w="1772" w:type="dxa"/>
            <w:tcBorders>
              <w:top w:val="single" w:sz="4" w:space="0" w:color="auto"/>
              <w:left w:val="single" w:sz="4" w:space="0" w:color="auto"/>
              <w:bottom w:val="single" w:sz="4" w:space="0" w:color="auto"/>
              <w:right w:val="single" w:sz="4" w:space="0" w:color="auto"/>
            </w:tcBorders>
            <w:vAlign w:val="center"/>
            <w:hideMark/>
          </w:tcPr>
          <w:p w:rsidR="00736CD3" w:rsidRPr="00B51E32" w:rsidRDefault="00736CD3" w:rsidP="00B51E32">
            <w:pPr>
              <w:spacing w:before="0" w:after="0"/>
              <w:jc w:val="center"/>
              <w:rPr>
                <w:rFonts w:eastAsia="Calibri"/>
                <w:sz w:val="18"/>
                <w:szCs w:val="18"/>
                <w:lang w:eastAsia="en-AU"/>
              </w:rPr>
            </w:pPr>
            <w:r w:rsidRPr="00B51E32">
              <w:rPr>
                <w:rFonts w:eastAsia="Calibri"/>
                <w:sz w:val="18"/>
                <w:szCs w:val="18"/>
                <w:lang w:eastAsia="en-AU"/>
              </w:rPr>
              <w:t>12</w:t>
            </w:r>
          </w:p>
        </w:tc>
        <w:tc>
          <w:tcPr>
            <w:tcW w:w="1778" w:type="dxa"/>
            <w:tcBorders>
              <w:top w:val="single" w:sz="4" w:space="0" w:color="auto"/>
              <w:left w:val="single" w:sz="4" w:space="0" w:color="auto"/>
              <w:bottom w:val="single" w:sz="4" w:space="0" w:color="auto"/>
              <w:right w:val="single" w:sz="4" w:space="0" w:color="auto"/>
            </w:tcBorders>
            <w:vAlign w:val="center"/>
          </w:tcPr>
          <w:p w:rsidR="00736CD3" w:rsidRPr="00B51E32" w:rsidRDefault="00736CD3" w:rsidP="00B51E32">
            <w:pPr>
              <w:spacing w:before="0" w:after="0"/>
              <w:jc w:val="center"/>
              <w:rPr>
                <w:rFonts w:eastAsia="Calibri"/>
                <w:sz w:val="18"/>
                <w:szCs w:val="18"/>
                <w:lang w:eastAsia="en-AU"/>
              </w:rPr>
            </w:pPr>
            <w:r w:rsidRPr="00B51E32">
              <w:rPr>
                <w:rFonts w:eastAsia="Calibri"/>
                <w:sz w:val="18"/>
                <w:szCs w:val="18"/>
                <w:lang w:eastAsia="en-AU"/>
              </w:rPr>
              <w:t>12</w:t>
            </w:r>
          </w:p>
        </w:tc>
      </w:tr>
      <w:tr w:rsidR="00736CD3" w:rsidRPr="00B51E32" w:rsidTr="00B51E32">
        <w:trPr>
          <w:trHeight w:val="399"/>
          <w:jc w:val="center"/>
        </w:trPr>
        <w:tc>
          <w:tcPr>
            <w:tcW w:w="3344" w:type="dxa"/>
            <w:tcBorders>
              <w:top w:val="single" w:sz="4" w:space="0" w:color="auto"/>
              <w:left w:val="single" w:sz="4" w:space="0" w:color="auto"/>
              <w:bottom w:val="single" w:sz="4" w:space="0" w:color="auto"/>
              <w:right w:val="single" w:sz="4" w:space="0" w:color="auto"/>
            </w:tcBorders>
            <w:vAlign w:val="center"/>
            <w:hideMark/>
          </w:tcPr>
          <w:p w:rsidR="00736CD3" w:rsidRPr="00B51E32" w:rsidRDefault="00736CD3" w:rsidP="00B51E32">
            <w:pPr>
              <w:spacing w:before="0" w:after="0"/>
              <w:rPr>
                <w:rFonts w:eastAsia="Calibri"/>
                <w:sz w:val="18"/>
                <w:szCs w:val="18"/>
                <w:lang w:eastAsia="en-AU"/>
              </w:rPr>
            </w:pPr>
            <w:r w:rsidRPr="00B51E32">
              <w:rPr>
                <w:rFonts w:eastAsia="Calibri"/>
                <w:sz w:val="18"/>
                <w:szCs w:val="18"/>
                <w:lang w:eastAsia="en-AU"/>
              </w:rPr>
              <w:t>Reporting Related Issues</w:t>
            </w:r>
          </w:p>
        </w:tc>
        <w:tc>
          <w:tcPr>
            <w:tcW w:w="1791" w:type="dxa"/>
            <w:tcBorders>
              <w:top w:val="single" w:sz="4" w:space="0" w:color="auto"/>
              <w:left w:val="single" w:sz="4" w:space="0" w:color="auto"/>
              <w:bottom w:val="single" w:sz="4" w:space="0" w:color="auto"/>
              <w:right w:val="single" w:sz="4" w:space="0" w:color="auto"/>
            </w:tcBorders>
            <w:vAlign w:val="center"/>
            <w:hideMark/>
          </w:tcPr>
          <w:p w:rsidR="00736CD3" w:rsidRPr="00B51E32" w:rsidRDefault="00736CD3" w:rsidP="00B51E32">
            <w:pPr>
              <w:spacing w:before="0" w:after="0"/>
              <w:jc w:val="center"/>
              <w:rPr>
                <w:rFonts w:eastAsia="Calibri"/>
                <w:sz w:val="18"/>
                <w:szCs w:val="18"/>
                <w:lang w:eastAsia="en-AU"/>
              </w:rPr>
            </w:pPr>
            <w:r w:rsidRPr="00B51E32">
              <w:rPr>
                <w:rFonts w:eastAsia="Calibri"/>
                <w:sz w:val="18"/>
                <w:szCs w:val="18"/>
                <w:lang w:eastAsia="en-AU"/>
              </w:rPr>
              <w:t>4</w:t>
            </w:r>
          </w:p>
        </w:tc>
        <w:tc>
          <w:tcPr>
            <w:tcW w:w="1772" w:type="dxa"/>
            <w:tcBorders>
              <w:top w:val="single" w:sz="4" w:space="0" w:color="auto"/>
              <w:left w:val="single" w:sz="4" w:space="0" w:color="auto"/>
              <w:bottom w:val="single" w:sz="4" w:space="0" w:color="auto"/>
              <w:right w:val="single" w:sz="4" w:space="0" w:color="auto"/>
            </w:tcBorders>
            <w:vAlign w:val="center"/>
            <w:hideMark/>
          </w:tcPr>
          <w:p w:rsidR="00736CD3" w:rsidRPr="00B51E32" w:rsidRDefault="00736CD3" w:rsidP="00B51E32">
            <w:pPr>
              <w:spacing w:before="0" w:after="0"/>
              <w:jc w:val="center"/>
              <w:rPr>
                <w:rFonts w:eastAsia="Calibri"/>
                <w:sz w:val="18"/>
                <w:szCs w:val="18"/>
                <w:lang w:eastAsia="en-AU"/>
              </w:rPr>
            </w:pPr>
            <w:r w:rsidRPr="00B51E32">
              <w:rPr>
                <w:rFonts w:eastAsia="Calibri"/>
                <w:sz w:val="18"/>
                <w:szCs w:val="18"/>
                <w:lang w:eastAsia="en-AU"/>
              </w:rPr>
              <w:t>5</w:t>
            </w:r>
          </w:p>
        </w:tc>
        <w:tc>
          <w:tcPr>
            <w:tcW w:w="1778" w:type="dxa"/>
            <w:tcBorders>
              <w:top w:val="single" w:sz="4" w:space="0" w:color="auto"/>
              <w:left w:val="single" w:sz="4" w:space="0" w:color="auto"/>
              <w:bottom w:val="single" w:sz="4" w:space="0" w:color="auto"/>
              <w:right w:val="single" w:sz="4" w:space="0" w:color="auto"/>
            </w:tcBorders>
            <w:vAlign w:val="center"/>
          </w:tcPr>
          <w:p w:rsidR="00736CD3" w:rsidRPr="00B51E32" w:rsidRDefault="00736CD3" w:rsidP="00B51E32">
            <w:pPr>
              <w:spacing w:before="0" w:after="0"/>
              <w:jc w:val="center"/>
              <w:rPr>
                <w:rFonts w:eastAsia="Calibri"/>
                <w:sz w:val="18"/>
                <w:szCs w:val="18"/>
                <w:lang w:eastAsia="en-AU"/>
              </w:rPr>
            </w:pPr>
            <w:r w:rsidRPr="00B51E32">
              <w:rPr>
                <w:rFonts w:eastAsia="Calibri"/>
                <w:sz w:val="18"/>
                <w:szCs w:val="18"/>
                <w:lang w:eastAsia="en-AU"/>
              </w:rPr>
              <w:t>3</w:t>
            </w:r>
          </w:p>
        </w:tc>
      </w:tr>
      <w:tr w:rsidR="00736CD3" w:rsidRPr="00B51E32" w:rsidTr="00B51E32">
        <w:trPr>
          <w:trHeight w:val="399"/>
          <w:jc w:val="center"/>
        </w:trPr>
        <w:tc>
          <w:tcPr>
            <w:tcW w:w="3344" w:type="dxa"/>
            <w:tcBorders>
              <w:top w:val="single" w:sz="4" w:space="0" w:color="auto"/>
              <w:left w:val="single" w:sz="4" w:space="0" w:color="auto"/>
              <w:bottom w:val="single" w:sz="4" w:space="0" w:color="auto"/>
              <w:right w:val="single" w:sz="4" w:space="0" w:color="auto"/>
            </w:tcBorders>
            <w:vAlign w:val="center"/>
          </w:tcPr>
          <w:p w:rsidR="00736CD3" w:rsidRPr="00B51E32" w:rsidRDefault="00736CD3" w:rsidP="00B51E32">
            <w:pPr>
              <w:spacing w:before="0" w:after="0"/>
              <w:rPr>
                <w:rFonts w:eastAsia="Calibri"/>
                <w:sz w:val="18"/>
                <w:szCs w:val="18"/>
                <w:lang w:eastAsia="en-AU"/>
              </w:rPr>
            </w:pPr>
            <w:r w:rsidRPr="00B51E32">
              <w:rPr>
                <w:rFonts w:eastAsia="Calibri"/>
                <w:sz w:val="18"/>
                <w:szCs w:val="18"/>
                <w:lang w:eastAsia="en-AU"/>
              </w:rPr>
              <w:t>Construction Management Issues</w:t>
            </w:r>
            <w:r w:rsidRPr="00B51E32">
              <w:rPr>
                <w:rStyle w:val="FootnoteReference"/>
                <w:rFonts w:eastAsia="Calibri"/>
                <w:sz w:val="18"/>
                <w:szCs w:val="18"/>
                <w:lang w:eastAsia="en-AU"/>
              </w:rPr>
              <w:footnoteReference w:id="18"/>
            </w:r>
          </w:p>
        </w:tc>
        <w:tc>
          <w:tcPr>
            <w:tcW w:w="1791" w:type="dxa"/>
            <w:tcBorders>
              <w:top w:val="single" w:sz="4" w:space="0" w:color="auto"/>
              <w:left w:val="single" w:sz="4" w:space="0" w:color="auto"/>
              <w:bottom w:val="single" w:sz="4" w:space="0" w:color="auto"/>
              <w:right w:val="single" w:sz="4" w:space="0" w:color="auto"/>
            </w:tcBorders>
            <w:vAlign w:val="center"/>
          </w:tcPr>
          <w:p w:rsidR="00736CD3" w:rsidRPr="00B51E32" w:rsidRDefault="00736CD3" w:rsidP="00B51E32">
            <w:pPr>
              <w:spacing w:before="0" w:after="0"/>
              <w:jc w:val="center"/>
              <w:rPr>
                <w:rFonts w:eastAsia="Calibri"/>
                <w:sz w:val="18"/>
                <w:szCs w:val="18"/>
                <w:lang w:eastAsia="en-AU"/>
              </w:rPr>
            </w:pPr>
            <w:r w:rsidRPr="00B51E32">
              <w:rPr>
                <w:rFonts w:eastAsia="Calibri"/>
                <w:sz w:val="18"/>
                <w:szCs w:val="18"/>
                <w:lang w:eastAsia="en-AU"/>
              </w:rPr>
              <w:t>n/a</w:t>
            </w:r>
          </w:p>
        </w:tc>
        <w:tc>
          <w:tcPr>
            <w:tcW w:w="1772" w:type="dxa"/>
            <w:tcBorders>
              <w:top w:val="single" w:sz="4" w:space="0" w:color="auto"/>
              <w:left w:val="single" w:sz="4" w:space="0" w:color="auto"/>
              <w:bottom w:val="single" w:sz="4" w:space="0" w:color="auto"/>
              <w:right w:val="single" w:sz="4" w:space="0" w:color="auto"/>
            </w:tcBorders>
            <w:vAlign w:val="center"/>
          </w:tcPr>
          <w:p w:rsidR="00736CD3" w:rsidRPr="00B51E32" w:rsidRDefault="00736CD3" w:rsidP="00B51E32">
            <w:pPr>
              <w:spacing w:before="0" w:after="0"/>
              <w:jc w:val="center"/>
              <w:rPr>
                <w:rFonts w:eastAsia="Calibri"/>
                <w:sz w:val="18"/>
                <w:szCs w:val="18"/>
                <w:lang w:eastAsia="en-AU"/>
              </w:rPr>
            </w:pPr>
            <w:r w:rsidRPr="00B51E32">
              <w:rPr>
                <w:rFonts w:eastAsia="Calibri"/>
                <w:sz w:val="18"/>
                <w:szCs w:val="18"/>
                <w:lang w:eastAsia="en-AU"/>
              </w:rPr>
              <w:t>n/a</w:t>
            </w:r>
          </w:p>
        </w:tc>
        <w:tc>
          <w:tcPr>
            <w:tcW w:w="1778" w:type="dxa"/>
            <w:tcBorders>
              <w:top w:val="single" w:sz="4" w:space="0" w:color="auto"/>
              <w:left w:val="single" w:sz="4" w:space="0" w:color="auto"/>
              <w:bottom w:val="single" w:sz="4" w:space="0" w:color="auto"/>
              <w:right w:val="single" w:sz="4" w:space="0" w:color="auto"/>
            </w:tcBorders>
            <w:vAlign w:val="center"/>
          </w:tcPr>
          <w:p w:rsidR="00736CD3" w:rsidRPr="00B51E32" w:rsidRDefault="00736CD3" w:rsidP="00B51E32">
            <w:pPr>
              <w:spacing w:before="0" w:after="0"/>
              <w:jc w:val="center"/>
              <w:rPr>
                <w:rFonts w:eastAsia="Calibri"/>
                <w:sz w:val="18"/>
                <w:szCs w:val="18"/>
                <w:lang w:eastAsia="en-AU"/>
              </w:rPr>
            </w:pPr>
            <w:r w:rsidRPr="00B51E32">
              <w:rPr>
                <w:rFonts w:eastAsia="Calibri"/>
                <w:sz w:val="18"/>
                <w:szCs w:val="18"/>
                <w:lang w:eastAsia="en-AU"/>
              </w:rPr>
              <w:t>3</w:t>
            </w:r>
          </w:p>
        </w:tc>
      </w:tr>
    </w:tbl>
    <w:p w:rsidR="00736CD3" w:rsidRDefault="00736CD3" w:rsidP="001D2009">
      <w:pPr>
        <w:pStyle w:val="SourceNotes"/>
      </w:pPr>
      <w:r w:rsidRPr="00851EC7">
        <w:t>Source: SCC Financial Compliance Review Report 2012</w:t>
      </w:r>
      <w:r>
        <w:t>, 2013 and 2014</w:t>
      </w:r>
    </w:p>
    <w:p w:rsidR="001D2009" w:rsidRDefault="001D2009" w:rsidP="001D2009">
      <w:pPr>
        <w:pStyle w:val="FootnoteText"/>
        <w:rPr>
          <w:rFonts w:asciiTheme="minorHAnsi" w:hAnsiTheme="minorHAnsi"/>
          <w:sz w:val="22"/>
        </w:rPr>
      </w:pPr>
      <w:bookmarkStart w:id="26" w:name="_Ref379640536"/>
      <w:bookmarkStart w:id="27" w:name="_Toc412534574"/>
      <w:r>
        <w:rPr>
          <w:rFonts w:asciiTheme="minorHAnsi" w:hAnsiTheme="minorHAnsi"/>
          <w:sz w:val="22"/>
        </w:rPr>
        <w:t xml:space="preserve">All of the above points speak to improved efficiency for specific managerial tasks (e.g. complaint handling, site selection) and the long-term savings on investments that will accrue from the improved construction quality of Cycle 4 schools. Ironically, however, the improving efficiency of discreet mechanisms within C1 occurred against a larger picture of DFAT’s diminishing investments in school construction during 2015. In other words, the more efficient the program has become, the </w:t>
      </w:r>
      <w:r w:rsidR="00CA5CA2">
        <w:rPr>
          <w:rFonts w:asciiTheme="minorHAnsi" w:hAnsiTheme="minorHAnsi"/>
          <w:sz w:val="22"/>
        </w:rPr>
        <w:t xml:space="preserve">fewer </w:t>
      </w:r>
      <w:r>
        <w:rPr>
          <w:rFonts w:asciiTheme="minorHAnsi" w:hAnsiTheme="minorHAnsi"/>
          <w:sz w:val="22"/>
        </w:rPr>
        <w:t xml:space="preserve">schools it has built </w:t>
      </w:r>
      <w:r w:rsidR="00247BAA">
        <w:rPr>
          <w:rFonts w:asciiTheme="minorHAnsi" w:hAnsiTheme="minorHAnsi"/>
          <w:sz w:val="22"/>
        </w:rPr>
        <w:t>(Se</w:t>
      </w:r>
      <w:r w:rsidR="00247BAA" w:rsidRPr="00FE647A">
        <w:rPr>
          <w:rFonts w:asciiTheme="minorHAnsi" w:hAnsiTheme="minorHAnsi"/>
          <w:sz w:val="22"/>
        </w:rPr>
        <w:t xml:space="preserve">e </w:t>
      </w:r>
      <w:r w:rsidR="00247BAA" w:rsidRPr="00FE647A">
        <w:rPr>
          <w:rFonts w:asciiTheme="minorHAnsi" w:hAnsiTheme="minorHAnsi"/>
          <w:sz w:val="22"/>
        </w:rPr>
        <w:fldChar w:fldCharType="begin"/>
      </w:r>
      <w:r w:rsidR="00247BAA" w:rsidRPr="00FE647A">
        <w:rPr>
          <w:rFonts w:asciiTheme="minorHAnsi" w:hAnsiTheme="minorHAnsi"/>
          <w:sz w:val="22"/>
        </w:rPr>
        <w:instrText xml:space="preserve"> REF _Ref447916292 \h </w:instrText>
      </w:r>
      <w:r w:rsidR="00FE647A" w:rsidRPr="00FE647A">
        <w:rPr>
          <w:rFonts w:asciiTheme="minorHAnsi" w:hAnsiTheme="minorHAnsi"/>
          <w:sz w:val="22"/>
        </w:rPr>
        <w:instrText xml:space="preserve"> \* MERGEFORMAT </w:instrText>
      </w:r>
      <w:r w:rsidR="00247BAA" w:rsidRPr="00FE647A">
        <w:rPr>
          <w:rFonts w:asciiTheme="minorHAnsi" w:hAnsiTheme="minorHAnsi"/>
          <w:sz w:val="22"/>
        </w:rPr>
      </w:r>
      <w:r w:rsidR="00247BAA" w:rsidRPr="00FE647A">
        <w:rPr>
          <w:rFonts w:asciiTheme="minorHAnsi" w:hAnsiTheme="minorHAnsi"/>
          <w:sz w:val="22"/>
        </w:rPr>
        <w:fldChar w:fldCharType="separate"/>
      </w:r>
      <w:r w:rsidR="00693E96" w:rsidRPr="00693E96">
        <w:rPr>
          <w:sz w:val="22"/>
        </w:rPr>
        <w:t xml:space="preserve">Table </w:t>
      </w:r>
      <w:r w:rsidR="00693E96" w:rsidRPr="00693E96">
        <w:rPr>
          <w:noProof/>
          <w:sz w:val="22"/>
        </w:rPr>
        <w:t>2</w:t>
      </w:r>
      <w:r w:rsidR="00247BAA" w:rsidRPr="00FE647A">
        <w:rPr>
          <w:rFonts w:asciiTheme="minorHAnsi" w:hAnsiTheme="minorHAnsi"/>
          <w:sz w:val="22"/>
        </w:rPr>
        <w:fldChar w:fldCharType="end"/>
      </w:r>
      <w:r w:rsidR="00FE647A">
        <w:rPr>
          <w:rFonts w:asciiTheme="minorHAnsi" w:hAnsiTheme="minorHAnsi"/>
          <w:sz w:val="22"/>
        </w:rPr>
        <w:t>)</w:t>
      </w:r>
      <w:r w:rsidR="00751C70">
        <w:rPr>
          <w:rFonts w:asciiTheme="minorHAnsi" w:hAnsiTheme="minorHAnsi"/>
          <w:sz w:val="22"/>
        </w:rPr>
        <w:t>.</w:t>
      </w:r>
    </w:p>
    <w:p w:rsidR="00736CD3" w:rsidRPr="00851EC7" w:rsidRDefault="00736CD3" w:rsidP="00736CD3">
      <w:pPr>
        <w:pStyle w:val="Caption-Table"/>
      </w:pPr>
      <w:bookmarkStart w:id="28" w:name="_Ref447916292"/>
      <w:bookmarkStart w:id="29" w:name="_Toc450131623"/>
      <w:r>
        <w:t xml:space="preserve">Table </w:t>
      </w:r>
      <w:r>
        <w:fldChar w:fldCharType="begin"/>
      </w:r>
      <w:r>
        <w:instrText xml:space="preserve"> SEQ Table \* ARABIC </w:instrText>
      </w:r>
      <w:r>
        <w:fldChar w:fldCharType="separate"/>
      </w:r>
      <w:r w:rsidR="00693E96">
        <w:rPr>
          <w:noProof/>
        </w:rPr>
        <w:t>2</w:t>
      </w:r>
      <w:r>
        <w:fldChar w:fldCharType="end"/>
      </w:r>
      <w:bookmarkEnd w:id="26"/>
      <w:bookmarkEnd w:id="28"/>
      <w:r w:rsidRPr="00851EC7">
        <w:t>: School construction per cycle (as of December 201</w:t>
      </w:r>
      <w:r>
        <w:t>5</w:t>
      </w:r>
      <w:r w:rsidRPr="00851EC7">
        <w:t>)</w:t>
      </w:r>
      <w:bookmarkEnd w:id="27"/>
      <w:bookmarkEnd w:id="29"/>
    </w:p>
    <w:tbl>
      <w:tblPr>
        <w:tblW w:w="0" w:type="auto"/>
        <w:jc w:val="center"/>
        <w:tblCellMar>
          <w:left w:w="0" w:type="dxa"/>
          <w:right w:w="0" w:type="dxa"/>
        </w:tblCellMar>
        <w:tblLook w:val="04A0" w:firstRow="1" w:lastRow="0" w:firstColumn="1" w:lastColumn="0" w:noHBand="0" w:noVBand="1"/>
      </w:tblPr>
      <w:tblGrid>
        <w:gridCol w:w="1807"/>
        <w:gridCol w:w="1276"/>
        <w:gridCol w:w="1418"/>
        <w:gridCol w:w="1275"/>
        <w:gridCol w:w="2189"/>
      </w:tblGrid>
      <w:tr w:rsidR="00736CD3" w:rsidRPr="00B51E32" w:rsidTr="00B51E32">
        <w:trPr>
          <w:trHeight w:val="408"/>
          <w:jc w:val="center"/>
        </w:trPr>
        <w:tc>
          <w:tcPr>
            <w:tcW w:w="1807" w:type="dxa"/>
            <w:tcBorders>
              <w:top w:val="single" w:sz="4" w:space="0" w:color="auto"/>
              <w:left w:val="single" w:sz="4" w:space="0" w:color="auto"/>
              <w:bottom w:val="single" w:sz="4" w:space="0" w:color="auto"/>
              <w:right w:val="single" w:sz="4" w:space="0" w:color="auto"/>
            </w:tcBorders>
            <w:shd w:val="clear" w:color="auto" w:fill="1F497D" w:themeFill="text2"/>
            <w:tcMar>
              <w:top w:w="0" w:type="dxa"/>
              <w:left w:w="108" w:type="dxa"/>
              <w:bottom w:w="0" w:type="dxa"/>
              <w:right w:w="108" w:type="dxa"/>
            </w:tcMar>
            <w:vAlign w:val="center"/>
          </w:tcPr>
          <w:p w:rsidR="00736CD3" w:rsidRPr="00B51E32" w:rsidRDefault="00736CD3" w:rsidP="00B51E32">
            <w:pPr>
              <w:spacing w:before="0" w:after="0" w:line="240" w:lineRule="auto"/>
              <w:jc w:val="center"/>
              <w:rPr>
                <w:rFonts w:asciiTheme="minorHAnsi" w:hAnsiTheme="minorHAnsi"/>
                <w:b/>
                <w:bCs/>
                <w:color w:val="FFFFFF" w:themeColor="background1"/>
                <w:sz w:val="20"/>
                <w:szCs w:val="20"/>
              </w:rPr>
            </w:pPr>
            <w:r w:rsidRPr="00B51E32">
              <w:rPr>
                <w:rFonts w:asciiTheme="minorHAnsi" w:hAnsiTheme="minorHAnsi"/>
                <w:b/>
                <w:bCs/>
                <w:color w:val="FFFFFF" w:themeColor="background1"/>
                <w:sz w:val="20"/>
                <w:szCs w:val="20"/>
              </w:rPr>
              <w:t>Cycle</w:t>
            </w:r>
          </w:p>
        </w:tc>
        <w:tc>
          <w:tcPr>
            <w:tcW w:w="1276" w:type="dxa"/>
            <w:tcBorders>
              <w:top w:val="single" w:sz="4" w:space="0" w:color="auto"/>
              <w:left w:val="single" w:sz="4" w:space="0" w:color="auto"/>
              <w:bottom w:val="single" w:sz="4" w:space="0" w:color="auto"/>
              <w:right w:val="single" w:sz="4" w:space="0" w:color="auto"/>
            </w:tcBorders>
            <w:shd w:val="clear" w:color="auto" w:fill="1F497D" w:themeFill="text2"/>
            <w:tcMar>
              <w:top w:w="0" w:type="dxa"/>
              <w:left w:w="108" w:type="dxa"/>
              <w:bottom w:w="0" w:type="dxa"/>
              <w:right w:w="108" w:type="dxa"/>
            </w:tcMar>
            <w:vAlign w:val="center"/>
          </w:tcPr>
          <w:p w:rsidR="00736CD3" w:rsidRPr="00B51E32" w:rsidRDefault="00736CD3" w:rsidP="00B51E32">
            <w:pPr>
              <w:spacing w:before="0" w:after="0" w:line="240" w:lineRule="auto"/>
              <w:jc w:val="center"/>
              <w:rPr>
                <w:rFonts w:asciiTheme="minorHAnsi" w:hAnsiTheme="minorHAnsi"/>
                <w:color w:val="FFFFFF" w:themeColor="background1"/>
                <w:sz w:val="20"/>
                <w:szCs w:val="20"/>
              </w:rPr>
            </w:pPr>
            <w:r w:rsidRPr="00B51E32">
              <w:rPr>
                <w:rFonts w:asciiTheme="minorHAnsi" w:hAnsiTheme="minorHAnsi"/>
                <w:b/>
                <w:bCs/>
                <w:color w:val="FFFFFF" w:themeColor="background1"/>
                <w:sz w:val="20"/>
                <w:szCs w:val="20"/>
              </w:rPr>
              <w:t>SATAP</w:t>
            </w:r>
          </w:p>
        </w:tc>
        <w:tc>
          <w:tcPr>
            <w:tcW w:w="1418"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736CD3" w:rsidRPr="00B51E32" w:rsidRDefault="00736CD3" w:rsidP="00B51E32">
            <w:pPr>
              <w:spacing w:before="0" w:after="0" w:line="240" w:lineRule="auto"/>
              <w:jc w:val="center"/>
              <w:rPr>
                <w:rFonts w:asciiTheme="minorHAnsi" w:hAnsiTheme="minorHAnsi"/>
                <w:b/>
                <w:bCs/>
                <w:color w:val="FFFFFF" w:themeColor="background1"/>
                <w:sz w:val="20"/>
                <w:szCs w:val="20"/>
              </w:rPr>
            </w:pPr>
            <w:r w:rsidRPr="00B51E32">
              <w:rPr>
                <w:rFonts w:asciiTheme="minorHAnsi" w:hAnsiTheme="minorHAnsi"/>
                <w:b/>
                <w:bCs/>
                <w:color w:val="FFFFFF" w:themeColor="background1"/>
                <w:sz w:val="20"/>
                <w:szCs w:val="20"/>
              </w:rPr>
              <w:t>USB/</w:t>
            </w:r>
            <w:r w:rsidR="00055F11" w:rsidRPr="00B51E32">
              <w:rPr>
                <w:rFonts w:asciiTheme="minorHAnsi" w:hAnsiTheme="minorHAnsi"/>
                <w:b/>
                <w:bCs/>
                <w:color w:val="FFFFFF" w:themeColor="background1"/>
                <w:sz w:val="20"/>
                <w:szCs w:val="20"/>
              </w:rPr>
              <w:br/>
            </w:r>
            <w:r w:rsidRPr="00B51E32">
              <w:rPr>
                <w:rFonts w:asciiTheme="minorHAnsi" w:hAnsiTheme="minorHAnsi"/>
                <w:b/>
                <w:bCs/>
                <w:color w:val="FFFFFF" w:themeColor="background1"/>
                <w:sz w:val="20"/>
                <w:szCs w:val="20"/>
              </w:rPr>
              <w:t>Small USB</w:t>
            </w:r>
          </w:p>
        </w:tc>
        <w:tc>
          <w:tcPr>
            <w:tcW w:w="127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736CD3" w:rsidRPr="00B51E32" w:rsidRDefault="00736CD3" w:rsidP="00B51E32">
            <w:pPr>
              <w:spacing w:before="0" w:after="0" w:line="240" w:lineRule="auto"/>
              <w:jc w:val="center"/>
              <w:rPr>
                <w:rFonts w:asciiTheme="minorHAnsi" w:hAnsiTheme="minorHAnsi"/>
                <w:b/>
                <w:bCs/>
                <w:color w:val="FFFFFF" w:themeColor="background1"/>
                <w:sz w:val="20"/>
                <w:szCs w:val="20"/>
              </w:rPr>
            </w:pPr>
            <w:r w:rsidRPr="00B51E32">
              <w:rPr>
                <w:rFonts w:asciiTheme="minorHAnsi" w:hAnsiTheme="minorHAnsi"/>
                <w:b/>
                <w:bCs/>
                <w:color w:val="FFFFFF" w:themeColor="background1"/>
                <w:sz w:val="20"/>
                <w:szCs w:val="20"/>
              </w:rPr>
              <w:t>Total</w:t>
            </w:r>
          </w:p>
        </w:tc>
        <w:tc>
          <w:tcPr>
            <w:tcW w:w="2189"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736CD3" w:rsidRPr="00B51E32" w:rsidRDefault="00736CD3" w:rsidP="00B51E32">
            <w:pPr>
              <w:spacing w:before="0" w:after="0" w:line="240" w:lineRule="auto"/>
              <w:jc w:val="center"/>
              <w:rPr>
                <w:rFonts w:asciiTheme="minorHAnsi" w:hAnsiTheme="minorHAnsi"/>
                <w:b/>
                <w:bCs/>
                <w:color w:val="FFFFFF" w:themeColor="background1"/>
                <w:sz w:val="20"/>
                <w:szCs w:val="20"/>
              </w:rPr>
            </w:pPr>
            <w:r w:rsidRPr="00B51E32">
              <w:rPr>
                <w:rFonts w:asciiTheme="minorHAnsi" w:hAnsiTheme="minorHAnsi"/>
                <w:b/>
                <w:bCs/>
                <w:color w:val="FFFFFF" w:themeColor="background1"/>
                <w:sz w:val="20"/>
                <w:szCs w:val="20"/>
              </w:rPr>
              <w:t>Incomplete Schools</w:t>
            </w:r>
          </w:p>
        </w:tc>
      </w:tr>
      <w:tr w:rsidR="00736CD3" w:rsidRPr="00B51E32" w:rsidTr="00B51E32">
        <w:trPr>
          <w:trHeight w:val="218"/>
          <w:jc w:val="center"/>
        </w:trPr>
        <w:tc>
          <w:tcPr>
            <w:tcW w:w="180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6CD3" w:rsidRPr="00B51E32" w:rsidRDefault="00736CD3" w:rsidP="00B51E32">
            <w:pPr>
              <w:spacing w:before="0" w:after="0"/>
              <w:jc w:val="center"/>
              <w:rPr>
                <w:rFonts w:asciiTheme="minorHAnsi" w:eastAsiaTheme="minorHAnsi" w:hAnsiTheme="minorHAnsi"/>
                <w:b/>
                <w:bCs/>
                <w:sz w:val="20"/>
                <w:szCs w:val="20"/>
              </w:rPr>
            </w:pPr>
            <w:r w:rsidRPr="00B51E32">
              <w:rPr>
                <w:rFonts w:asciiTheme="minorHAnsi" w:hAnsiTheme="minorHAnsi"/>
                <w:b/>
                <w:bCs/>
                <w:sz w:val="20"/>
                <w:szCs w:val="20"/>
              </w:rPr>
              <w:t>1</w:t>
            </w:r>
            <w:r w:rsidR="00055F11" w:rsidRPr="00B51E32">
              <w:rPr>
                <w:rFonts w:asciiTheme="minorHAnsi" w:hAnsiTheme="minorHAnsi"/>
                <w:b/>
                <w:bCs/>
                <w:sz w:val="20"/>
                <w:szCs w:val="20"/>
              </w:rPr>
              <w:t xml:space="preserve"> (2012/2013)</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736CD3" w:rsidRPr="00B51E32" w:rsidRDefault="00736CD3" w:rsidP="00B51E32">
            <w:pPr>
              <w:spacing w:before="0" w:after="0"/>
              <w:jc w:val="center"/>
              <w:rPr>
                <w:rFonts w:asciiTheme="minorHAnsi" w:eastAsiaTheme="minorHAnsi" w:hAnsiTheme="minorHAnsi"/>
                <w:sz w:val="20"/>
                <w:szCs w:val="20"/>
              </w:rPr>
            </w:pPr>
            <w:r w:rsidRPr="00B51E32">
              <w:rPr>
                <w:rFonts w:asciiTheme="minorHAnsi" w:hAnsiTheme="minorHAnsi"/>
                <w:sz w:val="20"/>
                <w:szCs w:val="20"/>
              </w:rPr>
              <w:t>340</w:t>
            </w:r>
          </w:p>
        </w:tc>
        <w:tc>
          <w:tcPr>
            <w:tcW w:w="1418" w:type="dxa"/>
            <w:tcBorders>
              <w:top w:val="single" w:sz="4" w:space="0" w:color="auto"/>
              <w:left w:val="nil"/>
              <w:bottom w:val="single" w:sz="8" w:space="0" w:color="auto"/>
              <w:right w:val="single" w:sz="8" w:space="0" w:color="auto"/>
            </w:tcBorders>
            <w:vAlign w:val="center"/>
          </w:tcPr>
          <w:p w:rsidR="00736CD3" w:rsidRPr="00B51E32" w:rsidRDefault="00736CD3" w:rsidP="00B51E32">
            <w:pPr>
              <w:spacing w:before="0" w:after="0"/>
              <w:jc w:val="center"/>
              <w:rPr>
                <w:rFonts w:asciiTheme="minorHAnsi" w:hAnsiTheme="minorHAnsi"/>
                <w:sz w:val="20"/>
                <w:szCs w:val="20"/>
              </w:rPr>
            </w:pPr>
            <w:r w:rsidRPr="00B51E32">
              <w:rPr>
                <w:rFonts w:asciiTheme="minorHAnsi" w:hAnsiTheme="minorHAnsi"/>
                <w:sz w:val="20"/>
                <w:szCs w:val="20"/>
              </w:rPr>
              <w:t>111</w:t>
            </w:r>
          </w:p>
        </w:tc>
        <w:tc>
          <w:tcPr>
            <w:tcW w:w="1275" w:type="dxa"/>
            <w:tcBorders>
              <w:top w:val="single" w:sz="4" w:space="0" w:color="auto"/>
              <w:left w:val="nil"/>
              <w:bottom w:val="single" w:sz="8" w:space="0" w:color="auto"/>
              <w:right w:val="single" w:sz="8" w:space="0" w:color="auto"/>
            </w:tcBorders>
            <w:vAlign w:val="center"/>
          </w:tcPr>
          <w:p w:rsidR="00736CD3" w:rsidRPr="00B51E32" w:rsidRDefault="00736CD3" w:rsidP="00B51E32">
            <w:pPr>
              <w:spacing w:before="0" w:after="0"/>
              <w:jc w:val="center"/>
              <w:rPr>
                <w:rFonts w:asciiTheme="minorHAnsi" w:hAnsiTheme="minorHAnsi"/>
                <w:sz w:val="20"/>
                <w:szCs w:val="20"/>
              </w:rPr>
            </w:pPr>
            <w:r w:rsidRPr="00B51E32">
              <w:rPr>
                <w:rFonts w:asciiTheme="minorHAnsi" w:hAnsiTheme="minorHAnsi"/>
                <w:sz w:val="20"/>
                <w:szCs w:val="20"/>
              </w:rPr>
              <w:t>451</w:t>
            </w:r>
          </w:p>
        </w:tc>
        <w:tc>
          <w:tcPr>
            <w:tcW w:w="2189" w:type="dxa"/>
            <w:tcBorders>
              <w:top w:val="single" w:sz="4" w:space="0" w:color="auto"/>
              <w:left w:val="nil"/>
              <w:bottom w:val="single" w:sz="8" w:space="0" w:color="auto"/>
              <w:right w:val="single" w:sz="8" w:space="0" w:color="auto"/>
            </w:tcBorders>
            <w:vAlign w:val="center"/>
          </w:tcPr>
          <w:p w:rsidR="00736CD3" w:rsidRPr="00B51E32" w:rsidRDefault="00736CD3" w:rsidP="00B51E32">
            <w:pPr>
              <w:spacing w:before="0" w:after="0"/>
              <w:jc w:val="center"/>
              <w:rPr>
                <w:rFonts w:asciiTheme="minorHAnsi" w:hAnsiTheme="minorHAnsi"/>
                <w:sz w:val="20"/>
                <w:szCs w:val="20"/>
              </w:rPr>
            </w:pPr>
            <w:r w:rsidRPr="00B51E32">
              <w:rPr>
                <w:rFonts w:asciiTheme="minorHAnsi" w:hAnsiTheme="minorHAnsi"/>
                <w:sz w:val="20"/>
                <w:szCs w:val="20"/>
              </w:rPr>
              <w:t>2 USB</w:t>
            </w:r>
          </w:p>
        </w:tc>
      </w:tr>
      <w:tr w:rsidR="00736CD3" w:rsidRPr="00B51E32" w:rsidTr="00B51E32">
        <w:trPr>
          <w:trHeight w:val="60"/>
          <w:jc w:val="center"/>
        </w:trPr>
        <w:tc>
          <w:tcPr>
            <w:tcW w:w="18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6CD3" w:rsidRPr="00B51E32" w:rsidRDefault="00736CD3" w:rsidP="00B51E32">
            <w:pPr>
              <w:spacing w:before="0" w:after="0"/>
              <w:jc w:val="center"/>
              <w:rPr>
                <w:rFonts w:asciiTheme="minorHAnsi" w:eastAsiaTheme="minorHAnsi" w:hAnsiTheme="minorHAnsi"/>
                <w:b/>
                <w:bCs/>
                <w:sz w:val="20"/>
                <w:szCs w:val="20"/>
              </w:rPr>
            </w:pPr>
            <w:r w:rsidRPr="00B51E32">
              <w:rPr>
                <w:rFonts w:asciiTheme="minorHAnsi" w:hAnsiTheme="minorHAnsi"/>
                <w:b/>
                <w:bCs/>
                <w:sz w:val="20"/>
                <w:szCs w:val="20"/>
              </w:rPr>
              <w:t>2</w:t>
            </w:r>
            <w:r w:rsidR="00055F11" w:rsidRPr="00B51E32">
              <w:rPr>
                <w:rFonts w:asciiTheme="minorHAnsi" w:hAnsiTheme="minorHAnsi"/>
                <w:b/>
                <w:bCs/>
                <w:sz w:val="20"/>
                <w:szCs w:val="20"/>
              </w:rPr>
              <w:t xml:space="preserve"> (2013/2014)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6CD3" w:rsidRPr="00B51E32" w:rsidRDefault="00736CD3" w:rsidP="00B51E32">
            <w:pPr>
              <w:spacing w:before="0" w:after="0"/>
              <w:jc w:val="center"/>
              <w:rPr>
                <w:rFonts w:asciiTheme="minorHAnsi" w:eastAsiaTheme="minorHAnsi" w:hAnsiTheme="minorHAnsi"/>
                <w:sz w:val="20"/>
                <w:szCs w:val="20"/>
              </w:rPr>
            </w:pPr>
            <w:r w:rsidRPr="00B51E32">
              <w:rPr>
                <w:rFonts w:asciiTheme="minorHAnsi" w:hAnsiTheme="minorHAnsi"/>
                <w:sz w:val="20"/>
                <w:szCs w:val="20"/>
              </w:rPr>
              <w:t>150</w:t>
            </w:r>
          </w:p>
        </w:tc>
        <w:tc>
          <w:tcPr>
            <w:tcW w:w="1418" w:type="dxa"/>
            <w:tcBorders>
              <w:top w:val="nil"/>
              <w:left w:val="nil"/>
              <w:bottom w:val="single" w:sz="8" w:space="0" w:color="auto"/>
              <w:right w:val="single" w:sz="8" w:space="0" w:color="auto"/>
            </w:tcBorders>
            <w:vAlign w:val="center"/>
          </w:tcPr>
          <w:p w:rsidR="00736CD3" w:rsidRPr="00B51E32" w:rsidRDefault="00736CD3" w:rsidP="00B51E32">
            <w:pPr>
              <w:spacing w:before="0" w:after="0"/>
              <w:jc w:val="center"/>
              <w:rPr>
                <w:rFonts w:asciiTheme="minorHAnsi" w:hAnsiTheme="minorHAnsi"/>
                <w:sz w:val="20"/>
                <w:szCs w:val="20"/>
              </w:rPr>
            </w:pPr>
            <w:r w:rsidRPr="00B51E32">
              <w:rPr>
                <w:rFonts w:asciiTheme="minorHAnsi" w:hAnsiTheme="minorHAnsi"/>
                <w:sz w:val="20"/>
                <w:szCs w:val="20"/>
              </w:rPr>
              <w:t>166</w:t>
            </w:r>
          </w:p>
        </w:tc>
        <w:tc>
          <w:tcPr>
            <w:tcW w:w="1275" w:type="dxa"/>
            <w:tcBorders>
              <w:top w:val="nil"/>
              <w:left w:val="nil"/>
              <w:bottom w:val="single" w:sz="8" w:space="0" w:color="auto"/>
              <w:right w:val="single" w:sz="8" w:space="0" w:color="auto"/>
            </w:tcBorders>
            <w:vAlign w:val="center"/>
          </w:tcPr>
          <w:p w:rsidR="00736CD3" w:rsidRPr="00B51E32" w:rsidRDefault="00736CD3" w:rsidP="00B51E32">
            <w:pPr>
              <w:spacing w:before="0" w:after="0"/>
              <w:jc w:val="center"/>
              <w:rPr>
                <w:rFonts w:asciiTheme="minorHAnsi" w:hAnsiTheme="minorHAnsi"/>
                <w:sz w:val="20"/>
                <w:szCs w:val="20"/>
              </w:rPr>
            </w:pPr>
            <w:r w:rsidRPr="00B51E32">
              <w:rPr>
                <w:rFonts w:asciiTheme="minorHAnsi" w:hAnsiTheme="minorHAnsi"/>
                <w:sz w:val="20"/>
                <w:szCs w:val="20"/>
              </w:rPr>
              <w:t>316</w:t>
            </w:r>
          </w:p>
        </w:tc>
        <w:tc>
          <w:tcPr>
            <w:tcW w:w="2189" w:type="dxa"/>
            <w:tcBorders>
              <w:top w:val="nil"/>
              <w:left w:val="nil"/>
              <w:bottom w:val="single" w:sz="8" w:space="0" w:color="auto"/>
              <w:right w:val="single" w:sz="8" w:space="0" w:color="auto"/>
            </w:tcBorders>
            <w:vAlign w:val="center"/>
          </w:tcPr>
          <w:p w:rsidR="00736CD3" w:rsidRPr="00B51E32" w:rsidRDefault="00736CD3" w:rsidP="00B51E32">
            <w:pPr>
              <w:spacing w:before="0" w:after="0"/>
              <w:jc w:val="center"/>
              <w:rPr>
                <w:rFonts w:asciiTheme="minorHAnsi" w:hAnsiTheme="minorHAnsi"/>
                <w:sz w:val="20"/>
                <w:szCs w:val="20"/>
              </w:rPr>
            </w:pPr>
            <w:r w:rsidRPr="00B51E32">
              <w:rPr>
                <w:rFonts w:asciiTheme="minorHAnsi" w:hAnsiTheme="minorHAnsi"/>
                <w:sz w:val="20"/>
                <w:szCs w:val="20"/>
              </w:rPr>
              <w:t>1 SATAP</w:t>
            </w:r>
          </w:p>
        </w:tc>
      </w:tr>
      <w:tr w:rsidR="00736CD3" w:rsidRPr="00B51E32" w:rsidTr="00B51E32">
        <w:trPr>
          <w:trHeight w:val="60"/>
          <w:jc w:val="center"/>
        </w:trPr>
        <w:tc>
          <w:tcPr>
            <w:tcW w:w="18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36CD3" w:rsidRPr="00B51E32" w:rsidRDefault="00736CD3" w:rsidP="00B51E32">
            <w:pPr>
              <w:spacing w:before="0" w:after="0"/>
              <w:jc w:val="center"/>
              <w:rPr>
                <w:rFonts w:asciiTheme="minorHAnsi" w:hAnsiTheme="minorHAnsi"/>
                <w:b/>
                <w:bCs/>
                <w:sz w:val="20"/>
                <w:szCs w:val="20"/>
              </w:rPr>
            </w:pPr>
            <w:r w:rsidRPr="00B51E32">
              <w:rPr>
                <w:rFonts w:asciiTheme="minorHAnsi" w:hAnsiTheme="minorHAnsi"/>
                <w:b/>
                <w:bCs/>
                <w:sz w:val="20"/>
                <w:szCs w:val="20"/>
              </w:rPr>
              <w:t>3</w:t>
            </w:r>
            <w:r w:rsidR="00055F11" w:rsidRPr="00B51E32">
              <w:rPr>
                <w:rFonts w:asciiTheme="minorHAnsi" w:hAnsiTheme="minorHAnsi"/>
                <w:b/>
                <w:bCs/>
                <w:sz w:val="20"/>
                <w:szCs w:val="20"/>
              </w:rPr>
              <w:t xml:space="preserve"> (2014/2015)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736CD3" w:rsidRPr="00B51E32" w:rsidRDefault="00736CD3" w:rsidP="00B51E32">
            <w:pPr>
              <w:spacing w:before="0" w:after="0"/>
              <w:jc w:val="center"/>
              <w:rPr>
                <w:rFonts w:asciiTheme="minorHAnsi" w:hAnsiTheme="minorHAnsi"/>
                <w:sz w:val="20"/>
                <w:szCs w:val="20"/>
              </w:rPr>
            </w:pPr>
            <w:r w:rsidRPr="00B51E32">
              <w:rPr>
                <w:rFonts w:asciiTheme="minorHAnsi" w:hAnsiTheme="minorHAnsi"/>
                <w:sz w:val="20"/>
                <w:szCs w:val="20"/>
              </w:rPr>
              <w:t>107</w:t>
            </w:r>
          </w:p>
        </w:tc>
        <w:tc>
          <w:tcPr>
            <w:tcW w:w="1418" w:type="dxa"/>
            <w:tcBorders>
              <w:top w:val="nil"/>
              <w:left w:val="nil"/>
              <w:bottom w:val="single" w:sz="8" w:space="0" w:color="auto"/>
              <w:right w:val="single" w:sz="8" w:space="0" w:color="auto"/>
            </w:tcBorders>
            <w:vAlign w:val="center"/>
          </w:tcPr>
          <w:p w:rsidR="00736CD3" w:rsidRPr="00B51E32" w:rsidRDefault="00736CD3" w:rsidP="00B51E32">
            <w:pPr>
              <w:spacing w:before="0" w:after="0"/>
              <w:jc w:val="center"/>
              <w:rPr>
                <w:rFonts w:asciiTheme="minorHAnsi" w:hAnsiTheme="minorHAnsi"/>
                <w:sz w:val="20"/>
                <w:szCs w:val="20"/>
              </w:rPr>
            </w:pPr>
            <w:r w:rsidRPr="00B51E32">
              <w:rPr>
                <w:rFonts w:asciiTheme="minorHAnsi" w:hAnsiTheme="minorHAnsi"/>
                <w:sz w:val="20"/>
                <w:szCs w:val="20"/>
              </w:rPr>
              <w:t>131</w:t>
            </w:r>
          </w:p>
        </w:tc>
        <w:tc>
          <w:tcPr>
            <w:tcW w:w="1275" w:type="dxa"/>
            <w:tcBorders>
              <w:top w:val="nil"/>
              <w:left w:val="nil"/>
              <w:bottom w:val="single" w:sz="8" w:space="0" w:color="auto"/>
              <w:right w:val="single" w:sz="8" w:space="0" w:color="auto"/>
            </w:tcBorders>
            <w:vAlign w:val="center"/>
          </w:tcPr>
          <w:p w:rsidR="00736CD3" w:rsidRPr="00B51E32" w:rsidRDefault="00736CD3" w:rsidP="00B51E32">
            <w:pPr>
              <w:spacing w:before="0" w:after="0"/>
              <w:jc w:val="center"/>
              <w:rPr>
                <w:rFonts w:asciiTheme="minorHAnsi" w:hAnsiTheme="minorHAnsi"/>
                <w:sz w:val="20"/>
                <w:szCs w:val="20"/>
              </w:rPr>
            </w:pPr>
            <w:r w:rsidRPr="00B51E32">
              <w:rPr>
                <w:rFonts w:asciiTheme="minorHAnsi" w:hAnsiTheme="minorHAnsi"/>
                <w:sz w:val="20"/>
                <w:szCs w:val="20"/>
              </w:rPr>
              <w:t>238</w:t>
            </w:r>
          </w:p>
        </w:tc>
        <w:tc>
          <w:tcPr>
            <w:tcW w:w="2189" w:type="dxa"/>
            <w:tcBorders>
              <w:top w:val="nil"/>
              <w:left w:val="nil"/>
              <w:bottom w:val="single" w:sz="8" w:space="0" w:color="auto"/>
              <w:right w:val="single" w:sz="8" w:space="0" w:color="auto"/>
            </w:tcBorders>
            <w:vAlign w:val="center"/>
          </w:tcPr>
          <w:p w:rsidR="00736CD3" w:rsidRPr="00B51E32" w:rsidRDefault="00736CD3" w:rsidP="00B51E32">
            <w:pPr>
              <w:spacing w:before="0" w:after="0"/>
              <w:jc w:val="center"/>
              <w:rPr>
                <w:rFonts w:asciiTheme="minorHAnsi" w:hAnsiTheme="minorHAnsi"/>
                <w:sz w:val="20"/>
                <w:szCs w:val="20"/>
              </w:rPr>
            </w:pPr>
            <w:r w:rsidRPr="00B51E32">
              <w:rPr>
                <w:rFonts w:asciiTheme="minorHAnsi" w:hAnsiTheme="minorHAnsi"/>
                <w:sz w:val="20"/>
                <w:szCs w:val="20"/>
              </w:rPr>
              <w:t>2 SATAP and 4 USB</w:t>
            </w:r>
            <w:r w:rsidRPr="00B51E32">
              <w:rPr>
                <w:rStyle w:val="FootnoteReference"/>
                <w:rFonts w:asciiTheme="minorHAnsi" w:hAnsiTheme="minorHAnsi"/>
                <w:sz w:val="20"/>
                <w:szCs w:val="20"/>
              </w:rPr>
              <w:footnoteReference w:id="19"/>
            </w:r>
          </w:p>
        </w:tc>
      </w:tr>
      <w:tr w:rsidR="00736CD3" w:rsidRPr="00B51E32" w:rsidTr="00B51E32">
        <w:trPr>
          <w:trHeight w:val="163"/>
          <w:jc w:val="center"/>
        </w:trPr>
        <w:tc>
          <w:tcPr>
            <w:tcW w:w="18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36CD3" w:rsidRPr="00B51E32" w:rsidRDefault="00736CD3" w:rsidP="00B51E32">
            <w:pPr>
              <w:spacing w:before="0" w:after="0"/>
              <w:jc w:val="center"/>
              <w:rPr>
                <w:rFonts w:asciiTheme="minorHAnsi" w:hAnsiTheme="minorHAnsi"/>
                <w:b/>
                <w:bCs/>
                <w:sz w:val="20"/>
                <w:szCs w:val="20"/>
              </w:rPr>
            </w:pPr>
            <w:r w:rsidRPr="00B51E32">
              <w:rPr>
                <w:rFonts w:asciiTheme="minorHAnsi" w:hAnsiTheme="minorHAnsi"/>
                <w:b/>
                <w:bCs/>
                <w:sz w:val="20"/>
                <w:szCs w:val="20"/>
              </w:rPr>
              <w:t>4</w:t>
            </w:r>
            <w:r w:rsidR="00055F11" w:rsidRPr="00B51E32">
              <w:rPr>
                <w:rFonts w:asciiTheme="minorHAnsi" w:hAnsiTheme="minorHAnsi"/>
                <w:b/>
                <w:bCs/>
                <w:sz w:val="20"/>
                <w:szCs w:val="20"/>
              </w:rPr>
              <w:t xml:space="preserve"> (2015/2016)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736CD3" w:rsidRPr="00B51E32" w:rsidRDefault="00736CD3" w:rsidP="00B51E32">
            <w:pPr>
              <w:spacing w:before="0" w:after="0"/>
              <w:jc w:val="center"/>
              <w:rPr>
                <w:rFonts w:asciiTheme="minorHAnsi" w:hAnsiTheme="minorHAnsi"/>
                <w:sz w:val="20"/>
                <w:szCs w:val="20"/>
              </w:rPr>
            </w:pPr>
            <w:r w:rsidRPr="00B51E32">
              <w:rPr>
                <w:rFonts w:asciiTheme="minorHAnsi" w:hAnsiTheme="minorHAnsi"/>
                <w:sz w:val="20"/>
                <w:szCs w:val="20"/>
              </w:rPr>
              <w:t>80</w:t>
            </w:r>
          </w:p>
        </w:tc>
        <w:tc>
          <w:tcPr>
            <w:tcW w:w="1418" w:type="dxa"/>
            <w:tcBorders>
              <w:top w:val="nil"/>
              <w:left w:val="nil"/>
              <w:bottom w:val="single" w:sz="8" w:space="0" w:color="auto"/>
              <w:right w:val="single" w:sz="8" w:space="0" w:color="auto"/>
            </w:tcBorders>
            <w:vAlign w:val="center"/>
          </w:tcPr>
          <w:p w:rsidR="00736CD3" w:rsidRPr="00B51E32" w:rsidRDefault="00736CD3" w:rsidP="00B51E32">
            <w:pPr>
              <w:spacing w:before="0" w:after="0"/>
              <w:jc w:val="center"/>
              <w:rPr>
                <w:rFonts w:asciiTheme="minorHAnsi" w:hAnsiTheme="minorHAnsi"/>
                <w:sz w:val="20"/>
                <w:szCs w:val="20"/>
              </w:rPr>
            </w:pPr>
            <w:r w:rsidRPr="00B51E32">
              <w:rPr>
                <w:rFonts w:asciiTheme="minorHAnsi" w:hAnsiTheme="minorHAnsi"/>
                <w:sz w:val="20"/>
                <w:szCs w:val="20"/>
              </w:rPr>
              <w:t>59/11</w:t>
            </w:r>
          </w:p>
        </w:tc>
        <w:tc>
          <w:tcPr>
            <w:tcW w:w="1275" w:type="dxa"/>
            <w:tcBorders>
              <w:top w:val="nil"/>
              <w:left w:val="nil"/>
              <w:bottom w:val="single" w:sz="8" w:space="0" w:color="auto"/>
              <w:right w:val="single" w:sz="8" w:space="0" w:color="auto"/>
            </w:tcBorders>
            <w:vAlign w:val="center"/>
          </w:tcPr>
          <w:p w:rsidR="00736CD3" w:rsidRPr="00B51E32" w:rsidRDefault="00736CD3" w:rsidP="00B51E32">
            <w:pPr>
              <w:spacing w:before="0" w:after="0"/>
              <w:jc w:val="center"/>
              <w:rPr>
                <w:rFonts w:asciiTheme="minorHAnsi" w:hAnsiTheme="minorHAnsi"/>
                <w:sz w:val="20"/>
                <w:szCs w:val="20"/>
              </w:rPr>
            </w:pPr>
            <w:r w:rsidRPr="00B51E32">
              <w:rPr>
                <w:rFonts w:asciiTheme="minorHAnsi" w:hAnsiTheme="minorHAnsi"/>
                <w:sz w:val="20"/>
                <w:szCs w:val="20"/>
              </w:rPr>
              <w:t>150</w:t>
            </w:r>
          </w:p>
        </w:tc>
        <w:tc>
          <w:tcPr>
            <w:tcW w:w="2189" w:type="dxa"/>
            <w:tcBorders>
              <w:top w:val="nil"/>
              <w:left w:val="nil"/>
              <w:bottom w:val="single" w:sz="8" w:space="0" w:color="auto"/>
              <w:right w:val="single" w:sz="8" w:space="0" w:color="auto"/>
            </w:tcBorders>
            <w:vAlign w:val="center"/>
          </w:tcPr>
          <w:p w:rsidR="00736CD3" w:rsidRPr="00B51E32" w:rsidRDefault="00736CD3" w:rsidP="00B51E32">
            <w:pPr>
              <w:spacing w:before="0" w:after="0"/>
              <w:jc w:val="center"/>
              <w:rPr>
                <w:rFonts w:asciiTheme="minorHAnsi" w:hAnsiTheme="minorHAnsi"/>
                <w:sz w:val="20"/>
                <w:szCs w:val="20"/>
              </w:rPr>
            </w:pPr>
            <w:r w:rsidRPr="00B51E32">
              <w:rPr>
                <w:rFonts w:asciiTheme="minorHAnsi" w:hAnsiTheme="minorHAnsi"/>
                <w:sz w:val="20"/>
                <w:szCs w:val="20"/>
              </w:rPr>
              <w:t>In progress</w:t>
            </w:r>
          </w:p>
        </w:tc>
      </w:tr>
      <w:tr w:rsidR="00736CD3" w:rsidRPr="00B51E32" w:rsidTr="00B51E32">
        <w:trPr>
          <w:trHeight w:val="111"/>
          <w:jc w:val="center"/>
        </w:trPr>
        <w:tc>
          <w:tcPr>
            <w:tcW w:w="18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6CD3" w:rsidRPr="00B51E32" w:rsidRDefault="00736CD3" w:rsidP="00B51E32">
            <w:pPr>
              <w:spacing w:before="0" w:after="0"/>
              <w:jc w:val="center"/>
              <w:rPr>
                <w:rFonts w:asciiTheme="minorHAnsi" w:eastAsiaTheme="minorHAnsi" w:hAnsiTheme="minorHAnsi"/>
                <w:b/>
                <w:bCs/>
                <w:sz w:val="20"/>
                <w:szCs w:val="20"/>
              </w:rPr>
            </w:pPr>
            <w:r w:rsidRPr="00B51E32">
              <w:rPr>
                <w:rFonts w:asciiTheme="minorHAnsi" w:hAnsiTheme="minorHAnsi"/>
                <w:b/>
                <w:bCs/>
                <w:sz w:val="20"/>
                <w:szCs w:val="20"/>
              </w:rPr>
              <w:t>TOTAL</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6CD3" w:rsidRPr="00B51E32" w:rsidRDefault="00736CD3" w:rsidP="00B51E32">
            <w:pPr>
              <w:spacing w:before="0" w:after="0"/>
              <w:jc w:val="center"/>
              <w:rPr>
                <w:rFonts w:asciiTheme="minorHAnsi" w:eastAsiaTheme="minorHAnsi" w:hAnsiTheme="minorHAnsi"/>
                <w:sz w:val="20"/>
                <w:szCs w:val="20"/>
              </w:rPr>
            </w:pPr>
            <w:r w:rsidRPr="00B51E32">
              <w:rPr>
                <w:rFonts w:asciiTheme="minorHAnsi" w:hAnsiTheme="minorHAnsi"/>
                <w:sz w:val="20"/>
                <w:szCs w:val="20"/>
              </w:rPr>
              <w:t>677</w:t>
            </w:r>
          </w:p>
        </w:tc>
        <w:tc>
          <w:tcPr>
            <w:tcW w:w="1418" w:type="dxa"/>
            <w:tcBorders>
              <w:top w:val="nil"/>
              <w:left w:val="nil"/>
              <w:bottom w:val="single" w:sz="8" w:space="0" w:color="auto"/>
              <w:right w:val="single" w:sz="8" w:space="0" w:color="auto"/>
            </w:tcBorders>
            <w:vAlign w:val="center"/>
          </w:tcPr>
          <w:p w:rsidR="00736CD3" w:rsidRPr="00B51E32" w:rsidRDefault="00736CD3" w:rsidP="00B51E32">
            <w:pPr>
              <w:spacing w:before="0" w:after="0"/>
              <w:jc w:val="center"/>
              <w:rPr>
                <w:rFonts w:asciiTheme="minorHAnsi" w:hAnsiTheme="minorHAnsi"/>
                <w:sz w:val="20"/>
                <w:szCs w:val="20"/>
              </w:rPr>
            </w:pPr>
            <w:r w:rsidRPr="00B51E32">
              <w:rPr>
                <w:rFonts w:asciiTheme="minorHAnsi" w:hAnsiTheme="minorHAnsi"/>
                <w:sz w:val="20"/>
                <w:szCs w:val="20"/>
              </w:rPr>
              <w:t>467/11</w:t>
            </w:r>
          </w:p>
        </w:tc>
        <w:tc>
          <w:tcPr>
            <w:tcW w:w="1275" w:type="dxa"/>
            <w:tcBorders>
              <w:top w:val="nil"/>
              <w:left w:val="nil"/>
              <w:bottom w:val="single" w:sz="8" w:space="0" w:color="auto"/>
              <w:right w:val="single" w:sz="8" w:space="0" w:color="auto"/>
            </w:tcBorders>
            <w:vAlign w:val="center"/>
          </w:tcPr>
          <w:p w:rsidR="00736CD3" w:rsidRPr="00B51E32" w:rsidRDefault="00736CD3" w:rsidP="00B51E32">
            <w:pPr>
              <w:spacing w:before="0" w:after="0"/>
              <w:jc w:val="center"/>
              <w:rPr>
                <w:rFonts w:asciiTheme="minorHAnsi" w:hAnsiTheme="minorHAnsi"/>
                <w:sz w:val="20"/>
                <w:szCs w:val="20"/>
              </w:rPr>
            </w:pPr>
            <w:r w:rsidRPr="00B51E32">
              <w:rPr>
                <w:rFonts w:asciiTheme="minorHAnsi" w:hAnsiTheme="minorHAnsi"/>
                <w:sz w:val="20"/>
                <w:szCs w:val="20"/>
              </w:rPr>
              <w:t>1,155</w:t>
            </w:r>
          </w:p>
        </w:tc>
        <w:tc>
          <w:tcPr>
            <w:tcW w:w="2189" w:type="dxa"/>
            <w:tcBorders>
              <w:top w:val="nil"/>
              <w:left w:val="nil"/>
              <w:bottom w:val="single" w:sz="8" w:space="0" w:color="auto"/>
              <w:right w:val="single" w:sz="8" w:space="0" w:color="auto"/>
            </w:tcBorders>
            <w:vAlign w:val="center"/>
          </w:tcPr>
          <w:p w:rsidR="00736CD3" w:rsidRPr="00B51E32" w:rsidRDefault="00736CD3" w:rsidP="00B51E32">
            <w:pPr>
              <w:spacing w:before="0" w:after="0"/>
              <w:jc w:val="center"/>
              <w:rPr>
                <w:rFonts w:asciiTheme="minorHAnsi" w:hAnsiTheme="minorHAnsi"/>
                <w:sz w:val="20"/>
                <w:szCs w:val="20"/>
              </w:rPr>
            </w:pPr>
          </w:p>
        </w:tc>
      </w:tr>
    </w:tbl>
    <w:p w:rsidR="00736CD3" w:rsidRPr="00851EC7" w:rsidRDefault="00736CD3" w:rsidP="001D2009">
      <w:pPr>
        <w:pStyle w:val="SourceNotes"/>
        <w:rPr>
          <w:rFonts w:eastAsiaTheme="minorHAnsi"/>
        </w:rPr>
      </w:pPr>
      <w:r w:rsidRPr="00851EC7">
        <w:t xml:space="preserve">Source: SSQ </w:t>
      </w:r>
      <w:r>
        <w:t>APR and biweekly update</w:t>
      </w:r>
      <w:r w:rsidR="00751C70">
        <w:t>s</w:t>
      </w:r>
      <w:r>
        <w:t xml:space="preserve"> </w:t>
      </w:r>
    </w:p>
    <w:p w:rsidR="00736CD3" w:rsidRDefault="00736CD3" w:rsidP="00736CD3">
      <w:r>
        <w:t xml:space="preserve">The number of schools constructed by the end of 2015 is far </w:t>
      </w:r>
      <w:r w:rsidR="00CA5CA2">
        <w:t xml:space="preserve">smaller </w:t>
      </w:r>
      <w:r>
        <w:t>than the original target of 2,000</w:t>
      </w:r>
      <w:r w:rsidR="00751C70">
        <w:t xml:space="preserve">: a reflection of the reduction to C1’s </w:t>
      </w:r>
      <w:r>
        <w:t>budget and</w:t>
      </w:r>
      <w:r w:rsidR="00751C70">
        <w:t xml:space="preserve"> the</w:t>
      </w:r>
      <w:r>
        <w:t xml:space="preserve"> increasing</w:t>
      </w:r>
      <w:r w:rsidRPr="00851EC7">
        <w:t xml:space="preserve"> unit cost</w:t>
      </w:r>
      <w:r>
        <w:t>s for school construction. However, questions continue to linger about whether the completion rate for the revised target of</w:t>
      </w:r>
      <w:r w:rsidRPr="009770F1">
        <w:t xml:space="preserve"> 1,155</w:t>
      </w:r>
      <w:r>
        <w:t xml:space="preserve"> schools will be met</w:t>
      </w:r>
      <w:r w:rsidR="00751C70">
        <w:t xml:space="preserve"> by the schedule</w:t>
      </w:r>
      <w:r w:rsidR="00CA5CA2">
        <w:t>d</w:t>
      </w:r>
      <w:r w:rsidR="00751C70">
        <w:t xml:space="preserve"> closure of C1 in June 2016</w:t>
      </w:r>
      <w:r>
        <w:t xml:space="preserve">. </w:t>
      </w:r>
      <w:r w:rsidR="00751C70">
        <w:t xml:space="preserve">Current </w:t>
      </w:r>
      <w:r w:rsidR="00751C70">
        <w:lastRenderedPageBreak/>
        <w:t xml:space="preserve">projections suggest that just over 40 schools will remain incomplete because of various administrative delays, with progress being slower than in Cycle 3 (see </w:t>
      </w:r>
      <w:r w:rsidR="00751C70">
        <w:fldChar w:fldCharType="begin"/>
      </w:r>
      <w:r w:rsidR="00751C70">
        <w:instrText xml:space="preserve"> REF _Ref447803603 \h </w:instrText>
      </w:r>
      <w:r w:rsidR="00751C70">
        <w:fldChar w:fldCharType="separate"/>
      </w:r>
      <w:r w:rsidR="00693E96">
        <w:t xml:space="preserve">Figure </w:t>
      </w:r>
      <w:r w:rsidR="00693E96">
        <w:rPr>
          <w:noProof/>
        </w:rPr>
        <w:t>1</w:t>
      </w:r>
      <w:r w:rsidR="00751C70">
        <w:fldChar w:fldCharType="end"/>
      </w:r>
      <w:r w:rsidR="00751C70">
        <w:t>)</w:t>
      </w:r>
      <w:r w:rsidR="00751C70">
        <w:rPr>
          <w:rStyle w:val="FootnoteReference"/>
        </w:rPr>
        <w:footnoteReference w:id="20"/>
      </w:r>
      <w:r w:rsidRPr="007302DC">
        <w:t>.</w:t>
      </w:r>
    </w:p>
    <w:p w:rsidR="005C30EA" w:rsidRDefault="005C30EA" w:rsidP="005C30EA">
      <w:pPr>
        <w:pStyle w:val="Caption-Figure"/>
      </w:pPr>
      <w:bookmarkStart w:id="30" w:name="_Ref447803603"/>
      <w:bookmarkStart w:id="31" w:name="_Toc448145926"/>
      <w:r>
        <w:t xml:space="preserve">Figure </w:t>
      </w:r>
      <w:r>
        <w:fldChar w:fldCharType="begin"/>
      </w:r>
      <w:r>
        <w:instrText xml:space="preserve"> SEQ Figure \* ARABIC </w:instrText>
      </w:r>
      <w:r>
        <w:fldChar w:fldCharType="separate"/>
      </w:r>
      <w:r w:rsidR="00693E96">
        <w:rPr>
          <w:noProof/>
        </w:rPr>
        <w:t>1</w:t>
      </w:r>
      <w:r>
        <w:fldChar w:fldCharType="end"/>
      </w:r>
      <w:bookmarkEnd w:id="30"/>
      <w:r w:rsidR="0078589C">
        <w:t>:</w:t>
      </w:r>
      <w:r w:rsidRPr="005C30EA">
        <w:t xml:space="preserve"> </w:t>
      </w:r>
      <w:r>
        <w:t>Comparison of school construction progress of Cycle 3 and Cycle 4</w:t>
      </w:r>
      <w:bookmarkEnd w:id="31"/>
    </w:p>
    <w:p w:rsidR="005C30EA" w:rsidRDefault="005C30EA" w:rsidP="005C30EA">
      <w:r w:rsidRPr="000B2B6D">
        <w:rPr>
          <w:noProof/>
          <w:lang w:eastAsia="en-AU"/>
        </w:rPr>
        <mc:AlternateContent>
          <mc:Choice Requires="wpg">
            <w:drawing>
              <wp:inline distT="0" distB="0" distL="0" distR="0" wp14:anchorId="730A6CAD" wp14:editId="71F80D53">
                <wp:extent cx="5778158" cy="2911450"/>
                <wp:effectExtent l="0" t="0" r="13335" b="22860"/>
                <wp:docPr id="26" name="Group 2"/>
                <wp:cNvGraphicFramePr/>
                <a:graphic xmlns:a="http://schemas.openxmlformats.org/drawingml/2006/main">
                  <a:graphicData uri="http://schemas.microsoft.com/office/word/2010/wordprocessingGroup">
                    <wpg:wgp>
                      <wpg:cNvGrpSpPr/>
                      <wpg:grpSpPr>
                        <a:xfrm>
                          <a:off x="0" y="0"/>
                          <a:ext cx="5778158" cy="2911450"/>
                          <a:chOff x="228600" y="0"/>
                          <a:chExt cx="8534400" cy="4267200"/>
                        </a:xfrm>
                      </wpg:grpSpPr>
                      <wps:wsp>
                        <wps:cNvPr id="27" name="Rectangle 27"/>
                        <wps:cNvSpPr/>
                        <wps:spPr>
                          <a:xfrm>
                            <a:off x="228600" y="0"/>
                            <a:ext cx="8534400" cy="4267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aphicFrame>
                        <wpg:cNvPr id="28" name="Chart 28"/>
                        <wpg:cNvFrPr>
                          <a:graphicFrameLocks/>
                        </wpg:cNvFrPr>
                        <wpg:xfrm>
                          <a:off x="307238" y="124206"/>
                          <a:ext cx="7388962" cy="3128557"/>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29" name="Chart 29"/>
                        <wpg:cNvFrPr>
                          <a:graphicFrameLocks/>
                        </wpg:cNvFrPr>
                        <wpg:xfrm>
                          <a:off x="307233" y="2559784"/>
                          <a:ext cx="7592652" cy="1386840"/>
                        </wpg:xfrm>
                        <a:graphic>
                          <a:graphicData uri="http://schemas.openxmlformats.org/drawingml/2006/chart">
                            <c:chart xmlns:c="http://schemas.openxmlformats.org/drawingml/2006/chart" xmlns:r="http://schemas.openxmlformats.org/officeDocument/2006/relationships" r:id="rId25"/>
                          </a:graphicData>
                        </a:graphic>
                      </wpg:graphicFrame>
                      <wps:wsp>
                        <wps:cNvPr id="30" name="TextBox 9"/>
                        <wps:cNvSpPr txBox="1"/>
                        <wps:spPr>
                          <a:xfrm>
                            <a:off x="7798927" y="1119437"/>
                            <a:ext cx="925709" cy="588199"/>
                          </a:xfrm>
                          <a:prstGeom prst="rect">
                            <a:avLst/>
                          </a:prstGeom>
                        </wps:spPr>
                        <wps:txbx>
                          <w:txbxContent>
                            <w:p w:rsidR="00290662" w:rsidRDefault="00290662" w:rsidP="005C30EA">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 xml:space="preserve">Overall </w:t>
                              </w:r>
                            </w:p>
                            <w:p w:rsidR="00290662" w:rsidRDefault="00290662" w:rsidP="005C30EA">
                              <w:pPr>
                                <w:pStyle w:val="NormalWeb"/>
                                <w:spacing w:before="0" w:beforeAutospacing="0" w:after="0" w:afterAutospacing="0"/>
                              </w:pPr>
                              <w:r>
                                <w:rPr>
                                  <w:rFonts w:asciiTheme="minorHAnsi" w:hAnsi="Calibri" w:cstheme="minorBidi"/>
                                  <w:color w:val="000000" w:themeColor="text1"/>
                                  <w:kern w:val="24"/>
                                  <w:sz w:val="20"/>
                                  <w:szCs w:val="20"/>
                                </w:rPr>
                                <w:t>Progress</w:t>
                              </w:r>
                            </w:p>
                          </w:txbxContent>
                        </wps:txbx>
                        <wps:bodyPr vert="horz" wrap="none" lIns="91440" tIns="45720" rIns="91440" bIns="45720" rtlCol="0" anchor="ctr">
                          <a:normAutofit/>
                        </wps:bodyPr>
                      </wps:wsp>
                      <wps:wsp>
                        <wps:cNvPr id="31" name="TextBox 10"/>
                        <wps:cNvSpPr txBox="1"/>
                        <wps:spPr>
                          <a:xfrm>
                            <a:off x="7797592" y="2793564"/>
                            <a:ext cx="925709" cy="669513"/>
                          </a:xfrm>
                          <a:prstGeom prst="rect">
                            <a:avLst/>
                          </a:prstGeom>
                        </wps:spPr>
                        <wps:txbx>
                          <w:txbxContent>
                            <w:p w:rsidR="00290662" w:rsidRDefault="00290662" w:rsidP="005C30EA">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 xml:space="preserve">Weekly </w:t>
                              </w:r>
                            </w:p>
                            <w:p w:rsidR="00290662" w:rsidRDefault="00290662" w:rsidP="005C30EA">
                              <w:pPr>
                                <w:pStyle w:val="NormalWeb"/>
                                <w:spacing w:before="0" w:beforeAutospacing="0" w:after="0" w:afterAutospacing="0"/>
                              </w:pPr>
                              <w:r>
                                <w:rPr>
                                  <w:rFonts w:asciiTheme="minorHAnsi" w:hAnsi="Calibri" w:cstheme="minorBidi"/>
                                  <w:color w:val="000000" w:themeColor="text1"/>
                                  <w:kern w:val="24"/>
                                  <w:sz w:val="20"/>
                                  <w:szCs w:val="20"/>
                                </w:rPr>
                                <w:t>Progress</w:t>
                              </w:r>
                            </w:p>
                          </w:txbxContent>
                        </wps:txbx>
                        <wps:bodyPr vert="horz" wrap="none" lIns="91440" tIns="45720" rIns="91440" bIns="45720" rtlCol="0" anchor="ctr">
                          <a:normAutofit/>
                        </wps:bodyPr>
                      </wps:wsp>
                    </wpg:wgp>
                  </a:graphicData>
                </a:graphic>
              </wp:inline>
            </w:drawing>
          </mc:Choice>
          <mc:Fallback>
            <w:pict>
              <v:group id="Group 2" o:spid="_x0000_s1026" style="width:454.95pt;height:229.25pt;mso-position-horizontal-relative:char;mso-position-vertical-relative:line" coordorigin="2286" coordsize="85344,42672"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">
                <v:rect id="Rectangle 27" o:spid="_x0000_s1027" style="position:absolute;left:2286;width:85344;height:42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EXMYA&#10;AADbAAAADwAAAGRycy9kb3ducmV2LnhtbESPT2vCQBTE74V+h+UVehHd6KGV6CpFacmhFOqfg7dn&#10;9plNzb4N2VdNv323UPA4zMxvmPmy9426UBfrwAbGowwUcRlszZWB3fZ1OAUVBdliE5gM/FCE5eL+&#10;bo65DVf+pMtGKpUgHHM04ETaXOtYOvIYR6ElTt4pdB4lya7StsNrgvtGT7LsSXusOS04bGnlqDxv&#10;vr2BQ9FL9TV+k/czDvaDwh3Lj/XRmMeH/mUGSqiXW/i/XVgDk2f4+5J+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pEXMYAAADbAAAADwAAAAAAAAAAAAAAAACYAgAAZHJz&#10;L2Rvd25yZXYueG1sUEsFBgAAAAAEAAQA9QAAAIsDAAAAAA==&#10;" filled="f"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8" o:spid="_x0000_s1028" type="#_x0000_t75" style="position:absolute;left:3096;top:1250;width:73831;height:31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">
                  <v:imagedata r:id="rId26" o:title=""/>
                  <o:lock v:ext="edit" aspectratio="f"/>
                </v:shape>
                <v:shape id="Chart 29" o:spid="_x0000_s1029" type="#_x0000_t75" style="position:absolute;left:5167;top:26446;width:71130;height:1250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">
                  <v:imagedata r:id="rId27" o:title=""/>
                  <o:lock v:ext="edit" aspectratio="f"/>
                </v:shape>
                <v:shapetype id="_x0000_t202" coordsize="21600,21600" o:spt="202" path="m,l,21600r21600,l21600,xe">
                  <v:stroke joinstyle="miter"/>
                  <v:path gradientshapeok="t" o:connecttype="rect"/>
                </v:shapetype>
                <v:shape id="TextBox 9" o:spid="_x0000_s1030" type="#_x0000_t202" style="position:absolute;left:77989;top:11194;width:9257;height:58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AfsIA&#10;AADbAAAADwAAAGRycy9kb3ducmV2LnhtbERPy2rCQBTdC/7DcAvd6aQtqEQnQaVCpQvxsXB5zVyT&#10;wcydkJkm8e87i0KXh/Ne5YOtRUetN44VvE0TEMSF04ZLBZfzbrIA4QOyxtoxKXiShzwbj1aYatfz&#10;kbpTKEUMYZ+igiqEJpXSFxVZ9FPXEEfu7lqLIcK2lLrFPobbWr4nyUxaNBwbKmxoW1HxOP1YBeZm&#10;nptCbj/338PhStfz/HLf3ZR6fRnWSxCBhvAv/nN/aQUfcX38En+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4B+wgAAANsAAAAPAAAAAAAAAAAAAAAAAJgCAABkcnMvZG93&#10;bnJldi54bWxQSwUGAAAAAAQABAD1AAAAhwMAAAAA&#10;" filled="f" stroked="f">
                  <v:textbox>
                    <w:txbxContent>
                      <w:p w:rsidR="00290662" w:rsidRDefault="00290662" w:rsidP="005C30EA">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 xml:space="preserve">Overall </w:t>
                        </w:r>
                      </w:p>
                      <w:p w:rsidR="00290662" w:rsidRDefault="00290662" w:rsidP="005C30EA">
                        <w:pPr>
                          <w:pStyle w:val="NormalWeb"/>
                          <w:spacing w:before="0" w:beforeAutospacing="0" w:after="0" w:afterAutospacing="0"/>
                        </w:pPr>
                        <w:r>
                          <w:rPr>
                            <w:rFonts w:asciiTheme="minorHAnsi" w:hAnsi="Calibri" w:cstheme="minorBidi"/>
                            <w:color w:val="000000" w:themeColor="text1"/>
                            <w:kern w:val="24"/>
                            <w:sz w:val="20"/>
                            <w:szCs w:val="20"/>
                          </w:rPr>
                          <w:t>Progress</w:t>
                        </w:r>
                      </w:p>
                    </w:txbxContent>
                  </v:textbox>
                </v:shape>
                <v:shape id="TextBox 10" o:spid="_x0000_s1031" type="#_x0000_t202" style="position:absolute;left:77975;top:27935;width:9258;height:66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l5cMA&#10;AADbAAAADwAAAGRycy9kb3ducmV2LnhtbESPQYvCMBSE74L/ITzBm6bugkrXKCorKB7E6sHjs3m2&#10;YZuX0mS1/nuzsOBxmJlvmNmitZW4U+ONYwWjYQKCOHfacKHgfNoMpiB8QNZYOSYFT/KwmHc7M0y1&#10;e/CR7lkoRISwT1FBGUKdSunzkiz6oauJo3dzjcUQZVNI3eAjwm0lP5JkLC0ajgsl1rQuKf/Jfq0C&#10;czXPVS7X37t9e7jQ5TQ53zZXpfq9dvkFIlAb3uH/9lYr+BzB35f4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cl5cMAAADbAAAADwAAAAAAAAAAAAAAAACYAgAAZHJzL2Rv&#10;d25yZXYueG1sUEsFBgAAAAAEAAQA9QAAAIgDAAAAAA==&#10;" filled="f" stroked="f">
                  <v:textbox>
                    <w:txbxContent>
                      <w:p w:rsidR="00290662" w:rsidRDefault="00290662" w:rsidP="005C30EA">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 xml:space="preserve">Weekly </w:t>
                        </w:r>
                      </w:p>
                      <w:p w:rsidR="00290662" w:rsidRDefault="00290662" w:rsidP="005C30EA">
                        <w:pPr>
                          <w:pStyle w:val="NormalWeb"/>
                          <w:spacing w:before="0" w:beforeAutospacing="0" w:after="0" w:afterAutospacing="0"/>
                        </w:pPr>
                        <w:r>
                          <w:rPr>
                            <w:rFonts w:asciiTheme="minorHAnsi" w:hAnsi="Calibri" w:cstheme="minorBidi"/>
                            <w:color w:val="000000" w:themeColor="text1"/>
                            <w:kern w:val="24"/>
                            <w:sz w:val="20"/>
                            <w:szCs w:val="20"/>
                          </w:rPr>
                          <w:t>Progress</w:t>
                        </w:r>
                      </w:p>
                    </w:txbxContent>
                  </v:textbox>
                </v:shape>
                <w10:anchorlock/>
              </v:group>
            </w:pict>
          </mc:Fallback>
        </mc:AlternateContent>
      </w:r>
    </w:p>
    <w:p w:rsidR="005C30EA" w:rsidRDefault="005C30EA" w:rsidP="001D2009">
      <w:pPr>
        <w:pStyle w:val="SourceNotes"/>
      </w:pPr>
      <w:r w:rsidRPr="00851EC7">
        <w:t xml:space="preserve">Source: SSQ Component 1 </w:t>
      </w:r>
      <w:r>
        <w:t>biweekly update</w:t>
      </w:r>
      <w:r w:rsidR="00751C70">
        <w:t>s</w:t>
      </w:r>
      <w:r>
        <w:t xml:space="preserve"> </w:t>
      </w:r>
    </w:p>
    <w:p w:rsidR="001D2009" w:rsidRDefault="001D2009" w:rsidP="001D2009">
      <w:r>
        <w:t xml:space="preserve">Most significant in this respect was the delayed disbursement of the second tranche of funding. This had an impact upon almost all sites. On </w:t>
      </w:r>
      <w:r w:rsidR="00751C70">
        <w:t xml:space="preserve">a </w:t>
      </w:r>
      <w:r>
        <w:t>more limited scale</w:t>
      </w:r>
      <w:r w:rsidR="00AA03F2">
        <w:t>,</w:t>
      </w:r>
      <w:r>
        <w:t xml:space="preserve"> but also critical</w:t>
      </w:r>
      <w:r w:rsidR="00C447E1">
        <w:t>,</w:t>
      </w:r>
      <w:r>
        <w:t xml:space="preserve"> were delays associated with revisions of school sites and replacement of sites and SCC teams</w:t>
      </w:r>
      <w:r>
        <w:rPr>
          <w:rStyle w:val="FootnoteReference"/>
        </w:rPr>
        <w:footnoteReference w:id="21"/>
      </w:r>
      <w:r>
        <w:t xml:space="preserve">. </w:t>
      </w:r>
    </w:p>
    <w:p w:rsidR="00736CD3" w:rsidRDefault="00736CD3" w:rsidP="0069023F">
      <w:r>
        <w:t xml:space="preserve">While C1’s commitment to make incremental improvements to program management and implementation </w:t>
      </w:r>
      <w:r w:rsidR="00AB55B1">
        <w:t>has been excellent</w:t>
      </w:r>
      <w:r>
        <w:t>, it is nonetheless unfortunate that the efficiency dividends stemming from such improvements are being paid out in the smallest cycle of the current program</w:t>
      </w:r>
      <w:r w:rsidR="00751C70">
        <w:t xml:space="preserve"> (in terms of the number of schools constructed)</w:t>
      </w:r>
      <w:r>
        <w:t>. The best means of off-setting the declining returns on an increasingly well-run program is to ensure the transfer and integration of effective procedures and processes into GoI forward programs for school construction.</w:t>
      </w:r>
    </w:p>
    <w:p w:rsidR="00B33BC8" w:rsidRDefault="00B33BC8" w:rsidP="00775568">
      <w:pPr>
        <w:pStyle w:val="Heading3"/>
      </w:pPr>
      <w:bookmarkStart w:id="32" w:name="_Ref448145085"/>
      <w:r w:rsidRPr="00851EC7">
        <w:t>Effectiveness</w:t>
      </w:r>
      <w:bookmarkEnd w:id="32"/>
    </w:p>
    <w:p w:rsidR="005C30EA" w:rsidRDefault="005C30EA" w:rsidP="005C30EA">
      <w:r>
        <w:t>The effectiveness of C1 is an assessment of how successful the program has been in increasing enrolment in JSE in targeted districts. Previous APPRs have provided somewhat cautious assessments due to the absence of enrolment and evaluation data. That changed in 2015.</w:t>
      </w:r>
    </w:p>
    <w:p w:rsidR="005C30EA" w:rsidRDefault="005C30EA" w:rsidP="005C30EA">
      <w:r>
        <w:t>PMF data show that there were a</w:t>
      </w:r>
      <w:r w:rsidRPr="009E4D89">
        <w:t xml:space="preserve">t least </w:t>
      </w:r>
      <w:r w:rsidRPr="00362618">
        <w:rPr>
          <w:rFonts w:cs="Times New Roman"/>
          <w:color w:val="000000"/>
          <w:lang w:eastAsia="en-AU"/>
        </w:rPr>
        <w:t xml:space="preserve">79,996 </w:t>
      </w:r>
      <w:r w:rsidRPr="00362618">
        <w:t>students enrolled in EP schools</w:t>
      </w:r>
      <w:r>
        <w:t xml:space="preserve"> in 2015</w:t>
      </w:r>
      <w:r w:rsidRPr="00362618">
        <w:rPr>
          <w:rStyle w:val="FootnoteReference"/>
          <w:rFonts w:asciiTheme="minorHAnsi" w:hAnsiTheme="minorHAnsi"/>
        </w:rPr>
        <w:footnoteReference w:id="22"/>
      </w:r>
      <w:r w:rsidRPr="00362618">
        <w:rPr>
          <w:rStyle w:val="FootnoteReference"/>
          <w:rFonts w:asciiTheme="minorHAnsi" w:hAnsiTheme="minorHAnsi"/>
        </w:rPr>
        <w:endnoteReference w:id="12"/>
      </w:r>
      <w:r>
        <w:rPr>
          <w:rFonts w:asciiTheme="minorHAnsi" w:hAnsiTheme="minorHAnsi"/>
        </w:rPr>
        <w:t>.</w:t>
      </w:r>
      <w:r w:rsidRPr="00362618">
        <w:t xml:space="preserve"> This figure is well above the 2015 milestone of </w:t>
      </w:r>
      <w:r w:rsidRPr="00362618">
        <w:rPr>
          <w:rFonts w:cs="Times New Roman"/>
          <w:color w:val="000000"/>
          <w:lang w:eastAsia="en-AU"/>
        </w:rPr>
        <w:t>55,224</w:t>
      </w:r>
      <w:r>
        <w:rPr>
          <w:rFonts w:cs="Times New Roman"/>
          <w:color w:val="000000"/>
          <w:lang w:eastAsia="en-AU"/>
        </w:rPr>
        <w:t xml:space="preserve"> </w:t>
      </w:r>
      <w:r w:rsidRPr="00362618">
        <w:t>students</w:t>
      </w:r>
      <w:r w:rsidRPr="00A3750B">
        <w:rPr>
          <w:rStyle w:val="FootnoteReference"/>
        </w:rPr>
        <w:footnoteReference w:id="23"/>
      </w:r>
      <w:r w:rsidRPr="00A3750B">
        <w:t xml:space="preserve">. </w:t>
      </w:r>
      <w:r>
        <w:t xml:space="preserve">This strong result is, however, partly </w:t>
      </w:r>
      <w:r>
        <w:lastRenderedPageBreak/>
        <w:t>due to a discrepancy in the calculation of</w:t>
      </w:r>
      <w:r w:rsidRPr="0041024C">
        <w:t xml:space="preserve"> PMF </w:t>
      </w:r>
      <w:r>
        <w:t>enrolment targets and realities in the field.</w:t>
      </w:r>
      <w:r w:rsidRPr="00851EC7">
        <w:t xml:space="preserve"> PMF </w:t>
      </w:r>
      <w:r>
        <w:t>targets were based upon the assumption</w:t>
      </w:r>
      <w:r w:rsidRPr="00851EC7">
        <w:t xml:space="preserve"> that schools w</w:t>
      </w:r>
      <w:r>
        <w:t>ould only enrol students in Grade 7 once</w:t>
      </w:r>
      <w:r w:rsidRPr="00851EC7">
        <w:t xml:space="preserve"> construction</w:t>
      </w:r>
      <w:r>
        <w:t xml:space="preserve"> was completed, and growth would be based on the sequential opening of subsequent grades. However, it was common for some schools</w:t>
      </w:r>
      <w:r w:rsidR="00C447E1">
        <w:t xml:space="preserve"> -</w:t>
      </w:r>
      <w:r>
        <w:t xml:space="preserve"> usually</w:t>
      </w:r>
      <w:r w:rsidRPr="00851EC7">
        <w:t xml:space="preserve"> SATAPs</w:t>
      </w:r>
      <w:r w:rsidR="00C447E1">
        <w:t xml:space="preserve"> -</w:t>
      </w:r>
      <w:r w:rsidRPr="00851EC7">
        <w:t xml:space="preserve"> </w:t>
      </w:r>
      <w:r>
        <w:t xml:space="preserve">to simultaneously </w:t>
      </w:r>
      <w:r w:rsidRPr="00851EC7">
        <w:t xml:space="preserve">enrol students </w:t>
      </w:r>
      <w:r>
        <w:t xml:space="preserve">for Grades 8 and 9 </w:t>
      </w:r>
      <w:r w:rsidR="00944318">
        <w:t>using</w:t>
      </w:r>
      <w:r>
        <w:t xml:space="preserve"> existing classroom facilities</w:t>
      </w:r>
      <w:r w:rsidRPr="00851EC7">
        <w:rPr>
          <w:rStyle w:val="FootnoteReference"/>
        </w:rPr>
        <w:footnoteReference w:id="24"/>
      </w:r>
      <w:r w:rsidRPr="00851EC7">
        <w:t xml:space="preserve">. </w:t>
      </w:r>
      <w:r>
        <w:t xml:space="preserve">As a result, the number of enrolled students in 2015 includes student cohorts that were not factored into </w:t>
      </w:r>
      <w:r w:rsidR="00C447E1">
        <w:t xml:space="preserve">target </w:t>
      </w:r>
      <w:r>
        <w:t xml:space="preserve">calculations. As such, the position stated in the 2014 APPR must be reiterated: an unequivocal assessment of how many students have been enrolled in C1 schools cannot be produced until 2019 </w:t>
      </w:r>
      <w:r w:rsidR="00944318">
        <w:t xml:space="preserve">by which time all </w:t>
      </w:r>
      <w:r>
        <w:t xml:space="preserve">three grades of Cycle 4 schools </w:t>
      </w:r>
      <w:r w:rsidR="00944318">
        <w:t xml:space="preserve">will have </w:t>
      </w:r>
      <w:r>
        <w:t>been operating for three full years.</w:t>
      </w:r>
    </w:p>
    <w:p w:rsidR="00AE0FA5" w:rsidRDefault="005C30EA" w:rsidP="00AE0FA5">
      <w:r>
        <w:t xml:space="preserve">The production of the </w:t>
      </w:r>
      <w:r w:rsidRPr="00CD7934">
        <w:rPr>
          <w:i/>
        </w:rPr>
        <w:t>EOPO</w:t>
      </w:r>
      <w:r w:rsidR="00944318">
        <w:rPr>
          <w:i/>
        </w:rPr>
        <w:t xml:space="preserve"> </w:t>
      </w:r>
      <w:r w:rsidRPr="00CD7934">
        <w:rPr>
          <w:i/>
        </w:rPr>
        <w:t>1 Endline Evaluation Study</w:t>
      </w:r>
      <w:r>
        <w:t xml:space="preserve"> in 2015 does, however, enable POM to estimate the impact of C1 school construction on enrolment rates in targeted districts. The evaluation was based upon a comparative survey of approximately 5,000 households and 100 new schools</w:t>
      </w:r>
      <w:r>
        <w:rPr>
          <w:rStyle w:val="FootnoteReference"/>
        </w:rPr>
        <w:footnoteReference w:id="25"/>
      </w:r>
      <w:r>
        <w:t xml:space="preserve">. Analysis of enrolment data showed </w:t>
      </w:r>
      <w:r w:rsidR="00C447E1">
        <w:t xml:space="preserve">that </w:t>
      </w:r>
      <w:r>
        <w:t>there was</w:t>
      </w:r>
      <w:r w:rsidR="00C447E1">
        <w:t xml:space="preserve"> a</w:t>
      </w:r>
      <w:r>
        <w:t xml:space="preserve"> 1.6% increase in JSE enrolment across the catchment</w:t>
      </w:r>
      <w:r w:rsidR="00944318">
        <w:t xml:space="preserve"> areas of the sampled schools</w:t>
      </w:r>
      <w:r>
        <w:t xml:space="preserve">. This 1.6% increase represents the percentage of </w:t>
      </w:r>
      <w:r w:rsidRPr="00851EC7">
        <w:t>‘new enrolees’</w:t>
      </w:r>
      <w:r w:rsidR="00944318">
        <w:t xml:space="preserve"> – not transfer</w:t>
      </w:r>
      <w:r w:rsidR="00C447E1">
        <w:t>e</w:t>
      </w:r>
      <w:r w:rsidR="00944318">
        <w:t>es –</w:t>
      </w:r>
      <w:r>
        <w:t xml:space="preserve"> brought into the JSE system on account of new school construction</w:t>
      </w:r>
      <w:r w:rsidR="00944318" w:rsidRPr="00851EC7">
        <w:rPr>
          <w:rStyle w:val="FootnoteReference"/>
          <w:rFonts w:cstheme="minorHAnsi"/>
        </w:rPr>
        <w:footnoteReference w:id="26"/>
      </w:r>
      <w:r>
        <w:t>.</w:t>
      </w:r>
      <w:r w:rsidR="00AE0FA5">
        <w:t xml:space="preserve"> </w:t>
      </w:r>
      <w:r w:rsidR="00234400">
        <w:t xml:space="preserve">This increase is summarised and disaggregated by gender </w:t>
      </w:r>
      <w:r w:rsidR="00AE0FA5">
        <w:t xml:space="preserve">in </w:t>
      </w:r>
      <w:r w:rsidR="00AE0FA5">
        <w:fldChar w:fldCharType="begin"/>
      </w:r>
      <w:r w:rsidR="00AE0FA5">
        <w:instrText xml:space="preserve"> REF _Ref450031323 \h </w:instrText>
      </w:r>
      <w:r w:rsidR="00AE0FA5">
        <w:fldChar w:fldCharType="separate"/>
      </w:r>
      <w:r w:rsidR="00AE0FA5">
        <w:t xml:space="preserve">Table </w:t>
      </w:r>
      <w:r w:rsidR="00AE0FA5">
        <w:rPr>
          <w:noProof/>
        </w:rPr>
        <w:t>3</w:t>
      </w:r>
      <w:r w:rsidR="00AE0FA5">
        <w:fldChar w:fldCharType="end"/>
      </w:r>
      <w:r w:rsidR="00BE4367">
        <w:t>, below</w:t>
      </w:r>
      <w:r w:rsidR="00234400">
        <w:t>.</w:t>
      </w:r>
    </w:p>
    <w:p w:rsidR="00AE0FA5" w:rsidRPr="00851EC7" w:rsidRDefault="00AE0FA5" w:rsidP="00AE0FA5">
      <w:pPr>
        <w:pStyle w:val="Caption-Table"/>
      </w:pPr>
      <w:bookmarkStart w:id="33" w:name="_Ref450031323"/>
      <w:bookmarkStart w:id="34" w:name="_Toc450131624"/>
      <w:r>
        <w:t xml:space="preserve">Table </w:t>
      </w:r>
      <w:r>
        <w:fldChar w:fldCharType="begin"/>
      </w:r>
      <w:r>
        <w:instrText xml:space="preserve"> SEQ Table \* ARABIC </w:instrText>
      </w:r>
      <w:r>
        <w:fldChar w:fldCharType="separate"/>
      </w:r>
      <w:r>
        <w:rPr>
          <w:noProof/>
        </w:rPr>
        <w:t>3</w:t>
      </w:r>
      <w:r>
        <w:fldChar w:fldCharType="end"/>
      </w:r>
      <w:bookmarkEnd w:id="33"/>
      <w:r w:rsidRPr="00851EC7">
        <w:t xml:space="preserve">: </w:t>
      </w:r>
      <w:r>
        <w:t xml:space="preserve">Increase </w:t>
      </w:r>
      <w:r w:rsidR="00234400">
        <w:t>in</w:t>
      </w:r>
      <w:r>
        <w:t xml:space="preserve"> enrolment in Cycle</w:t>
      </w:r>
      <w:r w:rsidR="00234400">
        <w:t xml:space="preserve"> </w:t>
      </w:r>
      <w:r>
        <w:t>1 school</w:t>
      </w:r>
      <w:r w:rsidR="00234400">
        <w:t>s</w:t>
      </w:r>
      <w:r>
        <w:t xml:space="preserve"> catchment area</w:t>
      </w:r>
      <w:bookmarkEnd w:id="34"/>
    </w:p>
    <w:tbl>
      <w:tblPr>
        <w:tblStyle w:val="MediumShading1-Accent1"/>
        <w:tblW w:w="7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067"/>
        <w:gridCol w:w="1950"/>
        <w:gridCol w:w="1811"/>
        <w:gridCol w:w="1744"/>
        <w:gridCol w:w="1425"/>
      </w:tblGrid>
      <w:tr w:rsidR="00AE0FA5" w:rsidRPr="00234400" w:rsidTr="00234400">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100" w:firstRow="0" w:lastRow="0" w:firstColumn="1" w:lastColumn="0" w:oddVBand="0" w:evenVBand="0" w:oddHBand="0" w:evenHBand="0" w:firstRowFirstColumn="1" w:firstRowLastColumn="0" w:lastRowFirstColumn="0" w:lastRowLastColumn="0"/>
            <w:tcW w:w="3017" w:type="dxa"/>
            <w:gridSpan w:val="2"/>
            <w:vMerge w:val="restart"/>
            <w:tcBorders>
              <w:top w:val="single" w:sz="4" w:space="0" w:color="auto"/>
              <w:left w:val="single" w:sz="4" w:space="0" w:color="auto"/>
              <w:bottom w:val="single" w:sz="4" w:space="0" w:color="auto"/>
            </w:tcBorders>
            <w:shd w:val="clear" w:color="auto" w:fill="1F497D" w:themeFill="text2"/>
            <w:vAlign w:val="center"/>
            <w:hideMark/>
          </w:tcPr>
          <w:p w:rsidR="00AE0FA5" w:rsidRPr="00234400" w:rsidRDefault="00AE0FA5" w:rsidP="00234400">
            <w:pPr>
              <w:spacing w:before="0" w:after="0"/>
              <w:jc w:val="center"/>
              <w:rPr>
                <w:rFonts w:asciiTheme="minorHAnsi" w:eastAsia="Times New Roman" w:hAnsiTheme="minorHAnsi" w:cs="Times New Roman"/>
                <w:b/>
                <w:bCs/>
                <w:color w:val="FFFFFF" w:themeColor="background1"/>
                <w:szCs w:val="22"/>
                <w:lang w:val="en-US"/>
              </w:rPr>
            </w:pPr>
            <w:r w:rsidRPr="00234400">
              <w:rPr>
                <w:rFonts w:asciiTheme="minorHAnsi" w:eastAsia="Times New Roman" w:hAnsiTheme="minorHAnsi" w:cs="Times New Roman"/>
                <w:b/>
                <w:color w:val="FFFFFF" w:themeColor="background1"/>
                <w:szCs w:val="22"/>
                <w:lang w:val="en-US"/>
              </w:rPr>
              <w:t>Sub-category</w:t>
            </w:r>
          </w:p>
        </w:tc>
        <w:tc>
          <w:tcPr>
            <w:tcW w:w="3555" w:type="dxa"/>
            <w:gridSpan w:val="2"/>
            <w:shd w:val="clear" w:color="auto" w:fill="1F497D" w:themeFill="text2"/>
            <w:noWrap/>
            <w:vAlign w:val="center"/>
            <w:hideMark/>
          </w:tcPr>
          <w:p w:rsidR="00AE0FA5" w:rsidRPr="00234400" w:rsidRDefault="00AE0FA5" w:rsidP="00234400">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FFFF" w:themeColor="background1"/>
                <w:szCs w:val="22"/>
                <w:lang w:val="en-US"/>
              </w:rPr>
            </w:pPr>
            <w:r w:rsidRPr="00234400">
              <w:rPr>
                <w:rFonts w:asciiTheme="minorHAnsi" w:eastAsia="Times New Roman" w:hAnsiTheme="minorHAnsi" w:cs="Times New Roman"/>
                <w:b/>
                <w:color w:val="FFFFFF" w:themeColor="background1"/>
                <w:szCs w:val="22"/>
                <w:lang w:val="en-US"/>
              </w:rPr>
              <w:t>JSE enrolment</w:t>
            </w:r>
          </w:p>
        </w:tc>
        <w:tc>
          <w:tcPr>
            <w:tcW w:w="1425" w:type="dxa"/>
            <w:shd w:val="clear" w:color="auto" w:fill="1F497D" w:themeFill="text2"/>
            <w:vAlign w:val="center"/>
          </w:tcPr>
          <w:p w:rsidR="00AE0FA5" w:rsidRPr="00234400" w:rsidRDefault="00AE0FA5" w:rsidP="00234400">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b/>
                <w:szCs w:val="22"/>
                <w:lang w:val="en-US"/>
              </w:rPr>
            </w:pPr>
          </w:p>
        </w:tc>
      </w:tr>
      <w:tr w:rsidR="00AE0FA5" w:rsidRPr="00234400" w:rsidTr="00234400">
        <w:trPr>
          <w:trHeight w:val="510"/>
          <w:jc w:val="center"/>
        </w:trPr>
        <w:tc>
          <w:tcPr>
            <w:cnfStyle w:val="001000000000" w:firstRow="0" w:lastRow="0" w:firstColumn="1" w:lastColumn="0" w:oddVBand="0" w:evenVBand="0" w:oddHBand="0" w:evenHBand="0" w:firstRowFirstColumn="0" w:firstRowLastColumn="0" w:lastRowFirstColumn="0" w:lastRowLastColumn="0"/>
            <w:tcW w:w="3017" w:type="dxa"/>
            <w:gridSpan w:val="2"/>
            <w:vMerge/>
            <w:tcBorders>
              <w:left w:val="single" w:sz="4" w:space="0" w:color="auto"/>
              <w:bottom w:val="single" w:sz="4" w:space="0" w:color="auto"/>
            </w:tcBorders>
            <w:vAlign w:val="center"/>
            <w:hideMark/>
          </w:tcPr>
          <w:p w:rsidR="00AE0FA5" w:rsidRPr="00234400" w:rsidRDefault="00AE0FA5" w:rsidP="00234400">
            <w:pPr>
              <w:spacing w:before="0" w:after="0" w:line="240" w:lineRule="auto"/>
              <w:jc w:val="center"/>
              <w:rPr>
                <w:rFonts w:asciiTheme="minorHAnsi" w:hAnsiTheme="minorHAnsi" w:cs="Times New Roman"/>
                <w:b/>
                <w:bCs/>
                <w:color w:val="FFFFFF" w:themeColor="background1"/>
                <w:szCs w:val="22"/>
                <w:lang w:val="en-US"/>
              </w:rPr>
            </w:pPr>
          </w:p>
        </w:tc>
        <w:tc>
          <w:tcPr>
            <w:tcW w:w="1811" w:type="dxa"/>
            <w:shd w:val="clear" w:color="auto" w:fill="1F497D" w:themeFill="text2"/>
            <w:noWrap/>
            <w:vAlign w:val="center"/>
            <w:hideMark/>
          </w:tcPr>
          <w:p w:rsidR="00AE0FA5" w:rsidRPr="00234400" w:rsidRDefault="00AE0FA5" w:rsidP="0023440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FFFF" w:themeColor="background1"/>
                <w:szCs w:val="22"/>
                <w:lang w:val="en-US"/>
              </w:rPr>
            </w:pPr>
            <w:r w:rsidRPr="00234400">
              <w:rPr>
                <w:rFonts w:asciiTheme="minorHAnsi" w:eastAsia="Times New Roman" w:hAnsiTheme="minorHAnsi" w:cs="Times New Roman"/>
                <w:b/>
                <w:bCs/>
                <w:color w:val="FFFFFF" w:themeColor="background1"/>
                <w:szCs w:val="22"/>
                <w:lang w:val="en-US"/>
              </w:rPr>
              <w:t>2012/2013</w:t>
            </w:r>
          </w:p>
        </w:tc>
        <w:tc>
          <w:tcPr>
            <w:tcW w:w="1744" w:type="dxa"/>
            <w:shd w:val="clear" w:color="auto" w:fill="1F497D" w:themeFill="text2"/>
            <w:noWrap/>
            <w:vAlign w:val="center"/>
            <w:hideMark/>
          </w:tcPr>
          <w:p w:rsidR="00AE0FA5" w:rsidRPr="00234400" w:rsidRDefault="00AE0FA5" w:rsidP="0023440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FFFF" w:themeColor="background1"/>
                <w:szCs w:val="22"/>
                <w:lang w:val="en-US"/>
              </w:rPr>
            </w:pPr>
            <w:r w:rsidRPr="00234400">
              <w:rPr>
                <w:rFonts w:asciiTheme="minorHAnsi" w:eastAsia="Times New Roman" w:hAnsiTheme="minorHAnsi" w:cs="Times New Roman"/>
                <w:b/>
                <w:bCs/>
                <w:color w:val="FFFFFF" w:themeColor="background1"/>
                <w:szCs w:val="22"/>
                <w:lang w:val="en-US"/>
              </w:rPr>
              <w:t>2015/2016</w:t>
            </w:r>
          </w:p>
        </w:tc>
        <w:tc>
          <w:tcPr>
            <w:tcW w:w="1425" w:type="dxa"/>
            <w:shd w:val="clear" w:color="auto" w:fill="1F497D" w:themeFill="text2"/>
            <w:vAlign w:val="center"/>
            <w:hideMark/>
          </w:tcPr>
          <w:p w:rsidR="00AE0FA5" w:rsidRPr="00234400" w:rsidRDefault="00AE0FA5" w:rsidP="0023440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bCs/>
                <w:color w:val="FFFFFF" w:themeColor="background1"/>
                <w:szCs w:val="22"/>
                <w:lang w:val="en-US"/>
              </w:rPr>
            </w:pPr>
            <w:r w:rsidRPr="00234400">
              <w:rPr>
                <w:rFonts w:asciiTheme="minorHAnsi" w:hAnsiTheme="minorHAnsi" w:cs="Times New Roman"/>
                <w:b/>
                <w:bCs/>
                <w:color w:val="FFFFFF" w:themeColor="background1"/>
                <w:szCs w:val="22"/>
                <w:lang w:val="en-US"/>
              </w:rPr>
              <w:t xml:space="preserve">Change </w:t>
            </w:r>
            <w:r w:rsidR="00234400">
              <w:rPr>
                <w:rFonts w:asciiTheme="minorHAnsi" w:hAnsiTheme="minorHAnsi" w:cs="Times New Roman"/>
                <w:b/>
                <w:bCs/>
                <w:color w:val="FFFFFF" w:themeColor="background1"/>
                <w:szCs w:val="22"/>
                <w:lang w:val="en-US"/>
              </w:rPr>
              <w:t>(</w:t>
            </w:r>
            <w:r w:rsidRPr="00234400">
              <w:rPr>
                <w:rFonts w:asciiTheme="minorHAnsi" w:hAnsiTheme="minorHAnsi" w:cs="Times New Roman"/>
                <w:b/>
                <w:bCs/>
                <w:color w:val="FFFFFF" w:themeColor="background1"/>
                <w:szCs w:val="22"/>
                <w:lang w:val="en-US"/>
              </w:rPr>
              <w:t>%</w:t>
            </w:r>
            <w:r w:rsidR="00234400">
              <w:rPr>
                <w:rFonts w:asciiTheme="minorHAnsi" w:hAnsiTheme="minorHAnsi" w:cs="Times New Roman"/>
                <w:b/>
                <w:bCs/>
                <w:color w:val="FFFFFF" w:themeColor="background1"/>
                <w:szCs w:val="22"/>
                <w:lang w:val="en-US"/>
              </w:rPr>
              <w:t>)</w:t>
            </w:r>
          </w:p>
        </w:tc>
      </w:tr>
      <w:tr w:rsidR="00AE0FA5" w:rsidRPr="00234400" w:rsidTr="00234400">
        <w:trPr>
          <w:trHeight w:val="510"/>
          <w:jc w:val="center"/>
        </w:trPr>
        <w:tc>
          <w:tcPr>
            <w:cnfStyle w:val="001000000000" w:firstRow="0" w:lastRow="0" w:firstColumn="1" w:lastColumn="0" w:oddVBand="0" w:evenVBand="0" w:oddHBand="0" w:evenHBand="0" w:firstRowFirstColumn="0" w:firstRowLastColumn="0" w:lastRowFirstColumn="0" w:lastRowLastColumn="0"/>
            <w:tcW w:w="1067" w:type="dxa"/>
            <w:vMerge w:val="restart"/>
            <w:tcBorders>
              <w:left w:val="single" w:sz="4" w:space="0" w:color="auto"/>
              <w:bottom w:val="single" w:sz="4" w:space="0" w:color="auto"/>
            </w:tcBorders>
            <w:shd w:val="clear" w:color="auto" w:fill="auto"/>
            <w:vAlign w:val="center"/>
            <w:hideMark/>
          </w:tcPr>
          <w:p w:rsidR="00AE0FA5" w:rsidRPr="00234400" w:rsidRDefault="00AE0FA5" w:rsidP="00AE0FA5">
            <w:pPr>
              <w:spacing w:before="0" w:after="0"/>
              <w:jc w:val="left"/>
              <w:rPr>
                <w:rFonts w:asciiTheme="minorHAnsi" w:hAnsiTheme="minorHAnsi" w:cs="Times New Roman"/>
                <w:b/>
                <w:szCs w:val="22"/>
                <w:lang w:val="en-US"/>
              </w:rPr>
            </w:pPr>
            <w:r w:rsidRPr="00234400">
              <w:rPr>
                <w:rFonts w:asciiTheme="minorHAnsi" w:hAnsiTheme="minorHAnsi" w:cs="Times New Roman"/>
                <w:b/>
                <w:szCs w:val="22"/>
                <w:lang w:val="en-US"/>
              </w:rPr>
              <w:t>Gender</w:t>
            </w:r>
          </w:p>
        </w:tc>
        <w:tc>
          <w:tcPr>
            <w:tcW w:w="1950" w:type="dxa"/>
            <w:tcBorders>
              <w:bottom w:val="single" w:sz="4" w:space="0" w:color="auto"/>
            </w:tcBorders>
            <w:shd w:val="clear" w:color="auto" w:fill="auto"/>
            <w:noWrap/>
            <w:vAlign w:val="center"/>
            <w:hideMark/>
          </w:tcPr>
          <w:p w:rsidR="00AE0FA5" w:rsidRPr="00234400" w:rsidRDefault="00AE0FA5" w:rsidP="00AE0FA5">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2"/>
                <w:lang w:val="en-US"/>
              </w:rPr>
            </w:pPr>
            <w:r w:rsidRPr="00234400">
              <w:rPr>
                <w:rFonts w:asciiTheme="minorHAnsi" w:eastAsia="Times New Roman" w:hAnsiTheme="minorHAnsi" w:cs="Times New Roman"/>
                <w:color w:val="000000"/>
                <w:szCs w:val="22"/>
                <w:lang w:val="en-US"/>
              </w:rPr>
              <w:t>Female</w:t>
            </w:r>
          </w:p>
        </w:tc>
        <w:tc>
          <w:tcPr>
            <w:tcW w:w="1811" w:type="dxa"/>
            <w:shd w:val="clear" w:color="auto" w:fill="auto"/>
            <w:noWrap/>
            <w:vAlign w:val="center"/>
            <w:hideMark/>
          </w:tcPr>
          <w:p w:rsidR="00AE0FA5" w:rsidRPr="00234400" w:rsidRDefault="00AE0FA5" w:rsidP="00AE0FA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2"/>
                <w:lang w:val="en-US"/>
              </w:rPr>
            </w:pPr>
            <w:r w:rsidRPr="00234400">
              <w:rPr>
                <w:rFonts w:asciiTheme="minorHAnsi" w:eastAsia="Times New Roman" w:hAnsiTheme="minorHAnsi" w:cs="Times New Roman"/>
                <w:color w:val="000000"/>
                <w:szCs w:val="22"/>
                <w:lang w:val="en-US"/>
              </w:rPr>
              <w:t>93.8%</w:t>
            </w:r>
          </w:p>
        </w:tc>
        <w:tc>
          <w:tcPr>
            <w:tcW w:w="1744" w:type="dxa"/>
            <w:shd w:val="clear" w:color="auto" w:fill="auto"/>
            <w:noWrap/>
            <w:vAlign w:val="center"/>
            <w:hideMark/>
          </w:tcPr>
          <w:p w:rsidR="00AE0FA5" w:rsidRPr="00234400" w:rsidRDefault="00AE0FA5" w:rsidP="00AE0FA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2"/>
                <w:lang w:val="en-US"/>
              </w:rPr>
            </w:pPr>
            <w:r w:rsidRPr="00234400">
              <w:rPr>
                <w:rFonts w:asciiTheme="minorHAnsi" w:eastAsia="Times New Roman" w:hAnsiTheme="minorHAnsi" w:cs="Times New Roman"/>
                <w:color w:val="000000"/>
                <w:szCs w:val="22"/>
                <w:lang w:val="en-US"/>
              </w:rPr>
              <w:t>94.1%</w:t>
            </w:r>
          </w:p>
        </w:tc>
        <w:tc>
          <w:tcPr>
            <w:tcW w:w="1425" w:type="dxa"/>
            <w:shd w:val="clear" w:color="auto" w:fill="DBE5F1" w:themeFill="accent1" w:themeFillTint="33"/>
            <w:vAlign w:val="center"/>
            <w:hideMark/>
          </w:tcPr>
          <w:p w:rsidR="00AE0FA5" w:rsidRPr="00234400" w:rsidRDefault="00AE0FA5" w:rsidP="00AE0FA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color w:val="000000"/>
                <w:szCs w:val="22"/>
                <w:lang w:val="en-US"/>
              </w:rPr>
            </w:pPr>
            <w:r w:rsidRPr="00234400">
              <w:rPr>
                <w:rFonts w:asciiTheme="minorHAnsi" w:hAnsiTheme="minorHAnsi" w:cs="Times New Roman"/>
                <w:color w:val="000000"/>
                <w:szCs w:val="22"/>
                <w:lang w:val="en-US"/>
              </w:rPr>
              <w:t>0.3</w:t>
            </w:r>
          </w:p>
        </w:tc>
      </w:tr>
      <w:tr w:rsidR="00AE0FA5" w:rsidRPr="00234400" w:rsidTr="00234400">
        <w:trPr>
          <w:trHeight w:val="51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tcBorders>
            <w:shd w:val="clear" w:color="auto" w:fill="auto"/>
            <w:vAlign w:val="center"/>
            <w:hideMark/>
          </w:tcPr>
          <w:p w:rsidR="00AE0FA5" w:rsidRPr="00234400" w:rsidRDefault="00AE0FA5" w:rsidP="00AE0FA5">
            <w:pPr>
              <w:spacing w:before="0" w:after="0" w:line="240" w:lineRule="auto"/>
              <w:jc w:val="left"/>
              <w:rPr>
                <w:rFonts w:asciiTheme="minorHAnsi" w:hAnsiTheme="minorHAnsi" w:cs="Times New Roman"/>
                <w:b/>
                <w:szCs w:val="22"/>
                <w:lang w:val="en-US"/>
              </w:rPr>
            </w:pPr>
          </w:p>
        </w:tc>
        <w:tc>
          <w:tcPr>
            <w:tcW w:w="1950" w:type="dxa"/>
            <w:tcBorders>
              <w:bottom w:val="single" w:sz="4" w:space="0" w:color="auto"/>
            </w:tcBorders>
            <w:shd w:val="clear" w:color="auto" w:fill="auto"/>
            <w:noWrap/>
            <w:vAlign w:val="center"/>
            <w:hideMark/>
          </w:tcPr>
          <w:p w:rsidR="00AE0FA5" w:rsidRPr="00234400" w:rsidRDefault="00AE0FA5" w:rsidP="00AE0FA5">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2"/>
                <w:lang w:val="en-US"/>
              </w:rPr>
            </w:pPr>
            <w:r w:rsidRPr="00234400">
              <w:rPr>
                <w:rFonts w:asciiTheme="minorHAnsi" w:eastAsia="Times New Roman" w:hAnsiTheme="minorHAnsi" w:cs="Times New Roman"/>
                <w:color w:val="000000"/>
                <w:szCs w:val="22"/>
                <w:lang w:val="en-US"/>
              </w:rPr>
              <w:t>Male</w:t>
            </w:r>
          </w:p>
        </w:tc>
        <w:tc>
          <w:tcPr>
            <w:tcW w:w="1811" w:type="dxa"/>
            <w:shd w:val="clear" w:color="auto" w:fill="auto"/>
            <w:noWrap/>
            <w:vAlign w:val="center"/>
            <w:hideMark/>
          </w:tcPr>
          <w:p w:rsidR="00AE0FA5" w:rsidRPr="00234400" w:rsidRDefault="00AE0FA5" w:rsidP="00AE0FA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2"/>
                <w:lang w:val="en-US"/>
              </w:rPr>
            </w:pPr>
            <w:r w:rsidRPr="00234400">
              <w:rPr>
                <w:rFonts w:asciiTheme="minorHAnsi" w:eastAsia="Times New Roman" w:hAnsiTheme="minorHAnsi" w:cs="Times New Roman"/>
                <w:color w:val="000000"/>
                <w:szCs w:val="22"/>
                <w:lang w:val="en-US"/>
              </w:rPr>
              <w:t>91.7%</w:t>
            </w:r>
          </w:p>
        </w:tc>
        <w:tc>
          <w:tcPr>
            <w:tcW w:w="1744" w:type="dxa"/>
            <w:shd w:val="clear" w:color="auto" w:fill="auto"/>
            <w:noWrap/>
            <w:vAlign w:val="center"/>
            <w:hideMark/>
          </w:tcPr>
          <w:p w:rsidR="00AE0FA5" w:rsidRPr="00234400" w:rsidRDefault="00AE0FA5" w:rsidP="00AE0FA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22"/>
                <w:lang w:val="en-US"/>
              </w:rPr>
            </w:pPr>
            <w:r w:rsidRPr="00234400">
              <w:rPr>
                <w:rFonts w:asciiTheme="minorHAnsi" w:eastAsia="Times New Roman" w:hAnsiTheme="minorHAnsi" w:cs="Times New Roman"/>
                <w:color w:val="000000"/>
                <w:szCs w:val="22"/>
                <w:lang w:val="en-US"/>
              </w:rPr>
              <w:t>93.2%</w:t>
            </w:r>
          </w:p>
        </w:tc>
        <w:tc>
          <w:tcPr>
            <w:tcW w:w="1425" w:type="dxa"/>
            <w:shd w:val="clear" w:color="auto" w:fill="DBE5F1" w:themeFill="accent1" w:themeFillTint="33"/>
            <w:vAlign w:val="center"/>
            <w:hideMark/>
          </w:tcPr>
          <w:p w:rsidR="00AE0FA5" w:rsidRPr="00234400" w:rsidRDefault="00AE0FA5" w:rsidP="00AE0FA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color w:val="000000"/>
                <w:szCs w:val="22"/>
                <w:lang w:val="en-US"/>
              </w:rPr>
            </w:pPr>
            <w:r w:rsidRPr="00234400">
              <w:rPr>
                <w:rFonts w:asciiTheme="minorHAnsi" w:hAnsiTheme="minorHAnsi" w:cs="Times New Roman"/>
                <w:color w:val="000000"/>
                <w:szCs w:val="22"/>
                <w:lang w:val="en-US"/>
              </w:rPr>
              <w:t>1.5</w:t>
            </w:r>
          </w:p>
        </w:tc>
      </w:tr>
      <w:tr w:rsidR="00AE0FA5" w:rsidRPr="00234400" w:rsidTr="00234400">
        <w:trPr>
          <w:trHeight w:val="510"/>
          <w:jc w:val="center"/>
        </w:trPr>
        <w:tc>
          <w:tcPr>
            <w:cnfStyle w:val="001000000000" w:firstRow="0" w:lastRow="0" w:firstColumn="1" w:lastColumn="0" w:oddVBand="0" w:evenVBand="0" w:oddHBand="0" w:evenHBand="0" w:firstRowFirstColumn="0" w:firstRowLastColumn="0" w:lastRowFirstColumn="0" w:lastRowLastColumn="0"/>
            <w:tcW w:w="1067" w:type="dxa"/>
            <w:tcBorders>
              <w:top w:val="single" w:sz="4" w:space="0" w:color="auto"/>
            </w:tcBorders>
            <w:vAlign w:val="center"/>
          </w:tcPr>
          <w:p w:rsidR="00AE0FA5" w:rsidRPr="00234400" w:rsidRDefault="00AE0FA5" w:rsidP="00AE0FA5">
            <w:pPr>
              <w:spacing w:before="0" w:after="0"/>
              <w:jc w:val="left"/>
              <w:rPr>
                <w:rFonts w:asciiTheme="minorHAnsi" w:hAnsiTheme="minorHAnsi" w:cs="Times New Roman"/>
                <w:b/>
                <w:color w:val="000000"/>
                <w:szCs w:val="22"/>
                <w:lang w:val="en-US"/>
              </w:rPr>
            </w:pPr>
          </w:p>
        </w:tc>
        <w:tc>
          <w:tcPr>
            <w:tcW w:w="1950" w:type="dxa"/>
            <w:tcBorders>
              <w:top w:val="single" w:sz="4" w:space="0" w:color="auto"/>
            </w:tcBorders>
            <w:shd w:val="clear" w:color="auto" w:fill="DBE5F1" w:themeFill="accent1" w:themeFillTint="33"/>
            <w:noWrap/>
            <w:vAlign w:val="center"/>
            <w:hideMark/>
          </w:tcPr>
          <w:p w:rsidR="00AE0FA5" w:rsidRPr="00234400" w:rsidRDefault="00AE0FA5" w:rsidP="00AE0FA5">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Cs w:val="22"/>
                <w:lang w:val="en-US"/>
              </w:rPr>
            </w:pPr>
            <w:r w:rsidRPr="00234400">
              <w:rPr>
                <w:rFonts w:asciiTheme="minorHAnsi" w:eastAsia="Times New Roman" w:hAnsiTheme="minorHAnsi" w:cs="Times New Roman"/>
                <w:b/>
                <w:color w:val="000000"/>
                <w:szCs w:val="22"/>
                <w:lang w:val="en-US"/>
              </w:rPr>
              <w:t>Overall</w:t>
            </w:r>
          </w:p>
        </w:tc>
        <w:tc>
          <w:tcPr>
            <w:tcW w:w="1811" w:type="dxa"/>
            <w:shd w:val="clear" w:color="auto" w:fill="DBE5F1" w:themeFill="accent1" w:themeFillTint="33"/>
            <w:noWrap/>
            <w:vAlign w:val="center"/>
            <w:hideMark/>
          </w:tcPr>
          <w:p w:rsidR="00AE0FA5" w:rsidRPr="00234400" w:rsidRDefault="00AE0FA5" w:rsidP="00AE0FA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Cs w:val="22"/>
                <w:lang w:val="en-US"/>
              </w:rPr>
            </w:pPr>
            <w:r w:rsidRPr="00234400">
              <w:rPr>
                <w:rFonts w:asciiTheme="minorHAnsi" w:eastAsia="Times New Roman" w:hAnsiTheme="minorHAnsi" w:cs="Times New Roman"/>
                <w:b/>
                <w:color w:val="000000"/>
                <w:szCs w:val="22"/>
                <w:lang w:val="en-US"/>
              </w:rPr>
              <w:t>92.8%</w:t>
            </w:r>
          </w:p>
        </w:tc>
        <w:tc>
          <w:tcPr>
            <w:tcW w:w="1744" w:type="dxa"/>
            <w:shd w:val="clear" w:color="auto" w:fill="DBE5F1" w:themeFill="accent1" w:themeFillTint="33"/>
            <w:noWrap/>
            <w:vAlign w:val="center"/>
            <w:hideMark/>
          </w:tcPr>
          <w:p w:rsidR="00AE0FA5" w:rsidRPr="00234400" w:rsidRDefault="00AE0FA5" w:rsidP="00AE0FA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000000"/>
                <w:szCs w:val="22"/>
                <w:lang w:val="en-US"/>
              </w:rPr>
            </w:pPr>
            <w:r w:rsidRPr="00234400">
              <w:rPr>
                <w:rFonts w:asciiTheme="minorHAnsi" w:eastAsia="Times New Roman" w:hAnsiTheme="minorHAnsi" w:cs="Times New Roman"/>
                <w:b/>
                <w:color w:val="000000"/>
                <w:szCs w:val="22"/>
                <w:lang w:val="en-US"/>
              </w:rPr>
              <w:t>94.4%</w:t>
            </w:r>
          </w:p>
        </w:tc>
        <w:tc>
          <w:tcPr>
            <w:tcW w:w="1425" w:type="dxa"/>
            <w:shd w:val="clear" w:color="auto" w:fill="DBE5F1" w:themeFill="accent1" w:themeFillTint="33"/>
            <w:vAlign w:val="center"/>
            <w:hideMark/>
          </w:tcPr>
          <w:p w:rsidR="00AE0FA5" w:rsidRPr="00234400" w:rsidRDefault="00AE0FA5" w:rsidP="00AE0FA5">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color w:val="000000"/>
                <w:szCs w:val="22"/>
                <w:lang w:val="en-US"/>
              </w:rPr>
            </w:pPr>
            <w:r w:rsidRPr="00234400">
              <w:rPr>
                <w:rFonts w:asciiTheme="minorHAnsi" w:hAnsiTheme="minorHAnsi" w:cs="Times New Roman"/>
                <w:b/>
                <w:color w:val="000000"/>
                <w:szCs w:val="22"/>
                <w:lang w:val="en-US"/>
              </w:rPr>
              <w:t>1.6</w:t>
            </w:r>
          </w:p>
        </w:tc>
      </w:tr>
    </w:tbl>
    <w:p w:rsidR="00AE0FA5" w:rsidRDefault="00AE0FA5" w:rsidP="00AE0FA5">
      <w:pPr>
        <w:pStyle w:val="SourceNotes"/>
      </w:pPr>
      <w:r w:rsidRPr="00851EC7">
        <w:t xml:space="preserve">Source: </w:t>
      </w:r>
      <w:r>
        <w:t>EOPO 1 Evaluation Study Endline Survey</w:t>
      </w:r>
    </w:p>
    <w:p w:rsidR="005C30EA" w:rsidRDefault="005C30EA" w:rsidP="002B6FDD"/>
    <w:p w:rsidR="002B6FDD" w:rsidRDefault="005C30EA" w:rsidP="002B6FDD">
      <w:r>
        <w:lastRenderedPageBreak/>
        <w:t xml:space="preserve">While enrolment data from the </w:t>
      </w:r>
      <w:r w:rsidRPr="00CD7934">
        <w:rPr>
          <w:i/>
        </w:rPr>
        <w:t>EOPO 1 Endline Evaluation Study</w:t>
      </w:r>
      <w:r>
        <w:t xml:space="preserve"> showed a positive increase in the sampled catchment</w:t>
      </w:r>
      <w:r w:rsidR="00C447E1">
        <w:t xml:space="preserve"> area</w:t>
      </w:r>
      <w:r>
        <w:t xml:space="preserve">s, at DFAT’s request additional analysis was undertaken to assess the estimated impact of school construction on the GER of participating districts. A process of Propensity Score Matching (PSM) was applied to survey data to </w:t>
      </w:r>
      <w:r w:rsidR="00C447E1">
        <w:t xml:space="preserve">construct </w:t>
      </w:r>
      <w:r>
        <w:t>statistically a series of proxy control districts against which data from the survey could be compared. The results of the statistical treatment indicated that C1-treated districts compared favourably to non-treated proxy districts across a range of key indicators, including GER, length of schooling, completion rates, and primary to JSE transition.</w:t>
      </w:r>
      <w:r w:rsidR="002B6FDD">
        <w:t xml:space="preserve"> </w:t>
      </w:r>
      <w:r w:rsidR="00AE0FA5" w:rsidRPr="00AE0FA5">
        <w:t xml:space="preserve">For example, the PSM analysis suggests </w:t>
      </w:r>
      <w:r w:rsidR="00AE0FA5">
        <w:t xml:space="preserve">that </w:t>
      </w:r>
      <w:r w:rsidR="00AE0FA5" w:rsidRPr="00AE0FA5">
        <w:t xml:space="preserve">9,576 additional children, </w:t>
      </w:r>
      <w:r w:rsidR="00AE0FA5">
        <w:t xml:space="preserve">of </w:t>
      </w:r>
      <w:r w:rsidR="00AE0FA5" w:rsidRPr="00AE0FA5">
        <w:t>which 4,741 (49.5%)</w:t>
      </w:r>
      <w:r w:rsidR="00AE0FA5">
        <w:t xml:space="preserve"> </w:t>
      </w:r>
      <w:r w:rsidR="00AE0FA5" w:rsidRPr="00AE0FA5">
        <w:t>are girls</w:t>
      </w:r>
      <w:r w:rsidR="00AE0FA5">
        <w:t xml:space="preserve">, </w:t>
      </w:r>
      <w:r w:rsidR="00AE0FA5" w:rsidRPr="00AE0FA5">
        <w:t xml:space="preserve">are enrolled in EP districts as a consequence of </w:t>
      </w:r>
      <w:r w:rsidR="002B6FDD">
        <w:t>DFAT investment</w:t>
      </w:r>
      <w:r w:rsidR="002B6FDD">
        <w:rPr>
          <w:rStyle w:val="FootnoteReference"/>
        </w:rPr>
        <w:footnoteReference w:id="27"/>
      </w:r>
      <w:r w:rsidR="002B6FDD">
        <w:t>.</w:t>
      </w:r>
    </w:p>
    <w:p w:rsidR="005C30EA" w:rsidRDefault="005C30EA" w:rsidP="005C30EA">
      <w:r>
        <w:t xml:space="preserve">Enrolment data generated by the </w:t>
      </w:r>
      <w:r w:rsidRPr="00CD7934">
        <w:rPr>
          <w:i/>
        </w:rPr>
        <w:t xml:space="preserve">EOPO 1 Endline </w:t>
      </w:r>
      <w:r>
        <w:rPr>
          <w:i/>
        </w:rPr>
        <w:t xml:space="preserve">Evaluation </w:t>
      </w:r>
      <w:r w:rsidRPr="00CD7934">
        <w:rPr>
          <w:i/>
        </w:rPr>
        <w:t>Study</w:t>
      </w:r>
      <w:r>
        <w:t xml:space="preserve"> w</w:t>
      </w:r>
      <w:r w:rsidR="00C447E1">
        <w:t>ere</w:t>
      </w:r>
      <w:r>
        <w:t xml:space="preserve"> restricted to a sample of Cycle 1 schools. Given POM’s view that site selection and construction processes have improved significantly since that </w:t>
      </w:r>
      <w:r w:rsidR="00C447E1">
        <w:t>c</w:t>
      </w:r>
      <w:r w:rsidR="00944318">
        <w:t>ycle</w:t>
      </w:r>
      <w:r>
        <w:t xml:space="preserve">, it is probable that the estimated impact of school construction on district GERs has also improved for subsequent </w:t>
      </w:r>
      <w:r w:rsidR="00C447E1">
        <w:t>c</w:t>
      </w:r>
      <w:r>
        <w:t>ycles.</w:t>
      </w:r>
    </w:p>
    <w:p w:rsidR="00B33BC8" w:rsidRDefault="00B33BC8" w:rsidP="00775568">
      <w:pPr>
        <w:pStyle w:val="Heading3"/>
      </w:pPr>
      <w:r w:rsidRPr="00851EC7">
        <w:t>Impact</w:t>
      </w:r>
    </w:p>
    <w:p w:rsidR="005C30EA" w:rsidRDefault="005C30EA" w:rsidP="005C30EA">
      <w:r>
        <w:t>The</w:t>
      </w:r>
      <w:r w:rsidRPr="00851EC7">
        <w:t xml:space="preserve"> prospects for long-term benefits are </w:t>
      </w:r>
      <w:r>
        <w:t>mixed</w:t>
      </w:r>
      <w:r w:rsidRPr="00851EC7">
        <w:t xml:space="preserve">. </w:t>
      </w:r>
      <w:r>
        <w:t>In the 2014 APPR it was noted that internal and external evaluations had confirmed that EP-funded facilities were considered to be of a</w:t>
      </w:r>
      <w:r w:rsidRPr="00851EC7">
        <w:t xml:space="preserve"> high construction standard</w:t>
      </w:r>
      <w:r>
        <w:t>. Data produced by the more recent 2015</w:t>
      </w:r>
      <w:r w:rsidR="00944318">
        <w:t xml:space="preserve"> </w:t>
      </w:r>
      <w:r w:rsidR="00944318" w:rsidRPr="0069023F">
        <w:rPr>
          <w:i/>
        </w:rPr>
        <w:t>EOPO 1</w:t>
      </w:r>
      <w:r>
        <w:t xml:space="preserve"> </w:t>
      </w:r>
      <w:r w:rsidRPr="00CD7934">
        <w:rPr>
          <w:i/>
        </w:rPr>
        <w:t>Endline Evaluation Study</w:t>
      </w:r>
      <w:r>
        <w:t xml:space="preserve"> survey support this conclusion, with evidence pointing to a generally positive assessment of the quality of school infrastructure. As such, it may be stated that C1 construction processes have ensured the long-term impact of schools </w:t>
      </w:r>
      <w:r w:rsidRPr="00510845">
        <w:rPr>
          <w:i/>
        </w:rPr>
        <w:t>as buildings</w:t>
      </w:r>
      <w:r>
        <w:t>.</w:t>
      </w:r>
    </w:p>
    <w:p w:rsidR="005C30EA" w:rsidRDefault="005C30EA" w:rsidP="005C30EA">
      <w:r>
        <w:t xml:space="preserve">Build quality has not, however, been matched by the quality of soft infrastructure. Concerns over the volume and quality of teachers assigned to EP-funded schools were raised in </w:t>
      </w:r>
      <w:r w:rsidR="00C447E1">
        <w:t xml:space="preserve">the </w:t>
      </w:r>
      <w:r>
        <w:t>2014 APPR, albeit with the caveat that more accurate data w</w:t>
      </w:r>
      <w:r w:rsidR="00C447E1">
        <w:t>ere</w:t>
      </w:r>
      <w:r>
        <w:t xml:space="preserve"> required to confirm those concerns. These data have been produced by the </w:t>
      </w:r>
      <w:r w:rsidR="00944318">
        <w:rPr>
          <w:i/>
        </w:rPr>
        <w:t>EOPO 1</w:t>
      </w:r>
      <w:r w:rsidR="00944318" w:rsidRPr="0069023F">
        <w:rPr>
          <w:i/>
        </w:rPr>
        <w:t xml:space="preserve"> </w:t>
      </w:r>
      <w:r w:rsidRPr="0069023F">
        <w:rPr>
          <w:i/>
        </w:rPr>
        <w:t>Endline Evaluation Study</w:t>
      </w:r>
      <w:r>
        <w:t xml:space="preserve"> (see</w:t>
      </w:r>
      <w:r w:rsidR="00BE4367">
        <w:t xml:space="preserve"> </w:t>
      </w:r>
      <w:r w:rsidR="00EC36D2">
        <w:fldChar w:fldCharType="begin"/>
      </w:r>
      <w:r w:rsidR="00EC36D2">
        <w:instrText xml:space="preserve"> REF _Ref450131017 \h </w:instrText>
      </w:r>
      <w:r w:rsidR="00EC36D2">
        <w:fldChar w:fldCharType="separate"/>
      </w:r>
      <w:r w:rsidR="00EC36D2">
        <w:t xml:space="preserve">Table </w:t>
      </w:r>
      <w:r w:rsidR="00EC36D2">
        <w:rPr>
          <w:noProof/>
        </w:rPr>
        <w:t>4</w:t>
      </w:r>
      <w:r w:rsidR="00EC36D2">
        <w:fldChar w:fldCharType="end"/>
      </w:r>
      <w:r>
        <w:t>)</w:t>
      </w:r>
      <w:r>
        <w:rPr>
          <w:rStyle w:val="FootnoteReference"/>
        </w:rPr>
        <w:footnoteReference w:id="28"/>
      </w:r>
      <w:r>
        <w:t xml:space="preserve">. </w:t>
      </w:r>
    </w:p>
    <w:p w:rsidR="00AE0FA5" w:rsidRPr="00851EC7" w:rsidRDefault="00AE0FA5" w:rsidP="00AE0FA5">
      <w:pPr>
        <w:pStyle w:val="Caption-Table"/>
      </w:pPr>
      <w:bookmarkStart w:id="35" w:name="_Ref450131017"/>
      <w:bookmarkStart w:id="36" w:name="_Toc450131625"/>
      <w:bookmarkStart w:id="37" w:name="_Ref447809663"/>
      <w:r>
        <w:t xml:space="preserve">Table </w:t>
      </w:r>
      <w:r>
        <w:fldChar w:fldCharType="begin"/>
      </w:r>
      <w:r>
        <w:instrText xml:space="preserve"> SEQ Table \* ARABIC </w:instrText>
      </w:r>
      <w:r>
        <w:fldChar w:fldCharType="separate"/>
      </w:r>
      <w:r w:rsidR="00BE4367">
        <w:rPr>
          <w:noProof/>
        </w:rPr>
        <w:t>4</w:t>
      </w:r>
      <w:r>
        <w:fldChar w:fldCharType="end"/>
      </w:r>
      <w:bookmarkEnd w:id="35"/>
      <w:r w:rsidRPr="00851EC7">
        <w:t xml:space="preserve">: </w:t>
      </w:r>
      <w:r>
        <w:rPr>
          <w:lang w:val="en-AU"/>
        </w:rPr>
        <w:t>Number of Teachers (excluding principals) in EOPO 1 Sampled Schools</w:t>
      </w:r>
      <w:bookmarkEnd w:id="36"/>
    </w:p>
    <w:tbl>
      <w:tblPr>
        <w:tblStyle w:val="TableGrid"/>
        <w:tblW w:w="8388" w:type="dxa"/>
        <w:jc w:val="center"/>
        <w:tblLayout w:type="fixed"/>
        <w:tblLook w:val="04A0" w:firstRow="1" w:lastRow="0" w:firstColumn="1" w:lastColumn="0" w:noHBand="0" w:noVBand="1"/>
      </w:tblPr>
      <w:tblGrid>
        <w:gridCol w:w="3180"/>
        <w:gridCol w:w="543"/>
        <w:gridCol w:w="544"/>
        <w:gridCol w:w="548"/>
        <w:gridCol w:w="544"/>
        <w:gridCol w:w="544"/>
        <w:gridCol w:w="544"/>
        <w:gridCol w:w="639"/>
        <w:gridCol w:w="8"/>
        <w:gridCol w:w="663"/>
        <w:gridCol w:w="631"/>
      </w:tblGrid>
      <w:tr w:rsidR="00AE0FA5" w:rsidRPr="00A008E8" w:rsidTr="00234400">
        <w:trPr>
          <w:trHeight w:val="283"/>
          <w:jc w:val="center"/>
        </w:trPr>
        <w:tc>
          <w:tcPr>
            <w:tcW w:w="3180" w:type="dxa"/>
            <w:vMerge w:val="restart"/>
            <w:shd w:val="clear" w:color="auto" w:fill="1F497D" w:themeFill="text2"/>
            <w:vAlign w:val="center"/>
          </w:tcPr>
          <w:p w:rsidR="00AE0FA5" w:rsidRPr="0067133D" w:rsidRDefault="00AE0FA5" w:rsidP="00234400">
            <w:pPr>
              <w:spacing w:before="0" w:after="0"/>
              <w:jc w:val="center"/>
              <w:rPr>
                <w:b/>
                <w:color w:val="FFFFFF" w:themeColor="background1"/>
                <w:sz w:val="18"/>
              </w:rPr>
            </w:pPr>
          </w:p>
        </w:tc>
        <w:tc>
          <w:tcPr>
            <w:tcW w:w="1635" w:type="dxa"/>
            <w:gridSpan w:val="3"/>
            <w:shd w:val="clear" w:color="auto" w:fill="1F497D" w:themeFill="text2"/>
            <w:vAlign w:val="center"/>
          </w:tcPr>
          <w:p w:rsidR="00AE0FA5" w:rsidRPr="0067133D" w:rsidRDefault="00AE0FA5" w:rsidP="00234400">
            <w:pPr>
              <w:spacing w:before="0" w:after="0"/>
              <w:jc w:val="center"/>
              <w:rPr>
                <w:b/>
                <w:color w:val="FFFFFF" w:themeColor="background1"/>
                <w:sz w:val="18"/>
              </w:rPr>
            </w:pPr>
            <w:r w:rsidRPr="0067133D">
              <w:rPr>
                <w:b/>
                <w:color w:val="FFFFFF" w:themeColor="background1"/>
                <w:sz w:val="18"/>
              </w:rPr>
              <w:t>USB</w:t>
            </w:r>
          </w:p>
        </w:tc>
        <w:tc>
          <w:tcPr>
            <w:tcW w:w="1632" w:type="dxa"/>
            <w:gridSpan w:val="3"/>
            <w:shd w:val="clear" w:color="auto" w:fill="1F497D" w:themeFill="text2"/>
            <w:vAlign w:val="center"/>
          </w:tcPr>
          <w:p w:rsidR="00AE0FA5" w:rsidRPr="0067133D" w:rsidRDefault="00AE0FA5" w:rsidP="00234400">
            <w:pPr>
              <w:spacing w:before="0" w:after="0"/>
              <w:jc w:val="center"/>
              <w:rPr>
                <w:b/>
                <w:color w:val="FFFFFF" w:themeColor="background1"/>
                <w:sz w:val="18"/>
              </w:rPr>
            </w:pPr>
            <w:r w:rsidRPr="0067133D">
              <w:rPr>
                <w:b/>
                <w:color w:val="FFFFFF" w:themeColor="background1"/>
                <w:sz w:val="18"/>
              </w:rPr>
              <w:t>SATAP</w:t>
            </w:r>
          </w:p>
        </w:tc>
        <w:tc>
          <w:tcPr>
            <w:tcW w:w="1941" w:type="dxa"/>
            <w:gridSpan w:val="4"/>
            <w:shd w:val="clear" w:color="auto" w:fill="1F497D" w:themeFill="text2"/>
            <w:vAlign w:val="center"/>
          </w:tcPr>
          <w:p w:rsidR="00AE0FA5" w:rsidRPr="0067133D" w:rsidRDefault="00AE0FA5" w:rsidP="00234400">
            <w:pPr>
              <w:spacing w:before="0" w:after="0"/>
              <w:jc w:val="center"/>
              <w:rPr>
                <w:b/>
                <w:color w:val="FFFFFF" w:themeColor="background1"/>
                <w:sz w:val="18"/>
              </w:rPr>
            </w:pPr>
            <w:r w:rsidRPr="0067133D">
              <w:rPr>
                <w:b/>
                <w:color w:val="FFFFFF" w:themeColor="background1"/>
                <w:sz w:val="18"/>
              </w:rPr>
              <w:t>Total</w:t>
            </w:r>
          </w:p>
        </w:tc>
      </w:tr>
      <w:tr w:rsidR="00AE0FA5" w:rsidRPr="00A008E8" w:rsidTr="00234400">
        <w:trPr>
          <w:trHeight w:val="283"/>
          <w:jc w:val="center"/>
        </w:trPr>
        <w:tc>
          <w:tcPr>
            <w:tcW w:w="3180" w:type="dxa"/>
            <w:vMerge/>
            <w:shd w:val="clear" w:color="auto" w:fill="1F497D" w:themeFill="text2"/>
            <w:vAlign w:val="center"/>
          </w:tcPr>
          <w:p w:rsidR="00AE0FA5" w:rsidRPr="0067133D" w:rsidRDefault="00AE0FA5" w:rsidP="00234400">
            <w:pPr>
              <w:spacing w:before="0" w:after="0"/>
              <w:jc w:val="center"/>
              <w:rPr>
                <w:b/>
                <w:color w:val="FFFFFF" w:themeColor="background1"/>
                <w:sz w:val="18"/>
              </w:rPr>
            </w:pPr>
          </w:p>
        </w:tc>
        <w:tc>
          <w:tcPr>
            <w:tcW w:w="543" w:type="dxa"/>
            <w:shd w:val="clear" w:color="auto" w:fill="1F497D" w:themeFill="text2"/>
            <w:vAlign w:val="center"/>
          </w:tcPr>
          <w:p w:rsidR="00AE0FA5" w:rsidRPr="0067133D" w:rsidRDefault="00AE0FA5" w:rsidP="00234400">
            <w:pPr>
              <w:spacing w:before="0" w:after="0"/>
              <w:jc w:val="center"/>
              <w:rPr>
                <w:b/>
                <w:color w:val="FFFFFF" w:themeColor="background1"/>
                <w:sz w:val="18"/>
              </w:rPr>
            </w:pPr>
            <w:r w:rsidRPr="0067133D">
              <w:rPr>
                <w:b/>
                <w:color w:val="FFFFFF" w:themeColor="background1"/>
                <w:sz w:val="18"/>
              </w:rPr>
              <w:t>M</w:t>
            </w:r>
          </w:p>
        </w:tc>
        <w:tc>
          <w:tcPr>
            <w:tcW w:w="544" w:type="dxa"/>
            <w:shd w:val="clear" w:color="auto" w:fill="1F497D" w:themeFill="text2"/>
            <w:vAlign w:val="center"/>
          </w:tcPr>
          <w:p w:rsidR="00AE0FA5" w:rsidRPr="0067133D" w:rsidRDefault="00AE0FA5" w:rsidP="00234400">
            <w:pPr>
              <w:spacing w:before="0" w:after="0"/>
              <w:jc w:val="center"/>
              <w:rPr>
                <w:b/>
                <w:color w:val="FFFFFF" w:themeColor="background1"/>
                <w:sz w:val="18"/>
              </w:rPr>
            </w:pPr>
            <w:r w:rsidRPr="0067133D">
              <w:rPr>
                <w:b/>
                <w:color w:val="FFFFFF" w:themeColor="background1"/>
                <w:sz w:val="18"/>
              </w:rPr>
              <w:t>F</w:t>
            </w:r>
          </w:p>
        </w:tc>
        <w:tc>
          <w:tcPr>
            <w:tcW w:w="548" w:type="dxa"/>
            <w:shd w:val="clear" w:color="auto" w:fill="1F497D" w:themeFill="text2"/>
            <w:vAlign w:val="center"/>
          </w:tcPr>
          <w:p w:rsidR="00AE0FA5" w:rsidRPr="0067133D" w:rsidRDefault="00AE0FA5" w:rsidP="00234400">
            <w:pPr>
              <w:spacing w:before="0" w:after="0"/>
              <w:jc w:val="center"/>
              <w:rPr>
                <w:b/>
                <w:color w:val="FFFFFF" w:themeColor="background1"/>
                <w:sz w:val="18"/>
              </w:rPr>
            </w:pPr>
            <w:r w:rsidRPr="0067133D">
              <w:rPr>
                <w:b/>
                <w:color w:val="FFFFFF" w:themeColor="background1"/>
                <w:sz w:val="18"/>
              </w:rPr>
              <w:t>T</w:t>
            </w:r>
          </w:p>
        </w:tc>
        <w:tc>
          <w:tcPr>
            <w:tcW w:w="544" w:type="dxa"/>
            <w:shd w:val="clear" w:color="auto" w:fill="1F497D" w:themeFill="text2"/>
            <w:vAlign w:val="center"/>
          </w:tcPr>
          <w:p w:rsidR="00AE0FA5" w:rsidRPr="0067133D" w:rsidRDefault="00AE0FA5" w:rsidP="00234400">
            <w:pPr>
              <w:spacing w:before="0" w:after="0"/>
              <w:jc w:val="center"/>
              <w:rPr>
                <w:b/>
                <w:color w:val="FFFFFF" w:themeColor="background1"/>
                <w:sz w:val="18"/>
              </w:rPr>
            </w:pPr>
            <w:r w:rsidRPr="0067133D">
              <w:rPr>
                <w:b/>
                <w:color w:val="FFFFFF" w:themeColor="background1"/>
                <w:sz w:val="18"/>
              </w:rPr>
              <w:t>M</w:t>
            </w:r>
          </w:p>
        </w:tc>
        <w:tc>
          <w:tcPr>
            <w:tcW w:w="544" w:type="dxa"/>
            <w:shd w:val="clear" w:color="auto" w:fill="1F497D" w:themeFill="text2"/>
            <w:vAlign w:val="center"/>
          </w:tcPr>
          <w:p w:rsidR="00AE0FA5" w:rsidRPr="0067133D" w:rsidRDefault="00AE0FA5" w:rsidP="00234400">
            <w:pPr>
              <w:spacing w:before="0" w:after="0"/>
              <w:jc w:val="center"/>
              <w:rPr>
                <w:b/>
                <w:color w:val="FFFFFF" w:themeColor="background1"/>
                <w:sz w:val="18"/>
              </w:rPr>
            </w:pPr>
            <w:r w:rsidRPr="0067133D">
              <w:rPr>
                <w:b/>
                <w:color w:val="FFFFFF" w:themeColor="background1"/>
                <w:sz w:val="18"/>
              </w:rPr>
              <w:t>F</w:t>
            </w:r>
          </w:p>
        </w:tc>
        <w:tc>
          <w:tcPr>
            <w:tcW w:w="544" w:type="dxa"/>
            <w:shd w:val="clear" w:color="auto" w:fill="1F497D" w:themeFill="text2"/>
            <w:vAlign w:val="center"/>
          </w:tcPr>
          <w:p w:rsidR="00AE0FA5" w:rsidRPr="0067133D" w:rsidRDefault="00AE0FA5" w:rsidP="00234400">
            <w:pPr>
              <w:spacing w:before="0" w:after="0"/>
              <w:jc w:val="center"/>
              <w:rPr>
                <w:b/>
                <w:color w:val="FFFFFF" w:themeColor="background1"/>
                <w:sz w:val="18"/>
              </w:rPr>
            </w:pPr>
            <w:r w:rsidRPr="0067133D">
              <w:rPr>
                <w:b/>
                <w:color w:val="FFFFFF" w:themeColor="background1"/>
                <w:sz w:val="18"/>
              </w:rPr>
              <w:t>T</w:t>
            </w:r>
          </w:p>
        </w:tc>
        <w:tc>
          <w:tcPr>
            <w:tcW w:w="639" w:type="dxa"/>
            <w:shd w:val="clear" w:color="auto" w:fill="1F497D" w:themeFill="text2"/>
            <w:vAlign w:val="center"/>
          </w:tcPr>
          <w:p w:rsidR="00AE0FA5" w:rsidRPr="0067133D" w:rsidRDefault="00AE0FA5" w:rsidP="00234400">
            <w:pPr>
              <w:spacing w:before="0" w:after="0"/>
              <w:jc w:val="center"/>
              <w:rPr>
                <w:b/>
                <w:color w:val="FFFFFF" w:themeColor="background1"/>
                <w:sz w:val="18"/>
              </w:rPr>
            </w:pPr>
            <w:r w:rsidRPr="0067133D">
              <w:rPr>
                <w:b/>
                <w:color w:val="FFFFFF" w:themeColor="background1"/>
                <w:sz w:val="18"/>
              </w:rPr>
              <w:t>M</w:t>
            </w:r>
          </w:p>
        </w:tc>
        <w:tc>
          <w:tcPr>
            <w:tcW w:w="671" w:type="dxa"/>
            <w:gridSpan w:val="2"/>
            <w:shd w:val="clear" w:color="auto" w:fill="1F497D" w:themeFill="text2"/>
            <w:vAlign w:val="center"/>
          </w:tcPr>
          <w:p w:rsidR="00AE0FA5" w:rsidRPr="0067133D" w:rsidRDefault="00AE0FA5" w:rsidP="00234400">
            <w:pPr>
              <w:spacing w:before="0" w:after="0"/>
              <w:jc w:val="center"/>
              <w:rPr>
                <w:b/>
                <w:color w:val="FFFFFF" w:themeColor="background1"/>
                <w:sz w:val="18"/>
              </w:rPr>
            </w:pPr>
            <w:r w:rsidRPr="0067133D">
              <w:rPr>
                <w:b/>
                <w:color w:val="FFFFFF" w:themeColor="background1"/>
                <w:sz w:val="18"/>
              </w:rPr>
              <w:t>F</w:t>
            </w:r>
          </w:p>
        </w:tc>
        <w:tc>
          <w:tcPr>
            <w:tcW w:w="631" w:type="dxa"/>
            <w:shd w:val="clear" w:color="auto" w:fill="1F497D" w:themeFill="text2"/>
            <w:vAlign w:val="center"/>
          </w:tcPr>
          <w:p w:rsidR="00AE0FA5" w:rsidRPr="0067133D" w:rsidRDefault="00AE0FA5" w:rsidP="00234400">
            <w:pPr>
              <w:spacing w:before="0" w:after="0"/>
              <w:jc w:val="center"/>
              <w:rPr>
                <w:b/>
                <w:color w:val="FFFFFF" w:themeColor="background1"/>
                <w:sz w:val="18"/>
              </w:rPr>
            </w:pPr>
            <w:r w:rsidRPr="0067133D">
              <w:rPr>
                <w:b/>
                <w:color w:val="FFFFFF" w:themeColor="background1"/>
                <w:sz w:val="18"/>
              </w:rPr>
              <w:t>T</w:t>
            </w:r>
          </w:p>
        </w:tc>
      </w:tr>
      <w:tr w:rsidR="00AE0FA5" w:rsidRPr="00A008E8" w:rsidTr="00AE0FA5">
        <w:trPr>
          <w:trHeight w:val="375"/>
          <w:jc w:val="center"/>
        </w:trPr>
        <w:tc>
          <w:tcPr>
            <w:tcW w:w="3180" w:type="dxa"/>
            <w:vAlign w:val="center"/>
          </w:tcPr>
          <w:p w:rsidR="00AE0FA5" w:rsidRPr="0067133D" w:rsidRDefault="00AE0FA5" w:rsidP="00AE0FA5">
            <w:pPr>
              <w:spacing w:before="0" w:after="0"/>
              <w:jc w:val="left"/>
              <w:rPr>
                <w:sz w:val="18"/>
                <w:szCs w:val="20"/>
              </w:rPr>
            </w:pPr>
            <w:r w:rsidRPr="0067133D">
              <w:rPr>
                <w:sz w:val="18"/>
                <w:szCs w:val="20"/>
              </w:rPr>
              <w:t>Total number</w:t>
            </w:r>
          </w:p>
        </w:tc>
        <w:tc>
          <w:tcPr>
            <w:tcW w:w="543" w:type="dxa"/>
            <w:vAlign w:val="center"/>
          </w:tcPr>
          <w:p w:rsidR="00AE0FA5" w:rsidRPr="0067133D" w:rsidRDefault="00AE0FA5" w:rsidP="00AE0FA5">
            <w:pPr>
              <w:spacing w:before="0" w:after="0"/>
              <w:jc w:val="center"/>
              <w:rPr>
                <w:sz w:val="18"/>
                <w:szCs w:val="20"/>
              </w:rPr>
            </w:pPr>
            <w:r>
              <w:rPr>
                <w:sz w:val="18"/>
                <w:szCs w:val="20"/>
              </w:rPr>
              <w:t>148</w:t>
            </w:r>
          </w:p>
        </w:tc>
        <w:tc>
          <w:tcPr>
            <w:tcW w:w="544" w:type="dxa"/>
            <w:vAlign w:val="center"/>
          </w:tcPr>
          <w:p w:rsidR="00AE0FA5" w:rsidRPr="0067133D" w:rsidRDefault="00AE0FA5" w:rsidP="00AE0FA5">
            <w:pPr>
              <w:spacing w:before="0" w:after="0"/>
              <w:jc w:val="center"/>
              <w:rPr>
                <w:sz w:val="18"/>
                <w:szCs w:val="20"/>
              </w:rPr>
            </w:pPr>
            <w:r>
              <w:rPr>
                <w:sz w:val="18"/>
                <w:szCs w:val="20"/>
              </w:rPr>
              <w:t>208</w:t>
            </w:r>
          </w:p>
        </w:tc>
        <w:tc>
          <w:tcPr>
            <w:tcW w:w="548" w:type="dxa"/>
            <w:vAlign w:val="center"/>
          </w:tcPr>
          <w:p w:rsidR="00AE0FA5" w:rsidRPr="0067133D" w:rsidRDefault="00AE0FA5" w:rsidP="00AE0FA5">
            <w:pPr>
              <w:spacing w:before="0" w:after="0"/>
              <w:jc w:val="center"/>
              <w:rPr>
                <w:sz w:val="18"/>
                <w:szCs w:val="20"/>
              </w:rPr>
            </w:pPr>
            <w:r>
              <w:rPr>
                <w:sz w:val="18"/>
                <w:szCs w:val="20"/>
              </w:rPr>
              <w:t>356</w:t>
            </w:r>
          </w:p>
        </w:tc>
        <w:tc>
          <w:tcPr>
            <w:tcW w:w="544" w:type="dxa"/>
            <w:vAlign w:val="center"/>
          </w:tcPr>
          <w:p w:rsidR="00AE0FA5" w:rsidRPr="0067133D" w:rsidRDefault="00AE0FA5" w:rsidP="00AE0FA5">
            <w:pPr>
              <w:spacing w:before="0" w:after="0"/>
              <w:jc w:val="center"/>
              <w:rPr>
                <w:sz w:val="18"/>
                <w:szCs w:val="20"/>
              </w:rPr>
            </w:pPr>
            <w:r>
              <w:rPr>
                <w:sz w:val="18"/>
                <w:szCs w:val="20"/>
              </w:rPr>
              <w:t>335</w:t>
            </w:r>
          </w:p>
        </w:tc>
        <w:tc>
          <w:tcPr>
            <w:tcW w:w="544" w:type="dxa"/>
            <w:vAlign w:val="center"/>
          </w:tcPr>
          <w:p w:rsidR="00AE0FA5" w:rsidRPr="0067133D" w:rsidRDefault="00AE0FA5" w:rsidP="00AE0FA5">
            <w:pPr>
              <w:spacing w:before="0" w:after="0"/>
              <w:jc w:val="center"/>
              <w:rPr>
                <w:sz w:val="18"/>
                <w:szCs w:val="20"/>
              </w:rPr>
            </w:pPr>
            <w:r>
              <w:rPr>
                <w:sz w:val="18"/>
                <w:szCs w:val="20"/>
              </w:rPr>
              <w:t>483</w:t>
            </w:r>
          </w:p>
        </w:tc>
        <w:tc>
          <w:tcPr>
            <w:tcW w:w="544" w:type="dxa"/>
            <w:vAlign w:val="center"/>
          </w:tcPr>
          <w:p w:rsidR="00AE0FA5" w:rsidRPr="0067133D" w:rsidRDefault="00AE0FA5" w:rsidP="00AE0FA5">
            <w:pPr>
              <w:spacing w:before="0" w:after="0"/>
              <w:jc w:val="center"/>
              <w:rPr>
                <w:sz w:val="18"/>
                <w:szCs w:val="20"/>
              </w:rPr>
            </w:pPr>
            <w:r>
              <w:rPr>
                <w:sz w:val="18"/>
                <w:szCs w:val="20"/>
              </w:rPr>
              <w:t>818</w:t>
            </w:r>
          </w:p>
        </w:tc>
        <w:tc>
          <w:tcPr>
            <w:tcW w:w="639" w:type="dxa"/>
            <w:vAlign w:val="center"/>
          </w:tcPr>
          <w:p w:rsidR="00AE0FA5" w:rsidRPr="0067133D" w:rsidRDefault="00AE0FA5" w:rsidP="00AE0FA5">
            <w:pPr>
              <w:spacing w:before="0" w:after="0"/>
              <w:jc w:val="center"/>
              <w:rPr>
                <w:sz w:val="18"/>
                <w:szCs w:val="20"/>
              </w:rPr>
            </w:pPr>
            <w:r>
              <w:rPr>
                <w:sz w:val="18"/>
                <w:szCs w:val="20"/>
              </w:rPr>
              <w:t>483</w:t>
            </w:r>
          </w:p>
        </w:tc>
        <w:tc>
          <w:tcPr>
            <w:tcW w:w="671" w:type="dxa"/>
            <w:gridSpan w:val="2"/>
            <w:vAlign w:val="center"/>
          </w:tcPr>
          <w:p w:rsidR="00AE0FA5" w:rsidRPr="0067133D" w:rsidRDefault="00AE0FA5" w:rsidP="00AE0FA5">
            <w:pPr>
              <w:spacing w:before="0" w:after="0"/>
              <w:jc w:val="center"/>
              <w:rPr>
                <w:sz w:val="18"/>
                <w:szCs w:val="20"/>
              </w:rPr>
            </w:pPr>
            <w:r>
              <w:rPr>
                <w:sz w:val="18"/>
                <w:szCs w:val="20"/>
              </w:rPr>
              <w:t>691</w:t>
            </w:r>
          </w:p>
        </w:tc>
        <w:tc>
          <w:tcPr>
            <w:tcW w:w="631" w:type="dxa"/>
            <w:vAlign w:val="center"/>
          </w:tcPr>
          <w:p w:rsidR="00AE0FA5" w:rsidRPr="0067133D" w:rsidRDefault="00AE0FA5" w:rsidP="00AE0FA5">
            <w:pPr>
              <w:spacing w:before="0" w:after="0"/>
              <w:jc w:val="center"/>
              <w:rPr>
                <w:sz w:val="18"/>
                <w:szCs w:val="20"/>
              </w:rPr>
            </w:pPr>
            <w:r>
              <w:rPr>
                <w:sz w:val="18"/>
                <w:szCs w:val="20"/>
              </w:rPr>
              <w:t>1174</w:t>
            </w:r>
          </w:p>
        </w:tc>
      </w:tr>
      <w:tr w:rsidR="00AE0FA5" w:rsidRPr="00A008E8" w:rsidTr="00AE0FA5">
        <w:trPr>
          <w:trHeight w:val="375"/>
          <w:jc w:val="center"/>
        </w:trPr>
        <w:tc>
          <w:tcPr>
            <w:tcW w:w="3180" w:type="dxa"/>
            <w:vAlign w:val="center"/>
          </w:tcPr>
          <w:p w:rsidR="00AE0FA5" w:rsidRPr="0067133D" w:rsidRDefault="00AE0FA5" w:rsidP="00AE0FA5">
            <w:pPr>
              <w:pStyle w:val="ListParagraph"/>
              <w:numPr>
                <w:ilvl w:val="0"/>
                <w:numId w:val="43"/>
              </w:numPr>
              <w:spacing w:before="0" w:after="0"/>
              <w:jc w:val="left"/>
              <w:rPr>
                <w:sz w:val="18"/>
                <w:szCs w:val="20"/>
              </w:rPr>
            </w:pPr>
            <w:r w:rsidRPr="0067133D">
              <w:rPr>
                <w:sz w:val="18"/>
                <w:szCs w:val="20"/>
              </w:rPr>
              <w:t>Civil Servant (PNS) Teacher</w:t>
            </w:r>
          </w:p>
        </w:tc>
        <w:tc>
          <w:tcPr>
            <w:tcW w:w="543" w:type="dxa"/>
            <w:vAlign w:val="center"/>
          </w:tcPr>
          <w:p w:rsidR="00AE0FA5" w:rsidRPr="0067133D" w:rsidRDefault="00AE0FA5" w:rsidP="00AE0FA5">
            <w:pPr>
              <w:spacing w:before="0" w:after="0"/>
              <w:jc w:val="center"/>
              <w:rPr>
                <w:sz w:val="18"/>
                <w:szCs w:val="20"/>
              </w:rPr>
            </w:pPr>
            <w:r>
              <w:rPr>
                <w:sz w:val="18"/>
                <w:szCs w:val="20"/>
              </w:rPr>
              <w:t>44</w:t>
            </w:r>
          </w:p>
        </w:tc>
        <w:tc>
          <w:tcPr>
            <w:tcW w:w="544" w:type="dxa"/>
            <w:vAlign w:val="center"/>
          </w:tcPr>
          <w:p w:rsidR="00AE0FA5" w:rsidRPr="0067133D" w:rsidRDefault="00AE0FA5" w:rsidP="00AE0FA5">
            <w:pPr>
              <w:spacing w:before="0" w:after="0"/>
              <w:jc w:val="center"/>
              <w:rPr>
                <w:sz w:val="18"/>
                <w:szCs w:val="20"/>
              </w:rPr>
            </w:pPr>
            <w:r w:rsidRPr="0067133D">
              <w:rPr>
                <w:sz w:val="18"/>
                <w:szCs w:val="20"/>
              </w:rPr>
              <w:t>87</w:t>
            </w:r>
          </w:p>
        </w:tc>
        <w:tc>
          <w:tcPr>
            <w:tcW w:w="548" w:type="dxa"/>
            <w:vAlign w:val="center"/>
          </w:tcPr>
          <w:p w:rsidR="00AE0FA5" w:rsidRPr="0067133D" w:rsidRDefault="00AE0FA5" w:rsidP="00AE0FA5">
            <w:pPr>
              <w:spacing w:before="0" w:after="0"/>
              <w:jc w:val="center"/>
              <w:rPr>
                <w:sz w:val="18"/>
                <w:szCs w:val="20"/>
              </w:rPr>
            </w:pPr>
            <w:r>
              <w:rPr>
                <w:sz w:val="18"/>
                <w:szCs w:val="20"/>
              </w:rPr>
              <w:t>131</w:t>
            </w:r>
          </w:p>
        </w:tc>
        <w:tc>
          <w:tcPr>
            <w:tcW w:w="544" w:type="dxa"/>
            <w:vAlign w:val="center"/>
          </w:tcPr>
          <w:p w:rsidR="00AE0FA5" w:rsidRPr="0067133D" w:rsidRDefault="00AE0FA5" w:rsidP="00AE0FA5">
            <w:pPr>
              <w:spacing w:before="0" w:after="0"/>
              <w:jc w:val="center"/>
              <w:rPr>
                <w:sz w:val="18"/>
                <w:szCs w:val="20"/>
              </w:rPr>
            </w:pPr>
            <w:r>
              <w:rPr>
                <w:sz w:val="18"/>
                <w:szCs w:val="20"/>
              </w:rPr>
              <w:t>87</w:t>
            </w:r>
          </w:p>
        </w:tc>
        <w:tc>
          <w:tcPr>
            <w:tcW w:w="544" w:type="dxa"/>
            <w:vAlign w:val="center"/>
          </w:tcPr>
          <w:p w:rsidR="00AE0FA5" w:rsidRPr="0067133D" w:rsidRDefault="00AE0FA5" w:rsidP="00AE0FA5">
            <w:pPr>
              <w:spacing w:before="0" w:after="0"/>
              <w:jc w:val="center"/>
              <w:rPr>
                <w:sz w:val="18"/>
                <w:szCs w:val="20"/>
              </w:rPr>
            </w:pPr>
            <w:r>
              <w:rPr>
                <w:sz w:val="18"/>
                <w:szCs w:val="20"/>
              </w:rPr>
              <w:t>101</w:t>
            </w:r>
          </w:p>
        </w:tc>
        <w:tc>
          <w:tcPr>
            <w:tcW w:w="544" w:type="dxa"/>
            <w:vAlign w:val="center"/>
          </w:tcPr>
          <w:p w:rsidR="00AE0FA5" w:rsidRPr="0067133D" w:rsidRDefault="00AE0FA5" w:rsidP="00AE0FA5">
            <w:pPr>
              <w:spacing w:before="0" w:after="0"/>
              <w:jc w:val="center"/>
              <w:rPr>
                <w:sz w:val="18"/>
                <w:szCs w:val="20"/>
              </w:rPr>
            </w:pPr>
            <w:r>
              <w:rPr>
                <w:sz w:val="18"/>
                <w:szCs w:val="20"/>
              </w:rPr>
              <w:t>188</w:t>
            </w:r>
          </w:p>
        </w:tc>
        <w:tc>
          <w:tcPr>
            <w:tcW w:w="639" w:type="dxa"/>
            <w:vAlign w:val="center"/>
          </w:tcPr>
          <w:p w:rsidR="00AE0FA5" w:rsidRPr="0067133D" w:rsidRDefault="00AE0FA5" w:rsidP="00AE0FA5">
            <w:pPr>
              <w:spacing w:before="0" w:after="0"/>
              <w:jc w:val="center"/>
              <w:rPr>
                <w:sz w:val="18"/>
                <w:szCs w:val="20"/>
              </w:rPr>
            </w:pPr>
            <w:r>
              <w:rPr>
                <w:sz w:val="18"/>
                <w:szCs w:val="20"/>
              </w:rPr>
              <w:t>131</w:t>
            </w:r>
          </w:p>
        </w:tc>
        <w:tc>
          <w:tcPr>
            <w:tcW w:w="671" w:type="dxa"/>
            <w:gridSpan w:val="2"/>
            <w:vAlign w:val="center"/>
          </w:tcPr>
          <w:p w:rsidR="00AE0FA5" w:rsidRPr="0067133D" w:rsidRDefault="00AE0FA5" w:rsidP="00AE0FA5">
            <w:pPr>
              <w:spacing w:before="0" w:after="0"/>
              <w:jc w:val="center"/>
              <w:rPr>
                <w:sz w:val="18"/>
                <w:szCs w:val="20"/>
              </w:rPr>
            </w:pPr>
            <w:r>
              <w:rPr>
                <w:sz w:val="18"/>
                <w:szCs w:val="20"/>
              </w:rPr>
              <w:t>188</w:t>
            </w:r>
          </w:p>
        </w:tc>
        <w:tc>
          <w:tcPr>
            <w:tcW w:w="631" w:type="dxa"/>
            <w:vAlign w:val="center"/>
          </w:tcPr>
          <w:p w:rsidR="00AE0FA5" w:rsidRPr="0067133D" w:rsidRDefault="00AE0FA5" w:rsidP="00AE0FA5">
            <w:pPr>
              <w:spacing w:before="0" w:after="0"/>
              <w:jc w:val="center"/>
              <w:rPr>
                <w:sz w:val="18"/>
                <w:szCs w:val="20"/>
              </w:rPr>
            </w:pPr>
            <w:r>
              <w:rPr>
                <w:sz w:val="18"/>
                <w:szCs w:val="20"/>
              </w:rPr>
              <w:t>319</w:t>
            </w:r>
          </w:p>
        </w:tc>
      </w:tr>
      <w:tr w:rsidR="00AE0FA5" w:rsidRPr="00A008E8" w:rsidTr="00AE0FA5">
        <w:trPr>
          <w:trHeight w:val="375"/>
          <w:jc w:val="center"/>
        </w:trPr>
        <w:tc>
          <w:tcPr>
            <w:tcW w:w="3180" w:type="dxa"/>
            <w:vAlign w:val="center"/>
          </w:tcPr>
          <w:p w:rsidR="00AE0FA5" w:rsidRPr="0067133D" w:rsidRDefault="00AE0FA5" w:rsidP="00AE0FA5">
            <w:pPr>
              <w:pStyle w:val="ListParagraph"/>
              <w:numPr>
                <w:ilvl w:val="0"/>
                <w:numId w:val="43"/>
              </w:numPr>
              <w:spacing w:before="0" w:after="0"/>
              <w:jc w:val="left"/>
              <w:rPr>
                <w:sz w:val="18"/>
                <w:szCs w:val="20"/>
              </w:rPr>
            </w:pPr>
            <w:r w:rsidRPr="0067133D">
              <w:rPr>
                <w:sz w:val="18"/>
                <w:szCs w:val="20"/>
              </w:rPr>
              <w:t>Contract Teacher</w:t>
            </w:r>
          </w:p>
        </w:tc>
        <w:tc>
          <w:tcPr>
            <w:tcW w:w="543" w:type="dxa"/>
            <w:vAlign w:val="center"/>
          </w:tcPr>
          <w:p w:rsidR="00AE0FA5" w:rsidRPr="0067133D" w:rsidRDefault="00AE0FA5" w:rsidP="00AE0FA5">
            <w:pPr>
              <w:spacing w:before="0" w:after="0"/>
              <w:jc w:val="center"/>
              <w:rPr>
                <w:sz w:val="18"/>
                <w:szCs w:val="20"/>
              </w:rPr>
            </w:pPr>
            <w:r>
              <w:rPr>
                <w:sz w:val="18"/>
                <w:szCs w:val="20"/>
              </w:rPr>
              <w:t>104</w:t>
            </w:r>
          </w:p>
        </w:tc>
        <w:tc>
          <w:tcPr>
            <w:tcW w:w="544" w:type="dxa"/>
            <w:vAlign w:val="center"/>
          </w:tcPr>
          <w:p w:rsidR="00AE0FA5" w:rsidRPr="0067133D" w:rsidRDefault="00AE0FA5" w:rsidP="00AE0FA5">
            <w:pPr>
              <w:spacing w:before="0" w:after="0"/>
              <w:jc w:val="center"/>
              <w:rPr>
                <w:sz w:val="18"/>
                <w:szCs w:val="20"/>
              </w:rPr>
            </w:pPr>
            <w:r>
              <w:rPr>
                <w:sz w:val="18"/>
                <w:szCs w:val="20"/>
              </w:rPr>
              <w:t>121</w:t>
            </w:r>
          </w:p>
        </w:tc>
        <w:tc>
          <w:tcPr>
            <w:tcW w:w="548" w:type="dxa"/>
            <w:vAlign w:val="center"/>
          </w:tcPr>
          <w:p w:rsidR="00AE0FA5" w:rsidRPr="0067133D" w:rsidRDefault="00AE0FA5" w:rsidP="00AE0FA5">
            <w:pPr>
              <w:spacing w:before="0" w:after="0"/>
              <w:jc w:val="center"/>
              <w:rPr>
                <w:sz w:val="18"/>
                <w:szCs w:val="20"/>
              </w:rPr>
            </w:pPr>
            <w:r>
              <w:rPr>
                <w:sz w:val="18"/>
                <w:szCs w:val="20"/>
              </w:rPr>
              <w:t>225</w:t>
            </w:r>
          </w:p>
        </w:tc>
        <w:tc>
          <w:tcPr>
            <w:tcW w:w="544" w:type="dxa"/>
            <w:vAlign w:val="center"/>
          </w:tcPr>
          <w:p w:rsidR="00AE0FA5" w:rsidRPr="0067133D" w:rsidRDefault="00AE0FA5" w:rsidP="00AE0FA5">
            <w:pPr>
              <w:spacing w:before="0" w:after="0"/>
              <w:jc w:val="center"/>
              <w:rPr>
                <w:sz w:val="18"/>
                <w:szCs w:val="20"/>
              </w:rPr>
            </w:pPr>
            <w:r>
              <w:rPr>
                <w:sz w:val="18"/>
                <w:szCs w:val="20"/>
              </w:rPr>
              <w:t>248</w:t>
            </w:r>
          </w:p>
        </w:tc>
        <w:tc>
          <w:tcPr>
            <w:tcW w:w="544" w:type="dxa"/>
            <w:vAlign w:val="center"/>
          </w:tcPr>
          <w:p w:rsidR="00AE0FA5" w:rsidRPr="0067133D" w:rsidRDefault="00AE0FA5" w:rsidP="00AE0FA5">
            <w:pPr>
              <w:spacing w:before="0" w:after="0"/>
              <w:jc w:val="center"/>
              <w:rPr>
                <w:sz w:val="18"/>
                <w:szCs w:val="20"/>
              </w:rPr>
            </w:pPr>
            <w:r>
              <w:rPr>
                <w:sz w:val="18"/>
                <w:szCs w:val="20"/>
              </w:rPr>
              <w:t>382</w:t>
            </w:r>
          </w:p>
        </w:tc>
        <w:tc>
          <w:tcPr>
            <w:tcW w:w="544" w:type="dxa"/>
            <w:vAlign w:val="center"/>
          </w:tcPr>
          <w:p w:rsidR="00AE0FA5" w:rsidRPr="0067133D" w:rsidRDefault="00AE0FA5" w:rsidP="00AE0FA5">
            <w:pPr>
              <w:spacing w:before="0" w:after="0"/>
              <w:jc w:val="center"/>
              <w:rPr>
                <w:sz w:val="18"/>
                <w:szCs w:val="20"/>
              </w:rPr>
            </w:pPr>
            <w:r>
              <w:rPr>
                <w:sz w:val="18"/>
                <w:szCs w:val="20"/>
              </w:rPr>
              <w:t>630</w:t>
            </w:r>
          </w:p>
        </w:tc>
        <w:tc>
          <w:tcPr>
            <w:tcW w:w="639" w:type="dxa"/>
            <w:vAlign w:val="center"/>
          </w:tcPr>
          <w:p w:rsidR="00AE0FA5" w:rsidRPr="0067133D" w:rsidRDefault="00AE0FA5" w:rsidP="00AE0FA5">
            <w:pPr>
              <w:spacing w:before="0" w:after="0"/>
              <w:jc w:val="center"/>
              <w:rPr>
                <w:sz w:val="18"/>
                <w:szCs w:val="20"/>
              </w:rPr>
            </w:pPr>
            <w:r>
              <w:rPr>
                <w:sz w:val="18"/>
                <w:szCs w:val="20"/>
              </w:rPr>
              <w:t>352</w:t>
            </w:r>
          </w:p>
        </w:tc>
        <w:tc>
          <w:tcPr>
            <w:tcW w:w="671" w:type="dxa"/>
            <w:gridSpan w:val="2"/>
            <w:vAlign w:val="center"/>
          </w:tcPr>
          <w:p w:rsidR="00AE0FA5" w:rsidRPr="0067133D" w:rsidRDefault="00AE0FA5" w:rsidP="00AE0FA5">
            <w:pPr>
              <w:spacing w:before="0" w:after="0"/>
              <w:jc w:val="center"/>
              <w:rPr>
                <w:sz w:val="18"/>
                <w:szCs w:val="20"/>
              </w:rPr>
            </w:pPr>
            <w:r>
              <w:rPr>
                <w:sz w:val="18"/>
                <w:szCs w:val="20"/>
              </w:rPr>
              <w:t>503</w:t>
            </w:r>
          </w:p>
        </w:tc>
        <w:tc>
          <w:tcPr>
            <w:tcW w:w="631" w:type="dxa"/>
            <w:vAlign w:val="center"/>
          </w:tcPr>
          <w:p w:rsidR="00AE0FA5" w:rsidRPr="0067133D" w:rsidRDefault="00AE0FA5" w:rsidP="00AE0FA5">
            <w:pPr>
              <w:spacing w:before="0" w:after="0"/>
              <w:jc w:val="center"/>
              <w:rPr>
                <w:sz w:val="18"/>
                <w:szCs w:val="20"/>
              </w:rPr>
            </w:pPr>
            <w:r>
              <w:rPr>
                <w:sz w:val="18"/>
                <w:szCs w:val="20"/>
              </w:rPr>
              <w:t>855</w:t>
            </w:r>
          </w:p>
        </w:tc>
      </w:tr>
      <w:tr w:rsidR="00AE0FA5" w:rsidRPr="00A008E8" w:rsidTr="00AE0FA5">
        <w:trPr>
          <w:trHeight w:val="375"/>
          <w:jc w:val="center"/>
        </w:trPr>
        <w:tc>
          <w:tcPr>
            <w:tcW w:w="3180" w:type="dxa"/>
            <w:vAlign w:val="center"/>
          </w:tcPr>
          <w:p w:rsidR="00AE0FA5" w:rsidRPr="0067133D" w:rsidRDefault="00AE0FA5" w:rsidP="00AE0FA5">
            <w:pPr>
              <w:spacing w:before="0" w:after="0"/>
              <w:jc w:val="left"/>
              <w:rPr>
                <w:sz w:val="18"/>
                <w:szCs w:val="20"/>
              </w:rPr>
            </w:pPr>
            <w:r w:rsidRPr="0067133D">
              <w:rPr>
                <w:sz w:val="18"/>
                <w:szCs w:val="20"/>
              </w:rPr>
              <w:t>Percentage of PNS to Total Teacher</w:t>
            </w:r>
          </w:p>
        </w:tc>
        <w:tc>
          <w:tcPr>
            <w:tcW w:w="543" w:type="dxa"/>
            <w:vAlign w:val="center"/>
          </w:tcPr>
          <w:p w:rsidR="00AE0FA5" w:rsidRPr="0067133D" w:rsidRDefault="00AE0FA5" w:rsidP="00AE0FA5">
            <w:pPr>
              <w:spacing w:before="0" w:after="0"/>
              <w:jc w:val="center"/>
              <w:rPr>
                <w:sz w:val="18"/>
                <w:szCs w:val="20"/>
              </w:rPr>
            </w:pPr>
            <w:r>
              <w:rPr>
                <w:sz w:val="18"/>
                <w:szCs w:val="20"/>
              </w:rPr>
              <w:t>29</w:t>
            </w:r>
            <w:r w:rsidRPr="0067133D">
              <w:rPr>
                <w:sz w:val="18"/>
                <w:szCs w:val="20"/>
              </w:rPr>
              <w:t>%</w:t>
            </w:r>
          </w:p>
        </w:tc>
        <w:tc>
          <w:tcPr>
            <w:tcW w:w="544" w:type="dxa"/>
            <w:vAlign w:val="center"/>
          </w:tcPr>
          <w:p w:rsidR="00AE0FA5" w:rsidRPr="0067133D" w:rsidRDefault="00AE0FA5" w:rsidP="00AE0FA5">
            <w:pPr>
              <w:spacing w:before="0" w:after="0"/>
              <w:jc w:val="center"/>
              <w:rPr>
                <w:sz w:val="18"/>
                <w:szCs w:val="20"/>
              </w:rPr>
            </w:pPr>
            <w:r>
              <w:rPr>
                <w:sz w:val="18"/>
                <w:szCs w:val="20"/>
              </w:rPr>
              <w:t>42%</w:t>
            </w:r>
          </w:p>
        </w:tc>
        <w:tc>
          <w:tcPr>
            <w:tcW w:w="548" w:type="dxa"/>
            <w:vAlign w:val="center"/>
          </w:tcPr>
          <w:p w:rsidR="00AE0FA5" w:rsidRPr="0067133D" w:rsidRDefault="00AE0FA5" w:rsidP="00AE0FA5">
            <w:pPr>
              <w:spacing w:before="0" w:after="0"/>
              <w:jc w:val="center"/>
              <w:rPr>
                <w:sz w:val="18"/>
                <w:szCs w:val="20"/>
              </w:rPr>
            </w:pPr>
            <w:r>
              <w:rPr>
                <w:sz w:val="18"/>
                <w:szCs w:val="20"/>
              </w:rPr>
              <w:t>36%</w:t>
            </w:r>
          </w:p>
        </w:tc>
        <w:tc>
          <w:tcPr>
            <w:tcW w:w="544" w:type="dxa"/>
            <w:vAlign w:val="center"/>
          </w:tcPr>
          <w:p w:rsidR="00AE0FA5" w:rsidRPr="0067133D" w:rsidRDefault="00AE0FA5" w:rsidP="00AE0FA5">
            <w:pPr>
              <w:spacing w:before="0" w:after="0"/>
              <w:jc w:val="center"/>
              <w:rPr>
                <w:sz w:val="18"/>
                <w:szCs w:val="20"/>
              </w:rPr>
            </w:pPr>
            <w:r>
              <w:rPr>
                <w:sz w:val="18"/>
                <w:szCs w:val="20"/>
              </w:rPr>
              <w:t>26%</w:t>
            </w:r>
          </w:p>
        </w:tc>
        <w:tc>
          <w:tcPr>
            <w:tcW w:w="544" w:type="dxa"/>
            <w:vAlign w:val="center"/>
          </w:tcPr>
          <w:p w:rsidR="00AE0FA5" w:rsidRPr="0067133D" w:rsidRDefault="00AE0FA5" w:rsidP="00AE0FA5">
            <w:pPr>
              <w:spacing w:before="0" w:after="0"/>
              <w:jc w:val="center"/>
              <w:rPr>
                <w:sz w:val="18"/>
                <w:szCs w:val="20"/>
              </w:rPr>
            </w:pPr>
            <w:r>
              <w:rPr>
                <w:sz w:val="18"/>
                <w:szCs w:val="20"/>
              </w:rPr>
              <w:t>21%</w:t>
            </w:r>
          </w:p>
        </w:tc>
        <w:tc>
          <w:tcPr>
            <w:tcW w:w="544" w:type="dxa"/>
            <w:vAlign w:val="center"/>
          </w:tcPr>
          <w:p w:rsidR="00AE0FA5" w:rsidRPr="0067133D" w:rsidRDefault="00AE0FA5" w:rsidP="00AE0FA5">
            <w:pPr>
              <w:spacing w:before="0" w:after="0"/>
              <w:jc w:val="center"/>
              <w:rPr>
                <w:sz w:val="18"/>
                <w:szCs w:val="20"/>
              </w:rPr>
            </w:pPr>
            <w:r>
              <w:rPr>
                <w:sz w:val="18"/>
                <w:szCs w:val="20"/>
              </w:rPr>
              <w:t>23%</w:t>
            </w:r>
          </w:p>
        </w:tc>
        <w:tc>
          <w:tcPr>
            <w:tcW w:w="647" w:type="dxa"/>
            <w:gridSpan w:val="2"/>
            <w:vAlign w:val="center"/>
          </w:tcPr>
          <w:p w:rsidR="00AE0FA5" w:rsidRPr="0067133D" w:rsidRDefault="00AE0FA5" w:rsidP="00AE0FA5">
            <w:pPr>
              <w:spacing w:before="0" w:after="0"/>
              <w:jc w:val="center"/>
              <w:rPr>
                <w:sz w:val="18"/>
                <w:szCs w:val="20"/>
              </w:rPr>
            </w:pPr>
            <w:r w:rsidRPr="0067133D">
              <w:rPr>
                <w:sz w:val="18"/>
                <w:szCs w:val="20"/>
              </w:rPr>
              <w:t>27%</w:t>
            </w:r>
          </w:p>
        </w:tc>
        <w:tc>
          <w:tcPr>
            <w:tcW w:w="663" w:type="dxa"/>
            <w:vAlign w:val="center"/>
          </w:tcPr>
          <w:p w:rsidR="00AE0FA5" w:rsidRPr="0067133D" w:rsidRDefault="00AE0FA5" w:rsidP="00AE0FA5">
            <w:pPr>
              <w:spacing w:before="0" w:after="0"/>
              <w:jc w:val="center"/>
              <w:rPr>
                <w:sz w:val="18"/>
                <w:szCs w:val="20"/>
              </w:rPr>
            </w:pPr>
            <w:r>
              <w:rPr>
                <w:sz w:val="18"/>
                <w:szCs w:val="20"/>
              </w:rPr>
              <w:t>27%</w:t>
            </w:r>
          </w:p>
        </w:tc>
        <w:tc>
          <w:tcPr>
            <w:tcW w:w="631" w:type="dxa"/>
            <w:vAlign w:val="center"/>
          </w:tcPr>
          <w:p w:rsidR="00AE0FA5" w:rsidRPr="0067133D" w:rsidRDefault="00AE0FA5" w:rsidP="00AE0FA5">
            <w:pPr>
              <w:spacing w:before="0" w:after="0"/>
              <w:jc w:val="center"/>
              <w:rPr>
                <w:sz w:val="18"/>
                <w:szCs w:val="20"/>
              </w:rPr>
            </w:pPr>
            <w:r>
              <w:rPr>
                <w:sz w:val="18"/>
                <w:szCs w:val="20"/>
              </w:rPr>
              <w:t>27%</w:t>
            </w:r>
          </w:p>
        </w:tc>
      </w:tr>
      <w:tr w:rsidR="00AE0FA5" w:rsidRPr="00A008E8" w:rsidTr="00AE0FA5">
        <w:trPr>
          <w:trHeight w:val="375"/>
          <w:jc w:val="center"/>
        </w:trPr>
        <w:tc>
          <w:tcPr>
            <w:tcW w:w="3180" w:type="dxa"/>
            <w:vAlign w:val="center"/>
          </w:tcPr>
          <w:p w:rsidR="00AE0FA5" w:rsidRPr="0067133D" w:rsidRDefault="00AE0FA5" w:rsidP="00AE0FA5">
            <w:pPr>
              <w:spacing w:before="0" w:after="0"/>
              <w:jc w:val="left"/>
              <w:rPr>
                <w:sz w:val="18"/>
                <w:szCs w:val="20"/>
              </w:rPr>
            </w:pPr>
            <w:r w:rsidRPr="0067133D">
              <w:rPr>
                <w:sz w:val="18"/>
                <w:szCs w:val="20"/>
              </w:rPr>
              <w:t>Teachers per school (average)</w:t>
            </w:r>
          </w:p>
        </w:tc>
        <w:tc>
          <w:tcPr>
            <w:tcW w:w="1635" w:type="dxa"/>
            <w:gridSpan w:val="3"/>
            <w:vAlign w:val="center"/>
          </w:tcPr>
          <w:p w:rsidR="00AE0FA5" w:rsidRPr="0067133D" w:rsidRDefault="00AE0FA5" w:rsidP="00AE0FA5">
            <w:pPr>
              <w:spacing w:before="0" w:after="0"/>
              <w:jc w:val="center"/>
              <w:rPr>
                <w:sz w:val="18"/>
                <w:szCs w:val="20"/>
              </w:rPr>
            </w:pPr>
            <w:r w:rsidRPr="0067133D">
              <w:rPr>
                <w:sz w:val="18"/>
                <w:szCs w:val="20"/>
              </w:rPr>
              <w:t>13</w:t>
            </w:r>
          </w:p>
        </w:tc>
        <w:tc>
          <w:tcPr>
            <w:tcW w:w="1632" w:type="dxa"/>
            <w:gridSpan w:val="3"/>
            <w:vAlign w:val="center"/>
          </w:tcPr>
          <w:p w:rsidR="00AE0FA5" w:rsidRPr="0067133D" w:rsidRDefault="00AE0FA5" w:rsidP="00AE0FA5">
            <w:pPr>
              <w:spacing w:before="0" w:after="0"/>
              <w:jc w:val="center"/>
              <w:rPr>
                <w:sz w:val="18"/>
                <w:szCs w:val="20"/>
              </w:rPr>
            </w:pPr>
            <w:r w:rsidRPr="0067133D">
              <w:rPr>
                <w:sz w:val="18"/>
                <w:szCs w:val="20"/>
              </w:rPr>
              <w:t>11</w:t>
            </w:r>
          </w:p>
        </w:tc>
        <w:tc>
          <w:tcPr>
            <w:tcW w:w="1941" w:type="dxa"/>
            <w:gridSpan w:val="4"/>
            <w:vAlign w:val="center"/>
          </w:tcPr>
          <w:p w:rsidR="00AE0FA5" w:rsidRPr="0067133D" w:rsidRDefault="00AE0FA5" w:rsidP="00234400">
            <w:pPr>
              <w:spacing w:before="0" w:after="0"/>
              <w:jc w:val="center"/>
              <w:rPr>
                <w:sz w:val="18"/>
                <w:szCs w:val="20"/>
              </w:rPr>
            </w:pPr>
            <w:r w:rsidRPr="0067133D">
              <w:rPr>
                <w:sz w:val="18"/>
                <w:szCs w:val="20"/>
              </w:rPr>
              <w:t>1</w:t>
            </w:r>
            <w:r w:rsidR="00234400">
              <w:rPr>
                <w:sz w:val="18"/>
                <w:szCs w:val="20"/>
              </w:rPr>
              <w:t>2</w:t>
            </w:r>
          </w:p>
        </w:tc>
      </w:tr>
    </w:tbl>
    <w:p w:rsidR="00AE0FA5" w:rsidRDefault="00AE0FA5" w:rsidP="00AE0FA5">
      <w:pPr>
        <w:pStyle w:val="SourceNotes"/>
      </w:pPr>
      <w:r w:rsidRPr="00851EC7">
        <w:t xml:space="preserve">Source: </w:t>
      </w:r>
      <w:r>
        <w:t>EOPO 1 Evaluation Study Endline Survey</w:t>
      </w:r>
    </w:p>
    <w:bookmarkEnd w:id="37"/>
    <w:p w:rsidR="005C30EA" w:rsidRDefault="005C30EA" w:rsidP="005C30EA">
      <w:r>
        <w:lastRenderedPageBreak/>
        <w:t xml:space="preserve">The 2015 survey data confirm that the average number of teachers </w:t>
      </w:r>
      <w:r w:rsidR="00944318">
        <w:t xml:space="preserve">at </w:t>
      </w:r>
      <w:r>
        <w:t>EP-funded school</w:t>
      </w:r>
      <w:r w:rsidR="00944318">
        <w:t>s</w:t>
      </w:r>
      <w:r>
        <w:t xml:space="preserve"> (n=12) may be regarded as sufficient</w:t>
      </w:r>
      <w:r>
        <w:rPr>
          <w:rStyle w:val="FootnoteReference"/>
        </w:rPr>
        <w:footnoteReference w:id="29"/>
      </w:r>
      <w:r>
        <w:t>. This is an important indication of the willingness and ability of district governments to meet a key obligation for new school construction approval. However, almost two thirds of teachers from the survey sample were contract teachers with comparatively little experience. This is an indication of the limited ability of districts to attract or assign more highly qualified and experienced staff to schools in rural, remote, and under-served regions.</w:t>
      </w:r>
    </w:p>
    <w:p w:rsidR="005C30EA" w:rsidRDefault="005C30EA" w:rsidP="005C30EA">
      <w:r>
        <w:t>Contract teachers are paid out of School Operational Assistance funds (</w:t>
      </w:r>
      <w:r w:rsidRPr="00510845">
        <w:rPr>
          <w:i/>
        </w:rPr>
        <w:t>Bantuan Operasi Sekolah</w:t>
      </w:r>
      <w:r>
        <w:t xml:space="preserve"> or BOS funds). According to regulations, such salary expenses are limited to 15% of total BOS funds received. However, on average, Cycle 1 schools spent 24% of BOS funds on contract teacher salaries. In some cases, the figure was as high as 60%. The implications of this pattern were magnified by the fact that </w:t>
      </w:r>
      <w:r w:rsidR="00944318">
        <w:t xml:space="preserve">about one half </w:t>
      </w:r>
      <w:r>
        <w:t>of the schools in the 2015 survey (n=51</w:t>
      </w:r>
      <w:r w:rsidR="00944318">
        <w:t>/100</w:t>
      </w:r>
      <w:r>
        <w:t>), BOS was the only source of routine funding (outside PNS teacher salary expenses). Only 27</w:t>
      </w:r>
      <w:r w:rsidR="00944318">
        <w:t xml:space="preserve"> of the sampled</w:t>
      </w:r>
      <w:r>
        <w:t xml:space="preserve"> schools received any funding support from the district (outside salary expenses for PNS teachers</w:t>
      </w:r>
      <w:r>
        <w:rPr>
          <w:rStyle w:val="FootnoteReference"/>
        </w:rPr>
        <w:footnoteReference w:id="30"/>
      </w:r>
      <w:r>
        <w:t xml:space="preserve">). </w:t>
      </w:r>
    </w:p>
    <w:p w:rsidR="005C30EA" w:rsidRDefault="005C30EA" w:rsidP="005C30EA">
      <w:r>
        <w:t xml:space="preserve">The above figures have implications for the long-term impact of schools as viable entities and the extent to which they contribute to Goal 2 of the EP, i.e. the improvement of education quality. </w:t>
      </w:r>
      <w:r w:rsidR="005A4ADB">
        <w:t xml:space="preserve">High utilisation of </w:t>
      </w:r>
      <w:r>
        <w:t xml:space="preserve">BOS </w:t>
      </w:r>
      <w:r w:rsidR="005A4ADB">
        <w:t>funds for</w:t>
      </w:r>
      <w:r>
        <w:t xml:space="preserve"> salaries</w:t>
      </w:r>
      <w:r w:rsidR="005A4ADB">
        <w:t xml:space="preserve"> consequently</w:t>
      </w:r>
      <w:r>
        <w:t xml:space="preserve"> limit</w:t>
      </w:r>
      <w:r w:rsidR="005A4ADB">
        <w:t>s</w:t>
      </w:r>
      <w:r>
        <w:t xml:space="preserve"> </w:t>
      </w:r>
      <w:r w:rsidR="005A4ADB">
        <w:t>the funds</w:t>
      </w:r>
      <w:r>
        <w:t xml:space="preserve"> available for the upkeep and development of facilities. In turn, a high proportion of young contract teachers tends to </w:t>
      </w:r>
      <w:r w:rsidR="005A4ADB">
        <w:t>correspond</w:t>
      </w:r>
      <w:r>
        <w:t xml:space="preserve"> </w:t>
      </w:r>
      <w:r w:rsidR="005A4ADB">
        <w:t xml:space="preserve">to </w:t>
      </w:r>
      <w:r>
        <w:t>low levels of experience. This has implications for enrolment numbers and levels of community support in general</w:t>
      </w:r>
      <w:r>
        <w:rPr>
          <w:rStyle w:val="FootnoteReference"/>
        </w:rPr>
        <w:footnoteReference w:id="31"/>
      </w:r>
      <w:r w:rsidR="00944318">
        <w:t>.</w:t>
      </w:r>
      <w:r>
        <w:t xml:space="preserve"> The net result can be ‘subsistence’ schools that continue to operate, but at a level far below their intended potential. </w:t>
      </w:r>
    </w:p>
    <w:p w:rsidR="005C30EA" w:rsidRDefault="005C30EA" w:rsidP="005C30EA">
      <w:r>
        <w:t xml:space="preserve">In 2014, POM’s concerns about the long-term resourcing of C1 schools were ‘tentative’ due to data limitations. </w:t>
      </w:r>
      <w:r w:rsidR="005A4ADB">
        <w:t xml:space="preserve">To the extent that the </w:t>
      </w:r>
      <w:r>
        <w:t xml:space="preserve">2015 </w:t>
      </w:r>
      <w:r w:rsidRPr="00864C57">
        <w:rPr>
          <w:i/>
        </w:rPr>
        <w:t>EOPO 1 Endline Evaluation Study</w:t>
      </w:r>
      <w:r>
        <w:t xml:space="preserve"> data </w:t>
      </w:r>
      <w:r w:rsidR="005A4ADB">
        <w:t xml:space="preserve">are able to </w:t>
      </w:r>
      <w:r>
        <w:t xml:space="preserve">address this limitation, the conclusion is that those same concerns are now ‘definite’. This assessment simply brings the status of EP-funded schools into line with well-documented patterns of poor teacher distribution in rural, remote, and underserved regions. As of 2015, the construction-based approach has not been able to surmount the systemic constraints posed by teacher distribution issues and the uneven capacity or willingness of districts to adequately resource new schools. </w:t>
      </w:r>
    </w:p>
    <w:p w:rsidR="00B33BC8" w:rsidRDefault="00B33BC8" w:rsidP="00775568">
      <w:pPr>
        <w:pStyle w:val="Heading3"/>
      </w:pPr>
      <w:r w:rsidRPr="00851EC7">
        <w:t>Sustainability</w:t>
      </w:r>
    </w:p>
    <w:p w:rsidR="005C30EA" w:rsidRPr="00851EC7" w:rsidRDefault="00944318" w:rsidP="005C30EA">
      <w:pPr>
        <w:spacing w:after="160"/>
      </w:pPr>
      <w:r>
        <w:t>POM anticipates that program benefits at the systems level will be sustained after the cessation of GoA support</w:t>
      </w:r>
      <w:r w:rsidR="005C30EA">
        <w:t>. This is an improvement upon the somewhat cautious view forwarded in the 2014 APPR, in which it was noted that firm GoI commitments were lacking. In 2015, GoI has signalled the following:</w:t>
      </w:r>
    </w:p>
    <w:p w:rsidR="005C30EA" w:rsidRPr="00851EC7" w:rsidRDefault="005C30EA" w:rsidP="00B14021">
      <w:pPr>
        <w:pStyle w:val="ListParagraph"/>
        <w:numPr>
          <w:ilvl w:val="0"/>
          <w:numId w:val="20"/>
        </w:numPr>
      </w:pPr>
      <w:r>
        <w:t xml:space="preserve">The Field </w:t>
      </w:r>
      <w:r w:rsidR="005A4ADB">
        <w:t>M</w:t>
      </w:r>
      <w:r>
        <w:t>onitor (FM) system is</w:t>
      </w:r>
      <w:r w:rsidRPr="00851EC7">
        <w:t xml:space="preserve"> </w:t>
      </w:r>
      <w:r>
        <w:t xml:space="preserve">still </w:t>
      </w:r>
      <w:r w:rsidRPr="00851EC7">
        <w:t>unlikely t</w:t>
      </w:r>
      <w:r>
        <w:t xml:space="preserve">o be carried forward in its entirety by GoI. However, some methods and instruments from this program are being transitioned to new </w:t>
      </w:r>
      <w:r>
        <w:lastRenderedPageBreak/>
        <w:t>out-sourced entities known as School Construction Consultants (</w:t>
      </w:r>
      <w:r w:rsidRPr="00B51E32">
        <w:rPr>
          <w:i/>
        </w:rPr>
        <w:t>Konsultan Pembangunan Sekolah</w:t>
      </w:r>
      <w:r>
        <w:t xml:space="preserve"> or </w:t>
      </w:r>
      <w:r w:rsidRPr="00B51E32">
        <w:rPr>
          <w:i/>
        </w:rPr>
        <w:t>KPS</w:t>
      </w:r>
      <w:r>
        <w:t>). KPS will have a similar mandate to that of FM, albeit with lower level engagement.</w:t>
      </w:r>
      <w:r w:rsidRPr="00851EC7">
        <w:t xml:space="preserve"> </w:t>
      </w:r>
    </w:p>
    <w:p w:rsidR="005C30EA" w:rsidRPr="00851EC7" w:rsidRDefault="005C30EA" w:rsidP="00B14021">
      <w:pPr>
        <w:pStyle w:val="ListParagraph"/>
        <w:numPr>
          <w:ilvl w:val="0"/>
          <w:numId w:val="20"/>
        </w:numPr>
      </w:pPr>
      <w:r>
        <w:t>School</w:t>
      </w:r>
      <w:r w:rsidRPr="00851EC7">
        <w:t xml:space="preserve"> construction manuals, guid</w:t>
      </w:r>
      <w:r>
        <w:t>elines and training modules</w:t>
      </w:r>
      <w:r w:rsidRPr="00851EC7">
        <w:t xml:space="preserve"> (including </w:t>
      </w:r>
      <w:r>
        <w:t>audio</w:t>
      </w:r>
      <w:r w:rsidR="00944318">
        <w:t>-</w:t>
      </w:r>
      <w:r>
        <w:t>visual versions</w:t>
      </w:r>
      <w:r w:rsidRPr="00851EC7">
        <w:t xml:space="preserve">) will be </w:t>
      </w:r>
      <w:r>
        <w:t xml:space="preserve">adopted and </w:t>
      </w:r>
      <w:r w:rsidR="00944318">
        <w:t>‘</w:t>
      </w:r>
      <w:r w:rsidR="00E748FF">
        <w:t xml:space="preserve">generalised’ </w:t>
      </w:r>
      <w:r w:rsidR="00944318">
        <w:t xml:space="preserve">so that </w:t>
      </w:r>
      <w:r>
        <w:t>the materials are relevant for all levels of school construction (i.e. not JSS specific). The Director General of Basic and Secondary Education has expressed a firm commitment to establishing the materials as part of the Directorate’s regulatory framework.</w:t>
      </w:r>
    </w:p>
    <w:p w:rsidR="005C30EA" w:rsidRDefault="005C30EA" w:rsidP="00B14021">
      <w:pPr>
        <w:pStyle w:val="ListParagraph"/>
        <w:numPr>
          <w:ilvl w:val="0"/>
          <w:numId w:val="20"/>
        </w:numPr>
      </w:pPr>
      <w:r w:rsidRPr="00851EC7">
        <w:t xml:space="preserve">The site selection procedures </w:t>
      </w:r>
      <w:r>
        <w:t>are to be transformed into a set of generic guidelines that will be provided to</w:t>
      </w:r>
      <w:r w:rsidR="00944318">
        <w:t>:</w:t>
      </w:r>
      <w:r>
        <w:t xml:space="preserve"> (a) the MoEC site selection committee in order to guide the verification and selection process, and</w:t>
      </w:r>
      <w:r w:rsidR="00944318">
        <w:t>;</w:t>
      </w:r>
      <w:r>
        <w:t xml:space="preserve"> (b) District Education Offices in order to assist them in preparing better proposal</w:t>
      </w:r>
      <w:r w:rsidR="005A4ADB">
        <w:t>s</w:t>
      </w:r>
      <w:r>
        <w:t xml:space="preserve">. Once finalised, the guidelines will also be considered as part of </w:t>
      </w:r>
      <w:r w:rsidR="005A4ADB">
        <w:t xml:space="preserve">the regulatory framework of the </w:t>
      </w:r>
      <w:r>
        <w:t xml:space="preserve">Directorate General of Basic and Secondary Education. At a minimum, the Directorate of JSE will continue to use the current </w:t>
      </w:r>
      <w:r w:rsidR="00944318">
        <w:t xml:space="preserve">EP </w:t>
      </w:r>
      <w:r>
        <w:t>SSQ site selection guidelines for 2017 construction activities.</w:t>
      </w:r>
    </w:p>
    <w:p w:rsidR="005C30EA" w:rsidRDefault="005C30EA" w:rsidP="00B14021">
      <w:pPr>
        <w:pStyle w:val="ListParagraph"/>
        <w:numPr>
          <w:ilvl w:val="0"/>
          <w:numId w:val="20"/>
        </w:numPr>
      </w:pPr>
      <w:r>
        <w:t>The extent to which</w:t>
      </w:r>
      <w:r w:rsidRPr="00851EC7">
        <w:t xml:space="preserve"> the Complaints Handling System</w:t>
      </w:r>
      <w:r>
        <w:t xml:space="preserve"> (CHS) will be adopted is limited by the fact that MoEC already has a</w:t>
      </w:r>
      <w:r w:rsidR="005A4ADB">
        <w:t>n</w:t>
      </w:r>
      <w:r>
        <w:t xml:space="preserve"> existing system in place. MoEC’s stated commitments are limited to continuing the best practices of the CHS and assuring that staff will be assigned to a complaints handling role for future construction activities.</w:t>
      </w:r>
    </w:p>
    <w:p w:rsidR="005C30EA" w:rsidRDefault="005C30EA" w:rsidP="005C30EA">
      <w:pPr>
        <w:spacing w:after="160"/>
      </w:pPr>
      <w:r>
        <w:t>The sustainability of new schools is linked to the ability of a school to grow. For principals and parents, growth in student numbers is a key index of quality. A failure to grow has a negative impact upon reputation and limits the accumulation of funds (e.g. the size and number of annual parental contributions) that can be used to ‘grow’ a school (e.g. hiring quality teachers, procuring new books and teaching aids).</w:t>
      </w:r>
    </w:p>
    <w:p w:rsidR="005C30EA" w:rsidRDefault="005C30EA" w:rsidP="005C30EA">
      <w:pPr>
        <w:spacing w:after="160"/>
      </w:pPr>
      <w:r>
        <w:t>EP schools show a generally positive</w:t>
      </w:r>
      <w:r w:rsidR="00D86DC7">
        <w:t xml:space="preserve"> growth</w:t>
      </w:r>
      <w:r>
        <w:t xml:space="preserve"> trend as grade levels have opened up (see </w:t>
      </w:r>
      <w:r w:rsidR="00290662">
        <w:t>Figure 2</w:t>
      </w:r>
      <w:r>
        <w:t xml:space="preserve">). However, upon entering the third year of operation approximately one fifth of sampled EP schools in </w:t>
      </w:r>
      <w:r w:rsidR="00D86DC7">
        <w:t xml:space="preserve">the </w:t>
      </w:r>
      <w:r w:rsidRPr="00864C57">
        <w:rPr>
          <w:i/>
        </w:rPr>
        <w:t>EOPO 1 Endline Evaluation Study</w:t>
      </w:r>
      <w:r>
        <w:t xml:space="preserve"> had fewer than 12 children per class. Four schools had fewer than five children per class. Such statistics are expected of schools that were located in remote areas where technically ‘inefficient’ schools are the price of providing access to JSE</w:t>
      </w:r>
      <w:r>
        <w:rPr>
          <w:rStyle w:val="FootnoteReference"/>
        </w:rPr>
        <w:footnoteReference w:id="32"/>
      </w:r>
      <w:r>
        <w:t xml:space="preserve">. </w:t>
      </w:r>
      <w:r w:rsidR="00D86DC7">
        <w:t>However, n</w:t>
      </w:r>
      <w:r>
        <w:t xml:space="preserve">ot all schools were in this </w:t>
      </w:r>
      <w:r w:rsidR="00D86DC7">
        <w:t>category</w:t>
      </w:r>
      <w:r>
        <w:t xml:space="preserve">, with six USB having very small class sizes that indicated </w:t>
      </w:r>
      <w:r w:rsidR="005A4ADB">
        <w:t xml:space="preserve">that </w:t>
      </w:r>
      <w:r>
        <w:t>they were operating well</w:t>
      </w:r>
      <w:r w:rsidR="005A4ADB">
        <w:t xml:space="preserve"> </w:t>
      </w:r>
      <w:r>
        <w:t xml:space="preserve">below capacity. While this is concerning from an efficiency perspective, </w:t>
      </w:r>
      <w:r w:rsidR="005A4ADB">
        <w:t xml:space="preserve">a </w:t>
      </w:r>
      <w:r>
        <w:t xml:space="preserve">greater worry is whether a USB with less than five children per class (n = 3) can actually be sustained over the long term. </w:t>
      </w:r>
    </w:p>
    <w:p w:rsidR="00D86DC7" w:rsidRDefault="00D86DC7" w:rsidP="00D86DC7">
      <w:pPr>
        <w:pStyle w:val="Caption-Figure"/>
      </w:pPr>
      <w:bookmarkStart w:id="38" w:name="_Toc448145927"/>
      <w:r>
        <w:lastRenderedPageBreak/>
        <w:t xml:space="preserve">Figure </w:t>
      </w:r>
      <w:r>
        <w:fldChar w:fldCharType="begin"/>
      </w:r>
      <w:r>
        <w:instrText xml:space="preserve"> SEQ Figure \* ARABIC </w:instrText>
      </w:r>
      <w:r>
        <w:fldChar w:fldCharType="separate"/>
      </w:r>
      <w:r w:rsidR="00693E96">
        <w:rPr>
          <w:noProof/>
        </w:rPr>
        <w:t>2</w:t>
      </w:r>
      <w:r>
        <w:fldChar w:fldCharType="end"/>
      </w:r>
      <w:r>
        <w:t>:</w:t>
      </w:r>
      <w:r w:rsidRPr="005C30EA">
        <w:t xml:space="preserve"> </w:t>
      </w:r>
      <w:r>
        <w:t>Students/class over time</w:t>
      </w:r>
      <w:bookmarkEnd w:id="38"/>
    </w:p>
    <w:p w:rsidR="00D86DC7" w:rsidRDefault="00D86DC7" w:rsidP="00D86DC7">
      <w:r>
        <w:rPr>
          <w:noProof/>
          <w:lang w:eastAsia="en-AU"/>
        </w:rPr>
        <mc:AlternateContent>
          <mc:Choice Requires="wpg">
            <w:drawing>
              <wp:inline distT="0" distB="0" distL="0" distR="0" wp14:anchorId="679BA53F" wp14:editId="591F5E31">
                <wp:extent cx="5610908" cy="3057525"/>
                <wp:effectExtent l="0" t="0" r="8890" b="9525"/>
                <wp:docPr id="12" name="Group 12"/>
                <wp:cNvGraphicFramePr/>
                <a:graphic xmlns:a="http://schemas.openxmlformats.org/drawingml/2006/main">
                  <a:graphicData uri="http://schemas.microsoft.com/office/word/2010/wordprocessingGroup">
                    <wpg:wgp>
                      <wpg:cNvGrpSpPr/>
                      <wpg:grpSpPr>
                        <a:xfrm>
                          <a:off x="0" y="0"/>
                          <a:ext cx="5610908" cy="3057525"/>
                          <a:chOff x="0" y="0"/>
                          <a:chExt cx="8533496" cy="5028625"/>
                        </a:xfrm>
                      </wpg:grpSpPr>
                      <wpg:grpSp>
                        <wpg:cNvPr id="16" name="Group 3"/>
                        <wpg:cNvGrpSpPr/>
                        <wpg:grpSpPr>
                          <a:xfrm>
                            <a:off x="0" y="0"/>
                            <a:ext cx="8533496" cy="4032448"/>
                            <a:chOff x="0" y="0"/>
                            <a:chExt cx="6591300" cy="3114676"/>
                          </a:xfrm>
                        </wpg:grpSpPr>
                        <wpg:graphicFrame>
                          <wpg:cNvPr id="17" name="Chart 17"/>
                          <wpg:cNvFrPr/>
                          <wpg:xfrm>
                            <a:off x="0" y="0"/>
                            <a:ext cx="3267075" cy="3114676"/>
                          </wpg:xfrm>
                          <a:graphic>
                            <a:graphicData uri="http://schemas.openxmlformats.org/drawingml/2006/chart">
                              <c:chart xmlns:c="http://schemas.openxmlformats.org/drawingml/2006/chart" xmlns:r="http://schemas.openxmlformats.org/officeDocument/2006/relationships" r:id="rId28"/>
                            </a:graphicData>
                          </a:graphic>
                        </wpg:graphicFrame>
                        <wpg:graphicFrame>
                          <wpg:cNvPr id="21" name="Chart 21"/>
                          <wpg:cNvFrPr/>
                          <wpg:xfrm>
                            <a:off x="3324225" y="0"/>
                            <a:ext cx="3267075" cy="3114676"/>
                          </wpg:xfrm>
                          <a:graphic>
                            <a:graphicData uri="http://schemas.openxmlformats.org/drawingml/2006/chart">
                              <c:chart xmlns:c="http://schemas.openxmlformats.org/drawingml/2006/chart" xmlns:r="http://schemas.openxmlformats.org/officeDocument/2006/relationships" r:id="rId29"/>
                            </a:graphicData>
                          </a:graphic>
                        </wpg:graphicFrame>
                      </wpg:grpSp>
                      <pic:pic xmlns:pic="http://schemas.openxmlformats.org/drawingml/2006/picture">
                        <pic:nvPicPr>
                          <pic:cNvPr id="22" name="table"/>
                          <pic:cNvPicPr>
                            <a:picLocks noChangeAspect="1"/>
                          </pic:cNvPicPr>
                        </pic:nvPicPr>
                        <pic:blipFill>
                          <a:blip r:embed="rId30"/>
                          <a:stretch>
                            <a:fillRect/>
                          </a:stretch>
                        </pic:blipFill>
                        <pic:spPr>
                          <a:xfrm>
                            <a:off x="1755937" y="4126667"/>
                            <a:ext cx="5313385" cy="901958"/>
                          </a:xfrm>
                          <a:prstGeom prst="rect">
                            <a:avLst/>
                          </a:prstGeom>
                        </pic:spPr>
                      </pic:pic>
                    </wpg:wgp>
                  </a:graphicData>
                </a:graphic>
              </wp:inline>
            </w:drawing>
          </mc:Choice>
          <mc:Fallback>
            <w:pict>
              <v:group id="Group 12" o:spid="_x0000_s1026" style="width:441.8pt;height:240.75pt;mso-position-horizontal-relative:char;mso-position-vertical-relative:line" coordsize="85334,50286" o:gfxdata="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">
                <v:group id="Group 3" o:spid="_x0000_s1027" style="position:absolute;width:85334;height:40324" coordsize="65913,31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Chart 17" o:spid="_x0000_s1028" type="#_x0000_t75" style="position:absolute;width:32654;height:311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">
                    <v:imagedata r:id="rId31" o:title=""/>
                    <o:lock v:ext="edit" aspectratio="f"/>
                  </v:shape>
                  <v:shape id="Chart 21" o:spid="_x0000_s1029" type="#_x0000_t75" style="position:absolute;left:33227;width:32655;height:311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">
                    <v:imagedata r:id="rId32" o:title=""/>
                    <o:lock v:ext="edit" aspectratio="f"/>
                  </v:shape>
                </v:group>
                <v:shape id="table" o:spid="_x0000_s1030" type="#_x0000_t75" style="position:absolute;left:17559;top:41266;width:53134;height:9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J1B7EAAAA2wAAAA8AAABkcnMvZG93bnJldi54bWxEj8FqwzAQRO+F/oPYQm+NHEFS40YJobS0&#10;OeRgpx+wWBvLxFq5lhK7fx8FAj0OM/OGWW0m14kLDaH1rGE+y0AQ19603Gj4OXy+5CBCRDbYeSYN&#10;fxRgs358WGFh/MglXarYiAThUKAGG2NfSBlqSw7DzPfEyTv6wWFMcmikGXBMcNdJlWVL6bDltGCx&#10;p3dL9ak6Ow1yWy7OSvmP0r4udvPxN8f9V67189O0fQMRaYr/4Xv722hQCm5f0g+Q6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J1B7EAAAA2wAAAA8AAAAAAAAAAAAAAAAA&#10;nwIAAGRycy9kb3ducmV2LnhtbFBLBQYAAAAABAAEAPcAAACQAwAAAAA=&#10;">
                  <v:imagedata r:id="rId33" o:title=""/>
                  <v:path arrowok="t"/>
                </v:shape>
                <w10:anchorlock/>
              </v:group>
            </w:pict>
          </mc:Fallback>
        </mc:AlternateContent>
      </w:r>
    </w:p>
    <w:p w:rsidR="00D86DC7" w:rsidRDefault="00D86DC7" w:rsidP="00D86DC7">
      <w:pPr>
        <w:pStyle w:val="Source"/>
      </w:pPr>
      <w:r w:rsidRPr="00851EC7">
        <w:t xml:space="preserve">Source: </w:t>
      </w:r>
      <w:r w:rsidRPr="00864C57">
        <w:rPr>
          <w:i/>
        </w:rPr>
        <w:t>EOPO 1 Evaluation Study Endline Survey</w:t>
      </w:r>
    </w:p>
    <w:p w:rsidR="005C30EA" w:rsidRPr="00546924" w:rsidRDefault="005C30EA" w:rsidP="005C30EA">
      <w:r>
        <w:t xml:space="preserve">The extent to which EP-funded schools will continue to support improvements in JSE GER, particularly in remote, rural, and under-served regions is limited. All indications are that enrolments will plateau within a few years </w:t>
      </w:r>
      <w:r w:rsidR="00D86DC7">
        <w:t>of school completion</w:t>
      </w:r>
      <w:r>
        <w:t xml:space="preserve"> as supply-side solutions </w:t>
      </w:r>
      <w:r w:rsidR="003E724C">
        <w:t>reach their limit</w:t>
      </w:r>
      <w:r>
        <w:rPr>
          <w:rStyle w:val="FootnoteReference"/>
        </w:rPr>
        <w:footnoteReference w:id="33"/>
      </w:r>
      <w:r>
        <w:t xml:space="preserve">. This may be considered a satisfactory outcome in itself, </w:t>
      </w:r>
      <w:r w:rsidR="005A4ADB">
        <w:t xml:space="preserve">since </w:t>
      </w:r>
      <w:r>
        <w:t>the program targeted regions that offer comparatively low rates of growth in school age children. However, there are two important</w:t>
      </w:r>
      <w:r w:rsidR="005A4ADB">
        <w:t xml:space="preserve"> </w:t>
      </w:r>
      <w:r>
        <w:t xml:space="preserve">contextual factors </w:t>
      </w:r>
      <w:r w:rsidR="005A4ADB">
        <w:t xml:space="preserve">that </w:t>
      </w:r>
      <w:r>
        <w:t>may affect the sustainability of existing enrolment numbers in EP schools:</w:t>
      </w:r>
    </w:p>
    <w:p w:rsidR="005C30EA" w:rsidRDefault="005C30EA" w:rsidP="00B14021">
      <w:pPr>
        <w:pStyle w:val="ListParagraph"/>
        <w:numPr>
          <w:ilvl w:val="0"/>
          <w:numId w:val="21"/>
        </w:numPr>
      </w:pPr>
      <w:r>
        <w:t>The emergence of competing schools in the JSE sector.</w:t>
      </w:r>
    </w:p>
    <w:p w:rsidR="005C30EA" w:rsidRDefault="005C30EA" w:rsidP="00B14021">
      <w:pPr>
        <w:pStyle w:val="ListParagraph"/>
        <w:numPr>
          <w:ilvl w:val="0"/>
          <w:numId w:val="21"/>
        </w:numPr>
      </w:pPr>
      <w:r>
        <w:t>The implications that the design of an expanded 12 year schooling system has upon enrolment patterns in EP-funded school jurisdictions.</w:t>
      </w:r>
    </w:p>
    <w:p w:rsidR="005C30EA" w:rsidRDefault="005C30EA" w:rsidP="005C30EA">
      <w:r w:rsidRPr="007F1AF5">
        <w:t>The EP has little no control over these two important variables. The latter point does, however, speak to the need for an integrated approach in the construction of Senior Se</w:t>
      </w:r>
      <w:r>
        <w:t>condary Schools in order that existing investments are maximised.</w:t>
      </w:r>
      <w:r w:rsidR="005A4ADB">
        <w:t xml:space="preserve"> </w:t>
      </w:r>
      <w:r>
        <w:t xml:space="preserve">One of measures to estimate sustainability of EP schools is to see how schools have grown over the years since first being established. </w:t>
      </w:r>
    </w:p>
    <w:p w:rsidR="00B33BC8" w:rsidRPr="00851EC7" w:rsidRDefault="009F3B13" w:rsidP="00775568">
      <w:pPr>
        <w:pStyle w:val="Heading2"/>
      </w:pPr>
      <w:r>
        <w:t>Summary and recommendations</w:t>
      </w:r>
      <w:r w:rsidR="00B33BC8" w:rsidRPr="00851EC7">
        <w:t xml:space="preserve"> </w:t>
      </w:r>
    </w:p>
    <w:p w:rsidR="00B33BC8" w:rsidRPr="00851EC7" w:rsidRDefault="00B33BC8" w:rsidP="00775568">
      <w:r w:rsidRPr="00851EC7">
        <w:t>A summary table of component performance by DAC criteria is presented in</w:t>
      </w:r>
      <w:r w:rsidR="0000550E">
        <w:t xml:space="preserve"> </w:t>
      </w:r>
      <w:r w:rsidR="008C7BE3">
        <w:fldChar w:fldCharType="begin"/>
      </w:r>
      <w:r w:rsidR="008C7BE3">
        <w:instrText xml:space="preserve"> REF _Ref447781940 \h </w:instrText>
      </w:r>
      <w:r w:rsidR="008C7BE3">
        <w:fldChar w:fldCharType="separate"/>
      </w:r>
      <w:r w:rsidR="00EC36D2">
        <w:t xml:space="preserve">Table </w:t>
      </w:r>
      <w:r w:rsidR="00EC36D2">
        <w:rPr>
          <w:noProof/>
        </w:rPr>
        <w:t>5</w:t>
      </w:r>
      <w:r w:rsidR="008C7BE3">
        <w:fldChar w:fldCharType="end"/>
      </w:r>
      <w:r w:rsidRPr="00851EC7">
        <w:t xml:space="preserve">. The rating scale </w:t>
      </w:r>
      <w:r w:rsidR="00D86DC7">
        <w:t xml:space="preserve">reflects the requirements of GoA’s Investment Quality Reporting (IQR) and the associated Aid </w:t>
      </w:r>
      <w:r w:rsidR="00D86DC7">
        <w:lastRenderedPageBreak/>
        <w:t>Quality Checks (AQCs), and it is consistent with that used in earlier APPRs</w:t>
      </w:r>
      <w:r w:rsidRPr="00851EC7">
        <w:t xml:space="preserve">. Recommendations for improvement and, in particular, on increasing the likelihood of achieving EOPO 1 are made in </w:t>
      </w:r>
      <w:r w:rsidR="008C7BE3" w:rsidRPr="002B6FDD">
        <w:fldChar w:fldCharType="begin"/>
      </w:r>
      <w:r w:rsidR="008C7BE3" w:rsidRPr="002B6FDD">
        <w:instrText xml:space="preserve"> REF _Ref447781949 \h </w:instrText>
      </w:r>
      <w:r w:rsidR="00D86DC7" w:rsidRPr="002B6FDD">
        <w:instrText xml:space="preserve"> \* MERGEFORMAT </w:instrText>
      </w:r>
      <w:r w:rsidR="008C7BE3" w:rsidRPr="002B6FDD">
        <w:fldChar w:fldCharType="separate"/>
      </w:r>
      <w:r w:rsidR="00EC36D2">
        <w:t xml:space="preserve">Table </w:t>
      </w:r>
      <w:r w:rsidR="00EC36D2">
        <w:rPr>
          <w:noProof/>
        </w:rPr>
        <w:t>6</w:t>
      </w:r>
      <w:r w:rsidR="008C7BE3" w:rsidRPr="002B6FDD">
        <w:fldChar w:fldCharType="end"/>
      </w:r>
      <w:r w:rsidRPr="00851EC7">
        <w:t xml:space="preserve"> below.</w:t>
      </w:r>
      <w:r w:rsidR="00BE4367" w:rsidRPr="00BE4367">
        <w:t xml:space="preserve"> </w:t>
      </w:r>
      <w:r w:rsidR="00BE4367">
        <w:t>I</w:t>
      </w:r>
      <w:r w:rsidR="00BE4367" w:rsidRPr="001A284F">
        <w:t>t is recognised that some recommendations relate to ongoing work and that considerable progress in actioning some of the recommendations</w:t>
      </w:r>
      <w:r w:rsidR="00BE4367">
        <w:t xml:space="preserve"> may already have been made.</w:t>
      </w:r>
    </w:p>
    <w:p w:rsidR="00B33BC8" w:rsidRPr="00851EC7" w:rsidRDefault="00B33BC8" w:rsidP="00775568"/>
    <w:p w:rsidR="00B33BC8" w:rsidRPr="00851EC7" w:rsidRDefault="00B33BC8" w:rsidP="00775568">
      <w:pPr>
        <w:sectPr w:rsidR="00B33BC8" w:rsidRPr="00851EC7" w:rsidSect="00B33BC8">
          <w:headerReference w:type="default" r:id="rId34"/>
          <w:type w:val="oddPage"/>
          <w:pgSz w:w="11909" w:h="16834" w:code="9"/>
          <w:pgMar w:top="1440" w:right="1440" w:bottom="1440" w:left="1440" w:header="432" w:footer="720" w:gutter="0"/>
          <w:cols w:space="720"/>
          <w:noEndnote/>
          <w:docGrid w:linePitch="360"/>
        </w:sectPr>
      </w:pPr>
    </w:p>
    <w:p w:rsidR="00B33BC8" w:rsidRPr="00851EC7" w:rsidRDefault="004D3EF0" w:rsidP="00775568">
      <w:pPr>
        <w:pStyle w:val="Caption-Table"/>
        <w:rPr>
          <w:lang w:val="en-AU"/>
        </w:rPr>
      </w:pPr>
      <w:bookmarkStart w:id="39" w:name="_Ref447781940"/>
      <w:bookmarkStart w:id="40" w:name="_Toc447623969"/>
      <w:bookmarkStart w:id="41" w:name="_Toc450131626"/>
      <w:r>
        <w:lastRenderedPageBreak/>
        <w:t xml:space="preserve">Table </w:t>
      </w:r>
      <w:r>
        <w:fldChar w:fldCharType="begin"/>
      </w:r>
      <w:r>
        <w:instrText xml:space="preserve"> SEQ Table \* ARABIC </w:instrText>
      </w:r>
      <w:r>
        <w:fldChar w:fldCharType="separate"/>
      </w:r>
      <w:r w:rsidR="00EC36D2">
        <w:rPr>
          <w:noProof/>
        </w:rPr>
        <w:t>5</w:t>
      </w:r>
      <w:r>
        <w:fldChar w:fldCharType="end"/>
      </w:r>
      <w:bookmarkEnd w:id="39"/>
      <w:r w:rsidR="00B33BC8" w:rsidRPr="00851EC7">
        <w:rPr>
          <w:lang w:val="en-AU"/>
        </w:rPr>
        <w:t>: Component 1 scorecard</w:t>
      </w:r>
      <w:bookmarkEnd w:id="40"/>
      <w:bookmarkEnd w:id="41"/>
    </w:p>
    <w:tbl>
      <w:tblPr>
        <w:tblStyle w:val="TableGrid15"/>
        <w:tblW w:w="0" w:type="auto"/>
        <w:jc w:val="center"/>
        <w:tblLook w:val="04A0" w:firstRow="1" w:lastRow="0" w:firstColumn="1" w:lastColumn="0" w:noHBand="0" w:noVBand="1"/>
      </w:tblPr>
      <w:tblGrid>
        <w:gridCol w:w="1486"/>
        <w:gridCol w:w="969"/>
        <w:gridCol w:w="969"/>
        <w:gridCol w:w="969"/>
        <w:gridCol w:w="4836"/>
        <w:gridCol w:w="4754"/>
      </w:tblGrid>
      <w:tr w:rsidR="00775568" w:rsidRPr="0077380B" w:rsidTr="00B51E32">
        <w:trPr>
          <w:trHeight w:val="434"/>
          <w:jc w:val="center"/>
        </w:trPr>
        <w:tc>
          <w:tcPr>
            <w:tcW w:w="1486" w:type="dxa"/>
            <w:shd w:val="clear" w:color="auto" w:fill="244061" w:themeFill="accent1" w:themeFillShade="80"/>
            <w:vAlign w:val="center"/>
          </w:tcPr>
          <w:p w:rsidR="00775568" w:rsidRPr="0069023F" w:rsidRDefault="00775568" w:rsidP="001D3402">
            <w:pPr>
              <w:jc w:val="center"/>
              <w:rPr>
                <w:b/>
                <w:sz w:val="20"/>
                <w:szCs w:val="20"/>
              </w:rPr>
            </w:pPr>
            <w:r w:rsidRPr="0069023F">
              <w:rPr>
                <w:b/>
                <w:sz w:val="20"/>
                <w:szCs w:val="20"/>
              </w:rPr>
              <w:t>DAC Criterion</w:t>
            </w:r>
          </w:p>
        </w:tc>
        <w:tc>
          <w:tcPr>
            <w:tcW w:w="969" w:type="dxa"/>
            <w:shd w:val="clear" w:color="auto" w:fill="244061" w:themeFill="accent1" w:themeFillShade="80"/>
            <w:vAlign w:val="center"/>
          </w:tcPr>
          <w:p w:rsidR="00775568" w:rsidRPr="0069023F" w:rsidRDefault="00775568" w:rsidP="001D3402">
            <w:pPr>
              <w:jc w:val="center"/>
              <w:rPr>
                <w:b/>
                <w:sz w:val="20"/>
                <w:szCs w:val="20"/>
              </w:rPr>
            </w:pPr>
            <w:r w:rsidRPr="0069023F">
              <w:rPr>
                <w:b/>
                <w:sz w:val="20"/>
                <w:szCs w:val="20"/>
              </w:rPr>
              <w:t>Score 2013</w:t>
            </w:r>
          </w:p>
        </w:tc>
        <w:tc>
          <w:tcPr>
            <w:tcW w:w="969" w:type="dxa"/>
            <w:shd w:val="clear" w:color="auto" w:fill="244061" w:themeFill="accent1" w:themeFillShade="80"/>
            <w:vAlign w:val="center"/>
          </w:tcPr>
          <w:p w:rsidR="00775568" w:rsidRPr="0069023F" w:rsidRDefault="00775568" w:rsidP="001D3402">
            <w:pPr>
              <w:jc w:val="center"/>
              <w:rPr>
                <w:b/>
                <w:sz w:val="20"/>
                <w:szCs w:val="20"/>
              </w:rPr>
            </w:pPr>
            <w:r w:rsidRPr="0069023F">
              <w:rPr>
                <w:b/>
                <w:sz w:val="20"/>
                <w:szCs w:val="20"/>
              </w:rPr>
              <w:t>Score 2014</w:t>
            </w:r>
          </w:p>
        </w:tc>
        <w:tc>
          <w:tcPr>
            <w:tcW w:w="969" w:type="dxa"/>
            <w:tcBorders>
              <w:bottom w:val="single" w:sz="4" w:space="0" w:color="auto"/>
            </w:tcBorders>
            <w:shd w:val="clear" w:color="auto" w:fill="244061" w:themeFill="accent1" w:themeFillShade="80"/>
            <w:vAlign w:val="center"/>
          </w:tcPr>
          <w:p w:rsidR="00775568" w:rsidRPr="0069023F" w:rsidRDefault="00775568" w:rsidP="001D3402">
            <w:pPr>
              <w:jc w:val="center"/>
              <w:rPr>
                <w:b/>
                <w:sz w:val="20"/>
                <w:szCs w:val="20"/>
              </w:rPr>
            </w:pPr>
            <w:r w:rsidRPr="0069023F">
              <w:rPr>
                <w:b/>
                <w:sz w:val="20"/>
                <w:szCs w:val="20"/>
              </w:rPr>
              <w:t>Score 2015</w:t>
            </w:r>
          </w:p>
        </w:tc>
        <w:tc>
          <w:tcPr>
            <w:tcW w:w="4836" w:type="dxa"/>
            <w:shd w:val="clear" w:color="auto" w:fill="244061" w:themeFill="accent1" w:themeFillShade="80"/>
            <w:vAlign w:val="center"/>
          </w:tcPr>
          <w:p w:rsidR="00775568" w:rsidRPr="0069023F" w:rsidRDefault="00775568" w:rsidP="001D3402">
            <w:pPr>
              <w:jc w:val="center"/>
              <w:rPr>
                <w:b/>
                <w:sz w:val="20"/>
                <w:szCs w:val="20"/>
              </w:rPr>
            </w:pPr>
            <w:r w:rsidRPr="0069023F">
              <w:rPr>
                <w:b/>
                <w:sz w:val="20"/>
                <w:szCs w:val="20"/>
              </w:rPr>
              <w:t>Justification</w:t>
            </w:r>
          </w:p>
        </w:tc>
        <w:tc>
          <w:tcPr>
            <w:tcW w:w="4754" w:type="dxa"/>
            <w:shd w:val="clear" w:color="auto" w:fill="244061" w:themeFill="accent1" w:themeFillShade="80"/>
            <w:vAlign w:val="center"/>
          </w:tcPr>
          <w:p w:rsidR="00775568" w:rsidRPr="0069023F" w:rsidRDefault="00775568" w:rsidP="001D3402">
            <w:pPr>
              <w:jc w:val="center"/>
              <w:rPr>
                <w:b/>
                <w:sz w:val="20"/>
                <w:szCs w:val="20"/>
              </w:rPr>
            </w:pPr>
            <w:r w:rsidRPr="0069023F">
              <w:rPr>
                <w:b/>
                <w:sz w:val="20"/>
                <w:szCs w:val="20"/>
              </w:rPr>
              <w:t>Comments</w:t>
            </w:r>
          </w:p>
        </w:tc>
      </w:tr>
      <w:tr w:rsidR="00775568" w:rsidRPr="0077380B" w:rsidTr="00D3070C">
        <w:trPr>
          <w:trHeight w:val="681"/>
          <w:jc w:val="center"/>
        </w:trPr>
        <w:tc>
          <w:tcPr>
            <w:tcW w:w="1486" w:type="dxa"/>
            <w:vAlign w:val="center"/>
          </w:tcPr>
          <w:p w:rsidR="00775568" w:rsidRPr="0069023F" w:rsidRDefault="00775568" w:rsidP="00775568">
            <w:pPr>
              <w:rPr>
                <w:sz w:val="20"/>
                <w:szCs w:val="20"/>
              </w:rPr>
            </w:pPr>
            <w:r w:rsidRPr="0069023F">
              <w:rPr>
                <w:sz w:val="20"/>
                <w:szCs w:val="20"/>
              </w:rPr>
              <w:t>Relevance</w:t>
            </w:r>
          </w:p>
        </w:tc>
        <w:tc>
          <w:tcPr>
            <w:tcW w:w="969" w:type="dxa"/>
            <w:tcBorders>
              <w:bottom w:val="single" w:sz="4" w:space="0" w:color="auto"/>
            </w:tcBorders>
            <w:shd w:val="clear" w:color="auto" w:fill="FFFF00"/>
            <w:vAlign w:val="center"/>
          </w:tcPr>
          <w:p w:rsidR="00775568" w:rsidRPr="0069023F" w:rsidRDefault="00775568" w:rsidP="00775568">
            <w:pPr>
              <w:jc w:val="center"/>
              <w:rPr>
                <w:sz w:val="20"/>
                <w:szCs w:val="20"/>
              </w:rPr>
            </w:pPr>
            <w:r w:rsidRPr="0069023F">
              <w:rPr>
                <w:sz w:val="20"/>
                <w:szCs w:val="20"/>
              </w:rPr>
              <w:t>4</w:t>
            </w:r>
          </w:p>
        </w:tc>
        <w:tc>
          <w:tcPr>
            <w:tcW w:w="969" w:type="dxa"/>
            <w:tcBorders>
              <w:bottom w:val="single" w:sz="4" w:space="0" w:color="auto"/>
            </w:tcBorders>
            <w:shd w:val="clear" w:color="auto" w:fill="FFC000"/>
            <w:vAlign w:val="center"/>
          </w:tcPr>
          <w:p w:rsidR="00775568" w:rsidRPr="0069023F" w:rsidRDefault="00775568" w:rsidP="00775568">
            <w:pPr>
              <w:jc w:val="center"/>
              <w:rPr>
                <w:sz w:val="20"/>
                <w:szCs w:val="20"/>
              </w:rPr>
            </w:pPr>
            <w:r w:rsidRPr="0069023F">
              <w:rPr>
                <w:sz w:val="20"/>
                <w:szCs w:val="20"/>
              </w:rPr>
              <w:t>3</w:t>
            </w:r>
          </w:p>
        </w:tc>
        <w:tc>
          <w:tcPr>
            <w:tcW w:w="969" w:type="dxa"/>
            <w:tcBorders>
              <w:bottom w:val="single" w:sz="4" w:space="0" w:color="auto"/>
            </w:tcBorders>
            <w:shd w:val="clear" w:color="auto" w:fill="FFC000"/>
            <w:vAlign w:val="center"/>
          </w:tcPr>
          <w:p w:rsidR="00775568" w:rsidRPr="0069023F" w:rsidRDefault="00D3070C" w:rsidP="00775568">
            <w:pPr>
              <w:jc w:val="center"/>
              <w:rPr>
                <w:sz w:val="20"/>
                <w:szCs w:val="20"/>
              </w:rPr>
            </w:pPr>
            <w:r w:rsidRPr="0069023F">
              <w:rPr>
                <w:sz w:val="20"/>
                <w:szCs w:val="20"/>
              </w:rPr>
              <w:t>3</w:t>
            </w:r>
          </w:p>
        </w:tc>
        <w:tc>
          <w:tcPr>
            <w:tcW w:w="4836" w:type="dxa"/>
            <w:shd w:val="clear" w:color="auto" w:fill="FFFFFF" w:themeFill="background1"/>
            <w:vAlign w:val="center"/>
          </w:tcPr>
          <w:p w:rsidR="00B51E32" w:rsidRPr="0069023F" w:rsidRDefault="00B51E32" w:rsidP="00B51E32">
            <w:pPr>
              <w:pStyle w:val="ScoreParagraph"/>
              <w:rPr>
                <w:sz w:val="20"/>
                <w:szCs w:val="20"/>
              </w:rPr>
            </w:pPr>
            <w:r w:rsidRPr="0069023F">
              <w:rPr>
                <w:sz w:val="20"/>
                <w:szCs w:val="20"/>
              </w:rPr>
              <w:t>By 2015, both GoA and GoI priorities had shifted from the issue</w:t>
            </w:r>
            <w:r w:rsidR="00D86DC7">
              <w:rPr>
                <w:sz w:val="20"/>
                <w:szCs w:val="20"/>
              </w:rPr>
              <w:t xml:space="preserve"> </w:t>
            </w:r>
            <w:r w:rsidRPr="0069023F">
              <w:rPr>
                <w:sz w:val="20"/>
                <w:szCs w:val="20"/>
              </w:rPr>
              <w:t xml:space="preserve">of access to that of quality improvement. GoA policy revisions signalled the decreasing relevance of WiPS and direct delivery modalities. </w:t>
            </w:r>
            <w:r w:rsidR="00E51227">
              <w:rPr>
                <w:sz w:val="20"/>
                <w:szCs w:val="20"/>
              </w:rPr>
              <w:t>Even so</w:t>
            </w:r>
            <w:r w:rsidRPr="0069023F">
              <w:rPr>
                <w:sz w:val="20"/>
                <w:szCs w:val="20"/>
              </w:rPr>
              <w:t>, both government</w:t>
            </w:r>
            <w:r w:rsidR="00D86DC7">
              <w:rPr>
                <w:sz w:val="20"/>
                <w:szCs w:val="20"/>
              </w:rPr>
              <w:t>s</w:t>
            </w:r>
            <w:r w:rsidRPr="0069023F">
              <w:rPr>
                <w:sz w:val="20"/>
                <w:szCs w:val="20"/>
              </w:rPr>
              <w:t xml:space="preserve"> continue to acknowledge the importance of access and participation.</w:t>
            </w:r>
          </w:p>
          <w:p w:rsidR="00775568" w:rsidRPr="0069023F" w:rsidRDefault="00B51E32" w:rsidP="00B51E32">
            <w:pPr>
              <w:pStyle w:val="ScoreParagraph"/>
              <w:rPr>
                <w:sz w:val="20"/>
                <w:szCs w:val="20"/>
              </w:rPr>
            </w:pPr>
            <w:r w:rsidRPr="0069023F">
              <w:rPr>
                <w:sz w:val="20"/>
                <w:szCs w:val="20"/>
              </w:rPr>
              <w:t xml:space="preserve">POM still considers the internal relevance of the program to be constrained by the absence of demand-side activities. The </w:t>
            </w:r>
            <w:r w:rsidRPr="0069023F">
              <w:rPr>
                <w:i/>
                <w:sz w:val="20"/>
                <w:szCs w:val="20"/>
              </w:rPr>
              <w:t xml:space="preserve">EOPO 1 Evaluation Study </w:t>
            </w:r>
            <w:r w:rsidRPr="0069023F">
              <w:rPr>
                <w:sz w:val="20"/>
                <w:szCs w:val="20"/>
              </w:rPr>
              <w:t>results showed the limited impact of supply solutions for key target groups (e.g. remote students).</w:t>
            </w:r>
          </w:p>
        </w:tc>
        <w:tc>
          <w:tcPr>
            <w:tcW w:w="4754" w:type="dxa"/>
            <w:shd w:val="clear" w:color="auto" w:fill="FFFFFF" w:themeFill="background1"/>
            <w:vAlign w:val="center"/>
          </w:tcPr>
          <w:p w:rsidR="00775568" w:rsidRPr="0069023F" w:rsidRDefault="00B51E32" w:rsidP="00D86DC7">
            <w:pPr>
              <w:pStyle w:val="ScoreParagraph"/>
              <w:rPr>
                <w:sz w:val="20"/>
                <w:szCs w:val="20"/>
              </w:rPr>
            </w:pPr>
            <w:r w:rsidRPr="0069023F">
              <w:rPr>
                <w:rFonts w:asciiTheme="minorHAnsi" w:hAnsiTheme="minorHAnsi"/>
                <w:sz w:val="20"/>
                <w:szCs w:val="20"/>
              </w:rPr>
              <w:t xml:space="preserve">As the final year of </w:t>
            </w:r>
            <w:r w:rsidR="00D86DC7">
              <w:rPr>
                <w:rFonts w:asciiTheme="minorHAnsi" w:hAnsiTheme="minorHAnsi"/>
                <w:sz w:val="20"/>
                <w:szCs w:val="20"/>
              </w:rPr>
              <w:t>a decade long</w:t>
            </w:r>
            <w:r w:rsidRPr="0069023F">
              <w:rPr>
                <w:rFonts w:asciiTheme="minorHAnsi" w:hAnsiTheme="minorHAnsi"/>
                <w:sz w:val="20"/>
                <w:szCs w:val="20"/>
              </w:rPr>
              <w:t xml:space="preserve"> investment </w:t>
            </w:r>
            <w:r w:rsidR="00D86DC7">
              <w:rPr>
                <w:rFonts w:asciiTheme="minorHAnsi" w:hAnsiTheme="minorHAnsi"/>
                <w:sz w:val="20"/>
                <w:szCs w:val="20"/>
              </w:rPr>
              <w:t>in</w:t>
            </w:r>
            <w:r w:rsidR="00D86DC7" w:rsidRPr="0069023F">
              <w:rPr>
                <w:rFonts w:asciiTheme="minorHAnsi" w:hAnsiTheme="minorHAnsi"/>
                <w:sz w:val="20"/>
                <w:szCs w:val="20"/>
              </w:rPr>
              <w:t xml:space="preserve"> </w:t>
            </w:r>
            <w:r w:rsidRPr="0069023F">
              <w:rPr>
                <w:rFonts w:asciiTheme="minorHAnsi" w:hAnsiTheme="minorHAnsi"/>
                <w:sz w:val="20"/>
                <w:szCs w:val="20"/>
              </w:rPr>
              <w:t xml:space="preserve">school construction (AIBEP and EP), </w:t>
            </w:r>
            <w:r w:rsidR="00D86DC7">
              <w:rPr>
                <w:rFonts w:asciiTheme="minorHAnsi" w:hAnsiTheme="minorHAnsi"/>
                <w:sz w:val="20"/>
                <w:szCs w:val="20"/>
              </w:rPr>
              <w:t xml:space="preserve">it is perhaps </w:t>
            </w:r>
            <w:r w:rsidRPr="0069023F">
              <w:rPr>
                <w:rFonts w:asciiTheme="minorHAnsi" w:hAnsiTheme="minorHAnsi"/>
                <w:sz w:val="20"/>
                <w:szCs w:val="20"/>
              </w:rPr>
              <w:t>somewhat inevitable to see a decline in relevance over time</w:t>
            </w:r>
            <w:r w:rsidR="00D86DC7">
              <w:rPr>
                <w:rFonts w:asciiTheme="minorHAnsi" w:hAnsiTheme="minorHAnsi"/>
                <w:sz w:val="20"/>
                <w:szCs w:val="20"/>
              </w:rPr>
              <w:t>.</w:t>
            </w:r>
          </w:p>
        </w:tc>
      </w:tr>
      <w:tr w:rsidR="00B51E32" w:rsidRPr="0077380B" w:rsidTr="00D3070C">
        <w:trPr>
          <w:trHeight w:val="681"/>
          <w:jc w:val="center"/>
        </w:trPr>
        <w:tc>
          <w:tcPr>
            <w:tcW w:w="1486" w:type="dxa"/>
            <w:vAlign w:val="center"/>
          </w:tcPr>
          <w:p w:rsidR="00B51E32" w:rsidRPr="0069023F" w:rsidRDefault="00B51E32" w:rsidP="00775568">
            <w:pPr>
              <w:rPr>
                <w:sz w:val="20"/>
                <w:szCs w:val="20"/>
              </w:rPr>
            </w:pPr>
            <w:r w:rsidRPr="0069023F">
              <w:rPr>
                <w:sz w:val="20"/>
                <w:szCs w:val="20"/>
              </w:rPr>
              <w:t>Efficiency</w:t>
            </w:r>
          </w:p>
        </w:tc>
        <w:tc>
          <w:tcPr>
            <w:tcW w:w="969" w:type="dxa"/>
            <w:shd w:val="clear" w:color="auto" w:fill="92D050"/>
            <w:vAlign w:val="center"/>
          </w:tcPr>
          <w:p w:rsidR="00B51E32" w:rsidRPr="0069023F" w:rsidRDefault="00B51E32" w:rsidP="00775568">
            <w:pPr>
              <w:jc w:val="center"/>
              <w:rPr>
                <w:sz w:val="20"/>
                <w:szCs w:val="20"/>
              </w:rPr>
            </w:pPr>
            <w:r w:rsidRPr="0069023F">
              <w:rPr>
                <w:sz w:val="20"/>
                <w:szCs w:val="20"/>
              </w:rPr>
              <w:t>5</w:t>
            </w:r>
          </w:p>
        </w:tc>
        <w:tc>
          <w:tcPr>
            <w:tcW w:w="969" w:type="dxa"/>
            <w:shd w:val="clear" w:color="auto" w:fill="00B050"/>
            <w:vAlign w:val="center"/>
          </w:tcPr>
          <w:p w:rsidR="00B51E32" w:rsidRPr="0069023F" w:rsidRDefault="00B51E32" w:rsidP="00775568">
            <w:pPr>
              <w:jc w:val="center"/>
              <w:rPr>
                <w:sz w:val="20"/>
                <w:szCs w:val="20"/>
              </w:rPr>
            </w:pPr>
            <w:r w:rsidRPr="0069023F">
              <w:rPr>
                <w:sz w:val="20"/>
                <w:szCs w:val="20"/>
              </w:rPr>
              <w:t>6</w:t>
            </w:r>
          </w:p>
        </w:tc>
        <w:tc>
          <w:tcPr>
            <w:tcW w:w="969" w:type="dxa"/>
            <w:tcBorders>
              <w:bottom w:val="single" w:sz="4" w:space="0" w:color="auto"/>
            </w:tcBorders>
            <w:shd w:val="clear" w:color="auto" w:fill="92D050"/>
            <w:vAlign w:val="center"/>
          </w:tcPr>
          <w:p w:rsidR="00B51E32" w:rsidRPr="0069023F" w:rsidRDefault="00D3070C" w:rsidP="00775568">
            <w:pPr>
              <w:jc w:val="center"/>
              <w:rPr>
                <w:sz w:val="20"/>
                <w:szCs w:val="20"/>
              </w:rPr>
            </w:pPr>
            <w:r w:rsidRPr="0069023F">
              <w:rPr>
                <w:sz w:val="20"/>
                <w:szCs w:val="20"/>
              </w:rPr>
              <w:t>5</w:t>
            </w:r>
          </w:p>
        </w:tc>
        <w:tc>
          <w:tcPr>
            <w:tcW w:w="4836" w:type="dxa"/>
            <w:tcBorders>
              <w:bottom w:val="single" w:sz="4" w:space="0" w:color="auto"/>
            </w:tcBorders>
            <w:shd w:val="clear" w:color="auto" w:fill="FFFFFF" w:themeFill="background1"/>
            <w:vAlign w:val="center"/>
          </w:tcPr>
          <w:p w:rsidR="00B51E32" w:rsidRPr="0069023F" w:rsidRDefault="00B51E32" w:rsidP="00B51E32">
            <w:pPr>
              <w:pStyle w:val="ScoreParagraph"/>
              <w:rPr>
                <w:rFonts w:asciiTheme="minorHAnsi" w:hAnsiTheme="minorHAnsi"/>
                <w:sz w:val="20"/>
                <w:szCs w:val="20"/>
              </w:rPr>
            </w:pPr>
            <w:r w:rsidRPr="0069023F">
              <w:rPr>
                <w:rFonts w:asciiTheme="minorHAnsi" w:hAnsiTheme="minorHAnsi"/>
                <w:sz w:val="20"/>
                <w:szCs w:val="20"/>
              </w:rPr>
              <w:t>Construction support and systems (i.e. site selection, training materials, monitoring, and CHS) showed continuous improvement.</w:t>
            </w:r>
          </w:p>
          <w:p w:rsidR="00B51E32" w:rsidRPr="0069023F" w:rsidRDefault="00B51E32" w:rsidP="00B51E32">
            <w:pPr>
              <w:pStyle w:val="ScoreParagraph"/>
              <w:rPr>
                <w:rFonts w:asciiTheme="minorHAnsi" w:hAnsiTheme="minorHAnsi"/>
                <w:sz w:val="20"/>
                <w:szCs w:val="20"/>
              </w:rPr>
            </w:pPr>
            <w:r w:rsidRPr="0069023F">
              <w:rPr>
                <w:rFonts w:asciiTheme="minorHAnsi" w:hAnsiTheme="minorHAnsi"/>
                <w:sz w:val="20"/>
                <w:szCs w:val="20"/>
              </w:rPr>
              <w:t xml:space="preserve">Almost all targeted schools in Cycle 1, 2 and 3 (996 </w:t>
            </w:r>
            <w:r w:rsidR="00E51227">
              <w:rPr>
                <w:rFonts w:asciiTheme="minorHAnsi" w:hAnsiTheme="minorHAnsi"/>
                <w:sz w:val="20"/>
                <w:szCs w:val="20"/>
              </w:rPr>
              <w:t xml:space="preserve">out </w:t>
            </w:r>
            <w:r w:rsidRPr="0069023F">
              <w:rPr>
                <w:rFonts w:asciiTheme="minorHAnsi" w:hAnsiTheme="minorHAnsi"/>
                <w:sz w:val="20"/>
                <w:szCs w:val="20"/>
              </w:rPr>
              <w:t xml:space="preserve">of 1,005) are complete and operational. </w:t>
            </w:r>
          </w:p>
          <w:p w:rsidR="00B51E32" w:rsidRPr="0069023F" w:rsidRDefault="00B51E32" w:rsidP="00D86DC7">
            <w:pPr>
              <w:pStyle w:val="ScoreParagraph"/>
              <w:rPr>
                <w:sz w:val="20"/>
                <w:szCs w:val="20"/>
              </w:rPr>
            </w:pPr>
            <w:r w:rsidRPr="0069023F">
              <w:rPr>
                <w:rFonts w:asciiTheme="minorHAnsi" w:hAnsiTheme="minorHAnsi"/>
                <w:sz w:val="20"/>
                <w:szCs w:val="20"/>
              </w:rPr>
              <w:t>A substantial number of Cycle 4 schools may be incomplete by June 2016, i.e. C1</w:t>
            </w:r>
            <w:r w:rsidR="00D86DC7">
              <w:rPr>
                <w:rFonts w:asciiTheme="minorHAnsi" w:hAnsiTheme="minorHAnsi"/>
                <w:sz w:val="20"/>
                <w:szCs w:val="20"/>
              </w:rPr>
              <w:t>’s</w:t>
            </w:r>
            <w:r w:rsidRPr="0069023F">
              <w:rPr>
                <w:rFonts w:asciiTheme="minorHAnsi" w:hAnsiTheme="minorHAnsi"/>
                <w:sz w:val="20"/>
                <w:szCs w:val="20"/>
              </w:rPr>
              <w:t xml:space="preserve"> scheduled closure point</w:t>
            </w:r>
            <w:r w:rsidR="00D86DC7">
              <w:rPr>
                <w:rFonts w:asciiTheme="minorHAnsi" w:hAnsiTheme="minorHAnsi"/>
                <w:sz w:val="20"/>
                <w:szCs w:val="20"/>
              </w:rPr>
              <w:t xml:space="preserve"> at the time of writing</w:t>
            </w:r>
            <w:r w:rsidRPr="0069023F">
              <w:rPr>
                <w:rFonts w:asciiTheme="minorHAnsi" w:hAnsiTheme="minorHAnsi"/>
                <w:sz w:val="20"/>
                <w:szCs w:val="20"/>
              </w:rPr>
              <w:t xml:space="preserve">. </w:t>
            </w:r>
          </w:p>
        </w:tc>
        <w:tc>
          <w:tcPr>
            <w:tcW w:w="4754" w:type="dxa"/>
            <w:tcBorders>
              <w:bottom w:val="single" w:sz="4" w:space="0" w:color="auto"/>
            </w:tcBorders>
            <w:shd w:val="clear" w:color="auto" w:fill="FFFFFF" w:themeFill="background1"/>
            <w:vAlign w:val="center"/>
          </w:tcPr>
          <w:p w:rsidR="00B51E32" w:rsidRPr="0069023F" w:rsidRDefault="00B51E32" w:rsidP="00B51E32">
            <w:pPr>
              <w:pStyle w:val="ScoreParagraph"/>
              <w:rPr>
                <w:rFonts w:asciiTheme="minorHAnsi" w:hAnsiTheme="minorHAnsi"/>
                <w:sz w:val="20"/>
                <w:szCs w:val="20"/>
              </w:rPr>
            </w:pPr>
            <w:r w:rsidRPr="0069023F">
              <w:rPr>
                <w:rFonts w:asciiTheme="minorHAnsi" w:hAnsiTheme="minorHAnsi"/>
                <w:sz w:val="20"/>
                <w:szCs w:val="20"/>
              </w:rPr>
              <w:t>The lower score for 2015 is attributed to the risks associated with a number of Cycle 4 schools not being completed by June 2016.</w:t>
            </w:r>
          </w:p>
          <w:p w:rsidR="00B51E32" w:rsidRPr="0069023F" w:rsidRDefault="00B51E32" w:rsidP="00B51E32">
            <w:pPr>
              <w:pStyle w:val="ScoreParagraph"/>
              <w:rPr>
                <w:sz w:val="20"/>
                <w:szCs w:val="20"/>
              </w:rPr>
            </w:pPr>
            <w:r w:rsidRPr="0069023F">
              <w:rPr>
                <w:rFonts w:asciiTheme="minorHAnsi" w:hAnsiTheme="minorHAnsi"/>
                <w:sz w:val="20"/>
                <w:szCs w:val="20"/>
              </w:rPr>
              <w:t>While POM acknowledges that construction overruns have occurred in all phases, an overrun that would require an actual project extension reflects poorly on delivery efficiency</w:t>
            </w:r>
            <w:r w:rsidR="00D86DC7">
              <w:rPr>
                <w:rFonts w:asciiTheme="minorHAnsi" w:hAnsiTheme="minorHAnsi"/>
                <w:sz w:val="20"/>
                <w:szCs w:val="20"/>
              </w:rPr>
              <w:t>, particularly given the concerted effort in 2015 to choose sites that should not experience delays.</w:t>
            </w:r>
          </w:p>
        </w:tc>
      </w:tr>
      <w:tr w:rsidR="00B51E32" w:rsidRPr="0077380B" w:rsidTr="00D3070C">
        <w:trPr>
          <w:cantSplit/>
          <w:trHeight w:val="681"/>
          <w:jc w:val="center"/>
        </w:trPr>
        <w:tc>
          <w:tcPr>
            <w:tcW w:w="1486" w:type="dxa"/>
            <w:vAlign w:val="center"/>
          </w:tcPr>
          <w:p w:rsidR="00B51E32" w:rsidRPr="0069023F" w:rsidRDefault="00B51E32" w:rsidP="00775568">
            <w:pPr>
              <w:rPr>
                <w:sz w:val="20"/>
                <w:szCs w:val="20"/>
              </w:rPr>
            </w:pPr>
            <w:r w:rsidRPr="0069023F">
              <w:rPr>
                <w:sz w:val="20"/>
                <w:szCs w:val="20"/>
              </w:rPr>
              <w:lastRenderedPageBreak/>
              <w:t>Effectiveness</w:t>
            </w:r>
          </w:p>
        </w:tc>
        <w:tc>
          <w:tcPr>
            <w:tcW w:w="969" w:type="dxa"/>
            <w:shd w:val="clear" w:color="auto" w:fill="FFC000"/>
            <w:vAlign w:val="center"/>
          </w:tcPr>
          <w:p w:rsidR="00B51E32" w:rsidRPr="0069023F" w:rsidRDefault="00B51E32" w:rsidP="00775568">
            <w:pPr>
              <w:jc w:val="center"/>
              <w:rPr>
                <w:sz w:val="20"/>
                <w:szCs w:val="20"/>
              </w:rPr>
            </w:pPr>
            <w:r w:rsidRPr="0069023F">
              <w:rPr>
                <w:sz w:val="20"/>
                <w:szCs w:val="20"/>
              </w:rPr>
              <w:t>3</w:t>
            </w:r>
          </w:p>
        </w:tc>
        <w:tc>
          <w:tcPr>
            <w:tcW w:w="969" w:type="dxa"/>
            <w:shd w:val="clear" w:color="auto" w:fill="FFFF00"/>
            <w:vAlign w:val="center"/>
          </w:tcPr>
          <w:p w:rsidR="00B51E32" w:rsidRPr="0069023F" w:rsidRDefault="00B51E32" w:rsidP="00775568">
            <w:pPr>
              <w:jc w:val="center"/>
              <w:rPr>
                <w:sz w:val="20"/>
                <w:szCs w:val="20"/>
              </w:rPr>
            </w:pPr>
            <w:r w:rsidRPr="0069023F">
              <w:rPr>
                <w:sz w:val="20"/>
                <w:szCs w:val="20"/>
              </w:rPr>
              <w:t>4</w:t>
            </w:r>
          </w:p>
        </w:tc>
        <w:tc>
          <w:tcPr>
            <w:tcW w:w="969" w:type="dxa"/>
            <w:tcBorders>
              <w:bottom w:val="single" w:sz="4" w:space="0" w:color="auto"/>
            </w:tcBorders>
            <w:shd w:val="clear" w:color="auto" w:fill="92D050"/>
            <w:vAlign w:val="center"/>
          </w:tcPr>
          <w:p w:rsidR="00B51E32" w:rsidRPr="0069023F" w:rsidRDefault="00D3070C" w:rsidP="00775568">
            <w:pPr>
              <w:jc w:val="center"/>
              <w:rPr>
                <w:sz w:val="20"/>
                <w:szCs w:val="20"/>
              </w:rPr>
            </w:pPr>
            <w:r w:rsidRPr="0069023F">
              <w:rPr>
                <w:sz w:val="20"/>
                <w:szCs w:val="20"/>
              </w:rPr>
              <w:t>5</w:t>
            </w:r>
          </w:p>
        </w:tc>
        <w:tc>
          <w:tcPr>
            <w:tcW w:w="4836" w:type="dxa"/>
            <w:shd w:val="clear" w:color="auto" w:fill="FFFFFF" w:themeFill="background1"/>
            <w:vAlign w:val="center"/>
          </w:tcPr>
          <w:p w:rsidR="00B51E32" w:rsidRPr="0069023F" w:rsidRDefault="00B51E32" w:rsidP="00B51E32">
            <w:pPr>
              <w:pStyle w:val="ScoreParagraph"/>
              <w:rPr>
                <w:rFonts w:asciiTheme="minorHAnsi" w:hAnsiTheme="minorHAnsi"/>
                <w:sz w:val="20"/>
                <w:szCs w:val="20"/>
              </w:rPr>
            </w:pPr>
            <w:r w:rsidRPr="0069023F">
              <w:rPr>
                <w:rFonts w:asciiTheme="minorHAnsi" w:hAnsiTheme="minorHAnsi"/>
                <w:sz w:val="20"/>
                <w:szCs w:val="20"/>
              </w:rPr>
              <w:t xml:space="preserve">The </w:t>
            </w:r>
            <w:r w:rsidRPr="0069023F">
              <w:rPr>
                <w:rFonts w:asciiTheme="minorHAnsi" w:hAnsiTheme="minorHAnsi"/>
                <w:i/>
                <w:sz w:val="20"/>
                <w:szCs w:val="20"/>
              </w:rPr>
              <w:t xml:space="preserve">EOPO 1 Evaluation Study </w:t>
            </w:r>
            <w:r w:rsidRPr="0069023F">
              <w:rPr>
                <w:rFonts w:asciiTheme="minorHAnsi" w:hAnsiTheme="minorHAnsi"/>
                <w:sz w:val="20"/>
                <w:szCs w:val="20"/>
              </w:rPr>
              <w:t>(2015) indicate</w:t>
            </w:r>
            <w:r w:rsidR="00D86DC7">
              <w:rPr>
                <w:rFonts w:asciiTheme="minorHAnsi" w:hAnsiTheme="minorHAnsi"/>
                <w:sz w:val="20"/>
                <w:szCs w:val="20"/>
              </w:rPr>
              <w:t>s</w:t>
            </w:r>
            <w:r w:rsidRPr="0069023F">
              <w:rPr>
                <w:rFonts w:asciiTheme="minorHAnsi" w:hAnsiTheme="minorHAnsi"/>
                <w:sz w:val="20"/>
                <w:szCs w:val="20"/>
              </w:rPr>
              <w:t xml:space="preserve"> that C1 attained its EOPO. </w:t>
            </w:r>
          </w:p>
          <w:p w:rsidR="00B51E32" w:rsidRPr="0069023F" w:rsidRDefault="00B51E32" w:rsidP="00B51E32">
            <w:pPr>
              <w:pStyle w:val="ScoreParagraph"/>
              <w:rPr>
                <w:sz w:val="20"/>
                <w:szCs w:val="20"/>
              </w:rPr>
            </w:pPr>
            <w:r w:rsidRPr="0069023F">
              <w:rPr>
                <w:rFonts w:asciiTheme="minorHAnsi" w:hAnsiTheme="minorHAnsi"/>
                <w:sz w:val="20"/>
                <w:szCs w:val="20"/>
              </w:rPr>
              <w:t>The program greatly exceeded key PMF targets and district</w:t>
            </w:r>
            <w:r w:rsidR="00D86DC7">
              <w:rPr>
                <w:rFonts w:asciiTheme="minorHAnsi" w:hAnsiTheme="minorHAnsi"/>
                <w:sz w:val="20"/>
                <w:szCs w:val="20"/>
              </w:rPr>
              <w:t>-</w:t>
            </w:r>
            <w:r w:rsidRPr="0069023F">
              <w:rPr>
                <w:rFonts w:asciiTheme="minorHAnsi" w:hAnsiTheme="minorHAnsi"/>
                <w:sz w:val="20"/>
                <w:szCs w:val="20"/>
              </w:rPr>
              <w:t>level analysis conclude</w:t>
            </w:r>
            <w:r w:rsidR="00D86DC7">
              <w:rPr>
                <w:rFonts w:asciiTheme="minorHAnsi" w:hAnsiTheme="minorHAnsi"/>
                <w:sz w:val="20"/>
                <w:szCs w:val="20"/>
              </w:rPr>
              <w:t>s</w:t>
            </w:r>
            <w:r w:rsidRPr="0069023F">
              <w:rPr>
                <w:rFonts w:asciiTheme="minorHAnsi" w:hAnsiTheme="minorHAnsi"/>
                <w:sz w:val="20"/>
                <w:szCs w:val="20"/>
              </w:rPr>
              <w:t xml:space="preserve"> that C1 had an attributable impact upon GER and other key indicators.</w:t>
            </w:r>
          </w:p>
        </w:tc>
        <w:tc>
          <w:tcPr>
            <w:tcW w:w="4754" w:type="dxa"/>
            <w:shd w:val="clear" w:color="auto" w:fill="FFFFFF" w:themeFill="background1"/>
            <w:vAlign w:val="center"/>
          </w:tcPr>
          <w:p w:rsidR="00B51E32" w:rsidRPr="0069023F" w:rsidRDefault="00B51E32" w:rsidP="00B51E32">
            <w:pPr>
              <w:pStyle w:val="ScoreParagraph"/>
              <w:rPr>
                <w:sz w:val="20"/>
                <w:szCs w:val="20"/>
              </w:rPr>
            </w:pPr>
            <w:r w:rsidRPr="0069023F">
              <w:rPr>
                <w:rFonts w:asciiTheme="minorHAnsi" w:hAnsiTheme="minorHAnsi"/>
                <w:sz w:val="20"/>
                <w:szCs w:val="20"/>
              </w:rPr>
              <w:t xml:space="preserve">A higher score </w:t>
            </w:r>
            <w:r w:rsidR="00D86DC7">
              <w:rPr>
                <w:rFonts w:asciiTheme="minorHAnsi" w:hAnsiTheme="minorHAnsi"/>
                <w:sz w:val="20"/>
                <w:szCs w:val="20"/>
              </w:rPr>
              <w:t xml:space="preserve">would </w:t>
            </w:r>
            <w:r w:rsidRPr="0069023F">
              <w:rPr>
                <w:rFonts w:asciiTheme="minorHAnsi" w:hAnsiTheme="minorHAnsi"/>
                <w:sz w:val="20"/>
                <w:szCs w:val="20"/>
              </w:rPr>
              <w:t>require a more rounded menu of approaches to improve enrolment. Endline survey data show that school construction is not an effective means of stimulating enrolment for key target groups.</w:t>
            </w:r>
          </w:p>
        </w:tc>
      </w:tr>
      <w:tr w:rsidR="00B51E32" w:rsidRPr="0077380B" w:rsidTr="00D3070C">
        <w:trPr>
          <w:trHeight w:val="681"/>
          <w:jc w:val="center"/>
        </w:trPr>
        <w:tc>
          <w:tcPr>
            <w:tcW w:w="1486" w:type="dxa"/>
            <w:vAlign w:val="center"/>
          </w:tcPr>
          <w:p w:rsidR="00B51E32" w:rsidRPr="0069023F" w:rsidRDefault="00B51E32" w:rsidP="00775568">
            <w:pPr>
              <w:rPr>
                <w:sz w:val="20"/>
                <w:szCs w:val="20"/>
              </w:rPr>
            </w:pPr>
            <w:r w:rsidRPr="0069023F">
              <w:rPr>
                <w:sz w:val="20"/>
                <w:szCs w:val="20"/>
              </w:rPr>
              <w:t>Impact</w:t>
            </w:r>
          </w:p>
        </w:tc>
        <w:tc>
          <w:tcPr>
            <w:tcW w:w="969" w:type="dxa"/>
            <w:vAlign w:val="center"/>
          </w:tcPr>
          <w:p w:rsidR="00B51E32" w:rsidRPr="0069023F" w:rsidRDefault="00B51E32" w:rsidP="00775568">
            <w:pPr>
              <w:jc w:val="center"/>
              <w:rPr>
                <w:sz w:val="20"/>
                <w:szCs w:val="20"/>
              </w:rPr>
            </w:pPr>
            <w:r w:rsidRPr="0069023F">
              <w:rPr>
                <w:sz w:val="20"/>
                <w:szCs w:val="20"/>
              </w:rPr>
              <w:t>TE</w:t>
            </w:r>
          </w:p>
        </w:tc>
        <w:tc>
          <w:tcPr>
            <w:tcW w:w="969" w:type="dxa"/>
            <w:shd w:val="clear" w:color="auto" w:fill="FFFF00"/>
            <w:vAlign w:val="center"/>
          </w:tcPr>
          <w:p w:rsidR="00B51E32" w:rsidRPr="0069023F" w:rsidRDefault="00B51E32" w:rsidP="00775568">
            <w:pPr>
              <w:jc w:val="center"/>
              <w:rPr>
                <w:sz w:val="20"/>
                <w:szCs w:val="20"/>
              </w:rPr>
            </w:pPr>
            <w:r w:rsidRPr="0069023F">
              <w:rPr>
                <w:sz w:val="20"/>
                <w:szCs w:val="20"/>
              </w:rPr>
              <w:t>4</w:t>
            </w:r>
          </w:p>
        </w:tc>
        <w:tc>
          <w:tcPr>
            <w:tcW w:w="969" w:type="dxa"/>
            <w:tcBorders>
              <w:bottom w:val="single" w:sz="4" w:space="0" w:color="auto"/>
            </w:tcBorders>
            <w:shd w:val="clear" w:color="auto" w:fill="FFFF00"/>
            <w:vAlign w:val="center"/>
          </w:tcPr>
          <w:p w:rsidR="00B51E32" w:rsidRPr="0069023F" w:rsidRDefault="00D3070C" w:rsidP="00775568">
            <w:pPr>
              <w:jc w:val="center"/>
              <w:rPr>
                <w:sz w:val="20"/>
                <w:szCs w:val="20"/>
              </w:rPr>
            </w:pPr>
            <w:r w:rsidRPr="0069023F">
              <w:rPr>
                <w:sz w:val="20"/>
                <w:szCs w:val="20"/>
              </w:rPr>
              <w:t>4</w:t>
            </w:r>
          </w:p>
        </w:tc>
        <w:tc>
          <w:tcPr>
            <w:tcW w:w="4836" w:type="dxa"/>
            <w:shd w:val="clear" w:color="auto" w:fill="FFFFFF" w:themeFill="background1"/>
            <w:vAlign w:val="center"/>
          </w:tcPr>
          <w:p w:rsidR="00B51E32" w:rsidRPr="0069023F" w:rsidRDefault="00B51E32" w:rsidP="00B51E32">
            <w:pPr>
              <w:pStyle w:val="ScoreParagraph"/>
              <w:rPr>
                <w:rFonts w:asciiTheme="minorHAnsi" w:hAnsiTheme="minorHAnsi"/>
                <w:sz w:val="20"/>
                <w:szCs w:val="20"/>
              </w:rPr>
            </w:pPr>
            <w:r w:rsidRPr="0069023F">
              <w:rPr>
                <w:rFonts w:asciiTheme="minorHAnsi" w:hAnsiTheme="minorHAnsi"/>
                <w:sz w:val="20"/>
                <w:szCs w:val="20"/>
              </w:rPr>
              <w:t>The prospect for school-level impact is limited by the quality of new school soft infrastructure, particularly experienced teachers.</w:t>
            </w:r>
          </w:p>
          <w:p w:rsidR="00B51E32" w:rsidRPr="0069023F" w:rsidRDefault="00B51E32" w:rsidP="00B51E32">
            <w:pPr>
              <w:pStyle w:val="ScoreParagraph"/>
              <w:rPr>
                <w:rFonts w:asciiTheme="minorHAnsi" w:hAnsiTheme="minorHAnsi"/>
                <w:sz w:val="20"/>
                <w:szCs w:val="20"/>
              </w:rPr>
            </w:pPr>
            <w:r w:rsidRPr="0069023F">
              <w:rPr>
                <w:rFonts w:asciiTheme="minorHAnsi" w:hAnsiTheme="minorHAnsi"/>
                <w:sz w:val="20"/>
                <w:szCs w:val="20"/>
              </w:rPr>
              <w:t>Omission of NSIP on Cycle 3 and Cycle 4 was possibly a missed opportunity</w:t>
            </w:r>
            <w:r w:rsidRPr="0069023F">
              <w:rPr>
                <w:rStyle w:val="FootnoteReference"/>
                <w:sz w:val="20"/>
                <w:szCs w:val="20"/>
              </w:rPr>
              <w:footnoteReference w:id="34"/>
            </w:r>
            <w:r w:rsidRPr="0069023F">
              <w:rPr>
                <w:rFonts w:asciiTheme="minorHAnsi" w:hAnsiTheme="minorHAnsi"/>
                <w:sz w:val="20"/>
                <w:szCs w:val="20"/>
              </w:rPr>
              <w:t>.</w:t>
            </w:r>
          </w:p>
          <w:p w:rsidR="00B51E32" w:rsidRPr="0069023F" w:rsidRDefault="00B51E32" w:rsidP="00B51E32">
            <w:pPr>
              <w:pStyle w:val="ScoreParagraph"/>
              <w:rPr>
                <w:sz w:val="20"/>
                <w:szCs w:val="20"/>
              </w:rPr>
            </w:pPr>
            <w:r w:rsidRPr="0069023F">
              <w:rPr>
                <w:rFonts w:asciiTheme="minorHAnsi" w:hAnsiTheme="minorHAnsi"/>
                <w:sz w:val="20"/>
                <w:szCs w:val="20"/>
              </w:rPr>
              <w:t>Impact at systemic level is promising and relevant to GoI priorities (e.g. the take up of C1 construction guidelines).</w:t>
            </w:r>
          </w:p>
        </w:tc>
        <w:tc>
          <w:tcPr>
            <w:tcW w:w="4754" w:type="dxa"/>
            <w:shd w:val="clear" w:color="auto" w:fill="FFFFFF" w:themeFill="background1"/>
            <w:vAlign w:val="center"/>
          </w:tcPr>
          <w:p w:rsidR="00B51E32" w:rsidRPr="0069023F" w:rsidRDefault="00D86DC7" w:rsidP="00E46DFA">
            <w:pPr>
              <w:pStyle w:val="ScoreParagraph"/>
              <w:rPr>
                <w:sz w:val="20"/>
                <w:szCs w:val="20"/>
              </w:rPr>
            </w:pPr>
            <w:r>
              <w:rPr>
                <w:rFonts w:asciiTheme="minorHAnsi" w:hAnsiTheme="minorHAnsi"/>
                <w:sz w:val="20"/>
                <w:szCs w:val="20"/>
              </w:rPr>
              <w:t>While the score for I</w:t>
            </w:r>
            <w:r w:rsidR="00B51E32" w:rsidRPr="0069023F">
              <w:rPr>
                <w:rFonts w:asciiTheme="minorHAnsi" w:hAnsiTheme="minorHAnsi"/>
                <w:sz w:val="20"/>
                <w:szCs w:val="20"/>
              </w:rPr>
              <w:t>mpact remains on the positive side of the assessment scale)</w:t>
            </w:r>
            <w:r>
              <w:rPr>
                <w:rFonts w:asciiTheme="minorHAnsi" w:hAnsiTheme="minorHAnsi"/>
                <w:sz w:val="20"/>
                <w:szCs w:val="20"/>
              </w:rPr>
              <w:t>, it is h</w:t>
            </w:r>
            <w:r w:rsidR="00B51E32" w:rsidRPr="0069023F">
              <w:rPr>
                <w:rFonts w:asciiTheme="minorHAnsi" w:hAnsiTheme="minorHAnsi"/>
                <w:sz w:val="20"/>
                <w:szCs w:val="20"/>
              </w:rPr>
              <w:t>eld back by concerns that the transfer of valuable knowledge products and practices (e.g. construction guidelines) may not be completed prior to June 2016</w:t>
            </w:r>
            <w:r>
              <w:rPr>
                <w:rFonts w:asciiTheme="minorHAnsi" w:hAnsiTheme="minorHAnsi"/>
                <w:sz w:val="20"/>
                <w:szCs w:val="20"/>
              </w:rPr>
              <w:t xml:space="preserve"> coupled with concerns about the availability of quality soft infrastructure in schools</w:t>
            </w:r>
            <w:r w:rsidR="00B51E32" w:rsidRPr="0069023F">
              <w:rPr>
                <w:rFonts w:asciiTheme="minorHAnsi" w:hAnsiTheme="minorHAnsi"/>
                <w:sz w:val="20"/>
                <w:szCs w:val="20"/>
              </w:rPr>
              <w:t>.</w:t>
            </w:r>
          </w:p>
        </w:tc>
      </w:tr>
      <w:tr w:rsidR="00B51E32" w:rsidRPr="0077380B" w:rsidTr="00D3070C">
        <w:trPr>
          <w:trHeight w:val="681"/>
          <w:jc w:val="center"/>
        </w:trPr>
        <w:tc>
          <w:tcPr>
            <w:tcW w:w="1486" w:type="dxa"/>
            <w:vAlign w:val="center"/>
          </w:tcPr>
          <w:p w:rsidR="00B51E32" w:rsidRPr="0069023F" w:rsidRDefault="00B51E32" w:rsidP="00775568">
            <w:pPr>
              <w:rPr>
                <w:sz w:val="20"/>
                <w:szCs w:val="20"/>
              </w:rPr>
            </w:pPr>
            <w:r w:rsidRPr="0069023F">
              <w:rPr>
                <w:sz w:val="20"/>
                <w:szCs w:val="20"/>
              </w:rPr>
              <w:t>Sustainability</w:t>
            </w:r>
          </w:p>
        </w:tc>
        <w:tc>
          <w:tcPr>
            <w:tcW w:w="969" w:type="dxa"/>
            <w:shd w:val="clear" w:color="auto" w:fill="FFFF00"/>
            <w:vAlign w:val="center"/>
          </w:tcPr>
          <w:p w:rsidR="00B51E32" w:rsidRPr="0069023F" w:rsidRDefault="00B51E32" w:rsidP="00775568">
            <w:pPr>
              <w:jc w:val="center"/>
              <w:rPr>
                <w:sz w:val="20"/>
                <w:szCs w:val="20"/>
              </w:rPr>
            </w:pPr>
            <w:r w:rsidRPr="0069023F">
              <w:rPr>
                <w:sz w:val="20"/>
                <w:szCs w:val="20"/>
              </w:rPr>
              <w:t>4</w:t>
            </w:r>
          </w:p>
        </w:tc>
        <w:tc>
          <w:tcPr>
            <w:tcW w:w="969" w:type="dxa"/>
            <w:shd w:val="clear" w:color="auto" w:fill="FFFF00"/>
            <w:vAlign w:val="center"/>
          </w:tcPr>
          <w:p w:rsidR="00B51E32" w:rsidRPr="0069023F" w:rsidRDefault="00B51E32" w:rsidP="00775568">
            <w:pPr>
              <w:jc w:val="center"/>
              <w:rPr>
                <w:sz w:val="20"/>
                <w:szCs w:val="20"/>
              </w:rPr>
            </w:pPr>
            <w:r w:rsidRPr="0069023F">
              <w:rPr>
                <w:sz w:val="20"/>
                <w:szCs w:val="20"/>
              </w:rPr>
              <w:t>4</w:t>
            </w:r>
          </w:p>
        </w:tc>
        <w:tc>
          <w:tcPr>
            <w:tcW w:w="969" w:type="dxa"/>
            <w:shd w:val="clear" w:color="auto" w:fill="92D050"/>
            <w:vAlign w:val="center"/>
          </w:tcPr>
          <w:p w:rsidR="00B51E32" w:rsidRPr="0069023F" w:rsidRDefault="00D3070C" w:rsidP="00775568">
            <w:pPr>
              <w:jc w:val="center"/>
              <w:rPr>
                <w:sz w:val="20"/>
                <w:szCs w:val="20"/>
              </w:rPr>
            </w:pPr>
            <w:r w:rsidRPr="0069023F">
              <w:rPr>
                <w:sz w:val="20"/>
                <w:szCs w:val="20"/>
              </w:rPr>
              <w:t>5</w:t>
            </w:r>
          </w:p>
        </w:tc>
        <w:tc>
          <w:tcPr>
            <w:tcW w:w="4836" w:type="dxa"/>
            <w:shd w:val="clear" w:color="auto" w:fill="FFFFFF" w:themeFill="background1"/>
            <w:vAlign w:val="center"/>
          </w:tcPr>
          <w:p w:rsidR="00B51E32" w:rsidRPr="0069023F" w:rsidRDefault="00B51E32" w:rsidP="00B51E32">
            <w:pPr>
              <w:pStyle w:val="ScoreParagraph"/>
              <w:rPr>
                <w:rFonts w:asciiTheme="minorHAnsi" w:hAnsiTheme="minorHAnsi"/>
                <w:sz w:val="20"/>
                <w:szCs w:val="20"/>
              </w:rPr>
            </w:pPr>
            <w:r w:rsidRPr="0069023F">
              <w:rPr>
                <w:rFonts w:asciiTheme="minorHAnsi" w:hAnsiTheme="minorHAnsi"/>
                <w:sz w:val="20"/>
                <w:szCs w:val="20"/>
              </w:rPr>
              <w:t>The physical sustainability of schools has been enhanced by improvements in construction processes.</w:t>
            </w:r>
          </w:p>
          <w:p w:rsidR="00B51E32" w:rsidRPr="0069023F" w:rsidRDefault="00B51E32" w:rsidP="00B51E32">
            <w:pPr>
              <w:pStyle w:val="ScoreParagraph"/>
              <w:rPr>
                <w:sz w:val="20"/>
                <w:szCs w:val="20"/>
              </w:rPr>
            </w:pPr>
            <w:r w:rsidRPr="0069023F">
              <w:rPr>
                <w:rFonts w:asciiTheme="minorHAnsi" w:hAnsiTheme="minorHAnsi"/>
                <w:sz w:val="20"/>
                <w:szCs w:val="20"/>
              </w:rPr>
              <w:t>There are strong signs that key Component 1 processes and systems will be adopted by GoI.</w:t>
            </w:r>
          </w:p>
        </w:tc>
        <w:tc>
          <w:tcPr>
            <w:tcW w:w="4754" w:type="dxa"/>
            <w:shd w:val="clear" w:color="auto" w:fill="FFFFFF" w:themeFill="background1"/>
            <w:vAlign w:val="center"/>
          </w:tcPr>
          <w:p w:rsidR="00B51E32" w:rsidRPr="0069023F" w:rsidRDefault="00B51E32" w:rsidP="00E51227">
            <w:pPr>
              <w:pStyle w:val="ScoreParagraph"/>
              <w:rPr>
                <w:sz w:val="20"/>
                <w:szCs w:val="20"/>
              </w:rPr>
            </w:pPr>
            <w:r w:rsidRPr="0069023F">
              <w:rPr>
                <w:rFonts w:asciiTheme="minorHAnsi" w:hAnsiTheme="minorHAnsi"/>
                <w:sz w:val="20"/>
                <w:szCs w:val="20"/>
              </w:rPr>
              <w:t xml:space="preserve">An increase in the </w:t>
            </w:r>
            <w:r w:rsidR="00D86DC7">
              <w:rPr>
                <w:rFonts w:asciiTheme="minorHAnsi" w:hAnsiTheme="minorHAnsi"/>
                <w:sz w:val="20"/>
                <w:szCs w:val="20"/>
              </w:rPr>
              <w:t>S</w:t>
            </w:r>
            <w:r w:rsidRPr="0069023F">
              <w:rPr>
                <w:rFonts w:asciiTheme="minorHAnsi" w:hAnsiTheme="minorHAnsi"/>
                <w:sz w:val="20"/>
                <w:szCs w:val="20"/>
              </w:rPr>
              <w:t>ustainability score for 2015 is primarily an acknowledgement of achievements in system strengthening. A perfect score is held</w:t>
            </w:r>
            <w:r w:rsidR="00E51227">
              <w:rPr>
                <w:rFonts w:asciiTheme="minorHAnsi" w:hAnsiTheme="minorHAnsi"/>
                <w:sz w:val="20"/>
                <w:szCs w:val="20"/>
              </w:rPr>
              <w:t xml:space="preserve"> </w:t>
            </w:r>
            <w:r w:rsidRPr="0069023F">
              <w:rPr>
                <w:rFonts w:asciiTheme="minorHAnsi" w:hAnsiTheme="minorHAnsi"/>
                <w:sz w:val="20"/>
                <w:szCs w:val="20"/>
              </w:rPr>
              <w:t>back by the fact that handovers have not yet taken place.</w:t>
            </w:r>
          </w:p>
        </w:tc>
      </w:tr>
    </w:tbl>
    <w:p w:rsidR="00B33BC8" w:rsidRPr="00851EC7" w:rsidRDefault="00B33BC8" w:rsidP="00775568">
      <w:r w:rsidRPr="00851EC7">
        <w:br w:type="page"/>
      </w:r>
    </w:p>
    <w:p w:rsidR="00B33BC8" w:rsidRDefault="004D3EF0" w:rsidP="00775568">
      <w:pPr>
        <w:pStyle w:val="Caption-Table"/>
      </w:pPr>
      <w:bookmarkStart w:id="42" w:name="_Ref447781949"/>
      <w:bookmarkStart w:id="43" w:name="_Toc447623970"/>
      <w:bookmarkStart w:id="44" w:name="_Toc450131627"/>
      <w:r>
        <w:lastRenderedPageBreak/>
        <w:t xml:space="preserve">Table </w:t>
      </w:r>
      <w:r>
        <w:fldChar w:fldCharType="begin"/>
      </w:r>
      <w:r>
        <w:instrText xml:space="preserve"> SEQ Table \* ARABIC </w:instrText>
      </w:r>
      <w:r>
        <w:fldChar w:fldCharType="separate"/>
      </w:r>
      <w:r w:rsidR="00EC36D2">
        <w:rPr>
          <w:noProof/>
        </w:rPr>
        <w:t>6</w:t>
      </w:r>
      <w:r>
        <w:fldChar w:fldCharType="end"/>
      </w:r>
      <w:bookmarkEnd w:id="42"/>
      <w:r w:rsidR="00B33BC8" w:rsidRPr="00851EC7">
        <w:t>: Component 1 key findings and recommendations</w:t>
      </w:r>
      <w:bookmarkEnd w:id="43"/>
      <w:bookmarkEnd w:id="44"/>
    </w:p>
    <w:tbl>
      <w:tblPr>
        <w:tblStyle w:val="TableGrid31"/>
        <w:tblW w:w="5000" w:type="pct"/>
        <w:tblCellMar>
          <w:top w:w="108" w:type="dxa"/>
          <w:bottom w:w="108" w:type="dxa"/>
        </w:tblCellMar>
        <w:tblLook w:val="04A0" w:firstRow="1" w:lastRow="0" w:firstColumn="1" w:lastColumn="0" w:noHBand="0" w:noVBand="1"/>
      </w:tblPr>
      <w:tblGrid>
        <w:gridCol w:w="5920"/>
        <w:gridCol w:w="5246"/>
        <w:gridCol w:w="1134"/>
        <w:gridCol w:w="1870"/>
      </w:tblGrid>
      <w:tr w:rsidR="00B14021" w:rsidRPr="0077380B" w:rsidTr="006C7C96">
        <w:trPr>
          <w:trHeight w:val="567"/>
          <w:tblHeader/>
        </w:trPr>
        <w:tc>
          <w:tcPr>
            <w:tcW w:w="2089" w:type="pct"/>
            <w:tcBorders>
              <w:bottom w:val="single" w:sz="4" w:space="0" w:color="auto"/>
            </w:tcBorders>
            <w:shd w:val="clear" w:color="auto" w:fill="244061" w:themeFill="accent1" w:themeFillShade="80"/>
            <w:vAlign w:val="center"/>
          </w:tcPr>
          <w:p w:rsidR="00B14021" w:rsidRPr="0069023F" w:rsidRDefault="00B14021" w:rsidP="006C7C96">
            <w:pPr>
              <w:jc w:val="center"/>
              <w:rPr>
                <w:b/>
                <w:sz w:val="20"/>
                <w:szCs w:val="20"/>
              </w:rPr>
            </w:pPr>
            <w:r w:rsidRPr="0069023F">
              <w:rPr>
                <w:b/>
                <w:sz w:val="20"/>
                <w:szCs w:val="20"/>
              </w:rPr>
              <w:t>Findings</w:t>
            </w:r>
          </w:p>
        </w:tc>
        <w:tc>
          <w:tcPr>
            <w:tcW w:w="1851" w:type="pct"/>
            <w:tcBorders>
              <w:bottom w:val="single" w:sz="4" w:space="0" w:color="auto"/>
            </w:tcBorders>
            <w:shd w:val="clear" w:color="auto" w:fill="244061" w:themeFill="accent1" w:themeFillShade="80"/>
            <w:vAlign w:val="center"/>
          </w:tcPr>
          <w:p w:rsidR="00B14021" w:rsidRPr="0069023F" w:rsidRDefault="00B14021" w:rsidP="006C7C96">
            <w:pPr>
              <w:jc w:val="center"/>
              <w:rPr>
                <w:b/>
                <w:sz w:val="20"/>
                <w:szCs w:val="20"/>
              </w:rPr>
            </w:pPr>
            <w:r w:rsidRPr="0069023F">
              <w:rPr>
                <w:b/>
                <w:sz w:val="20"/>
                <w:szCs w:val="20"/>
              </w:rPr>
              <w:t>Recommendations</w:t>
            </w:r>
          </w:p>
        </w:tc>
        <w:tc>
          <w:tcPr>
            <w:tcW w:w="400" w:type="pct"/>
            <w:tcBorders>
              <w:bottom w:val="single" w:sz="4" w:space="0" w:color="auto"/>
            </w:tcBorders>
            <w:shd w:val="clear" w:color="auto" w:fill="244061" w:themeFill="accent1" w:themeFillShade="80"/>
            <w:vAlign w:val="center"/>
          </w:tcPr>
          <w:p w:rsidR="00B14021" w:rsidRPr="0069023F" w:rsidRDefault="00B14021" w:rsidP="006C7C96">
            <w:pPr>
              <w:jc w:val="center"/>
              <w:rPr>
                <w:b/>
                <w:sz w:val="20"/>
                <w:szCs w:val="20"/>
              </w:rPr>
            </w:pPr>
            <w:r w:rsidRPr="0069023F">
              <w:rPr>
                <w:b/>
                <w:sz w:val="20"/>
                <w:szCs w:val="20"/>
              </w:rPr>
              <w:t>Level of urgency</w:t>
            </w:r>
          </w:p>
        </w:tc>
        <w:tc>
          <w:tcPr>
            <w:tcW w:w="660" w:type="pct"/>
            <w:tcBorders>
              <w:bottom w:val="single" w:sz="4" w:space="0" w:color="auto"/>
            </w:tcBorders>
            <w:shd w:val="clear" w:color="auto" w:fill="244061" w:themeFill="accent1" w:themeFillShade="80"/>
            <w:vAlign w:val="center"/>
          </w:tcPr>
          <w:p w:rsidR="00B14021" w:rsidRPr="0069023F" w:rsidRDefault="00B14021" w:rsidP="006C7C96">
            <w:pPr>
              <w:jc w:val="center"/>
              <w:rPr>
                <w:b/>
                <w:sz w:val="20"/>
                <w:szCs w:val="20"/>
              </w:rPr>
            </w:pPr>
            <w:r w:rsidRPr="0069023F">
              <w:rPr>
                <w:b/>
                <w:sz w:val="20"/>
                <w:szCs w:val="20"/>
              </w:rPr>
              <w:t>Prime Responsibility</w:t>
            </w:r>
          </w:p>
        </w:tc>
      </w:tr>
      <w:tr w:rsidR="003E1475" w:rsidRPr="0077380B" w:rsidTr="006C7C96">
        <w:trPr>
          <w:trHeight w:val="839"/>
        </w:trPr>
        <w:tc>
          <w:tcPr>
            <w:tcW w:w="2089" w:type="pct"/>
            <w:shd w:val="clear" w:color="auto" w:fill="FFFFFF" w:themeFill="background1"/>
            <w:vAlign w:val="center"/>
          </w:tcPr>
          <w:p w:rsidR="003E1475" w:rsidRPr="0069023F" w:rsidRDefault="003E1475" w:rsidP="006C7C96">
            <w:pPr>
              <w:rPr>
                <w:sz w:val="20"/>
                <w:szCs w:val="20"/>
              </w:rPr>
            </w:pPr>
            <w:r w:rsidRPr="0069023F">
              <w:rPr>
                <w:sz w:val="20"/>
                <w:szCs w:val="20"/>
              </w:rPr>
              <w:t>C1 support is currently scheduled to finish in June 2016, by which point a substantial number of schools will be incomplete</w:t>
            </w:r>
            <w:r>
              <w:rPr>
                <w:sz w:val="20"/>
                <w:szCs w:val="20"/>
              </w:rPr>
              <w:t xml:space="preserve"> </w:t>
            </w:r>
            <w:r w:rsidRPr="00F63F9D">
              <w:rPr>
                <w:sz w:val="20"/>
                <w:szCs w:val="20"/>
              </w:rPr>
              <w:t>(see §</w:t>
            </w:r>
            <w:r>
              <w:rPr>
                <w:sz w:val="20"/>
                <w:szCs w:val="20"/>
              </w:rPr>
              <w:t>2.4.2</w:t>
            </w:r>
            <w:r w:rsidRPr="00F63F9D">
              <w:rPr>
                <w:sz w:val="20"/>
                <w:szCs w:val="20"/>
              </w:rPr>
              <w:t>)</w:t>
            </w:r>
            <w:r w:rsidRPr="00DC41F6">
              <w:rPr>
                <w:rFonts w:asciiTheme="minorHAnsi" w:hAnsiTheme="minorHAnsi"/>
                <w:sz w:val="20"/>
                <w:szCs w:val="20"/>
              </w:rPr>
              <w:t>.</w:t>
            </w:r>
            <w:r>
              <w:rPr>
                <w:sz w:val="20"/>
                <w:szCs w:val="20"/>
              </w:rPr>
              <w:t xml:space="preserve"> </w:t>
            </w:r>
          </w:p>
        </w:tc>
        <w:tc>
          <w:tcPr>
            <w:tcW w:w="1851" w:type="pct"/>
            <w:shd w:val="clear" w:color="auto" w:fill="FFFFFF" w:themeFill="background1"/>
            <w:vAlign w:val="center"/>
          </w:tcPr>
          <w:p w:rsidR="003E1475" w:rsidRPr="0069023F" w:rsidRDefault="003E1475" w:rsidP="006C7C96">
            <w:pPr>
              <w:ind w:left="458" w:hanging="458"/>
              <w:rPr>
                <w:sz w:val="20"/>
                <w:szCs w:val="20"/>
              </w:rPr>
            </w:pPr>
            <w:r w:rsidRPr="0069023F">
              <w:rPr>
                <w:sz w:val="20"/>
                <w:szCs w:val="20"/>
              </w:rPr>
              <w:t>R1:</w:t>
            </w:r>
            <w:r w:rsidRPr="0069023F">
              <w:rPr>
                <w:sz w:val="20"/>
                <w:szCs w:val="20"/>
              </w:rPr>
              <w:tab/>
              <w:t xml:space="preserve">Institutional partners should develop and implement a plan to ensure professional completion of </w:t>
            </w:r>
            <w:r>
              <w:rPr>
                <w:sz w:val="20"/>
                <w:szCs w:val="20"/>
              </w:rPr>
              <w:t xml:space="preserve">Cycle 4 </w:t>
            </w:r>
            <w:r w:rsidRPr="0069023F">
              <w:rPr>
                <w:sz w:val="20"/>
                <w:szCs w:val="20"/>
              </w:rPr>
              <w:t>schools</w:t>
            </w:r>
            <w:r>
              <w:rPr>
                <w:sz w:val="20"/>
                <w:szCs w:val="20"/>
              </w:rPr>
              <w:t>.</w:t>
            </w:r>
          </w:p>
        </w:tc>
        <w:tc>
          <w:tcPr>
            <w:tcW w:w="400" w:type="pct"/>
            <w:tcBorders>
              <w:bottom w:val="single" w:sz="4" w:space="0" w:color="auto"/>
            </w:tcBorders>
            <w:shd w:val="clear" w:color="auto" w:fill="FF0000"/>
            <w:vAlign w:val="center"/>
          </w:tcPr>
          <w:p w:rsidR="003E1475" w:rsidRPr="0069023F" w:rsidRDefault="003E1475" w:rsidP="006C7C96">
            <w:pPr>
              <w:jc w:val="center"/>
              <w:rPr>
                <w:sz w:val="20"/>
                <w:szCs w:val="20"/>
              </w:rPr>
            </w:pPr>
            <w:r w:rsidRPr="0077380B">
              <w:rPr>
                <w:sz w:val="20"/>
                <w:szCs w:val="20"/>
              </w:rPr>
              <w:t>***</w:t>
            </w:r>
          </w:p>
        </w:tc>
        <w:tc>
          <w:tcPr>
            <w:tcW w:w="660" w:type="pct"/>
            <w:vAlign w:val="center"/>
          </w:tcPr>
          <w:p w:rsidR="003E1475" w:rsidRPr="0069023F" w:rsidRDefault="003E1475" w:rsidP="006C7C96">
            <w:pPr>
              <w:rPr>
                <w:sz w:val="20"/>
                <w:szCs w:val="20"/>
              </w:rPr>
            </w:pPr>
            <w:r w:rsidRPr="0077380B">
              <w:rPr>
                <w:sz w:val="20"/>
                <w:szCs w:val="20"/>
              </w:rPr>
              <w:t>DFAT and MoEC</w:t>
            </w:r>
          </w:p>
        </w:tc>
      </w:tr>
      <w:tr w:rsidR="003E1475" w:rsidRPr="0077380B" w:rsidTr="001D2009">
        <w:trPr>
          <w:trHeight w:val="839"/>
        </w:trPr>
        <w:tc>
          <w:tcPr>
            <w:tcW w:w="2089" w:type="pct"/>
            <w:shd w:val="clear" w:color="auto" w:fill="FFFFFF" w:themeFill="background1"/>
            <w:vAlign w:val="center"/>
          </w:tcPr>
          <w:p w:rsidR="003E1475" w:rsidRPr="0069023F" w:rsidRDefault="003E1475" w:rsidP="006C7C96">
            <w:pPr>
              <w:rPr>
                <w:sz w:val="20"/>
                <w:szCs w:val="20"/>
              </w:rPr>
            </w:pPr>
            <w:r w:rsidRPr="0069023F">
              <w:rPr>
                <w:sz w:val="20"/>
                <w:szCs w:val="20"/>
              </w:rPr>
              <w:t>C1 has made notable year-on-year improvements to the efficiency of the delivery of school construction. These are directly attributable to the prevalence of enhanced management processes and systems. There is a clear opportunity to institutionalise those enhancements (see §2.4.</w:t>
            </w:r>
            <w:r>
              <w:rPr>
                <w:sz w:val="20"/>
                <w:szCs w:val="20"/>
              </w:rPr>
              <w:t>5</w:t>
            </w:r>
            <w:r w:rsidRPr="0069023F">
              <w:rPr>
                <w:sz w:val="20"/>
                <w:szCs w:val="20"/>
              </w:rPr>
              <w:t>).</w:t>
            </w:r>
          </w:p>
        </w:tc>
        <w:tc>
          <w:tcPr>
            <w:tcW w:w="1851" w:type="pct"/>
            <w:shd w:val="clear" w:color="auto" w:fill="FFFFFF" w:themeFill="background1"/>
            <w:vAlign w:val="center"/>
          </w:tcPr>
          <w:p w:rsidR="003E1475" w:rsidRPr="0069023F" w:rsidRDefault="003E1475" w:rsidP="00AE0FA5">
            <w:pPr>
              <w:ind w:left="458" w:hanging="458"/>
              <w:rPr>
                <w:sz w:val="20"/>
                <w:szCs w:val="20"/>
              </w:rPr>
            </w:pPr>
            <w:r w:rsidRPr="0069023F">
              <w:rPr>
                <w:sz w:val="20"/>
                <w:szCs w:val="20"/>
              </w:rPr>
              <w:t>R2:</w:t>
            </w:r>
            <w:r w:rsidRPr="0069023F">
              <w:rPr>
                <w:sz w:val="20"/>
                <w:szCs w:val="20"/>
              </w:rPr>
              <w:tab/>
              <w:t xml:space="preserve">MoEC and DFAT should </w:t>
            </w:r>
            <w:r w:rsidR="00AE0FA5">
              <w:rPr>
                <w:sz w:val="20"/>
                <w:szCs w:val="20"/>
              </w:rPr>
              <w:t xml:space="preserve">continue their efforts </w:t>
            </w:r>
            <w:r w:rsidRPr="0069023F">
              <w:rPr>
                <w:sz w:val="20"/>
                <w:szCs w:val="20"/>
              </w:rPr>
              <w:t>to maximize existing investments in systems strengthening (e.g. guidelines, monitoring, CHS, and site selection)</w:t>
            </w:r>
            <w:r>
              <w:rPr>
                <w:sz w:val="20"/>
                <w:szCs w:val="20"/>
              </w:rPr>
              <w:t>.</w:t>
            </w:r>
          </w:p>
        </w:tc>
        <w:tc>
          <w:tcPr>
            <w:tcW w:w="400" w:type="pct"/>
            <w:tcBorders>
              <w:bottom w:val="single" w:sz="4" w:space="0" w:color="auto"/>
            </w:tcBorders>
            <w:shd w:val="clear" w:color="auto" w:fill="FF0000"/>
            <w:vAlign w:val="center"/>
          </w:tcPr>
          <w:p w:rsidR="003E1475" w:rsidRPr="0069023F" w:rsidRDefault="003E1475" w:rsidP="006C7C96">
            <w:pPr>
              <w:jc w:val="center"/>
              <w:rPr>
                <w:sz w:val="20"/>
                <w:szCs w:val="20"/>
              </w:rPr>
            </w:pPr>
            <w:r w:rsidRPr="0077380B">
              <w:rPr>
                <w:sz w:val="20"/>
                <w:szCs w:val="20"/>
              </w:rPr>
              <w:t>***</w:t>
            </w:r>
          </w:p>
        </w:tc>
        <w:tc>
          <w:tcPr>
            <w:tcW w:w="660" w:type="pct"/>
            <w:vAlign w:val="center"/>
          </w:tcPr>
          <w:p w:rsidR="003E1475" w:rsidRPr="0069023F" w:rsidRDefault="003E1475" w:rsidP="006C7C96">
            <w:pPr>
              <w:rPr>
                <w:sz w:val="20"/>
                <w:szCs w:val="20"/>
              </w:rPr>
            </w:pPr>
            <w:r w:rsidRPr="0077380B">
              <w:rPr>
                <w:sz w:val="20"/>
                <w:szCs w:val="20"/>
              </w:rPr>
              <w:t>MoEC and DFAT</w:t>
            </w:r>
          </w:p>
        </w:tc>
      </w:tr>
    </w:tbl>
    <w:p w:rsidR="00B33BC8" w:rsidRPr="00851EC7" w:rsidRDefault="00B33BC8" w:rsidP="00775568">
      <w:r w:rsidRPr="00851EC7">
        <w:t>NB: Red (***) - high urgency; orange (**) - medium urgency; green (*) - low urgency</w:t>
      </w:r>
    </w:p>
    <w:p w:rsidR="00A42AA1" w:rsidRPr="00851EC7" w:rsidRDefault="00A42AA1" w:rsidP="00775568">
      <w:pPr>
        <w:sectPr w:rsidR="00A42AA1" w:rsidRPr="00851EC7" w:rsidSect="00A42AA1">
          <w:headerReference w:type="default" r:id="rId35"/>
          <w:pgSz w:w="16834" w:h="11909" w:orient="landscape" w:code="9"/>
          <w:pgMar w:top="1440" w:right="1440" w:bottom="1440" w:left="1440" w:header="432" w:footer="720" w:gutter="0"/>
          <w:cols w:space="720"/>
          <w:noEndnote/>
          <w:docGrid w:linePitch="360"/>
        </w:sectPr>
      </w:pPr>
    </w:p>
    <w:p w:rsidR="002C3049" w:rsidRPr="00851EC7" w:rsidRDefault="002C3049" w:rsidP="002C3049">
      <w:pPr>
        <w:pStyle w:val="Heading1"/>
      </w:pPr>
      <w:bookmarkStart w:id="45" w:name="_Toc448156326"/>
      <w:r w:rsidRPr="00851EC7">
        <w:lastRenderedPageBreak/>
        <w:t xml:space="preserve">Component </w:t>
      </w:r>
      <w:r>
        <w:t>2</w:t>
      </w:r>
      <w:r w:rsidRPr="00851EC7">
        <w:t xml:space="preserve">: School </w:t>
      </w:r>
      <w:r>
        <w:t>and District Management</w:t>
      </w:r>
      <w:bookmarkEnd w:id="45"/>
    </w:p>
    <w:p w:rsidR="002C3049" w:rsidRPr="00851EC7" w:rsidRDefault="002C3049" w:rsidP="002C3049">
      <w:pPr>
        <w:pStyle w:val="Heading2"/>
      </w:pPr>
      <w:r w:rsidRPr="00851EC7">
        <w:t xml:space="preserve">Introduction </w:t>
      </w:r>
    </w:p>
    <w:p w:rsidR="002C3049" w:rsidRDefault="002C3049" w:rsidP="002C3049">
      <w:pPr>
        <w:pStyle w:val="Heading3"/>
      </w:pPr>
      <w:r w:rsidRPr="00851EC7">
        <w:t xml:space="preserve">The EP investment </w:t>
      </w:r>
    </w:p>
    <w:p w:rsidR="002C3049" w:rsidRPr="004F0223" w:rsidRDefault="002C3049" w:rsidP="002C3049">
      <w:r w:rsidRPr="00D20962">
        <w:t xml:space="preserve">Component 2 seeks to improve the management of schools and </w:t>
      </w:r>
      <w:r>
        <w:t>Madrasah</w:t>
      </w:r>
      <w:r w:rsidRPr="00D20962">
        <w:t xml:space="preserve"> in participating districts</w:t>
      </w:r>
      <w:r w:rsidRPr="00D20962">
        <w:rPr>
          <w:vertAlign w:val="superscript"/>
        </w:rPr>
        <w:t xml:space="preserve"> </w:t>
      </w:r>
      <w:r w:rsidRPr="00D20962">
        <w:t>(</w:t>
      </w:r>
      <w:r w:rsidRPr="004F0223">
        <w:t xml:space="preserve">EOPO) </w:t>
      </w:r>
      <w:r>
        <w:t xml:space="preserve">by supporting the establishment of a new professional development system that should enable principals to apply their </w:t>
      </w:r>
      <w:r w:rsidRPr="004F0223">
        <w:t>improved professional competencies (EOCO)</w:t>
      </w:r>
      <w:r w:rsidRPr="004F0223">
        <w:rPr>
          <w:vertAlign w:val="superscript"/>
        </w:rPr>
        <w:endnoteReference w:id="13"/>
      </w:r>
      <w:r w:rsidRPr="004F0223">
        <w:t>. The professional development system (or ProDEP) offers tailored training programs based on an individual’s needs</w:t>
      </w:r>
      <w:r>
        <w:t>, thereby supporting the implementation of Ministerial Decrees No. 13/2007</w:t>
      </w:r>
      <w:r>
        <w:rPr>
          <w:rStyle w:val="FootnoteReference"/>
        </w:rPr>
        <w:footnoteReference w:id="35"/>
      </w:r>
      <w:r>
        <w:t xml:space="preserve"> and 28/2010</w:t>
      </w:r>
      <w:r>
        <w:rPr>
          <w:rStyle w:val="FootnoteReference"/>
        </w:rPr>
        <w:footnoteReference w:id="36"/>
      </w:r>
      <w:r>
        <w:t xml:space="preserve">. </w:t>
      </w:r>
      <w:r w:rsidRPr="004F0223">
        <w:t xml:space="preserve">It is delivered through an </w:t>
      </w:r>
      <w:r>
        <w:t>‘</w:t>
      </w:r>
      <w:r w:rsidRPr="004F0223">
        <w:t>In-On-In</w:t>
      </w:r>
      <w:r>
        <w:t>’</w:t>
      </w:r>
      <w:r w:rsidRPr="004F0223">
        <w:t xml:space="preserve"> process that </w:t>
      </w:r>
      <w:r>
        <w:t xml:space="preserve">involves a period of training, the </w:t>
      </w:r>
      <w:r w:rsidRPr="004F0223">
        <w:t>implement</w:t>
      </w:r>
      <w:r>
        <w:t>ation of</w:t>
      </w:r>
      <w:r w:rsidRPr="004F0223">
        <w:t xml:space="preserve"> </w:t>
      </w:r>
      <w:r>
        <w:t>new knowledge and practices</w:t>
      </w:r>
      <w:r w:rsidRPr="004F0223">
        <w:t xml:space="preserve"> in the workplace for six months, and then</w:t>
      </w:r>
      <w:r>
        <w:t xml:space="preserve"> follow-up training</w:t>
      </w:r>
      <w:r w:rsidRPr="004F0223">
        <w:t xml:space="preserve"> to reflect </w:t>
      </w:r>
      <w:r>
        <w:t xml:space="preserve">upon </w:t>
      </w:r>
      <w:r w:rsidRPr="004F0223">
        <w:t>and discuss results. It has at its core the Continuous Professional Development (CPD)</w:t>
      </w:r>
      <w:r w:rsidRPr="004F0223">
        <w:rPr>
          <w:rStyle w:val="FootnoteReference"/>
        </w:rPr>
        <w:footnoteReference w:id="37"/>
      </w:r>
      <w:r w:rsidRPr="004F0223">
        <w:t xml:space="preserve"> </w:t>
      </w:r>
      <w:r>
        <w:t>of</w:t>
      </w:r>
      <w:r w:rsidRPr="004F0223">
        <w:t xml:space="preserve"> principals. ProDEP also includes </w:t>
      </w:r>
      <w:r>
        <w:t>components on</w:t>
      </w:r>
      <w:r w:rsidRPr="004F0223">
        <w:t xml:space="preserve"> Supervisor Professional Development (SPD)</w:t>
      </w:r>
      <w:r w:rsidRPr="004F0223">
        <w:rPr>
          <w:rStyle w:val="FootnoteReference"/>
        </w:rPr>
        <w:footnoteReference w:id="38"/>
      </w:r>
      <w:r w:rsidRPr="004F0223">
        <w:t>, Human Resource Management and Development (HRMD)</w:t>
      </w:r>
      <w:r w:rsidRPr="004F0223">
        <w:rPr>
          <w:rStyle w:val="FootnoteReference"/>
        </w:rPr>
        <w:footnoteReference w:id="39"/>
      </w:r>
      <w:r w:rsidRPr="004F0223">
        <w:t>, Strategic Planning and Financial Management (SP&amp;FM), and the Principal Preparation Program (PPP)</w:t>
      </w:r>
      <w:r w:rsidRPr="004F0223">
        <w:rPr>
          <w:rStyle w:val="FootnoteReference"/>
        </w:rPr>
        <w:footnoteReference w:id="40"/>
      </w:r>
      <w:r w:rsidRPr="004F0223">
        <w:t xml:space="preserve">. The Principal Performance Improvement Program (PPIP), a new </w:t>
      </w:r>
      <w:r>
        <w:t>component</w:t>
      </w:r>
      <w:r w:rsidRPr="004F0223">
        <w:t xml:space="preserve"> </w:t>
      </w:r>
      <w:r>
        <w:t>that seeks to improve</w:t>
      </w:r>
      <w:r w:rsidRPr="004F0223">
        <w:t xml:space="preserve"> the capacities of underperforming principals, was piloted in 2015. Unlike previous years, no DFAT-financed HRMD, SP&amp;FM, and PPP trainings were implemented in 2015.</w:t>
      </w:r>
      <w:r w:rsidR="002010DB">
        <w:t xml:space="preserve"> </w:t>
      </w:r>
    </w:p>
    <w:p w:rsidR="002C3049" w:rsidRDefault="002C3049" w:rsidP="002C3049">
      <w:pPr>
        <w:rPr>
          <w:rFonts w:cstheme="minorHAnsi"/>
        </w:rPr>
      </w:pPr>
      <w:r>
        <w:rPr>
          <w:rFonts w:cstheme="minorHAnsi"/>
        </w:rPr>
        <w:t xml:space="preserve">With DFAT funding, </w:t>
      </w:r>
      <w:r w:rsidRPr="004F0223">
        <w:rPr>
          <w:rFonts w:cstheme="minorHAnsi"/>
        </w:rPr>
        <w:t xml:space="preserve">ProDEP is implemented in 250 </w:t>
      </w:r>
      <w:r>
        <w:rPr>
          <w:rFonts w:cstheme="minorHAnsi"/>
        </w:rPr>
        <w:t xml:space="preserve">of Indonesia’s </w:t>
      </w:r>
      <w:r w:rsidRPr="008C2826">
        <w:rPr>
          <w:rFonts w:cstheme="minorHAnsi"/>
        </w:rPr>
        <w:t>514</w:t>
      </w:r>
      <w:r>
        <w:rPr>
          <w:rFonts w:cstheme="minorHAnsi"/>
        </w:rPr>
        <w:t xml:space="preserve"> districts</w:t>
      </w:r>
      <w:r w:rsidRPr="004F0223">
        <w:rPr>
          <w:rFonts w:cstheme="minorHAnsi"/>
        </w:rPr>
        <w:t xml:space="preserve">. </w:t>
      </w:r>
      <w:r>
        <w:rPr>
          <w:rFonts w:cstheme="minorHAnsi"/>
        </w:rPr>
        <w:t xml:space="preserve">However, </w:t>
      </w:r>
      <w:r>
        <w:t>i</w:t>
      </w:r>
      <w:r w:rsidRPr="004F0223">
        <w:t>n 2015</w:t>
      </w:r>
      <w:r>
        <w:t>,</w:t>
      </w:r>
      <w:r w:rsidRPr="004F0223">
        <w:t xml:space="preserve"> MoEC f</w:t>
      </w:r>
      <w:r>
        <w:t xml:space="preserve">unded roll-out in 16 additional </w:t>
      </w:r>
      <w:r w:rsidRPr="004F0223">
        <w:t xml:space="preserve">districts </w:t>
      </w:r>
      <w:r>
        <w:t xml:space="preserve">and it intends to add a further </w:t>
      </w:r>
      <w:r w:rsidRPr="004F0223">
        <w:t>24 distri</w:t>
      </w:r>
      <w:r>
        <w:t>cts in 2016</w:t>
      </w:r>
      <w:r w:rsidRPr="004F0223">
        <w:rPr>
          <w:rStyle w:val="EndnoteReference"/>
        </w:rPr>
        <w:endnoteReference w:id="14"/>
      </w:r>
      <w:r>
        <w:t>.</w:t>
      </w:r>
      <w:r w:rsidR="002010DB">
        <w:t xml:space="preserve"> </w:t>
      </w:r>
      <w:r>
        <w:t>ProDEP’s main</w:t>
      </w:r>
      <w:r w:rsidRPr="004F0223">
        <w:t xml:space="preserve"> beneficiaries are principals in </w:t>
      </w:r>
      <w:r>
        <w:t>regular state</w:t>
      </w:r>
      <w:r w:rsidRPr="004F0223">
        <w:t xml:space="preserve"> schools</w:t>
      </w:r>
      <w:r>
        <w:t xml:space="preserve">. However, </w:t>
      </w:r>
      <w:r w:rsidRPr="004F0223">
        <w:t xml:space="preserve">15% of participants </w:t>
      </w:r>
      <w:r>
        <w:t>are expected to</w:t>
      </w:r>
      <w:r w:rsidRPr="004F0223">
        <w:t xml:space="preserve"> stem from </w:t>
      </w:r>
      <w:r>
        <w:t>M</w:t>
      </w:r>
      <w:r w:rsidRPr="004F0223">
        <w:t>adrasah</w:t>
      </w:r>
      <w:r>
        <w:rPr>
          <w:rStyle w:val="FootnoteReference"/>
        </w:rPr>
        <w:footnoteReference w:id="41"/>
      </w:r>
      <w:r w:rsidRPr="004F0223">
        <w:t>.</w:t>
      </w:r>
    </w:p>
    <w:p w:rsidR="002C3049" w:rsidRPr="00445A05" w:rsidRDefault="002C3049" w:rsidP="002C3049">
      <w:r w:rsidRPr="00445A05">
        <w:t>ProDEP is implemented using four delivery modalities: (</w:t>
      </w:r>
      <w:r>
        <w:t>i</w:t>
      </w:r>
      <w:r w:rsidRPr="00445A05">
        <w:t xml:space="preserve">) </w:t>
      </w:r>
      <w:r>
        <w:t xml:space="preserve">the so-called ‘direct modality’ in which </w:t>
      </w:r>
      <w:r w:rsidRPr="00C1101B">
        <w:t>U</w:t>
      </w:r>
      <w:r>
        <w:t>nits of Learning (U</w:t>
      </w:r>
      <w:r w:rsidRPr="00C1101B">
        <w:t>oL</w:t>
      </w:r>
      <w:r>
        <w:t>)</w:t>
      </w:r>
      <w:r w:rsidRPr="00C1101B">
        <w:t xml:space="preserve"> are delivered directly to participants by approved trainers from </w:t>
      </w:r>
      <w:r>
        <w:t>GoI institutions; (ii</w:t>
      </w:r>
      <w:r w:rsidRPr="00445A05">
        <w:t>) the cluster</w:t>
      </w:r>
      <w:r>
        <w:t>-</w:t>
      </w:r>
      <w:r w:rsidRPr="00445A05">
        <w:t>based modality</w:t>
      </w:r>
      <w:r>
        <w:t xml:space="preserve"> in which UoLs are delivered using cluster-level working groups; (iii) the </w:t>
      </w:r>
      <w:r w:rsidRPr="00445A05">
        <w:t>On</w:t>
      </w:r>
      <w:r>
        <w:t>-</w:t>
      </w:r>
      <w:r w:rsidRPr="00445A05">
        <w:t>Line Learning</w:t>
      </w:r>
      <w:r>
        <w:t xml:space="preserve"> (OLL)</w:t>
      </w:r>
      <w:r w:rsidRPr="00445A05">
        <w:t xml:space="preserve"> modality,</w:t>
      </w:r>
      <w:r>
        <w:t xml:space="preserve"> and; (iv</w:t>
      </w:r>
      <w:r w:rsidRPr="00445A05">
        <w:t>) the district modality</w:t>
      </w:r>
      <w:r>
        <w:t xml:space="preserve"> in which UoLs are delivered by supervisors at a venue provided by the District Education Office</w:t>
      </w:r>
      <w:r w:rsidRPr="00445A05">
        <w:t xml:space="preserve">. </w:t>
      </w:r>
      <w:r>
        <w:t xml:space="preserve">ProDEP </w:t>
      </w:r>
      <w:r w:rsidRPr="00445A05">
        <w:t>U</w:t>
      </w:r>
      <w:r>
        <w:t>oLs are arranged in three levels,</w:t>
      </w:r>
      <w:r w:rsidRPr="00445A05">
        <w:t xml:space="preserve"> </w:t>
      </w:r>
      <w:r>
        <w:t xml:space="preserve">with Level 1 comprising modules that cater for basic skill sets, e.g. administrative and reporting skills. Level 2 and Level 3 modules are targeted at more experienced or ‘advanced’ principals, with content including community engagement and instructional leadership. </w:t>
      </w:r>
      <w:r>
        <w:lastRenderedPageBreak/>
        <w:t xml:space="preserve">Level 1 has been provided </w:t>
      </w:r>
      <w:r w:rsidRPr="00445A05">
        <w:t xml:space="preserve">to principals </w:t>
      </w:r>
      <w:r>
        <w:t>since 2014 and, more recently, DFAT has supported MoEC’s preparations for the delivery of L</w:t>
      </w:r>
      <w:r w:rsidRPr="00445A05">
        <w:t xml:space="preserve">evels 2 and 3 through OLL. </w:t>
      </w:r>
    </w:p>
    <w:p w:rsidR="002C3049" w:rsidRDefault="002C3049" w:rsidP="002C3049">
      <w:pPr>
        <w:pStyle w:val="Heading3"/>
      </w:pPr>
      <w:bookmarkStart w:id="46" w:name="_Ref448145862"/>
      <w:r w:rsidRPr="00851EC7">
        <w:t>The delivery mechanisms and support provided by the EP</w:t>
      </w:r>
      <w:bookmarkEnd w:id="46"/>
    </w:p>
    <w:p w:rsidR="002C3049" w:rsidRPr="00D20962" w:rsidRDefault="002C3049" w:rsidP="002C3049">
      <w:r w:rsidRPr="004F0223">
        <w:t xml:space="preserve">The role of the </w:t>
      </w:r>
      <w:r>
        <w:t xml:space="preserve">SSQ </w:t>
      </w:r>
      <w:r w:rsidRPr="00445A05">
        <w:t>Managing</w:t>
      </w:r>
      <w:r w:rsidRPr="004F0223">
        <w:t xml:space="preserve"> Contractor </w:t>
      </w:r>
      <w:r w:rsidRPr="00D20962">
        <w:t xml:space="preserve">has </w:t>
      </w:r>
      <w:r>
        <w:t>evolved</w:t>
      </w:r>
      <w:r w:rsidRPr="00D20962">
        <w:t xml:space="preserve"> over the years</w:t>
      </w:r>
      <w:r>
        <w:t>,</w:t>
      </w:r>
      <w:r w:rsidRPr="00D20962">
        <w:t xml:space="preserve"> from an initial focus on designing, developing and piloting professional development programs, to assisting MoEC</w:t>
      </w:r>
      <w:r>
        <w:t xml:space="preserve"> from 2014 to </w:t>
      </w:r>
      <w:r w:rsidRPr="00D20962">
        <w:t>implement, monitor</w:t>
      </w:r>
      <w:r>
        <w:t xml:space="preserve">, </w:t>
      </w:r>
      <w:r w:rsidRPr="00D20962">
        <w:t>evaluat</w:t>
      </w:r>
      <w:r>
        <w:t>e</w:t>
      </w:r>
      <w:r w:rsidRPr="00D20962">
        <w:t xml:space="preserve"> and quality assur</w:t>
      </w:r>
      <w:r>
        <w:t>e ProDEP</w:t>
      </w:r>
      <w:r w:rsidRPr="00D20962">
        <w:rPr>
          <w:vertAlign w:val="superscript"/>
        </w:rPr>
        <w:endnoteReference w:id="15"/>
      </w:r>
      <w:r w:rsidRPr="00D20962">
        <w:t xml:space="preserve">. </w:t>
      </w:r>
      <w:r>
        <w:t xml:space="preserve">Since January 2015, GoI has been responsible for the technical implementation of ProDEP activities. DFAT funding of ProDEP implementation in 2014 and 2015 was provided </w:t>
      </w:r>
      <w:r w:rsidRPr="004F0223">
        <w:t>through the Working in Partner Systems (WiPS) mechan</w:t>
      </w:r>
      <w:r>
        <w:t xml:space="preserve">ism, with the financing </w:t>
      </w:r>
      <w:r w:rsidRPr="004F0223">
        <w:t>integrated into MoEC’s budget</w:t>
      </w:r>
      <w:r>
        <w:t xml:space="preserve">. That required </w:t>
      </w:r>
      <w:r w:rsidRPr="004F0223">
        <w:t>collaboration between not only DFAT, MoEC and MoRA, but also BAPPENAS and MoF.</w:t>
      </w:r>
      <w:r>
        <w:t xml:space="preserve"> The year 2015 was the last in which DFAT financed the delivery of training activities.</w:t>
      </w:r>
    </w:p>
    <w:p w:rsidR="002C3049" w:rsidRDefault="002C3049" w:rsidP="002C3049">
      <w:r>
        <w:t xml:space="preserve">Following an organisational restructure of MoEC in </w:t>
      </w:r>
      <w:r w:rsidRPr="00FB1982">
        <w:t>2015</w:t>
      </w:r>
      <w:r>
        <w:t>, ProDEP is now managed by the Directorate for Development of Basic and Senior Secondary Education Personnel under the Directorate General for Teacher and Education Personnel</w:t>
      </w:r>
      <w:r>
        <w:rPr>
          <w:rStyle w:val="FootnoteReference"/>
          <w:bCs/>
          <w:iCs/>
        </w:rPr>
        <w:footnoteReference w:id="42"/>
      </w:r>
      <w:r>
        <w:t xml:space="preserve">. It is implemented at a subnational level by a number of Eligible Entities (EEs). The number of EEs involved in the delivery of ProDEP fell from </w:t>
      </w:r>
      <w:r w:rsidRPr="00830F61">
        <w:t xml:space="preserve">40 </w:t>
      </w:r>
      <w:r>
        <w:t xml:space="preserve">in 2014 </w:t>
      </w:r>
      <w:r w:rsidRPr="00830F61">
        <w:t xml:space="preserve">to </w:t>
      </w:r>
      <w:r w:rsidRPr="00C1101B">
        <w:t>13</w:t>
      </w:r>
      <w:r>
        <w:t xml:space="preserve"> in 2015</w:t>
      </w:r>
      <w:r w:rsidRPr="00B3026F">
        <w:rPr>
          <w:rStyle w:val="EndnoteReference"/>
        </w:rPr>
        <w:endnoteReference w:id="16"/>
      </w:r>
      <w:r>
        <w:t xml:space="preserve"> following MoEC’s restructuring. They currently consist of 12 </w:t>
      </w:r>
      <w:r w:rsidRPr="00A55D15">
        <w:t>Centre</w:t>
      </w:r>
      <w:r>
        <w:t>s</w:t>
      </w:r>
      <w:r w:rsidRPr="00A55D15">
        <w:t xml:space="preserve"> for Development and Empowerment of Teachers and Education Personnel (P4TK), and the Board of School Principal Development and </w:t>
      </w:r>
      <w:r w:rsidRPr="008B3096">
        <w:t>Empowerment (LPPKS). P4TK</w:t>
      </w:r>
      <w:r>
        <w:t>s</w:t>
      </w:r>
      <w:r w:rsidRPr="008B3096">
        <w:t xml:space="preserve"> </w:t>
      </w:r>
      <w:r>
        <w:t>deliver t</w:t>
      </w:r>
      <w:r w:rsidRPr="008B3096">
        <w:t>he OLL, direc</w:t>
      </w:r>
      <w:r>
        <w:t xml:space="preserve">t and cluster-based modalities, whilst </w:t>
      </w:r>
      <w:r w:rsidRPr="008B3096">
        <w:t>the LPPKS is responsible for the implementation of direct and cluster</w:t>
      </w:r>
      <w:r>
        <w:t>-</w:t>
      </w:r>
      <w:r w:rsidRPr="008B3096">
        <w:t>based modalities only.</w:t>
      </w:r>
      <w:r>
        <w:t xml:space="preserve"> </w:t>
      </w:r>
      <w:r w:rsidRPr="008B3096">
        <w:t xml:space="preserve">The </w:t>
      </w:r>
      <w:r w:rsidRPr="00311C87">
        <w:t>33</w:t>
      </w:r>
      <w:r>
        <w:rPr>
          <w:rStyle w:val="FootnoteReference"/>
        </w:rPr>
        <w:footnoteReference w:id="43"/>
      </w:r>
      <w:r w:rsidRPr="008B3096">
        <w:t xml:space="preserve"> Boards of Education</w:t>
      </w:r>
      <w:r w:rsidRPr="00EE1AC0">
        <w:t xml:space="preserve"> Quality Assurance</w:t>
      </w:r>
      <w:r>
        <w:t xml:space="preserve"> (LPMPs), which were EEs until the restructure, are no longer involved in the delivery of ProDEP</w:t>
      </w:r>
      <w:r>
        <w:rPr>
          <w:rStyle w:val="FootnoteReference"/>
          <w:bCs/>
          <w:iCs/>
        </w:rPr>
        <w:footnoteReference w:id="44"/>
      </w:r>
      <w:r>
        <w:t xml:space="preserve">. </w:t>
      </w:r>
    </w:p>
    <w:p w:rsidR="002C3049" w:rsidRPr="000823EE" w:rsidRDefault="002C3049" w:rsidP="002C3049"/>
    <w:p w:rsidR="002C3049" w:rsidRDefault="002C3049" w:rsidP="002C3049">
      <w:pPr>
        <w:pStyle w:val="Heading2"/>
      </w:pPr>
      <w:r w:rsidRPr="00851EC7">
        <w:t>Context</w:t>
      </w:r>
    </w:p>
    <w:p w:rsidR="002C3049" w:rsidRDefault="002C3049" w:rsidP="002C3049">
      <w:r>
        <w:t>The EP seeks to build Indonesia’s first national system of professional development for education personnel with principals as a key target group. The concept of life-long learning is relatively new to Indonesia. Until ProDEP, training was typically delivered through one-off workshops or through the cascade approach, neither of which necessarily fosters the incremental development of knowledge or facilitates application in the workplace over the long-term.</w:t>
      </w:r>
      <w:r w:rsidR="002010DB">
        <w:t xml:space="preserve"> </w:t>
      </w:r>
    </w:p>
    <w:p w:rsidR="002C3049" w:rsidRDefault="002C3049" w:rsidP="002C3049">
      <w:r>
        <w:t xml:space="preserve">Full implementation of ProDEP was first rolled-out in late 2014, although piloting started in 2012, and module preparation started in the earlier AIBEP program (2006-2010/11). Since that time ProDEP has had to contend with a range of events and changes to its political, policy and institutional landscape, including the institutional demands associated with the introduction of </w:t>
      </w:r>
      <w:r>
        <w:lastRenderedPageBreak/>
        <w:t xml:space="preserve">Curriculum 2013 (particularly </w:t>
      </w:r>
      <w:r w:rsidRPr="00FA4CB6">
        <w:t xml:space="preserve">in </w:t>
      </w:r>
      <w:r w:rsidRPr="00311C87">
        <w:t>2014</w:t>
      </w:r>
      <w:r w:rsidRPr="00FA4CB6">
        <w:rPr>
          <w:rStyle w:val="FootnoteReference"/>
        </w:rPr>
        <w:footnoteReference w:id="45"/>
      </w:r>
      <w:r>
        <w:t>)</w:t>
      </w:r>
      <w:r w:rsidRPr="00FA4CB6">
        <w:t>,</w:t>
      </w:r>
      <w:r>
        <w:t xml:space="preserve"> the effect of the Ministry of State Apparatus and Bureaucratic Reform’s Circulation letter No. 11/2014</w:t>
      </w:r>
      <w:r>
        <w:rPr>
          <w:rStyle w:val="FootnoteReference"/>
        </w:rPr>
        <w:footnoteReference w:id="46"/>
      </w:r>
      <w:r>
        <w:t xml:space="preserve"> and the recent restructuring of MoEC (see Section </w:t>
      </w:r>
      <w:r>
        <w:fldChar w:fldCharType="begin"/>
      </w:r>
      <w:r>
        <w:instrText xml:space="preserve"> REF _Ref448145862 \w \h </w:instrText>
      </w:r>
      <w:r>
        <w:fldChar w:fldCharType="separate"/>
      </w:r>
      <w:r>
        <w:t>3.1.2</w:t>
      </w:r>
      <w:r>
        <w:fldChar w:fldCharType="end"/>
      </w:r>
      <w:r>
        <w:t xml:space="preserve"> above).</w:t>
      </w:r>
    </w:p>
    <w:p w:rsidR="002C3049" w:rsidRDefault="002C3049" w:rsidP="002C3049">
      <w:r>
        <w:t xml:space="preserve">In line with Australia’s new aid paradigm, DFAT announced in mid-2015 that any future support to ProDEP would be provided in the form of </w:t>
      </w:r>
      <w:r w:rsidRPr="00FA4CB6">
        <w:t xml:space="preserve">Technical Assistance and not </w:t>
      </w:r>
      <w:r>
        <w:t xml:space="preserve">through </w:t>
      </w:r>
      <w:r w:rsidRPr="00FA4CB6">
        <w:t>the direct financing of training</w:t>
      </w:r>
      <w:r>
        <w:t xml:space="preserve"> provided from </w:t>
      </w:r>
      <w:r w:rsidRPr="00726E59">
        <w:t>2011-1</w:t>
      </w:r>
      <w:r w:rsidRPr="00FA4CB6">
        <w:t>5.</w:t>
      </w:r>
      <w:r>
        <w:t xml:space="preserve"> </w:t>
      </w:r>
    </w:p>
    <w:p w:rsidR="002C3049" w:rsidRDefault="002C3049" w:rsidP="002C3049">
      <w:pPr>
        <w:pStyle w:val="Heading2"/>
      </w:pPr>
      <w:r w:rsidRPr="00851EC7">
        <w:t>Achievements</w:t>
      </w:r>
    </w:p>
    <w:p w:rsidR="002C3049" w:rsidRDefault="002C3049" w:rsidP="002C3049">
      <w:r>
        <w:t>Even though the delivery of Grant Agreement-financed training in 2015 was delayed until October</w:t>
      </w:r>
      <w:r>
        <w:rPr>
          <w:rStyle w:val="FootnoteReference"/>
        </w:rPr>
        <w:footnoteReference w:id="47"/>
      </w:r>
      <w:r>
        <w:t xml:space="preserve">, C2 trained </w:t>
      </w:r>
      <w:r w:rsidR="00290662">
        <w:t>8,473</w:t>
      </w:r>
      <w:r>
        <w:t xml:space="preserve"> people in the three months to December 2015 (see </w:t>
      </w:r>
      <w:r>
        <w:fldChar w:fldCharType="begin"/>
      </w:r>
      <w:r>
        <w:instrText xml:space="preserve"> REF _Ref447885558 \h </w:instrText>
      </w:r>
      <w:r>
        <w:fldChar w:fldCharType="separate"/>
      </w:r>
      <w:r w:rsidR="00EC36D2">
        <w:t xml:space="preserve">Table </w:t>
      </w:r>
      <w:r w:rsidR="00EC36D2">
        <w:rPr>
          <w:noProof/>
        </w:rPr>
        <w:t>7</w:t>
      </w:r>
      <w:r>
        <w:fldChar w:fldCharType="end"/>
      </w:r>
      <w:r>
        <w:t>).</w:t>
      </w:r>
    </w:p>
    <w:p w:rsidR="002C3049" w:rsidRPr="00851EC7" w:rsidRDefault="002C3049" w:rsidP="002C3049">
      <w:pPr>
        <w:pStyle w:val="Caption-Table"/>
        <w:rPr>
          <w:lang w:val="en-AU"/>
        </w:rPr>
      </w:pPr>
      <w:bookmarkStart w:id="47" w:name="_Ref447885558"/>
      <w:bookmarkStart w:id="48" w:name="_Toc450131628"/>
      <w:r>
        <w:t xml:space="preserve">Table </w:t>
      </w:r>
      <w:r>
        <w:fldChar w:fldCharType="begin"/>
      </w:r>
      <w:r>
        <w:instrText xml:space="preserve"> SEQ Table \* ARABIC </w:instrText>
      </w:r>
      <w:r>
        <w:fldChar w:fldCharType="separate"/>
      </w:r>
      <w:r w:rsidR="00EC36D2">
        <w:rPr>
          <w:noProof/>
        </w:rPr>
        <w:t>7</w:t>
      </w:r>
      <w:r>
        <w:fldChar w:fldCharType="end"/>
      </w:r>
      <w:bookmarkEnd w:id="47"/>
      <w:r w:rsidRPr="00851EC7">
        <w:rPr>
          <w:lang w:val="en-AU"/>
        </w:rPr>
        <w:t xml:space="preserve">: </w:t>
      </w:r>
      <w:r w:rsidRPr="000823EE">
        <w:rPr>
          <w:lang w:val="en-AU"/>
        </w:rPr>
        <w:t xml:space="preserve">Participants Trained by ProDEP </w:t>
      </w:r>
      <w:r>
        <w:rPr>
          <w:lang w:val="en-AU"/>
        </w:rPr>
        <w:t xml:space="preserve">with Australian financing </w:t>
      </w:r>
      <w:r w:rsidRPr="000823EE">
        <w:rPr>
          <w:lang w:val="en-AU"/>
        </w:rPr>
        <w:t>in 2015</w:t>
      </w:r>
      <w:bookmarkEnd w:id="4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699"/>
        <w:gridCol w:w="960"/>
        <w:gridCol w:w="881"/>
        <w:gridCol w:w="831"/>
        <w:gridCol w:w="955"/>
        <w:gridCol w:w="979"/>
        <w:gridCol w:w="835"/>
        <w:gridCol w:w="977"/>
      </w:tblGrid>
      <w:tr w:rsidR="00726A51" w:rsidRPr="00A56343" w:rsidTr="00726A51">
        <w:trPr>
          <w:trHeight w:val="624"/>
          <w:tblHeader/>
          <w:jc w:val="center"/>
        </w:trPr>
        <w:tc>
          <w:tcPr>
            <w:tcW w:w="1699" w:type="dxa"/>
            <w:vMerge w:val="restart"/>
            <w:shd w:val="clear" w:color="auto" w:fill="244061" w:themeFill="accent1" w:themeFillShade="80"/>
            <w:vAlign w:val="center"/>
          </w:tcPr>
          <w:p w:rsidR="00726A51" w:rsidRPr="00A56343" w:rsidRDefault="00726A51" w:rsidP="00726A51">
            <w:pPr>
              <w:pStyle w:val="SourceNotes"/>
              <w:rPr>
                <w:b/>
                <w:i w:val="0"/>
                <w:sz w:val="22"/>
                <w:szCs w:val="22"/>
              </w:rPr>
            </w:pPr>
            <w:r w:rsidRPr="00A56343">
              <w:rPr>
                <w:b/>
                <w:i w:val="0"/>
                <w:color w:val="FFFFFF" w:themeColor="background1"/>
                <w:sz w:val="22"/>
                <w:szCs w:val="22"/>
              </w:rPr>
              <w:t>Theme</w:t>
            </w:r>
          </w:p>
        </w:tc>
        <w:tc>
          <w:tcPr>
            <w:tcW w:w="5441" w:type="dxa"/>
            <w:gridSpan w:val="6"/>
            <w:shd w:val="clear" w:color="auto" w:fill="244061" w:themeFill="accent1" w:themeFillShade="80"/>
            <w:vAlign w:val="center"/>
          </w:tcPr>
          <w:p w:rsidR="00726A51" w:rsidRPr="00A56343" w:rsidRDefault="00726A51" w:rsidP="00726A51">
            <w:pPr>
              <w:pStyle w:val="SourceNotes"/>
              <w:rPr>
                <w:b/>
                <w:i w:val="0"/>
                <w:sz w:val="22"/>
                <w:szCs w:val="22"/>
                <w:vertAlign w:val="superscript"/>
              </w:rPr>
            </w:pPr>
            <w:r w:rsidRPr="00290662">
              <w:rPr>
                <w:b/>
                <w:i w:val="0"/>
                <w:color w:val="FFFFFF" w:themeColor="background1"/>
                <w:sz w:val="22"/>
                <w:szCs w:val="22"/>
              </w:rPr>
              <w:t>Persons trained in 2015</w:t>
            </w:r>
          </w:p>
        </w:tc>
        <w:tc>
          <w:tcPr>
            <w:tcW w:w="977" w:type="dxa"/>
            <w:vMerge w:val="restart"/>
            <w:shd w:val="clear" w:color="auto" w:fill="244061" w:themeFill="accent1" w:themeFillShade="80"/>
            <w:vAlign w:val="center"/>
          </w:tcPr>
          <w:p w:rsidR="00726A51" w:rsidRPr="00A56343" w:rsidRDefault="00726A51" w:rsidP="00726A51">
            <w:pPr>
              <w:pStyle w:val="SourceNotes"/>
              <w:rPr>
                <w:b/>
                <w:i w:val="0"/>
                <w:sz w:val="22"/>
                <w:szCs w:val="22"/>
              </w:rPr>
            </w:pPr>
            <w:r w:rsidRPr="00A56343">
              <w:rPr>
                <w:b/>
                <w:i w:val="0"/>
                <w:color w:val="FFFFFF" w:themeColor="background1"/>
                <w:sz w:val="22"/>
                <w:szCs w:val="22"/>
              </w:rPr>
              <w:t>Annual Total</w:t>
            </w:r>
          </w:p>
        </w:tc>
      </w:tr>
      <w:tr w:rsidR="00726A51" w:rsidRPr="00A56343" w:rsidTr="00726A51">
        <w:trPr>
          <w:trHeight w:val="434"/>
          <w:tblHeader/>
          <w:jc w:val="center"/>
        </w:trPr>
        <w:tc>
          <w:tcPr>
            <w:tcW w:w="1699" w:type="dxa"/>
            <w:vMerge/>
            <w:shd w:val="clear" w:color="auto" w:fill="244061" w:themeFill="accent1" w:themeFillShade="80"/>
          </w:tcPr>
          <w:p w:rsidR="00726A51" w:rsidRPr="00A56343" w:rsidRDefault="00726A51" w:rsidP="00726A51">
            <w:pPr>
              <w:pStyle w:val="SourceNotes"/>
              <w:rPr>
                <w:i w:val="0"/>
              </w:rPr>
            </w:pPr>
          </w:p>
        </w:tc>
        <w:tc>
          <w:tcPr>
            <w:tcW w:w="2672" w:type="dxa"/>
            <w:gridSpan w:val="3"/>
            <w:shd w:val="clear" w:color="auto" w:fill="8DB3E2" w:themeFill="text2" w:themeFillTint="66"/>
            <w:vAlign w:val="center"/>
          </w:tcPr>
          <w:p w:rsidR="00726A51" w:rsidRPr="00A56343" w:rsidRDefault="00726A51" w:rsidP="00726A51">
            <w:pPr>
              <w:pStyle w:val="SourceNotes"/>
              <w:rPr>
                <w:b/>
                <w:i w:val="0"/>
              </w:rPr>
            </w:pPr>
            <w:r w:rsidRPr="00A56343">
              <w:rPr>
                <w:b/>
                <w:i w:val="0"/>
              </w:rPr>
              <w:t>MoEC</w:t>
            </w:r>
          </w:p>
        </w:tc>
        <w:tc>
          <w:tcPr>
            <w:tcW w:w="2769" w:type="dxa"/>
            <w:gridSpan w:val="3"/>
            <w:shd w:val="clear" w:color="auto" w:fill="8DB3E2" w:themeFill="text2" w:themeFillTint="66"/>
            <w:vAlign w:val="center"/>
          </w:tcPr>
          <w:p w:rsidR="00726A51" w:rsidRPr="00A56343" w:rsidRDefault="00726A51" w:rsidP="00726A51">
            <w:pPr>
              <w:pStyle w:val="SourceNotes"/>
              <w:rPr>
                <w:b/>
                <w:i w:val="0"/>
              </w:rPr>
            </w:pPr>
            <w:r w:rsidRPr="00A56343">
              <w:rPr>
                <w:b/>
                <w:i w:val="0"/>
              </w:rPr>
              <w:t>MoRA</w:t>
            </w:r>
          </w:p>
        </w:tc>
        <w:tc>
          <w:tcPr>
            <w:tcW w:w="977" w:type="dxa"/>
            <w:vMerge/>
            <w:shd w:val="clear" w:color="auto" w:fill="244061" w:themeFill="accent1" w:themeFillShade="80"/>
            <w:vAlign w:val="center"/>
          </w:tcPr>
          <w:p w:rsidR="00726A51" w:rsidRPr="00A56343" w:rsidRDefault="00726A51" w:rsidP="00726A51">
            <w:pPr>
              <w:pStyle w:val="SourceNotes"/>
              <w:rPr>
                <w:i w:val="0"/>
              </w:rPr>
            </w:pPr>
          </w:p>
        </w:tc>
      </w:tr>
      <w:tr w:rsidR="00726A51" w:rsidRPr="00A56343" w:rsidTr="00726A51">
        <w:trPr>
          <w:trHeight w:val="434"/>
          <w:tblHeader/>
          <w:jc w:val="center"/>
        </w:trPr>
        <w:tc>
          <w:tcPr>
            <w:tcW w:w="1699" w:type="dxa"/>
            <w:vMerge/>
            <w:shd w:val="clear" w:color="auto" w:fill="244061" w:themeFill="accent1" w:themeFillShade="80"/>
          </w:tcPr>
          <w:p w:rsidR="00726A51" w:rsidRPr="00A56343" w:rsidRDefault="00726A51" w:rsidP="00726A51">
            <w:pPr>
              <w:pStyle w:val="SourceNotes"/>
              <w:rPr>
                <w:i w:val="0"/>
              </w:rPr>
            </w:pPr>
          </w:p>
        </w:tc>
        <w:tc>
          <w:tcPr>
            <w:tcW w:w="960" w:type="dxa"/>
            <w:shd w:val="clear" w:color="auto" w:fill="8DB3E2" w:themeFill="text2" w:themeFillTint="66"/>
            <w:vAlign w:val="center"/>
          </w:tcPr>
          <w:p w:rsidR="00726A51" w:rsidRPr="00A56343" w:rsidRDefault="00726A51" w:rsidP="00726A51">
            <w:pPr>
              <w:pStyle w:val="SourceNotes"/>
              <w:rPr>
                <w:b/>
                <w:i w:val="0"/>
              </w:rPr>
            </w:pPr>
            <w:r w:rsidRPr="00A56343">
              <w:rPr>
                <w:b/>
                <w:i w:val="0"/>
              </w:rPr>
              <w:t>Male</w:t>
            </w:r>
          </w:p>
        </w:tc>
        <w:tc>
          <w:tcPr>
            <w:tcW w:w="881" w:type="dxa"/>
            <w:shd w:val="clear" w:color="auto" w:fill="8DB3E2" w:themeFill="text2" w:themeFillTint="66"/>
            <w:vAlign w:val="center"/>
          </w:tcPr>
          <w:p w:rsidR="00726A51" w:rsidRPr="00A56343" w:rsidRDefault="00726A51" w:rsidP="00726A51">
            <w:pPr>
              <w:pStyle w:val="SourceNotes"/>
              <w:rPr>
                <w:b/>
                <w:i w:val="0"/>
              </w:rPr>
            </w:pPr>
            <w:r w:rsidRPr="00A56343">
              <w:rPr>
                <w:b/>
                <w:i w:val="0"/>
              </w:rPr>
              <w:t>Female</w:t>
            </w:r>
          </w:p>
        </w:tc>
        <w:tc>
          <w:tcPr>
            <w:tcW w:w="831" w:type="dxa"/>
            <w:shd w:val="clear" w:color="auto" w:fill="8DB3E2" w:themeFill="text2" w:themeFillTint="66"/>
            <w:vAlign w:val="center"/>
          </w:tcPr>
          <w:p w:rsidR="00726A51" w:rsidRPr="00A56343" w:rsidRDefault="00726A51" w:rsidP="00726A51">
            <w:pPr>
              <w:pStyle w:val="SourceNotes"/>
              <w:rPr>
                <w:b/>
                <w:i w:val="0"/>
              </w:rPr>
            </w:pPr>
            <w:r w:rsidRPr="00A56343">
              <w:rPr>
                <w:b/>
                <w:i w:val="0"/>
              </w:rPr>
              <w:t>Total</w:t>
            </w:r>
          </w:p>
        </w:tc>
        <w:tc>
          <w:tcPr>
            <w:tcW w:w="955" w:type="dxa"/>
            <w:shd w:val="clear" w:color="auto" w:fill="8DB3E2" w:themeFill="text2" w:themeFillTint="66"/>
            <w:vAlign w:val="center"/>
          </w:tcPr>
          <w:p w:rsidR="00726A51" w:rsidRPr="00A56343" w:rsidRDefault="00726A51" w:rsidP="00726A51">
            <w:pPr>
              <w:pStyle w:val="SourceNotes"/>
              <w:rPr>
                <w:b/>
                <w:i w:val="0"/>
              </w:rPr>
            </w:pPr>
            <w:r w:rsidRPr="00A56343">
              <w:rPr>
                <w:b/>
                <w:i w:val="0"/>
              </w:rPr>
              <w:t>Male</w:t>
            </w:r>
          </w:p>
        </w:tc>
        <w:tc>
          <w:tcPr>
            <w:tcW w:w="979" w:type="dxa"/>
            <w:shd w:val="clear" w:color="auto" w:fill="8DB3E2" w:themeFill="text2" w:themeFillTint="66"/>
            <w:vAlign w:val="center"/>
          </w:tcPr>
          <w:p w:rsidR="00726A51" w:rsidRPr="00A56343" w:rsidRDefault="00726A51" w:rsidP="00726A51">
            <w:pPr>
              <w:pStyle w:val="SourceNotes"/>
              <w:rPr>
                <w:b/>
                <w:i w:val="0"/>
              </w:rPr>
            </w:pPr>
            <w:r w:rsidRPr="00A56343">
              <w:rPr>
                <w:b/>
                <w:i w:val="0"/>
              </w:rPr>
              <w:t>Female</w:t>
            </w:r>
          </w:p>
        </w:tc>
        <w:tc>
          <w:tcPr>
            <w:tcW w:w="835" w:type="dxa"/>
            <w:shd w:val="clear" w:color="auto" w:fill="8DB3E2" w:themeFill="text2" w:themeFillTint="66"/>
            <w:vAlign w:val="center"/>
          </w:tcPr>
          <w:p w:rsidR="00726A51" w:rsidRPr="00A56343" w:rsidRDefault="00726A51" w:rsidP="00726A51">
            <w:pPr>
              <w:pStyle w:val="SourceNotes"/>
              <w:rPr>
                <w:b/>
                <w:i w:val="0"/>
              </w:rPr>
            </w:pPr>
            <w:r w:rsidRPr="00A56343">
              <w:rPr>
                <w:b/>
                <w:i w:val="0"/>
              </w:rPr>
              <w:t>Total</w:t>
            </w:r>
          </w:p>
        </w:tc>
        <w:tc>
          <w:tcPr>
            <w:tcW w:w="977" w:type="dxa"/>
            <w:vMerge/>
            <w:shd w:val="clear" w:color="auto" w:fill="244061" w:themeFill="accent1" w:themeFillShade="80"/>
            <w:vAlign w:val="center"/>
          </w:tcPr>
          <w:p w:rsidR="00726A51" w:rsidRPr="00A56343" w:rsidRDefault="00726A51" w:rsidP="00726A51">
            <w:pPr>
              <w:pStyle w:val="SourceNotes"/>
              <w:rPr>
                <w:i w:val="0"/>
              </w:rPr>
            </w:pPr>
          </w:p>
        </w:tc>
      </w:tr>
      <w:tr w:rsidR="00726A51" w:rsidRPr="00A56343" w:rsidTr="00726A51">
        <w:trPr>
          <w:trHeight w:val="510"/>
          <w:jc w:val="center"/>
        </w:trPr>
        <w:tc>
          <w:tcPr>
            <w:tcW w:w="1699" w:type="dxa"/>
            <w:vAlign w:val="center"/>
          </w:tcPr>
          <w:p w:rsidR="00726A51" w:rsidRPr="00A56343" w:rsidRDefault="00726A51" w:rsidP="00726A51">
            <w:pPr>
              <w:pStyle w:val="SourceNotes"/>
              <w:rPr>
                <w:b/>
                <w:i w:val="0"/>
              </w:rPr>
            </w:pPr>
            <w:r w:rsidRPr="00A56343">
              <w:rPr>
                <w:b/>
                <w:i w:val="0"/>
              </w:rPr>
              <w:t>CPD</w:t>
            </w:r>
          </w:p>
        </w:tc>
        <w:tc>
          <w:tcPr>
            <w:tcW w:w="960" w:type="dxa"/>
            <w:vAlign w:val="center"/>
          </w:tcPr>
          <w:p w:rsidR="00726A51" w:rsidRPr="00A56343" w:rsidRDefault="00D657EB" w:rsidP="00726A51">
            <w:pPr>
              <w:pStyle w:val="SourceNotes"/>
              <w:rPr>
                <w:i w:val="0"/>
              </w:rPr>
            </w:pPr>
            <w:r w:rsidRPr="00290662">
              <w:rPr>
                <w:i w:val="0"/>
              </w:rPr>
              <w:t>4,877</w:t>
            </w:r>
          </w:p>
        </w:tc>
        <w:tc>
          <w:tcPr>
            <w:tcW w:w="881" w:type="dxa"/>
            <w:shd w:val="clear" w:color="auto" w:fill="FFFFFF" w:themeFill="background1"/>
            <w:vAlign w:val="center"/>
          </w:tcPr>
          <w:p w:rsidR="00726A51" w:rsidRPr="00A56343" w:rsidRDefault="00D657EB" w:rsidP="00726A51">
            <w:pPr>
              <w:pStyle w:val="SourceNotes"/>
              <w:rPr>
                <w:i w:val="0"/>
              </w:rPr>
            </w:pPr>
            <w:r w:rsidRPr="00A56343">
              <w:rPr>
                <w:i w:val="0"/>
              </w:rPr>
              <w:t>1</w:t>
            </w:r>
            <w:r w:rsidRPr="00290662">
              <w:rPr>
                <w:i w:val="0"/>
              </w:rPr>
              <w:t>,</w:t>
            </w:r>
            <w:r w:rsidRPr="00A56343">
              <w:rPr>
                <w:i w:val="0"/>
              </w:rPr>
              <w:t>416</w:t>
            </w:r>
          </w:p>
        </w:tc>
        <w:tc>
          <w:tcPr>
            <w:tcW w:w="831" w:type="dxa"/>
            <w:shd w:val="clear" w:color="auto" w:fill="FFFFFF" w:themeFill="background1"/>
            <w:vAlign w:val="center"/>
          </w:tcPr>
          <w:p w:rsidR="00726A51" w:rsidRPr="00A56343" w:rsidRDefault="00D657EB" w:rsidP="00726A51">
            <w:pPr>
              <w:pStyle w:val="SourceNotes"/>
              <w:rPr>
                <w:i w:val="0"/>
              </w:rPr>
            </w:pPr>
            <w:r w:rsidRPr="00290662">
              <w:rPr>
                <w:i w:val="0"/>
              </w:rPr>
              <w:t>6,293</w:t>
            </w:r>
          </w:p>
        </w:tc>
        <w:tc>
          <w:tcPr>
            <w:tcW w:w="955" w:type="dxa"/>
            <w:shd w:val="clear" w:color="auto" w:fill="FFFFFF" w:themeFill="background1"/>
            <w:vAlign w:val="center"/>
          </w:tcPr>
          <w:p w:rsidR="00726A51" w:rsidRPr="00A56343" w:rsidRDefault="00D657EB" w:rsidP="00726A51">
            <w:pPr>
              <w:pStyle w:val="SourceNotes"/>
              <w:rPr>
                <w:i w:val="0"/>
              </w:rPr>
            </w:pPr>
            <w:r w:rsidRPr="00290662">
              <w:rPr>
                <w:i w:val="0"/>
              </w:rPr>
              <w:t>576</w:t>
            </w:r>
          </w:p>
        </w:tc>
        <w:tc>
          <w:tcPr>
            <w:tcW w:w="979" w:type="dxa"/>
            <w:shd w:val="clear" w:color="auto" w:fill="FFFFFF" w:themeFill="background1"/>
            <w:vAlign w:val="center"/>
          </w:tcPr>
          <w:p w:rsidR="00726A51" w:rsidRPr="00A56343" w:rsidRDefault="00D657EB" w:rsidP="00726A51">
            <w:pPr>
              <w:pStyle w:val="SourceNotes"/>
              <w:rPr>
                <w:i w:val="0"/>
              </w:rPr>
            </w:pPr>
            <w:r w:rsidRPr="00290662">
              <w:rPr>
                <w:i w:val="0"/>
              </w:rPr>
              <w:t>159</w:t>
            </w:r>
          </w:p>
        </w:tc>
        <w:tc>
          <w:tcPr>
            <w:tcW w:w="835" w:type="dxa"/>
            <w:shd w:val="clear" w:color="auto" w:fill="FFFFFF" w:themeFill="background1"/>
            <w:vAlign w:val="center"/>
          </w:tcPr>
          <w:p w:rsidR="00726A51" w:rsidRPr="00A56343" w:rsidRDefault="00D657EB" w:rsidP="00726A51">
            <w:pPr>
              <w:pStyle w:val="SourceNotes"/>
              <w:rPr>
                <w:i w:val="0"/>
              </w:rPr>
            </w:pPr>
            <w:r w:rsidRPr="00290662">
              <w:rPr>
                <w:i w:val="0"/>
              </w:rPr>
              <w:t>735</w:t>
            </w:r>
          </w:p>
        </w:tc>
        <w:tc>
          <w:tcPr>
            <w:tcW w:w="977" w:type="dxa"/>
            <w:shd w:val="clear" w:color="auto" w:fill="FFFFFF" w:themeFill="background1"/>
            <w:vAlign w:val="center"/>
          </w:tcPr>
          <w:p w:rsidR="00726A51" w:rsidRPr="00A56343" w:rsidRDefault="00726A51" w:rsidP="00FC2962">
            <w:pPr>
              <w:pStyle w:val="SourceNotes"/>
              <w:rPr>
                <w:i w:val="0"/>
              </w:rPr>
            </w:pPr>
            <w:r w:rsidRPr="00290662">
              <w:rPr>
                <w:i w:val="0"/>
              </w:rPr>
              <w:t>7,</w:t>
            </w:r>
            <w:r w:rsidR="00D657EB" w:rsidRPr="00290662">
              <w:rPr>
                <w:i w:val="0"/>
              </w:rPr>
              <w:t>028</w:t>
            </w:r>
          </w:p>
        </w:tc>
      </w:tr>
      <w:tr w:rsidR="00726A51" w:rsidRPr="00A56343" w:rsidTr="00726A51">
        <w:trPr>
          <w:trHeight w:val="510"/>
          <w:jc w:val="center"/>
        </w:trPr>
        <w:tc>
          <w:tcPr>
            <w:tcW w:w="1699" w:type="dxa"/>
            <w:vAlign w:val="center"/>
          </w:tcPr>
          <w:p w:rsidR="00726A51" w:rsidRPr="00A56343" w:rsidRDefault="00726A51" w:rsidP="00726A51">
            <w:pPr>
              <w:pStyle w:val="SourceNotes"/>
              <w:rPr>
                <w:b/>
                <w:i w:val="0"/>
              </w:rPr>
            </w:pPr>
            <w:r w:rsidRPr="00A56343">
              <w:rPr>
                <w:b/>
                <w:i w:val="0"/>
              </w:rPr>
              <w:t>SPD</w:t>
            </w:r>
          </w:p>
        </w:tc>
        <w:tc>
          <w:tcPr>
            <w:tcW w:w="960" w:type="dxa"/>
            <w:vAlign w:val="center"/>
          </w:tcPr>
          <w:p w:rsidR="00726A51" w:rsidRPr="00A56343" w:rsidRDefault="00D657EB" w:rsidP="00726A51">
            <w:pPr>
              <w:pStyle w:val="SourceNotes"/>
              <w:rPr>
                <w:i w:val="0"/>
              </w:rPr>
            </w:pPr>
            <w:r w:rsidRPr="00290662">
              <w:rPr>
                <w:i w:val="0"/>
              </w:rPr>
              <w:t>1,028</w:t>
            </w:r>
          </w:p>
        </w:tc>
        <w:tc>
          <w:tcPr>
            <w:tcW w:w="881" w:type="dxa"/>
            <w:shd w:val="clear" w:color="auto" w:fill="FFFFFF" w:themeFill="background1"/>
            <w:vAlign w:val="center"/>
          </w:tcPr>
          <w:p w:rsidR="00726A51" w:rsidRPr="00A56343" w:rsidRDefault="00D657EB" w:rsidP="00726A51">
            <w:pPr>
              <w:pStyle w:val="SourceNotes"/>
              <w:rPr>
                <w:i w:val="0"/>
              </w:rPr>
            </w:pPr>
            <w:r w:rsidRPr="00290662">
              <w:rPr>
                <w:i w:val="0"/>
              </w:rPr>
              <w:t>230</w:t>
            </w:r>
          </w:p>
        </w:tc>
        <w:tc>
          <w:tcPr>
            <w:tcW w:w="831" w:type="dxa"/>
            <w:shd w:val="clear" w:color="auto" w:fill="FFFFFF" w:themeFill="background1"/>
            <w:vAlign w:val="center"/>
          </w:tcPr>
          <w:p w:rsidR="00726A51" w:rsidRPr="00A56343" w:rsidRDefault="00D657EB" w:rsidP="00726A51">
            <w:pPr>
              <w:pStyle w:val="SourceNotes"/>
              <w:rPr>
                <w:i w:val="0"/>
              </w:rPr>
            </w:pPr>
            <w:r w:rsidRPr="00290662">
              <w:rPr>
                <w:i w:val="0"/>
              </w:rPr>
              <w:t>1,258</w:t>
            </w:r>
          </w:p>
        </w:tc>
        <w:tc>
          <w:tcPr>
            <w:tcW w:w="955" w:type="dxa"/>
            <w:shd w:val="clear" w:color="auto" w:fill="FFFFFF" w:themeFill="background1"/>
            <w:vAlign w:val="center"/>
          </w:tcPr>
          <w:p w:rsidR="00726A51" w:rsidRPr="00A56343" w:rsidRDefault="00D657EB" w:rsidP="00726A51">
            <w:pPr>
              <w:pStyle w:val="SourceNotes"/>
              <w:rPr>
                <w:i w:val="0"/>
              </w:rPr>
            </w:pPr>
            <w:r w:rsidRPr="00290662">
              <w:rPr>
                <w:i w:val="0"/>
              </w:rPr>
              <w:t>115</w:t>
            </w:r>
          </w:p>
        </w:tc>
        <w:tc>
          <w:tcPr>
            <w:tcW w:w="979" w:type="dxa"/>
            <w:shd w:val="clear" w:color="auto" w:fill="FFFFFF" w:themeFill="background1"/>
            <w:vAlign w:val="center"/>
          </w:tcPr>
          <w:p w:rsidR="00726A51" w:rsidRPr="00A56343" w:rsidRDefault="00D657EB" w:rsidP="00726A51">
            <w:pPr>
              <w:pStyle w:val="SourceNotes"/>
              <w:rPr>
                <w:i w:val="0"/>
              </w:rPr>
            </w:pPr>
            <w:r w:rsidRPr="00290662">
              <w:rPr>
                <w:i w:val="0"/>
              </w:rPr>
              <w:t>36</w:t>
            </w:r>
          </w:p>
        </w:tc>
        <w:tc>
          <w:tcPr>
            <w:tcW w:w="835" w:type="dxa"/>
            <w:shd w:val="clear" w:color="auto" w:fill="FFFFFF" w:themeFill="background1"/>
            <w:vAlign w:val="center"/>
          </w:tcPr>
          <w:p w:rsidR="00726A51" w:rsidRPr="00A56343" w:rsidRDefault="00D657EB" w:rsidP="00726A51">
            <w:pPr>
              <w:pStyle w:val="SourceNotes"/>
              <w:rPr>
                <w:i w:val="0"/>
              </w:rPr>
            </w:pPr>
            <w:r w:rsidRPr="00290662">
              <w:rPr>
                <w:i w:val="0"/>
              </w:rPr>
              <w:t>151</w:t>
            </w:r>
          </w:p>
        </w:tc>
        <w:tc>
          <w:tcPr>
            <w:tcW w:w="977" w:type="dxa"/>
            <w:shd w:val="clear" w:color="auto" w:fill="FFFFFF" w:themeFill="background1"/>
            <w:vAlign w:val="center"/>
          </w:tcPr>
          <w:p w:rsidR="00726A51" w:rsidRPr="00A56343" w:rsidRDefault="00D657EB" w:rsidP="00726A51">
            <w:pPr>
              <w:pStyle w:val="SourceNotes"/>
              <w:rPr>
                <w:i w:val="0"/>
              </w:rPr>
            </w:pPr>
            <w:r w:rsidRPr="00290662">
              <w:rPr>
                <w:i w:val="0"/>
              </w:rPr>
              <w:t>1,415</w:t>
            </w:r>
          </w:p>
        </w:tc>
      </w:tr>
      <w:tr w:rsidR="00726A51" w:rsidRPr="00A56343" w:rsidTr="00A56343">
        <w:trPr>
          <w:trHeight w:val="510"/>
          <w:jc w:val="center"/>
        </w:trPr>
        <w:tc>
          <w:tcPr>
            <w:tcW w:w="1699" w:type="dxa"/>
            <w:vAlign w:val="center"/>
          </w:tcPr>
          <w:p w:rsidR="00726A51" w:rsidRPr="00A56343" w:rsidRDefault="00726A51" w:rsidP="00726A51">
            <w:pPr>
              <w:pStyle w:val="SourceNotes"/>
              <w:rPr>
                <w:b/>
                <w:i w:val="0"/>
              </w:rPr>
            </w:pPr>
            <w:r w:rsidRPr="00A56343">
              <w:rPr>
                <w:b/>
                <w:i w:val="0"/>
              </w:rPr>
              <w:t>PPIP</w:t>
            </w:r>
            <w:r w:rsidRPr="00A56343">
              <w:rPr>
                <w:b/>
                <w:i w:val="0"/>
                <w:vertAlign w:val="superscript"/>
              </w:rPr>
              <w:t xml:space="preserve"> </w:t>
            </w:r>
          </w:p>
        </w:tc>
        <w:tc>
          <w:tcPr>
            <w:tcW w:w="960" w:type="dxa"/>
            <w:shd w:val="clear" w:color="auto" w:fill="BFBFBF" w:themeFill="background1" w:themeFillShade="BF"/>
            <w:vAlign w:val="center"/>
          </w:tcPr>
          <w:p w:rsidR="00726A51" w:rsidRPr="00A56343" w:rsidRDefault="00F521B3" w:rsidP="00726A51">
            <w:pPr>
              <w:pStyle w:val="SourceNotes"/>
              <w:rPr>
                <w:i w:val="0"/>
              </w:rPr>
            </w:pPr>
            <w:r w:rsidRPr="00290662">
              <w:rPr>
                <w:i w:val="0"/>
              </w:rPr>
              <w:t>N/A</w:t>
            </w:r>
          </w:p>
        </w:tc>
        <w:tc>
          <w:tcPr>
            <w:tcW w:w="881" w:type="dxa"/>
            <w:shd w:val="clear" w:color="auto" w:fill="BFBFBF" w:themeFill="background1" w:themeFillShade="BF"/>
            <w:vAlign w:val="center"/>
          </w:tcPr>
          <w:p w:rsidR="00726A51" w:rsidRPr="00A56343" w:rsidRDefault="00F521B3" w:rsidP="00726A51">
            <w:pPr>
              <w:pStyle w:val="SourceNotes"/>
              <w:rPr>
                <w:i w:val="0"/>
              </w:rPr>
            </w:pPr>
            <w:r w:rsidRPr="00290662">
              <w:rPr>
                <w:i w:val="0"/>
              </w:rPr>
              <w:t>N/A</w:t>
            </w:r>
          </w:p>
        </w:tc>
        <w:tc>
          <w:tcPr>
            <w:tcW w:w="831" w:type="dxa"/>
            <w:shd w:val="clear" w:color="auto" w:fill="BFBFBF" w:themeFill="background1" w:themeFillShade="BF"/>
            <w:vAlign w:val="center"/>
          </w:tcPr>
          <w:p w:rsidR="00726A51" w:rsidRPr="00A56343" w:rsidRDefault="00F521B3" w:rsidP="00726A51">
            <w:pPr>
              <w:pStyle w:val="SourceNotes"/>
              <w:rPr>
                <w:i w:val="0"/>
              </w:rPr>
            </w:pPr>
            <w:r w:rsidRPr="00290662">
              <w:rPr>
                <w:i w:val="0"/>
              </w:rPr>
              <w:t>N/A</w:t>
            </w:r>
          </w:p>
        </w:tc>
        <w:tc>
          <w:tcPr>
            <w:tcW w:w="955" w:type="dxa"/>
            <w:shd w:val="clear" w:color="auto" w:fill="BFBFBF" w:themeFill="background1" w:themeFillShade="BF"/>
            <w:vAlign w:val="center"/>
          </w:tcPr>
          <w:p w:rsidR="00726A51" w:rsidRPr="00A56343" w:rsidRDefault="00F521B3" w:rsidP="00726A51">
            <w:pPr>
              <w:pStyle w:val="SourceNotes"/>
              <w:rPr>
                <w:i w:val="0"/>
              </w:rPr>
            </w:pPr>
            <w:r w:rsidRPr="00290662">
              <w:rPr>
                <w:i w:val="0"/>
              </w:rPr>
              <w:t>N/A</w:t>
            </w:r>
          </w:p>
        </w:tc>
        <w:tc>
          <w:tcPr>
            <w:tcW w:w="979" w:type="dxa"/>
            <w:shd w:val="clear" w:color="auto" w:fill="BFBFBF" w:themeFill="background1" w:themeFillShade="BF"/>
            <w:vAlign w:val="center"/>
          </w:tcPr>
          <w:p w:rsidR="00726A51" w:rsidRPr="00A56343" w:rsidRDefault="00F521B3" w:rsidP="00726A51">
            <w:pPr>
              <w:pStyle w:val="SourceNotes"/>
              <w:rPr>
                <w:i w:val="0"/>
              </w:rPr>
            </w:pPr>
            <w:r w:rsidRPr="00290662">
              <w:rPr>
                <w:i w:val="0"/>
              </w:rPr>
              <w:t>N/A</w:t>
            </w:r>
          </w:p>
        </w:tc>
        <w:tc>
          <w:tcPr>
            <w:tcW w:w="835" w:type="dxa"/>
            <w:shd w:val="clear" w:color="auto" w:fill="BFBFBF" w:themeFill="background1" w:themeFillShade="BF"/>
            <w:vAlign w:val="center"/>
          </w:tcPr>
          <w:p w:rsidR="00726A51" w:rsidRPr="00A56343" w:rsidRDefault="00F521B3" w:rsidP="00726A51">
            <w:pPr>
              <w:pStyle w:val="SourceNotes"/>
              <w:rPr>
                <w:i w:val="0"/>
              </w:rPr>
            </w:pPr>
            <w:r w:rsidRPr="00290662">
              <w:rPr>
                <w:i w:val="0"/>
              </w:rPr>
              <w:t>30</w:t>
            </w:r>
          </w:p>
        </w:tc>
        <w:tc>
          <w:tcPr>
            <w:tcW w:w="977" w:type="dxa"/>
            <w:shd w:val="clear" w:color="auto" w:fill="BFBFBF" w:themeFill="background1" w:themeFillShade="BF"/>
            <w:vAlign w:val="bottom"/>
          </w:tcPr>
          <w:p w:rsidR="00726A51" w:rsidRPr="00A56343" w:rsidRDefault="00F521B3" w:rsidP="00FC2962">
            <w:pPr>
              <w:pStyle w:val="SourceNotes"/>
              <w:rPr>
                <w:i w:val="0"/>
              </w:rPr>
            </w:pPr>
            <w:r w:rsidRPr="00290662">
              <w:rPr>
                <w:i w:val="0"/>
              </w:rPr>
              <w:t>30</w:t>
            </w:r>
          </w:p>
        </w:tc>
      </w:tr>
      <w:tr w:rsidR="00726A51" w:rsidRPr="00A56343" w:rsidTr="00726A51">
        <w:trPr>
          <w:trHeight w:val="510"/>
          <w:jc w:val="center"/>
        </w:trPr>
        <w:tc>
          <w:tcPr>
            <w:tcW w:w="1699" w:type="dxa"/>
            <w:vAlign w:val="center"/>
          </w:tcPr>
          <w:p w:rsidR="00726A51" w:rsidRPr="00A56343" w:rsidRDefault="00726A51" w:rsidP="00726A51">
            <w:pPr>
              <w:pStyle w:val="SourceNotes"/>
              <w:rPr>
                <w:i w:val="0"/>
                <w:vertAlign w:val="superscript"/>
              </w:rPr>
            </w:pPr>
            <w:r w:rsidRPr="00A56343">
              <w:rPr>
                <w:b/>
                <w:i w:val="0"/>
              </w:rPr>
              <w:t>GRAND TOTAL</w:t>
            </w:r>
          </w:p>
        </w:tc>
        <w:tc>
          <w:tcPr>
            <w:tcW w:w="960" w:type="dxa"/>
            <w:vAlign w:val="center"/>
          </w:tcPr>
          <w:p w:rsidR="00726A51" w:rsidRPr="00A56343" w:rsidRDefault="007A585C" w:rsidP="00726A51">
            <w:pPr>
              <w:pStyle w:val="SourceNotes"/>
              <w:rPr>
                <w:b/>
                <w:i w:val="0"/>
              </w:rPr>
            </w:pPr>
            <w:r w:rsidRPr="00290662">
              <w:rPr>
                <w:b/>
                <w:i w:val="0"/>
              </w:rPr>
              <w:t>5,905</w:t>
            </w:r>
          </w:p>
        </w:tc>
        <w:tc>
          <w:tcPr>
            <w:tcW w:w="881" w:type="dxa"/>
            <w:shd w:val="clear" w:color="auto" w:fill="FFFFFF" w:themeFill="background1"/>
            <w:vAlign w:val="center"/>
          </w:tcPr>
          <w:p w:rsidR="00726A51" w:rsidRPr="00A56343" w:rsidRDefault="00F521B3" w:rsidP="00726A51">
            <w:pPr>
              <w:pStyle w:val="SourceNotes"/>
              <w:rPr>
                <w:b/>
                <w:i w:val="0"/>
              </w:rPr>
            </w:pPr>
            <w:r w:rsidRPr="00290662">
              <w:rPr>
                <w:b/>
                <w:i w:val="0"/>
              </w:rPr>
              <w:t>1,646</w:t>
            </w:r>
          </w:p>
        </w:tc>
        <w:tc>
          <w:tcPr>
            <w:tcW w:w="831" w:type="dxa"/>
            <w:shd w:val="clear" w:color="auto" w:fill="FFFFFF" w:themeFill="background1"/>
            <w:vAlign w:val="center"/>
          </w:tcPr>
          <w:p w:rsidR="00726A51" w:rsidRPr="00A56343" w:rsidRDefault="00F521B3" w:rsidP="00726A51">
            <w:pPr>
              <w:pStyle w:val="SourceNotes"/>
              <w:rPr>
                <w:b/>
                <w:i w:val="0"/>
              </w:rPr>
            </w:pPr>
            <w:r w:rsidRPr="00290662">
              <w:rPr>
                <w:b/>
                <w:i w:val="0"/>
              </w:rPr>
              <w:t>7,551</w:t>
            </w:r>
          </w:p>
        </w:tc>
        <w:tc>
          <w:tcPr>
            <w:tcW w:w="955" w:type="dxa"/>
            <w:shd w:val="clear" w:color="auto" w:fill="FFFFFF" w:themeFill="background1"/>
            <w:vAlign w:val="center"/>
          </w:tcPr>
          <w:p w:rsidR="00726A51" w:rsidRPr="00A56343" w:rsidRDefault="00F521B3" w:rsidP="00726A51">
            <w:pPr>
              <w:pStyle w:val="SourceNotes"/>
              <w:rPr>
                <w:b/>
                <w:i w:val="0"/>
              </w:rPr>
            </w:pPr>
            <w:r w:rsidRPr="00290662">
              <w:rPr>
                <w:b/>
                <w:i w:val="0"/>
              </w:rPr>
              <w:t>691</w:t>
            </w:r>
          </w:p>
        </w:tc>
        <w:tc>
          <w:tcPr>
            <w:tcW w:w="979" w:type="dxa"/>
            <w:shd w:val="clear" w:color="auto" w:fill="FFFFFF" w:themeFill="background1"/>
            <w:vAlign w:val="center"/>
          </w:tcPr>
          <w:p w:rsidR="00726A51" w:rsidRPr="00A56343" w:rsidRDefault="00F521B3" w:rsidP="00726A51">
            <w:pPr>
              <w:pStyle w:val="SourceNotes"/>
              <w:rPr>
                <w:b/>
                <w:i w:val="0"/>
              </w:rPr>
            </w:pPr>
            <w:r w:rsidRPr="00290662">
              <w:rPr>
                <w:b/>
                <w:i w:val="0"/>
              </w:rPr>
              <w:t>195</w:t>
            </w:r>
          </w:p>
        </w:tc>
        <w:tc>
          <w:tcPr>
            <w:tcW w:w="835" w:type="dxa"/>
            <w:shd w:val="clear" w:color="auto" w:fill="FFFFFF" w:themeFill="background1"/>
            <w:vAlign w:val="center"/>
          </w:tcPr>
          <w:p w:rsidR="00726A51" w:rsidRPr="00A56343" w:rsidRDefault="00F521B3" w:rsidP="00726A51">
            <w:pPr>
              <w:pStyle w:val="SourceNotes"/>
              <w:rPr>
                <w:b/>
                <w:i w:val="0"/>
              </w:rPr>
            </w:pPr>
            <w:r w:rsidRPr="00290662">
              <w:rPr>
                <w:b/>
                <w:i w:val="0"/>
              </w:rPr>
              <w:t>916</w:t>
            </w:r>
          </w:p>
        </w:tc>
        <w:tc>
          <w:tcPr>
            <w:tcW w:w="977" w:type="dxa"/>
            <w:shd w:val="clear" w:color="auto" w:fill="BFBFBF" w:themeFill="background1" w:themeFillShade="BF"/>
            <w:vAlign w:val="center"/>
          </w:tcPr>
          <w:p w:rsidR="00726A51" w:rsidRPr="00A56343" w:rsidRDefault="00F521B3" w:rsidP="00726A51">
            <w:pPr>
              <w:pStyle w:val="SourceNotes"/>
              <w:rPr>
                <w:b/>
                <w:i w:val="0"/>
              </w:rPr>
            </w:pPr>
            <w:r w:rsidRPr="00290662">
              <w:rPr>
                <w:b/>
                <w:i w:val="0"/>
              </w:rPr>
              <w:t>8,473</w:t>
            </w:r>
          </w:p>
        </w:tc>
      </w:tr>
    </w:tbl>
    <w:p w:rsidR="00726A51" w:rsidRDefault="00726A51" w:rsidP="000878B0">
      <w:pPr>
        <w:pStyle w:val="SourceNotes"/>
      </w:pPr>
    </w:p>
    <w:p w:rsidR="000878B0" w:rsidRDefault="000878B0" w:rsidP="000878B0">
      <w:pPr>
        <w:pStyle w:val="SourceNotes"/>
      </w:pPr>
      <w:r>
        <w:t>S</w:t>
      </w:r>
      <w:r w:rsidRPr="006C24DD">
        <w:t xml:space="preserve">ource: Data </w:t>
      </w:r>
      <w:r>
        <w:t xml:space="preserve">reflecting participation in 2015 </w:t>
      </w:r>
      <w:r w:rsidRPr="006C24DD">
        <w:t xml:space="preserve">received from C2 </w:t>
      </w:r>
      <w:r>
        <w:t>in April 2016</w:t>
      </w:r>
      <w:r w:rsidRPr="006C24DD">
        <w:t>.</w:t>
      </w:r>
    </w:p>
    <w:p w:rsidR="00290662" w:rsidRDefault="00290662" w:rsidP="00A56343">
      <w:pPr>
        <w:pStyle w:val="SourceNotes"/>
        <w:ind w:right="521"/>
        <w:jc w:val="both"/>
      </w:pPr>
    </w:p>
    <w:p w:rsidR="000878B0" w:rsidRDefault="00290662" w:rsidP="00A56343">
      <w:pPr>
        <w:pStyle w:val="SourceNotes"/>
        <w:ind w:right="521"/>
        <w:jc w:val="both"/>
      </w:pPr>
      <w:r>
        <w:t xml:space="preserve">Notes: (i) </w:t>
      </w:r>
      <w:r w:rsidR="002C3049">
        <w:t xml:space="preserve">The data are reported as of </w:t>
      </w:r>
      <w:r w:rsidR="007A585C">
        <w:t xml:space="preserve">29 </w:t>
      </w:r>
      <w:r w:rsidR="002C3049">
        <w:t>April 2016 but refer to participants in 2015 because Eligible Entities required time for data collection</w:t>
      </w:r>
      <w:r>
        <w:t>; (ii) a</w:t>
      </w:r>
      <w:r w:rsidR="002C3049" w:rsidRPr="00C46A7C">
        <w:t>t the time of writing</w:t>
      </w:r>
      <w:r w:rsidR="002C3049">
        <w:t>,</w:t>
      </w:r>
      <w:r w:rsidR="007A585C">
        <w:t xml:space="preserve"> PPIP participants </w:t>
      </w:r>
      <w:r>
        <w:t>had</w:t>
      </w:r>
      <w:r w:rsidR="007A585C">
        <w:t xml:space="preserve"> not been disaggregated by gender</w:t>
      </w:r>
      <w:r>
        <w:t>; (iii) t</w:t>
      </w:r>
      <w:r w:rsidR="002C3049">
        <w:t xml:space="preserve">he total number includes new as well as former participants. The CPD data include </w:t>
      </w:r>
      <w:r w:rsidR="007A585C">
        <w:t>5,447</w:t>
      </w:r>
      <w:r w:rsidR="002C3049">
        <w:t xml:space="preserve"> participants who participated in 2014 and returned in 2015 to take new UoLs. SPD data include 1,380 participants who participated in 2014 and returned for the refresher course in 2015</w:t>
      </w:r>
      <w:r>
        <w:t>, and; (iv) t</w:t>
      </w:r>
      <w:r w:rsidR="002C3049">
        <w:t xml:space="preserve">here were no DFAT-funded HRMD, SP&amp;FM and PPP activities in 2015. There were HRMD, SP&amp;FM and PPP activities funded by GoI in 2015. </w:t>
      </w:r>
    </w:p>
    <w:p w:rsidR="002C3049" w:rsidRPr="00A24259" w:rsidRDefault="002C3049" w:rsidP="002C3049">
      <w:r>
        <w:t>A notable achievement in 2015 was the establishment of the OLL system. This required the provision of training to eight P4TK</w:t>
      </w:r>
      <w:r>
        <w:rPr>
          <w:rStyle w:val="FootnoteReference"/>
        </w:rPr>
        <w:footnoteReference w:id="48"/>
      </w:r>
      <w:r>
        <w:t xml:space="preserve"> as well as the conversion of nine CPD UoLs for OLL delivery</w:t>
      </w:r>
      <w:r>
        <w:rPr>
          <w:rStyle w:val="FootnoteReference"/>
        </w:rPr>
        <w:footnoteReference w:id="49"/>
      </w:r>
      <w:r>
        <w:t xml:space="preserve">. Additionally, </w:t>
      </w:r>
      <w:r>
        <w:lastRenderedPageBreak/>
        <w:t>the SSQ Managing Contractor for C2 implemented two phases of the PPIP pilot, and reviewed and updated all Level 1 UoLs based on feedback from those participants who took CPD in 2014.</w:t>
      </w:r>
    </w:p>
    <w:p w:rsidR="002C3049" w:rsidRPr="00851EC7" w:rsidRDefault="002C3049" w:rsidP="002C3049">
      <w:pPr>
        <w:pStyle w:val="Heading2"/>
      </w:pPr>
      <w:r w:rsidRPr="00851EC7">
        <w:t>Analysis</w:t>
      </w:r>
    </w:p>
    <w:p w:rsidR="002C3049" w:rsidRDefault="002C3049" w:rsidP="002C3049">
      <w:pPr>
        <w:pStyle w:val="Heading3"/>
      </w:pPr>
      <w:r w:rsidRPr="00851EC7">
        <w:t>Relevance</w:t>
      </w:r>
    </w:p>
    <w:p w:rsidR="002C3049" w:rsidRPr="00266B37" w:rsidRDefault="002C3049" w:rsidP="002C3049">
      <w:r w:rsidRPr="00266B37">
        <w:t xml:space="preserve">On 1 July 2015 </w:t>
      </w:r>
      <w:r>
        <w:t xml:space="preserve">the Minister </w:t>
      </w:r>
      <w:r w:rsidRPr="00266B37">
        <w:t xml:space="preserve">of Education </w:t>
      </w:r>
      <w:r>
        <w:t xml:space="preserve">and Culture </w:t>
      </w:r>
      <w:r w:rsidRPr="00266B37">
        <w:t>announced that “improving teachers and principals is most urgent on the reform agenda”</w:t>
      </w:r>
      <w:r w:rsidRPr="00266B37">
        <w:rPr>
          <w:rStyle w:val="EndnoteReference"/>
        </w:rPr>
        <w:endnoteReference w:id="17"/>
      </w:r>
      <w:r w:rsidRPr="00266B37">
        <w:t xml:space="preserve">. That view is consistent </w:t>
      </w:r>
      <w:r>
        <w:t xml:space="preserve">with </w:t>
      </w:r>
      <w:r w:rsidRPr="00266B37">
        <w:t>OECD’s recent review of Indonesia’s education sector</w:t>
      </w:r>
      <w:r>
        <w:t>, which</w:t>
      </w:r>
      <w:r w:rsidRPr="00266B37">
        <w:t xml:space="preserve"> stated that “while most of those interviewed by the review team believed that leadership and supervision in Indonesian schools were important, nearly all said that Indonesia’s leadership and supervision practices currently had little impact on student outcomes. The main reason interviewees gave for this was that there had been no increase in the capacity of principals or supervisors to lead and manage their teachers following decentralisation”</w:t>
      </w:r>
      <w:r w:rsidRPr="00266B37">
        <w:rPr>
          <w:rStyle w:val="EndnoteReference"/>
        </w:rPr>
        <w:endnoteReference w:id="18"/>
      </w:r>
      <w:r w:rsidRPr="00266B37">
        <w:t xml:space="preserve">. </w:t>
      </w:r>
      <w:r>
        <w:t xml:space="preserve">POM’s recent </w:t>
      </w:r>
      <w:r w:rsidRPr="0069023F">
        <w:rPr>
          <w:i/>
        </w:rPr>
        <w:t>EOPO 2</w:t>
      </w:r>
      <w:r>
        <w:t xml:space="preserve"> </w:t>
      </w:r>
      <w:r w:rsidRPr="006B1500">
        <w:rPr>
          <w:i/>
        </w:rPr>
        <w:t>Baseline Evaluation Study</w:t>
      </w:r>
      <w:r w:rsidRPr="00266B37">
        <w:t xml:space="preserve"> of the CPD component of ProDEP</w:t>
      </w:r>
      <w:r w:rsidRPr="00266B37">
        <w:rPr>
          <w:rStyle w:val="FootnoteReference"/>
        </w:rPr>
        <w:footnoteReference w:id="50"/>
      </w:r>
      <w:r w:rsidRPr="00266B37">
        <w:t xml:space="preserve"> </w:t>
      </w:r>
      <w:r>
        <w:t>offered</w:t>
      </w:r>
      <w:r w:rsidRPr="00266B37">
        <w:t xml:space="preserve"> similar findings. It found low levels of effective management practices and even lower levels of effective leadership in its sample of 1,248 schools and </w:t>
      </w:r>
      <w:r>
        <w:t>M</w:t>
      </w:r>
      <w:r w:rsidRPr="00266B37">
        <w:t>adrasah. Specifically, it found that only 12% of schools/</w:t>
      </w:r>
      <w:r>
        <w:t>M</w:t>
      </w:r>
      <w:r w:rsidRPr="00266B37">
        <w:t>adrasah displayed effective leadership and only 34% displayed effective management</w:t>
      </w:r>
      <w:r w:rsidRPr="00266B37">
        <w:rPr>
          <w:rStyle w:val="FootnoteReference"/>
        </w:rPr>
        <w:footnoteReference w:id="51"/>
      </w:r>
      <w:r w:rsidRPr="00266B37">
        <w:t>.</w:t>
      </w:r>
    </w:p>
    <w:p w:rsidR="002C3049" w:rsidRDefault="002C3049" w:rsidP="002C3049">
      <w:pPr>
        <w:rPr>
          <w:rFonts w:cstheme="minorHAnsi"/>
        </w:rPr>
      </w:pPr>
      <w:r>
        <w:rPr>
          <w:rFonts w:cstheme="minorHAnsi"/>
        </w:rPr>
        <w:t>It is reassuring, therefore, that GoI remains firmly committed to improving learning outcomes and to building the necessary foundations for those improvements to occur. While one of the Minister of Education and Culture’s key priorities is to improve the quality of teaching and teaching personnel, he made a number of statements in 2015 about the importance of school principals and their role within the education “ecosystem”</w:t>
      </w:r>
      <w:r>
        <w:rPr>
          <w:rStyle w:val="EndnoteReference"/>
          <w:rFonts w:cstheme="minorHAnsi"/>
        </w:rPr>
        <w:endnoteReference w:id="19"/>
      </w:r>
      <w:r>
        <w:rPr>
          <w:rFonts w:cstheme="minorHAnsi"/>
        </w:rPr>
        <w:t xml:space="preserve">. Following his visit to </w:t>
      </w:r>
      <w:r w:rsidRPr="00D46D70">
        <w:rPr>
          <w:rFonts w:cstheme="minorHAnsi"/>
        </w:rPr>
        <w:t xml:space="preserve">Australia in </w:t>
      </w:r>
      <w:r w:rsidRPr="006B1500">
        <w:rPr>
          <w:rFonts w:cstheme="minorHAnsi"/>
        </w:rPr>
        <w:t>December 2015</w:t>
      </w:r>
      <w:r w:rsidRPr="00D46D70">
        <w:rPr>
          <w:rFonts w:cstheme="minorHAnsi"/>
        </w:rPr>
        <w:t>,</w:t>
      </w:r>
      <w:r>
        <w:rPr>
          <w:rFonts w:cstheme="minorHAnsi"/>
        </w:rPr>
        <w:t xml:space="preserve"> for example, the Minister wrote to the Indonesian President, noting the importance of improving principals’ leadership</w:t>
      </w:r>
      <w:r>
        <w:rPr>
          <w:rStyle w:val="FootnoteReference"/>
          <w:rFonts w:cstheme="minorHAnsi"/>
        </w:rPr>
        <w:footnoteReference w:id="52"/>
      </w:r>
      <w:r>
        <w:rPr>
          <w:rFonts w:cstheme="minorHAnsi"/>
        </w:rPr>
        <w:t xml:space="preserve"> </w:t>
      </w:r>
      <w:r>
        <w:rPr>
          <w:rStyle w:val="EndnoteReference"/>
          <w:rFonts w:cstheme="minorHAnsi"/>
        </w:rPr>
        <w:endnoteReference w:id="20"/>
      </w:r>
      <w:r>
        <w:rPr>
          <w:rFonts w:cstheme="minorHAnsi"/>
        </w:rPr>
        <w:t>.</w:t>
      </w:r>
      <w:r w:rsidR="002010DB">
        <w:rPr>
          <w:rFonts w:cstheme="minorHAnsi"/>
        </w:rPr>
        <w:t xml:space="preserve"> </w:t>
      </w:r>
      <w:r>
        <w:rPr>
          <w:rFonts w:cstheme="minorHAnsi"/>
        </w:rPr>
        <w:t xml:space="preserve">Equally, and with particular relevance to the SPD component of ProDEP, </w:t>
      </w:r>
      <w:r w:rsidRPr="00D46D70">
        <w:rPr>
          <w:rFonts w:cstheme="minorHAnsi"/>
        </w:rPr>
        <w:t>in December 2015 the</w:t>
      </w:r>
      <w:r>
        <w:rPr>
          <w:rFonts w:cstheme="minorHAnsi"/>
        </w:rPr>
        <w:t xml:space="preserve"> Minister spoke about his desire to see supervisors play a stronger role in the mentorship of principals and teachers</w:t>
      </w:r>
      <w:r>
        <w:rPr>
          <w:rStyle w:val="EndnoteReference"/>
          <w:rFonts w:cstheme="minorHAnsi"/>
        </w:rPr>
        <w:endnoteReference w:id="21"/>
      </w:r>
      <w:r>
        <w:rPr>
          <w:rFonts w:cstheme="minorHAnsi"/>
        </w:rPr>
        <w:t>. Such sentiments are reflected in MoEC’s Renstra for 2015-19</w:t>
      </w:r>
      <w:r>
        <w:rPr>
          <w:rStyle w:val="FootnoteReference"/>
          <w:rFonts w:cstheme="minorHAnsi"/>
        </w:rPr>
        <w:footnoteReference w:id="53"/>
      </w:r>
      <w:r>
        <w:rPr>
          <w:rFonts w:cstheme="minorHAnsi"/>
        </w:rPr>
        <w:t xml:space="preserve">. Beyond </w:t>
      </w:r>
      <w:r>
        <w:rPr>
          <w:rFonts w:cstheme="minorHAnsi"/>
        </w:rPr>
        <w:lastRenderedPageBreak/>
        <w:t>MoEC, reference is made to ProDEP in MoRA’s Grand Design</w:t>
      </w:r>
      <w:r>
        <w:rPr>
          <w:rStyle w:val="FootnoteReference"/>
          <w:rFonts w:cstheme="minorHAnsi"/>
        </w:rPr>
        <w:footnoteReference w:id="54"/>
      </w:r>
      <w:r>
        <w:rPr>
          <w:rFonts w:cstheme="minorHAnsi"/>
        </w:rPr>
        <w:t xml:space="preserve"> where it is stated that ProDEP will be implemented by MoRA’s training centre (</w:t>
      </w:r>
      <w:r w:rsidRPr="00DD2210">
        <w:rPr>
          <w:rFonts w:cstheme="minorHAnsi"/>
          <w:i/>
        </w:rPr>
        <w:t>Pusdiklat</w:t>
      </w:r>
      <w:r>
        <w:rPr>
          <w:rFonts w:cstheme="minorHAnsi"/>
        </w:rPr>
        <w:t>)</w:t>
      </w:r>
      <w:r>
        <w:rPr>
          <w:rStyle w:val="EndnoteReference"/>
          <w:rFonts w:cstheme="minorHAnsi"/>
        </w:rPr>
        <w:endnoteReference w:id="22"/>
      </w:r>
      <w:r>
        <w:rPr>
          <w:rFonts w:cstheme="minorHAnsi"/>
        </w:rPr>
        <w:t xml:space="preserve">. Whilst this commitment is noteworthy, POM is uncertain about the extent of financial pledges, budget availability and the requisite technical capacities to translate the rhetoric into practice. </w:t>
      </w:r>
    </w:p>
    <w:p w:rsidR="002C3049" w:rsidRDefault="002C3049" w:rsidP="002C3049">
      <w:pPr>
        <w:rPr>
          <w:rFonts w:cstheme="minorHAnsi"/>
        </w:rPr>
      </w:pPr>
      <w:r>
        <w:rPr>
          <w:rFonts w:cstheme="minorHAnsi"/>
        </w:rPr>
        <w:t xml:space="preserve">For DFAT, the aspirations of ProDEP – to see strengthened systems which enable a skilled workforce to apply their competencies for the benefit of school management and education quality – remained in line with the ambitions outlined in the </w:t>
      </w:r>
      <w:r w:rsidRPr="00EE54E2">
        <w:rPr>
          <w:rFonts w:cstheme="minorHAnsi"/>
          <w:i/>
        </w:rPr>
        <w:t xml:space="preserve">Strategy for Australia’s aid investment in education 2015 </w:t>
      </w:r>
      <w:r>
        <w:rPr>
          <w:rFonts w:cstheme="minorHAnsi"/>
          <w:i/>
        </w:rPr>
        <w:t>–</w:t>
      </w:r>
      <w:r w:rsidRPr="00EE54E2">
        <w:rPr>
          <w:rFonts w:cstheme="minorHAnsi"/>
          <w:i/>
        </w:rPr>
        <w:t xml:space="preserve"> 2</w:t>
      </w:r>
      <w:r>
        <w:rPr>
          <w:rFonts w:cstheme="minorHAnsi"/>
          <w:i/>
        </w:rPr>
        <w:t>02</w:t>
      </w:r>
      <w:r w:rsidRPr="00EE54E2">
        <w:rPr>
          <w:rFonts w:cstheme="minorHAnsi"/>
          <w:i/>
        </w:rPr>
        <w:t>0</w:t>
      </w:r>
      <w:r>
        <w:rPr>
          <w:rStyle w:val="EndnoteReference"/>
          <w:rFonts w:cstheme="minorHAnsi"/>
        </w:rPr>
        <w:endnoteReference w:id="23"/>
      </w:r>
      <w:r>
        <w:rPr>
          <w:rFonts w:cstheme="minorHAnsi"/>
        </w:rPr>
        <w:t>. However, the WiPS-based model employed for the pursuit of those strategic interests was less consistent with the TA-led aspirations of Australia’s new aid paradigm. The increased premium placed upon the security and accountability of aid funds also challenged the relevance of the delivery model as it imposed additional time and resource constraints on spending. To that extent, DFAT’s conscious efforts in 2015 to scale back its financial commitment – in terms of value and duration – were consistent with its revised aid framework. Yet this scaling back of financial commitments could be viewed, in the larger picture, as symptomatic of the declining relevance of C2 to DFAT more broadly.</w:t>
      </w:r>
    </w:p>
    <w:p w:rsidR="002C3049" w:rsidRDefault="002C3049" w:rsidP="002C3049">
      <w:pPr>
        <w:rPr>
          <w:rFonts w:cstheme="minorHAnsi"/>
        </w:rPr>
      </w:pPr>
      <w:r>
        <w:rPr>
          <w:rFonts w:cstheme="minorHAnsi"/>
        </w:rPr>
        <w:t xml:space="preserve">From an internal relevance perspective, POM remains of the view that the technical foundations of the ProDEP model are such that it </w:t>
      </w:r>
      <w:r w:rsidRPr="006B1500">
        <w:rPr>
          <w:rFonts w:cstheme="minorHAnsi"/>
          <w:i/>
        </w:rPr>
        <w:t>could</w:t>
      </w:r>
      <w:r>
        <w:rPr>
          <w:rFonts w:cstheme="minorHAnsi"/>
        </w:rPr>
        <w:t xml:space="preserve"> make a significant contribution to the EOCO and the EOPO</w:t>
      </w:r>
      <w:r>
        <w:rPr>
          <w:rStyle w:val="EndnoteReference"/>
          <w:rFonts w:cstheme="minorHAnsi"/>
        </w:rPr>
        <w:endnoteReference w:id="24"/>
      </w:r>
      <w:r>
        <w:rPr>
          <w:rFonts w:cstheme="minorHAnsi"/>
        </w:rPr>
        <w:t xml:space="preserve"> (see box below). </w:t>
      </w:r>
    </w:p>
    <w:p w:rsidR="002C3049" w:rsidRDefault="002C3049" w:rsidP="002C3049">
      <w:r>
        <w:rPr>
          <w:noProof/>
          <w:lang w:eastAsia="en-AU"/>
        </w:rPr>
        <mc:AlternateContent>
          <mc:Choice Requires="wps">
            <w:drawing>
              <wp:inline distT="0" distB="0" distL="0" distR="0" wp14:anchorId="6C54DDDF" wp14:editId="0ED0A083">
                <wp:extent cx="5633744" cy="1928474"/>
                <wp:effectExtent l="57150" t="38100" r="81280" b="91440"/>
                <wp:docPr id="46" name="Rectangle 46"/>
                <wp:cNvGraphicFramePr/>
                <a:graphic xmlns:a="http://schemas.openxmlformats.org/drawingml/2006/main">
                  <a:graphicData uri="http://schemas.microsoft.com/office/word/2010/wordprocessingShape">
                    <wps:wsp>
                      <wps:cNvSpPr/>
                      <wps:spPr>
                        <a:xfrm>
                          <a:off x="0" y="0"/>
                          <a:ext cx="5633744" cy="1928474"/>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290662" w:rsidRPr="00224AE9" w:rsidRDefault="00290662" w:rsidP="002C3049">
                            <w:pPr>
                              <w:jc w:val="center"/>
                              <w:rPr>
                                <w:rFonts w:cstheme="minorHAnsi"/>
                                <w:b/>
                              </w:rPr>
                            </w:pPr>
                            <w:r w:rsidRPr="00224AE9">
                              <w:rPr>
                                <w:rFonts w:cstheme="minorHAnsi"/>
                                <w:b/>
                              </w:rPr>
                              <w:t>ProDEP’s core characteristics</w:t>
                            </w:r>
                          </w:p>
                          <w:p w:rsidR="00290662" w:rsidRDefault="00290662" w:rsidP="002C3049">
                            <w:pPr>
                              <w:pStyle w:val="ListParagraph"/>
                              <w:numPr>
                                <w:ilvl w:val="0"/>
                                <w:numId w:val="31"/>
                              </w:numPr>
                              <w:spacing w:before="0"/>
                              <w:rPr>
                                <w:rFonts w:eastAsia="Times New Roman" w:cstheme="minorHAnsi"/>
                                <w:sz w:val="20"/>
                                <w:szCs w:val="20"/>
                              </w:rPr>
                            </w:pPr>
                            <w:r>
                              <w:rPr>
                                <w:rFonts w:eastAsia="Times New Roman" w:cstheme="minorHAnsi"/>
                                <w:sz w:val="20"/>
                                <w:szCs w:val="20"/>
                              </w:rPr>
                              <w:t>Emphasis is placed on supporting visible improvements to performance in key competency areas.</w:t>
                            </w:r>
                          </w:p>
                          <w:p w:rsidR="00290662" w:rsidRDefault="00290662" w:rsidP="002C3049">
                            <w:pPr>
                              <w:pStyle w:val="ListParagraph"/>
                              <w:numPr>
                                <w:ilvl w:val="0"/>
                                <w:numId w:val="31"/>
                              </w:numPr>
                              <w:spacing w:before="0"/>
                              <w:rPr>
                                <w:rFonts w:eastAsia="Times New Roman" w:cstheme="minorHAnsi"/>
                                <w:sz w:val="20"/>
                                <w:szCs w:val="20"/>
                              </w:rPr>
                            </w:pPr>
                            <w:r>
                              <w:rPr>
                                <w:rFonts w:eastAsia="Times New Roman" w:cstheme="minorHAnsi"/>
                                <w:sz w:val="20"/>
                                <w:szCs w:val="20"/>
                              </w:rPr>
                              <w:t>Training is based on individual needs, with participants receiving core trainings and electives.</w:t>
                            </w:r>
                          </w:p>
                          <w:p w:rsidR="00290662" w:rsidRPr="00224AE9" w:rsidRDefault="00290662" w:rsidP="002C3049">
                            <w:pPr>
                              <w:pStyle w:val="ListParagraph"/>
                              <w:numPr>
                                <w:ilvl w:val="0"/>
                                <w:numId w:val="31"/>
                              </w:numPr>
                              <w:spacing w:before="0"/>
                              <w:rPr>
                                <w:rFonts w:eastAsia="Times New Roman" w:cstheme="minorHAnsi"/>
                                <w:sz w:val="20"/>
                                <w:szCs w:val="20"/>
                              </w:rPr>
                            </w:pPr>
                            <w:r>
                              <w:rPr>
                                <w:rFonts w:eastAsia="Times New Roman" w:cstheme="minorHAnsi"/>
                                <w:sz w:val="20"/>
                                <w:szCs w:val="20"/>
                              </w:rPr>
                              <w:t>Emphasis is placed on</w:t>
                            </w:r>
                            <w:r w:rsidRPr="00224AE9">
                              <w:rPr>
                                <w:rFonts w:eastAsia="Times New Roman" w:cstheme="minorHAnsi"/>
                                <w:sz w:val="20"/>
                                <w:szCs w:val="20"/>
                              </w:rPr>
                              <w:t xml:space="preserve"> conti</w:t>
                            </w:r>
                            <w:r>
                              <w:rPr>
                                <w:rFonts w:eastAsia="Times New Roman" w:cstheme="minorHAnsi"/>
                                <w:sz w:val="20"/>
                                <w:szCs w:val="20"/>
                              </w:rPr>
                              <w:t>nuous learning instead of a one-off or cascade training.</w:t>
                            </w:r>
                            <w:r w:rsidRPr="00224AE9">
                              <w:rPr>
                                <w:rFonts w:eastAsia="Times New Roman" w:cstheme="minorHAnsi"/>
                                <w:sz w:val="20"/>
                                <w:szCs w:val="20"/>
                              </w:rPr>
                              <w:t xml:space="preserve"> </w:t>
                            </w:r>
                          </w:p>
                          <w:p w:rsidR="00290662" w:rsidRPr="00224AE9" w:rsidRDefault="00290662" w:rsidP="002C3049">
                            <w:pPr>
                              <w:pStyle w:val="ListParagraph"/>
                              <w:numPr>
                                <w:ilvl w:val="0"/>
                                <w:numId w:val="31"/>
                              </w:numPr>
                              <w:spacing w:before="0"/>
                              <w:rPr>
                                <w:rFonts w:eastAsia="Times New Roman" w:cstheme="minorHAnsi"/>
                                <w:sz w:val="20"/>
                                <w:szCs w:val="20"/>
                              </w:rPr>
                            </w:pPr>
                            <w:r>
                              <w:rPr>
                                <w:rFonts w:eastAsia="Times New Roman" w:cstheme="minorHAnsi"/>
                                <w:sz w:val="20"/>
                                <w:szCs w:val="20"/>
                              </w:rPr>
                              <w:t xml:space="preserve">Usage of the </w:t>
                            </w:r>
                            <w:r w:rsidRPr="00224AE9">
                              <w:rPr>
                                <w:rFonts w:eastAsia="Times New Roman" w:cstheme="minorHAnsi"/>
                                <w:sz w:val="20"/>
                                <w:szCs w:val="20"/>
                              </w:rPr>
                              <w:t>In-On-In approach allows participants to implement learning in their working environments</w:t>
                            </w:r>
                            <w:r>
                              <w:rPr>
                                <w:rFonts w:eastAsia="Times New Roman" w:cstheme="minorHAnsi"/>
                                <w:sz w:val="20"/>
                                <w:szCs w:val="20"/>
                              </w:rPr>
                              <w:t>, to reflect on their experiences and to amend their work practices</w:t>
                            </w:r>
                          </w:p>
                          <w:p w:rsidR="00290662" w:rsidRPr="00224AE9" w:rsidRDefault="00290662" w:rsidP="002C3049">
                            <w:pPr>
                              <w:pStyle w:val="ListParagraph"/>
                              <w:numPr>
                                <w:ilvl w:val="0"/>
                                <w:numId w:val="31"/>
                              </w:numPr>
                              <w:spacing w:before="0"/>
                              <w:rPr>
                                <w:rFonts w:eastAsia="Times New Roman" w:cstheme="minorHAnsi"/>
                                <w:sz w:val="20"/>
                                <w:szCs w:val="20"/>
                              </w:rPr>
                            </w:pPr>
                            <w:r w:rsidRPr="00224AE9">
                              <w:rPr>
                                <w:rFonts w:eastAsia="Times New Roman" w:cstheme="minorHAnsi"/>
                                <w:sz w:val="20"/>
                                <w:szCs w:val="20"/>
                              </w:rPr>
                              <w:t xml:space="preserve">UoLs </w:t>
                            </w:r>
                            <w:r>
                              <w:rPr>
                                <w:rFonts w:eastAsia="Times New Roman" w:cstheme="minorHAnsi"/>
                                <w:sz w:val="20"/>
                                <w:szCs w:val="20"/>
                              </w:rPr>
                              <w:t>are revised over time such that they remain relevant</w:t>
                            </w:r>
                            <w:r w:rsidRPr="00224AE9">
                              <w:rPr>
                                <w:rFonts w:eastAsia="Times New Roman" w:cstheme="minorHAnsi"/>
                                <w:sz w:val="20"/>
                                <w:szCs w:val="20"/>
                              </w:rPr>
                              <w:t>.</w:t>
                            </w:r>
                          </w:p>
                          <w:p w:rsidR="00290662" w:rsidRPr="00224AE9" w:rsidRDefault="00290662" w:rsidP="002C3049">
                            <w:pPr>
                              <w:pStyle w:val="ListParagraph"/>
                              <w:numPr>
                                <w:ilvl w:val="0"/>
                                <w:numId w:val="31"/>
                              </w:numPr>
                              <w:spacing w:before="0"/>
                              <w:rPr>
                                <w:rFonts w:eastAsia="Times New Roman" w:cstheme="minorHAnsi"/>
                                <w:sz w:val="20"/>
                                <w:szCs w:val="20"/>
                              </w:rPr>
                            </w:pPr>
                            <w:r>
                              <w:rPr>
                                <w:rFonts w:eastAsia="Times New Roman" w:cstheme="minorHAnsi"/>
                                <w:sz w:val="20"/>
                                <w:szCs w:val="20"/>
                              </w:rPr>
                              <w:t>E</w:t>
                            </w:r>
                            <w:r w:rsidRPr="00224AE9">
                              <w:rPr>
                                <w:rFonts w:eastAsia="Times New Roman" w:cstheme="minorHAnsi"/>
                                <w:sz w:val="20"/>
                                <w:szCs w:val="20"/>
                              </w:rPr>
                              <w:t>mphasis is placed on a systemic approach whereby supervisors mentor principals rather than treating the groups in isolation.</w:t>
                            </w:r>
                          </w:p>
                          <w:p w:rsidR="00290662" w:rsidRDefault="00290662" w:rsidP="002C30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6" o:spid="_x0000_s1032" style="width:443.6pt;height:15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" fillcolor="#bcbcbc">
                <v:fill color2="#ededed" rotate="t" angle="180" colors="0 #bcbcbc;22938f #d0d0d0;1 #ededed" focus="100%" type="gradient"/>
                <v:shadow on="t" color="black" opacity="24903f" origin=",.5" offset="0,.55556mm"/>
                <v:textbox>
                  <w:txbxContent>
                    <w:p w:rsidR="00290662" w:rsidRPr="00224AE9" w:rsidRDefault="00290662" w:rsidP="002C3049">
                      <w:pPr>
                        <w:jc w:val="center"/>
                        <w:rPr>
                          <w:rFonts w:cstheme="minorHAnsi"/>
                          <w:b/>
                        </w:rPr>
                      </w:pPr>
                      <w:r w:rsidRPr="00224AE9">
                        <w:rPr>
                          <w:rFonts w:cstheme="minorHAnsi"/>
                          <w:b/>
                        </w:rPr>
                        <w:t>ProDEP’s core characteristics</w:t>
                      </w:r>
                    </w:p>
                    <w:p w:rsidR="00290662" w:rsidRDefault="00290662" w:rsidP="002C3049">
                      <w:pPr>
                        <w:pStyle w:val="ListParagraph"/>
                        <w:numPr>
                          <w:ilvl w:val="0"/>
                          <w:numId w:val="31"/>
                        </w:numPr>
                        <w:spacing w:before="0"/>
                        <w:rPr>
                          <w:rFonts w:eastAsia="Times New Roman" w:cstheme="minorHAnsi"/>
                          <w:sz w:val="20"/>
                          <w:szCs w:val="20"/>
                        </w:rPr>
                      </w:pPr>
                      <w:r>
                        <w:rPr>
                          <w:rFonts w:eastAsia="Times New Roman" w:cstheme="minorHAnsi"/>
                          <w:sz w:val="20"/>
                          <w:szCs w:val="20"/>
                        </w:rPr>
                        <w:t>Emphasis is placed on supporting visible improvements to performance in key competency areas.</w:t>
                      </w:r>
                    </w:p>
                    <w:p w:rsidR="00290662" w:rsidRDefault="00290662" w:rsidP="002C3049">
                      <w:pPr>
                        <w:pStyle w:val="ListParagraph"/>
                        <w:numPr>
                          <w:ilvl w:val="0"/>
                          <w:numId w:val="31"/>
                        </w:numPr>
                        <w:spacing w:before="0"/>
                        <w:rPr>
                          <w:rFonts w:eastAsia="Times New Roman" w:cstheme="minorHAnsi"/>
                          <w:sz w:val="20"/>
                          <w:szCs w:val="20"/>
                        </w:rPr>
                      </w:pPr>
                      <w:r>
                        <w:rPr>
                          <w:rFonts w:eastAsia="Times New Roman" w:cstheme="minorHAnsi"/>
                          <w:sz w:val="20"/>
                          <w:szCs w:val="20"/>
                        </w:rPr>
                        <w:t>Training is based on individual needs, with participants receiving core trainings and electives.</w:t>
                      </w:r>
                    </w:p>
                    <w:p w:rsidR="00290662" w:rsidRPr="00224AE9" w:rsidRDefault="00290662" w:rsidP="002C3049">
                      <w:pPr>
                        <w:pStyle w:val="ListParagraph"/>
                        <w:numPr>
                          <w:ilvl w:val="0"/>
                          <w:numId w:val="31"/>
                        </w:numPr>
                        <w:spacing w:before="0"/>
                        <w:rPr>
                          <w:rFonts w:eastAsia="Times New Roman" w:cstheme="minorHAnsi"/>
                          <w:sz w:val="20"/>
                          <w:szCs w:val="20"/>
                        </w:rPr>
                      </w:pPr>
                      <w:r>
                        <w:rPr>
                          <w:rFonts w:eastAsia="Times New Roman" w:cstheme="minorHAnsi"/>
                          <w:sz w:val="20"/>
                          <w:szCs w:val="20"/>
                        </w:rPr>
                        <w:t>Emphasis is placed on</w:t>
                      </w:r>
                      <w:r w:rsidRPr="00224AE9">
                        <w:rPr>
                          <w:rFonts w:eastAsia="Times New Roman" w:cstheme="minorHAnsi"/>
                          <w:sz w:val="20"/>
                          <w:szCs w:val="20"/>
                        </w:rPr>
                        <w:t xml:space="preserve"> conti</w:t>
                      </w:r>
                      <w:r>
                        <w:rPr>
                          <w:rFonts w:eastAsia="Times New Roman" w:cstheme="minorHAnsi"/>
                          <w:sz w:val="20"/>
                          <w:szCs w:val="20"/>
                        </w:rPr>
                        <w:t>nuous learning instead of a one-off or cascade training.</w:t>
                      </w:r>
                      <w:r w:rsidRPr="00224AE9">
                        <w:rPr>
                          <w:rFonts w:eastAsia="Times New Roman" w:cstheme="minorHAnsi"/>
                          <w:sz w:val="20"/>
                          <w:szCs w:val="20"/>
                        </w:rPr>
                        <w:t xml:space="preserve"> </w:t>
                      </w:r>
                    </w:p>
                    <w:p w:rsidR="00290662" w:rsidRPr="00224AE9" w:rsidRDefault="00290662" w:rsidP="002C3049">
                      <w:pPr>
                        <w:pStyle w:val="ListParagraph"/>
                        <w:numPr>
                          <w:ilvl w:val="0"/>
                          <w:numId w:val="31"/>
                        </w:numPr>
                        <w:spacing w:before="0"/>
                        <w:rPr>
                          <w:rFonts w:eastAsia="Times New Roman" w:cstheme="minorHAnsi"/>
                          <w:sz w:val="20"/>
                          <w:szCs w:val="20"/>
                        </w:rPr>
                      </w:pPr>
                      <w:r>
                        <w:rPr>
                          <w:rFonts w:eastAsia="Times New Roman" w:cstheme="minorHAnsi"/>
                          <w:sz w:val="20"/>
                          <w:szCs w:val="20"/>
                        </w:rPr>
                        <w:t xml:space="preserve">Usage of the </w:t>
                      </w:r>
                      <w:r w:rsidRPr="00224AE9">
                        <w:rPr>
                          <w:rFonts w:eastAsia="Times New Roman" w:cstheme="minorHAnsi"/>
                          <w:sz w:val="20"/>
                          <w:szCs w:val="20"/>
                        </w:rPr>
                        <w:t>In-On-In approach allows participants to implement learning in their working environments</w:t>
                      </w:r>
                      <w:r>
                        <w:rPr>
                          <w:rFonts w:eastAsia="Times New Roman" w:cstheme="minorHAnsi"/>
                          <w:sz w:val="20"/>
                          <w:szCs w:val="20"/>
                        </w:rPr>
                        <w:t>, to reflect on their experiences and to amend their work practices</w:t>
                      </w:r>
                    </w:p>
                    <w:p w:rsidR="00290662" w:rsidRPr="00224AE9" w:rsidRDefault="00290662" w:rsidP="002C3049">
                      <w:pPr>
                        <w:pStyle w:val="ListParagraph"/>
                        <w:numPr>
                          <w:ilvl w:val="0"/>
                          <w:numId w:val="31"/>
                        </w:numPr>
                        <w:spacing w:before="0"/>
                        <w:rPr>
                          <w:rFonts w:eastAsia="Times New Roman" w:cstheme="minorHAnsi"/>
                          <w:sz w:val="20"/>
                          <w:szCs w:val="20"/>
                        </w:rPr>
                      </w:pPr>
                      <w:r w:rsidRPr="00224AE9">
                        <w:rPr>
                          <w:rFonts w:eastAsia="Times New Roman" w:cstheme="minorHAnsi"/>
                          <w:sz w:val="20"/>
                          <w:szCs w:val="20"/>
                        </w:rPr>
                        <w:t xml:space="preserve">UoLs </w:t>
                      </w:r>
                      <w:r>
                        <w:rPr>
                          <w:rFonts w:eastAsia="Times New Roman" w:cstheme="minorHAnsi"/>
                          <w:sz w:val="20"/>
                          <w:szCs w:val="20"/>
                        </w:rPr>
                        <w:t>are revised over time such that they remain relevant</w:t>
                      </w:r>
                      <w:r w:rsidRPr="00224AE9">
                        <w:rPr>
                          <w:rFonts w:eastAsia="Times New Roman" w:cstheme="minorHAnsi"/>
                          <w:sz w:val="20"/>
                          <w:szCs w:val="20"/>
                        </w:rPr>
                        <w:t>.</w:t>
                      </w:r>
                    </w:p>
                    <w:p w:rsidR="00290662" w:rsidRPr="00224AE9" w:rsidRDefault="00290662" w:rsidP="002C3049">
                      <w:pPr>
                        <w:pStyle w:val="ListParagraph"/>
                        <w:numPr>
                          <w:ilvl w:val="0"/>
                          <w:numId w:val="31"/>
                        </w:numPr>
                        <w:spacing w:before="0"/>
                        <w:rPr>
                          <w:rFonts w:eastAsia="Times New Roman" w:cstheme="minorHAnsi"/>
                          <w:sz w:val="20"/>
                          <w:szCs w:val="20"/>
                        </w:rPr>
                      </w:pPr>
                      <w:r>
                        <w:rPr>
                          <w:rFonts w:eastAsia="Times New Roman" w:cstheme="minorHAnsi"/>
                          <w:sz w:val="20"/>
                          <w:szCs w:val="20"/>
                        </w:rPr>
                        <w:t>E</w:t>
                      </w:r>
                      <w:r w:rsidRPr="00224AE9">
                        <w:rPr>
                          <w:rFonts w:eastAsia="Times New Roman" w:cstheme="minorHAnsi"/>
                          <w:sz w:val="20"/>
                          <w:szCs w:val="20"/>
                        </w:rPr>
                        <w:t>mphasis is placed on a systemic approach whereby supervisors mentor principals rather than treating the groups in isolation.</w:t>
                      </w:r>
                    </w:p>
                    <w:p w:rsidR="00290662" w:rsidRDefault="00290662" w:rsidP="002C3049">
                      <w:pPr>
                        <w:jc w:val="center"/>
                      </w:pPr>
                    </w:p>
                  </w:txbxContent>
                </v:textbox>
                <w10:anchorlock/>
              </v:rect>
            </w:pict>
          </mc:Fallback>
        </mc:AlternateContent>
      </w:r>
    </w:p>
    <w:p w:rsidR="002C3049" w:rsidRPr="00F60000" w:rsidRDefault="002C3049" w:rsidP="002C3049">
      <w:pPr>
        <w:rPr>
          <w:rFonts w:cstheme="minorHAnsi"/>
        </w:rPr>
      </w:pPr>
      <w:r>
        <w:rPr>
          <w:rFonts w:cstheme="minorHAnsi"/>
        </w:rPr>
        <w:t xml:space="preserve">Overall, therefore, there is widespread consensus that ProDEP remains relevant to the needs and priorities of the Government of Indonesia (and specifically MoEC), that its </w:t>
      </w:r>
      <w:r w:rsidRPr="0069023F">
        <w:rPr>
          <w:rFonts w:cstheme="minorHAnsi"/>
          <w:i/>
        </w:rPr>
        <w:t>ambitions</w:t>
      </w:r>
      <w:r>
        <w:rPr>
          <w:rFonts w:cstheme="minorHAnsi"/>
        </w:rPr>
        <w:t xml:space="preserve"> are well aligned with DFAT policy commitments, and that its technical basis has numerous upsides. As such, the investment rationale remains sound, even if the way in which Australia has financed the delivery of training is now at odds with its new aid paradigm. </w:t>
      </w:r>
    </w:p>
    <w:p w:rsidR="002C3049" w:rsidRDefault="002C3049" w:rsidP="002C3049">
      <w:pPr>
        <w:pStyle w:val="Heading3"/>
      </w:pPr>
      <w:r w:rsidRPr="00851EC7">
        <w:lastRenderedPageBreak/>
        <w:t>Efficiency</w:t>
      </w:r>
    </w:p>
    <w:p w:rsidR="002C3049" w:rsidRDefault="002C3049" w:rsidP="002C3049">
      <w:r>
        <w:t xml:space="preserve">2015 was a somewhat turbulent year for ProDEP, a year in which a range of changes in the institutional landscape created uncertainty and led to delays to implementation. Ministry Regulation No. 11/2015 stipulated that the </w:t>
      </w:r>
      <w:r w:rsidRPr="00FA4291">
        <w:t>Board of Development for Human Resource Education and Culture and Education Quality</w:t>
      </w:r>
      <w:r>
        <w:t xml:space="preserve"> Assurance (Badan PSDMPK &amp; PMP or “</w:t>
      </w:r>
      <w:r w:rsidRPr="00FA4291">
        <w:t>Badan</w:t>
      </w:r>
      <w:r>
        <w:t>”) would be abolished and be replaced by a newly created Directorate General for Teacher and Education Personnel. For ProDEP, the restructuring saw the departure of several senior managers</w:t>
      </w:r>
      <w:r>
        <w:rPr>
          <w:rStyle w:val="FootnoteReference"/>
        </w:rPr>
        <w:footnoteReference w:id="55"/>
      </w:r>
      <w:r>
        <w:t xml:space="preserve"> and the appointment of new officials. The state of uncertainty and flux was compounded by the requirements of a new Ministry of State Apparatus and Bureaucratic Reform</w:t>
      </w:r>
      <w:r w:rsidRPr="009568FD">
        <w:t xml:space="preserve"> </w:t>
      </w:r>
      <w:r>
        <w:t>regulation, which introduced new procedures for the appointment of Echelon 1 and Echelon 2 officials. The consequence was a delay in the appointment of key MoEC personnel, with the new Director General for Teacher and Education Personnel only being appointed in June and the Director for Development of Basic and Senior Secondary Education Personnel being appointed two months later. As such, key decisions concerning procurement, implementation and future direction could only be taken by DFAT and MoEC from August/September 2015 (thus delaying the commencement of training until October 2015).</w:t>
      </w:r>
    </w:p>
    <w:p w:rsidR="002C3049" w:rsidRDefault="002C3049" w:rsidP="002C3049">
      <w:r>
        <w:t>In parallel, DFAT’s financial commitment to ProDEP was revised downwards several times in 2015 in response to anticipated DFAT budget cuts, MoEC budget planning requirements</w:t>
      </w:r>
      <w:r>
        <w:rPr>
          <w:rStyle w:val="FootnoteReference"/>
        </w:rPr>
        <w:footnoteReference w:id="56"/>
      </w:r>
      <w:r>
        <w:t xml:space="preserve">, and the presence of unspent funds in MoEC accounts caused by implementation delays (see </w:t>
      </w:r>
      <w:r>
        <w:fldChar w:fldCharType="begin"/>
      </w:r>
      <w:r>
        <w:instrText xml:space="preserve"> REF _Ref447887671 \h </w:instrText>
      </w:r>
      <w:r>
        <w:fldChar w:fldCharType="separate"/>
      </w:r>
      <w:r w:rsidR="00EC36D2">
        <w:t xml:space="preserve">Table </w:t>
      </w:r>
      <w:r w:rsidR="00EC36D2">
        <w:rPr>
          <w:noProof/>
        </w:rPr>
        <w:t>8</w:t>
      </w:r>
      <w:r>
        <w:fldChar w:fldCharType="end"/>
      </w:r>
      <w:r>
        <w:t>).</w:t>
      </w:r>
    </w:p>
    <w:p w:rsidR="002C3049" w:rsidRDefault="002C3049" w:rsidP="002C3049">
      <w:pPr>
        <w:pStyle w:val="Caption-Table"/>
        <w:rPr>
          <w:lang w:val="en-AU"/>
        </w:rPr>
      </w:pPr>
      <w:bookmarkStart w:id="49" w:name="_Ref447887671"/>
      <w:bookmarkStart w:id="50" w:name="_Toc450131629"/>
      <w:r>
        <w:t xml:space="preserve">Table </w:t>
      </w:r>
      <w:r>
        <w:fldChar w:fldCharType="begin"/>
      </w:r>
      <w:r>
        <w:instrText xml:space="preserve"> SEQ Table \* ARABIC </w:instrText>
      </w:r>
      <w:r>
        <w:fldChar w:fldCharType="separate"/>
      </w:r>
      <w:r w:rsidR="00EC36D2">
        <w:rPr>
          <w:noProof/>
        </w:rPr>
        <w:t>8</w:t>
      </w:r>
      <w:r>
        <w:fldChar w:fldCharType="end"/>
      </w:r>
      <w:bookmarkEnd w:id="49"/>
      <w:r w:rsidRPr="00851EC7">
        <w:rPr>
          <w:lang w:val="en-AU"/>
        </w:rPr>
        <w:t xml:space="preserve">: </w:t>
      </w:r>
      <w:r w:rsidRPr="00E557BD">
        <w:rPr>
          <w:lang w:val="en-AU"/>
        </w:rPr>
        <w:t>DFAT</w:t>
      </w:r>
      <w:r>
        <w:rPr>
          <w:lang w:val="en-AU"/>
        </w:rPr>
        <w:t>’s</w:t>
      </w:r>
      <w:r w:rsidRPr="00E557BD">
        <w:rPr>
          <w:lang w:val="en-AU"/>
        </w:rPr>
        <w:t xml:space="preserve"> Budget Allocations </w:t>
      </w:r>
      <w:r>
        <w:rPr>
          <w:lang w:val="en-AU"/>
        </w:rPr>
        <w:t>to</w:t>
      </w:r>
      <w:r w:rsidRPr="00E557BD">
        <w:rPr>
          <w:lang w:val="en-AU"/>
        </w:rPr>
        <w:t xml:space="preserve"> ProDEP</w:t>
      </w:r>
      <w:bookmarkEnd w:id="50"/>
    </w:p>
    <w:tbl>
      <w:tblPr>
        <w:tblStyle w:val="TableGrid"/>
        <w:tblW w:w="9339" w:type="dxa"/>
        <w:tblLook w:val="04A0" w:firstRow="1" w:lastRow="0" w:firstColumn="1" w:lastColumn="0" w:noHBand="0" w:noVBand="1"/>
      </w:tblPr>
      <w:tblGrid>
        <w:gridCol w:w="1668"/>
        <w:gridCol w:w="1984"/>
        <w:gridCol w:w="5687"/>
      </w:tblGrid>
      <w:tr w:rsidR="002C3049" w:rsidRPr="00F634BA" w:rsidTr="00EC36D2">
        <w:trPr>
          <w:trHeight w:val="964"/>
        </w:trPr>
        <w:tc>
          <w:tcPr>
            <w:tcW w:w="1668" w:type="dxa"/>
            <w:shd w:val="clear" w:color="auto" w:fill="1F497D" w:themeFill="text2"/>
            <w:vAlign w:val="center"/>
          </w:tcPr>
          <w:p w:rsidR="002C3049" w:rsidRPr="00F634BA" w:rsidRDefault="002C3049" w:rsidP="00EC36D2">
            <w:pPr>
              <w:jc w:val="center"/>
              <w:rPr>
                <w:b/>
                <w:bCs/>
                <w:color w:val="FFFFFF" w:themeColor="background1"/>
              </w:rPr>
            </w:pPr>
            <w:r>
              <w:rPr>
                <w:b/>
                <w:bCs/>
                <w:color w:val="FFFFFF" w:themeColor="background1"/>
              </w:rPr>
              <w:t xml:space="preserve">Timeframe </w:t>
            </w:r>
          </w:p>
        </w:tc>
        <w:tc>
          <w:tcPr>
            <w:tcW w:w="1984" w:type="dxa"/>
            <w:shd w:val="clear" w:color="auto" w:fill="1F497D" w:themeFill="text2"/>
            <w:vAlign w:val="center"/>
          </w:tcPr>
          <w:p w:rsidR="002C3049" w:rsidRPr="00F634BA" w:rsidRDefault="002C3049" w:rsidP="00EC36D2">
            <w:pPr>
              <w:jc w:val="center"/>
              <w:rPr>
                <w:b/>
                <w:bCs/>
                <w:color w:val="FFFFFF" w:themeColor="background1"/>
              </w:rPr>
            </w:pPr>
            <w:r w:rsidRPr="00F634BA">
              <w:rPr>
                <w:b/>
                <w:bCs/>
                <w:color w:val="FFFFFF" w:themeColor="background1"/>
              </w:rPr>
              <w:t>Budget</w:t>
            </w:r>
            <w:r>
              <w:rPr>
                <w:b/>
                <w:bCs/>
                <w:color w:val="FFFFFF" w:themeColor="background1"/>
              </w:rPr>
              <w:t xml:space="preserve"> (2015 to </w:t>
            </w:r>
            <w:r>
              <w:rPr>
                <w:b/>
                <w:bCs/>
                <w:color w:val="FFFFFF" w:themeColor="background1"/>
              </w:rPr>
              <w:br/>
              <w:t>June 2016)</w:t>
            </w:r>
          </w:p>
        </w:tc>
        <w:tc>
          <w:tcPr>
            <w:tcW w:w="5687" w:type="dxa"/>
            <w:shd w:val="clear" w:color="auto" w:fill="1F497D" w:themeFill="text2"/>
            <w:vAlign w:val="center"/>
          </w:tcPr>
          <w:p w:rsidR="002C3049" w:rsidRPr="00F634BA" w:rsidRDefault="002C3049" w:rsidP="00EC36D2">
            <w:pPr>
              <w:jc w:val="center"/>
              <w:rPr>
                <w:b/>
                <w:bCs/>
                <w:color w:val="FFFFFF" w:themeColor="background1"/>
              </w:rPr>
            </w:pPr>
            <w:r w:rsidRPr="00F634BA">
              <w:rPr>
                <w:b/>
                <w:bCs/>
                <w:color w:val="FFFFFF" w:themeColor="background1"/>
              </w:rPr>
              <w:t>Explanation</w:t>
            </w:r>
          </w:p>
        </w:tc>
      </w:tr>
      <w:tr w:rsidR="002C3049" w:rsidRPr="002C61D3" w:rsidTr="00EC36D2">
        <w:trPr>
          <w:trHeight w:val="737"/>
        </w:trPr>
        <w:tc>
          <w:tcPr>
            <w:tcW w:w="1668" w:type="dxa"/>
            <w:vAlign w:val="center"/>
          </w:tcPr>
          <w:p w:rsidR="002C3049" w:rsidRPr="002C61D3" w:rsidRDefault="002C3049" w:rsidP="00EC36D2">
            <w:pPr>
              <w:spacing w:before="0" w:after="0"/>
              <w:jc w:val="center"/>
              <w:rPr>
                <w:bCs/>
                <w:sz w:val="20"/>
                <w:szCs w:val="20"/>
              </w:rPr>
            </w:pPr>
            <w:r>
              <w:rPr>
                <w:bCs/>
                <w:sz w:val="20"/>
                <w:szCs w:val="20"/>
              </w:rPr>
              <w:t>First half 2014</w:t>
            </w:r>
          </w:p>
        </w:tc>
        <w:tc>
          <w:tcPr>
            <w:tcW w:w="1984" w:type="dxa"/>
            <w:vAlign w:val="center"/>
          </w:tcPr>
          <w:p w:rsidR="002C3049" w:rsidRPr="002C61D3" w:rsidRDefault="002C3049" w:rsidP="00EC36D2">
            <w:pPr>
              <w:spacing w:before="0" w:after="0"/>
              <w:jc w:val="center"/>
              <w:rPr>
                <w:bCs/>
                <w:sz w:val="20"/>
                <w:szCs w:val="20"/>
                <w:vertAlign w:val="superscript"/>
              </w:rPr>
            </w:pPr>
            <w:r w:rsidRPr="002C61D3">
              <w:rPr>
                <w:bCs/>
                <w:sz w:val="20"/>
                <w:szCs w:val="20"/>
              </w:rPr>
              <w:t xml:space="preserve">AUD 54 million </w:t>
            </w:r>
            <w:r w:rsidRPr="002C61D3">
              <w:rPr>
                <w:bCs/>
                <w:sz w:val="20"/>
                <w:szCs w:val="20"/>
                <w:vertAlign w:val="superscript"/>
              </w:rPr>
              <w:t>(a)</w:t>
            </w:r>
          </w:p>
        </w:tc>
        <w:tc>
          <w:tcPr>
            <w:tcW w:w="5687" w:type="dxa"/>
            <w:vAlign w:val="center"/>
          </w:tcPr>
          <w:p w:rsidR="002C3049" w:rsidRPr="002C61D3" w:rsidRDefault="002C3049" w:rsidP="00EC36D2">
            <w:pPr>
              <w:pStyle w:val="ListParagraph"/>
              <w:numPr>
                <w:ilvl w:val="0"/>
                <w:numId w:val="32"/>
              </w:numPr>
              <w:spacing w:before="0" w:after="0" w:line="240" w:lineRule="auto"/>
              <w:ind w:left="276" w:hanging="270"/>
              <w:jc w:val="left"/>
              <w:rPr>
                <w:rFonts w:eastAsia="Times New Roman"/>
                <w:bCs/>
                <w:sz w:val="20"/>
                <w:szCs w:val="20"/>
              </w:rPr>
            </w:pPr>
            <w:r>
              <w:rPr>
                <w:rFonts w:eastAsia="Times New Roman"/>
                <w:bCs/>
                <w:sz w:val="20"/>
                <w:szCs w:val="20"/>
              </w:rPr>
              <w:t xml:space="preserve">The original budget, i.e. that which </w:t>
            </w:r>
            <w:r w:rsidRPr="002C61D3">
              <w:rPr>
                <w:rFonts w:eastAsia="Times New Roman"/>
                <w:bCs/>
                <w:sz w:val="20"/>
                <w:szCs w:val="20"/>
              </w:rPr>
              <w:t xml:space="preserve">assumed that </w:t>
            </w:r>
            <w:r>
              <w:rPr>
                <w:rFonts w:eastAsia="Times New Roman"/>
                <w:bCs/>
                <w:sz w:val="20"/>
                <w:szCs w:val="20"/>
              </w:rPr>
              <w:t xml:space="preserve">ProDEP would be fully rolled out in </w:t>
            </w:r>
            <w:r w:rsidRPr="002C61D3">
              <w:rPr>
                <w:rFonts w:eastAsia="Times New Roman"/>
                <w:bCs/>
                <w:sz w:val="20"/>
                <w:szCs w:val="20"/>
              </w:rPr>
              <w:t>2015.</w:t>
            </w:r>
          </w:p>
        </w:tc>
      </w:tr>
      <w:tr w:rsidR="002C3049" w:rsidRPr="002C61D3" w:rsidTr="00EC36D2">
        <w:trPr>
          <w:trHeight w:val="737"/>
        </w:trPr>
        <w:tc>
          <w:tcPr>
            <w:tcW w:w="1668" w:type="dxa"/>
            <w:vAlign w:val="center"/>
          </w:tcPr>
          <w:p w:rsidR="002C3049" w:rsidRPr="002C61D3" w:rsidRDefault="002C3049" w:rsidP="00EC36D2">
            <w:pPr>
              <w:spacing w:before="0" w:after="0"/>
              <w:jc w:val="center"/>
              <w:rPr>
                <w:bCs/>
                <w:sz w:val="20"/>
                <w:szCs w:val="20"/>
              </w:rPr>
            </w:pPr>
            <w:r>
              <w:rPr>
                <w:bCs/>
                <w:sz w:val="20"/>
                <w:szCs w:val="20"/>
              </w:rPr>
              <w:t xml:space="preserve">Second half </w:t>
            </w:r>
            <w:r w:rsidRPr="002C61D3">
              <w:rPr>
                <w:bCs/>
                <w:sz w:val="20"/>
                <w:szCs w:val="20"/>
              </w:rPr>
              <w:t>2014</w:t>
            </w:r>
          </w:p>
        </w:tc>
        <w:tc>
          <w:tcPr>
            <w:tcW w:w="1984" w:type="dxa"/>
            <w:vAlign w:val="center"/>
          </w:tcPr>
          <w:p w:rsidR="002C3049" w:rsidRPr="002C61D3" w:rsidRDefault="002C3049" w:rsidP="00EC36D2">
            <w:pPr>
              <w:spacing w:before="0" w:after="0"/>
              <w:jc w:val="center"/>
              <w:rPr>
                <w:bCs/>
                <w:sz w:val="20"/>
                <w:szCs w:val="20"/>
              </w:rPr>
            </w:pPr>
            <w:r w:rsidRPr="002C61D3">
              <w:rPr>
                <w:bCs/>
                <w:sz w:val="20"/>
                <w:szCs w:val="20"/>
              </w:rPr>
              <w:t xml:space="preserve">AUD 37 million </w:t>
            </w:r>
            <w:r w:rsidRPr="002C61D3">
              <w:rPr>
                <w:bCs/>
                <w:sz w:val="20"/>
                <w:szCs w:val="20"/>
                <w:vertAlign w:val="superscript"/>
              </w:rPr>
              <w:t>(a)</w:t>
            </w:r>
          </w:p>
        </w:tc>
        <w:tc>
          <w:tcPr>
            <w:tcW w:w="5687" w:type="dxa"/>
            <w:vAlign w:val="center"/>
          </w:tcPr>
          <w:p w:rsidR="002C3049" w:rsidRPr="002C61D3" w:rsidRDefault="002C3049" w:rsidP="00EC36D2">
            <w:pPr>
              <w:pStyle w:val="ListParagraph"/>
              <w:numPr>
                <w:ilvl w:val="0"/>
                <w:numId w:val="33"/>
              </w:numPr>
              <w:spacing w:before="0" w:after="0" w:line="240" w:lineRule="auto"/>
              <w:ind w:left="252" w:hanging="252"/>
              <w:jc w:val="left"/>
              <w:rPr>
                <w:rFonts w:eastAsia="Times New Roman"/>
                <w:bCs/>
                <w:sz w:val="20"/>
                <w:szCs w:val="20"/>
              </w:rPr>
            </w:pPr>
            <w:r>
              <w:rPr>
                <w:rFonts w:eastAsia="Times New Roman"/>
                <w:bCs/>
                <w:sz w:val="20"/>
                <w:szCs w:val="20"/>
              </w:rPr>
              <w:t xml:space="preserve">DFAT revised the allocation to mid-2016 from AUD 54m to 37m, with the balance to be retained for </w:t>
            </w:r>
            <w:r w:rsidRPr="003E4B7B">
              <w:rPr>
                <w:rFonts w:eastAsia="Times New Roman"/>
                <w:bCs/>
                <w:sz w:val="20"/>
                <w:szCs w:val="20"/>
              </w:rPr>
              <w:t>a</w:t>
            </w:r>
            <w:r>
              <w:rPr>
                <w:rFonts w:eastAsia="Times New Roman"/>
                <w:bCs/>
                <w:sz w:val="20"/>
                <w:szCs w:val="20"/>
              </w:rPr>
              <w:t xml:space="preserve"> no-cost extension to 2017. </w:t>
            </w:r>
          </w:p>
        </w:tc>
      </w:tr>
      <w:tr w:rsidR="002C3049" w:rsidRPr="002C61D3" w:rsidTr="00EC36D2">
        <w:trPr>
          <w:trHeight w:val="1134"/>
        </w:trPr>
        <w:tc>
          <w:tcPr>
            <w:tcW w:w="1668" w:type="dxa"/>
            <w:vAlign w:val="center"/>
          </w:tcPr>
          <w:p w:rsidR="002C3049" w:rsidRPr="002C61D3" w:rsidRDefault="002C3049" w:rsidP="00EC36D2">
            <w:pPr>
              <w:spacing w:before="0" w:after="0"/>
              <w:jc w:val="center"/>
              <w:rPr>
                <w:bCs/>
                <w:sz w:val="20"/>
                <w:szCs w:val="20"/>
              </w:rPr>
            </w:pPr>
            <w:r w:rsidRPr="002C61D3">
              <w:rPr>
                <w:bCs/>
                <w:sz w:val="20"/>
                <w:szCs w:val="20"/>
              </w:rPr>
              <w:t>May 2015</w:t>
            </w:r>
          </w:p>
        </w:tc>
        <w:tc>
          <w:tcPr>
            <w:tcW w:w="1984" w:type="dxa"/>
            <w:vAlign w:val="center"/>
          </w:tcPr>
          <w:p w:rsidR="002C3049" w:rsidRPr="002C61D3" w:rsidRDefault="002C3049" w:rsidP="00EC36D2">
            <w:pPr>
              <w:spacing w:before="0" w:after="0"/>
              <w:jc w:val="center"/>
              <w:rPr>
                <w:bCs/>
                <w:sz w:val="20"/>
                <w:szCs w:val="20"/>
              </w:rPr>
            </w:pPr>
            <w:r w:rsidRPr="002C61D3">
              <w:rPr>
                <w:bCs/>
                <w:sz w:val="20"/>
                <w:szCs w:val="20"/>
              </w:rPr>
              <w:t xml:space="preserve">AUD 23 million </w:t>
            </w:r>
            <w:r w:rsidRPr="002C61D3">
              <w:rPr>
                <w:bCs/>
                <w:sz w:val="20"/>
                <w:szCs w:val="20"/>
                <w:vertAlign w:val="superscript"/>
              </w:rPr>
              <w:t>(b)</w:t>
            </w:r>
          </w:p>
        </w:tc>
        <w:tc>
          <w:tcPr>
            <w:tcW w:w="5687" w:type="dxa"/>
            <w:vAlign w:val="center"/>
          </w:tcPr>
          <w:p w:rsidR="002C3049" w:rsidRPr="002C61D3" w:rsidRDefault="002C3049" w:rsidP="00EC36D2">
            <w:pPr>
              <w:pStyle w:val="ListParagraph"/>
              <w:numPr>
                <w:ilvl w:val="0"/>
                <w:numId w:val="33"/>
              </w:numPr>
              <w:spacing w:before="0" w:after="0" w:line="240" w:lineRule="auto"/>
              <w:ind w:left="252" w:hanging="252"/>
              <w:jc w:val="left"/>
              <w:rPr>
                <w:rFonts w:eastAsia="Times New Roman"/>
                <w:bCs/>
                <w:sz w:val="20"/>
                <w:szCs w:val="20"/>
              </w:rPr>
            </w:pPr>
            <w:r>
              <w:rPr>
                <w:rFonts w:eastAsia="Times New Roman"/>
                <w:bCs/>
                <w:sz w:val="20"/>
                <w:szCs w:val="20"/>
              </w:rPr>
              <w:t>DFAT opted not to extend the duration of its support to C2. MoEC and DFAT agreed to plan on the basis of money already disbursed to GoI, e.g. AUD 23m. The balance (i.e. AUD 14m) was cancelled.</w:t>
            </w:r>
          </w:p>
        </w:tc>
      </w:tr>
      <w:tr w:rsidR="002C3049" w:rsidRPr="002C61D3" w:rsidTr="00EC36D2">
        <w:trPr>
          <w:trHeight w:val="1134"/>
        </w:trPr>
        <w:tc>
          <w:tcPr>
            <w:tcW w:w="1668" w:type="dxa"/>
            <w:vAlign w:val="center"/>
          </w:tcPr>
          <w:p w:rsidR="002C3049" w:rsidRPr="002C61D3" w:rsidRDefault="002C3049" w:rsidP="00EC36D2">
            <w:pPr>
              <w:spacing w:before="0" w:after="0"/>
              <w:jc w:val="center"/>
              <w:rPr>
                <w:bCs/>
                <w:sz w:val="20"/>
                <w:szCs w:val="20"/>
              </w:rPr>
            </w:pPr>
            <w:r w:rsidRPr="002C61D3">
              <w:rPr>
                <w:bCs/>
                <w:sz w:val="20"/>
                <w:szCs w:val="20"/>
              </w:rPr>
              <w:t>October 2015</w:t>
            </w:r>
          </w:p>
        </w:tc>
        <w:tc>
          <w:tcPr>
            <w:tcW w:w="1984" w:type="dxa"/>
            <w:vAlign w:val="center"/>
          </w:tcPr>
          <w:p w:rsidR="002C3049" w:rsidRPr="002C61D3" w:rsidRDefault="002C3049" w:rsidP="00EC36D2">
            <w:pPr>
              <w:spacing w:before="0" w:after="0"/>
              <w:jc w:val="center"/>
              <w:rPr>
                <w:bCs/>
                <w:sz w:val="20"/>
                <w:szCs w:val="20"/>
              </w:rPr>
            </w:pPr>
            <w:r w:rsidRPr="002C61D3">
              <w:rPr>
                <w:bCs/>
                <w:sz w:val="20"/>
                <w:szCs w:val="20"/>
              </w:rPr>
              <w:t xml:space="preserve">AUD 13.6 million </w:t>
            </w:r>
            <w:r w:rsidRPr="002C61D3">
              <w:rPr>
                <w:bCs/>
                <w:sz w:val="20"/>
                <w:szCs w:val="20"/>
                <w:vertAlign w:val="superscript"/>
              </w:rPr>
              <w:t>(c)</w:t>
            </w:r>
          </w:p>
        </w:tc>
        <w:tc>
          <w:tcPr>
            <w:tcW w:w="5687" w:type="dxa"/>
            <w:vAlign w:val="center"/>
          </w:tcPr>
          <w:p w:rsidR="002C3049" w:rsidRPr="002C61D3" w:rsidRDefault="002C3049" w:rsidP="00EC36D2">
            <w:pPr>
              <w:pStyle w:val="ListParagraph"/>
              <w:numPr>
                <w:ilvl w:val="0"/>
                <w:numId w:val="33"/>
              </w:numPr>
              <w:spacing w:before="0" w:after="0" w:line="240" w:lineRule="auto"/>
              <w:ind w:left="252" w:hanging="252"/>
              <w:jc w:val="left"/>
              <w:rPr>
                <w:rFonts w:eastAsia="Times New Roman"/>
                <w:bCs/>
                <w:sz w:val="20"/>
                <w:szCs w:val="20"/>
              </w:rPr>
            </w:pPr>
            <w:r>
              <w:rPr>
                <w:rFonts w:eastAsia="Times New Roman"/>
                <w:bCs/>
                <w:sz w:val="20"/>
                <w:szCs w:val="20"/>
              </w:rPr>
              <w:t>A response to</w:t>
            </w:r>
            <w:r w:rsidRPr="002C61D3">
              <w:rPr>
                <w:rFonts w:eastAsia="Times New Roman"/>
                <w:bCs/>
                <w:sz w:val="20"/>
                <w:szCs w:val="20"/>
              </w:rPr>
              <w:t xml:space="preserve"> the procurement plan submitted by MoEC </w:t>
            </w:r>
            <w:r>
              <w:rPr>
                <w:rFonts w:eastAsia="Times New Roman"/>
                <w:bCs/>
                <w:sz w:val="20"/>
                <w:szCs w:val="20"/>
              </w:rPr>
              <w:t xml:space="preserve">to DFAT </w:t>
            </w:r>
            <w:r w:rsidRPr="002C61D3">
              <w:rPr>
                <w:rFonts w:eastAsia="Times New Roman"/>
                <w:bCs/>
                <w:sz w:val="20"/>
                <w:szCs w:val="20"/>
              </w:rPr>
              <w:t>in September 2015</w:t>
            </w:r>
            <w:r>
              <w:rPr>
                <w:rFonts w:eastAsia="Times New Roman"/>
                <w:bCs/>
                <w:sz w:val="20"/>
                <w:szCs w:val="20"/>
              </w:rPr>
              <w:t>, covering the period until December 2015, in which MoEC indicated what could be disbursed until the end of the year</w:t>
            </w:r>
            <w:r w:rsidRPr="002C61D3">
              <w:rPr>
                <w:rFonts w:eastAsia="Times New Roman"/>
                <w:bCs/>
                <w:sz w:val="20"/>
                <w:szCs w:val="20"/>
              </w:rPr>
              <w:t>.</w:t>
            </w:r>
          </w:p>
        </w:tc>
      </w:tr>
    </w:tbl>
    <w:p w:rsidR="002C3049" w:rsidRDefault="002C3049" w:rsidP="002C3049">
      <w:pPr>
        <w:pStyle w:val="SourceNotes"/>
      </w:pPr>
      <w:r w:rsidRPr="002C61D3">
        <w:t>Sources: (</w:t>
      </w:r>
      <w:r>
        <w:t>a</w:t>
      </w:r>
      <w:r w:rsidRPr="002C61D3">
        <w:t>) Interview DFAT; (</w:t>
      </w:r>
      <w:r>
        <w:t>b</w:t>
      </w:r>
      <w:r w:rsidRPr="002C61D3">
        <w:t>) DFAT letter to MoEC, 26 May 2015; (</w:t>
      </w:r>
      <w:r>
        <w:t>c</w:t>
      </w:r>
      <w:r w:rsidRPr="002C61D3">
        <w:t>) DFAT letter to MoEC, 30 October 2015.</w:t>
      </w:r>
    </w:p>
    <w:p w:rsidR="002C3049" w:rsidRDefault="002C3049" w:rsidP="002C3049">
      <w:pPr>
        <w:rPr>
          <w:bCs/>
        </w:rPr>
      </w:pPr>
    </w:p>
    <w:p w:rsidR="002C3049" w:rsidRDefault="002C3049" w:rsidP="002C3049">
      <w:pPr>
        <w:rPr>
          <w:bCs/>
        </w:rPr>
      </w:pPr>
      <w:r>
        <w:rPr>
          <w:bCs/>
        </w:rPr>
        <w:t xml:space="preserve">In light of the delays to the commencement of GA-financed implementation of ProDEP activities, PAF targets were revised downwards in </w:t>
      </w:r>
      <w:r w:rsidRPr="007008D7">
        <w:rPr>
          <w:bCs/>
        </w:rPr>
        <w:t xml:space="preserve">December </w:t>
      </w:r>
      <w:r w:rsidRPr="001B0FE9">
        <w:rPr>
          <w:bCs/>
        </w:rPr>
        <w:t xml:space="preserve">2015 (see </w:t>
      </w:r>
      <w:r>
        <w:rPr>
          <w:bCs/>
        </w:rPr>
        <w:fldChar w:fldCharType="begin"/>
      </w:r>
      <w:r>
        <w:rPr>
          <w:bCs/>
        </w:rPr>
        <w:instrText xml:space="preserve"> REF _Ref447916484 \h </w:instrText>
      </w:r>
      <w:r>
        <w:rPr>
          <w:bCs/>
        </w:rPr>
      </w:r>
      <w:r>
        <w:rPr>
          <w:bCs/>
        </w:rPr>
        <w:fldChar w:fldCharType="separate"/>
      </w:r>
      <w:r w:rsidR="00EC36D2">
        <w:t xml:space="preserve">Table </w:t>
      </w:r>
      <w:r w:rsidR="00EC36D2">
        <w:rPr>
          <w:noProof/>
        </w:rPr>
        <w:t>9</w:t>
      </w:r>
      <w:r>
        <w:rPr>
          <w:bCs/>
        </w:rPr>
        <w:fldChar w:fldCharType="end"/>
      </w:r>
      <w:r w:rsidRPr="007008D7">
        <w:rPr>
          <w:bCs/>
        </w:rPr>
        <w:t>)</w:t>
      </w:r>
      <w:r w:rsidRPr="001B0FE9">
        <w:rPr>
          <w:rStyle w:val="EndnoteReference"/>
          <w:bCs/>
        </w:rPr>
        <w:endnoteReference w:id="25"/>
      </w:r>
      <w:r w:rsidRPr="001C6996">
        <w:rPr>
          <w:bCs/>
        </w:rPr>
        <w:t>.</w:t>
      </w:r>
    </w:p>
    <w:p w:rsidR="002C3049" w:rsidRDefault="002C3049" w:rsidP="002C3049">
      <w:pPr>
        <w:pStyle w:val="Caption-Table"/>
        <w:rPr>
          <w:bCs/>
          <w:lang w:val="en-AU"/>
        </w:rPr>
      </w:pPr>
      <w:bookmarkStart w:id="51" w:name="_Ref447916484"/>
      <w:bookmarkStart w:id="52" w:name="_Toc450131630"/>
      <w:r>
        <w:t xml:space="preserve">Table </w:t>
      </w:r>
      <w:r>
        <w:fldChar w:fldCharType="begin"/>
      </w:r>
      <w:r>
        <w:instrText xml:space="preserve"> SEQ Table \* ARABIC </w:instrText>
      </w:r>
      <w:r>
        <w:fldChar w:fldCharType="separate"/>
      </w:r>
      <w:r w:rsidR="00EC36D2">
        <w:rPr>
          <w:noProof/>
        </w:rPr>
        <w:t>9</w:t>
      </w:r>
      <w:r>
        <w:fldChar w:fldCharType="end"/>
      </w:r>
      <w:bookmarkEnd w:id="51"/>
      <w:r w:rsidRPr="00851EC7">
        <w:rPr>
          <w:lang w:val="en-AU"/>
        </w:rPr>
        <w:t xml:space="preserve">: </w:t>
      </w:r>
      <w:r w:rsidRPr="001C6996">
        <w:rPr>
          <w:bCs/>
          <w:lang w:val="en-AU"/>
        </w:rPr>
        <w:t>Original</w:t>
      </w:r>
      <w:r>
        <w:rPr>
          <w:bCs/>
          <w:lang w:val="en-AU"/>
        </w:rPr>
        <w:t xml:space="preserve"> and Revised PAF targets for CPD and SPD</w:t>
      </w:r>
      <w:bookmarkEnd w:id="52"/>
    </w:p>
    <w:tbl>
      <w:tblPr>
        <w:tblStyle w:val="TableGrid"/>
        <w:tblW w:w="9464" w:type="dxa"/>
        <w:tblLook w:val="04A0" w:firstRow="1" w:lastRow="0" w:firstColumn="1" w:lastColumn="0" w:noHBand="0" w:noVBand="1"/>
      </w:tblPr>
      <w:tblGrid>
        <w:gridCol w:w="1242"/>
        <w:gridCol w:w="1559"/>
        <w:gridCol w:w="2127"/>
        <w:gridCol w:w="1134"/>
        <w:gridCol w:w="1134"/>
        <w:gridCol w:w="992"/>
        <w:gridCol w:w="1276"/>
      </w:tblGrid>
      <w:tr w:rsidR="002C3049" w:rsidRPr="006D4AE5" w:rsidTr="00EC36D2">
        <w:trPr>
          <w:trHeight w:val="570"/>
        </w:trPr>
        <w:tc>
          <w:tcPr>
            <w:tcW w:w="1242" w:type="dxa"/>
            <w:vMerge w:val="restart"/>
            <w:shd w:val="clear" w:color="auto" w:fill="1F497D" w:themeFill="text2"/>
            <w:vAlign w:val="center"/>
          </w:tcPr>
          <w:p w:rsidR="002C3049" w:rsidRPr="006D4AE5" w:rsidRDefault="002C3049" w:rsidP="00EC36D2">
            <w:pPr>
              <w:spacing w:before="0" w:after="0"/>
              <w:jc w:val="center"/>
              <w:rPr>
                <w:b/>
                <w:color w:val="FFFFFF" w:themeColor="background1"/>
                <w:sz w:val="18"/>
                <w:szCs w:val="18"/>
              </w:rPr>
            </w:pPr>
            <w:r w:rsidRPr="006D4AE5">
              <w:rPr>
                <w:b/>
                <w:color w:val="FFFFFF" w:themeColor="background1"/>
                <w:sz w:val="18"/>
                <w:szCs w:val="18"/>
              </w:rPr>
              <w:t>Versions</w:t>
            </w:r>
          </w:p>
        </w:tc>
        <w:tc>
          <w:tcPr>
            <w:tcW w:w="1559" w:type="dxa"/>
            <w:shd w:val="clear" w:color="auto" w:fill="1F497D" w:themeFill="text2"/>
            <w:vAlign w:val="center"/>
          </w:tcPr>
          <w:p w:rsidR="002C3049" w:rsidRPr="006D4AE5" w:rsidRDefault="002C3049" w:rsidP="00EC36D2">
            <w:pPr>
              <w:spacing w:before="0" w:after="0"/>
              <w:jc w:val="center"/>
              <w:rPr>
                <w:b/>
                <w:color w:val="FFFFFF" w:themeColor="background1"/>
                <w:sz w:val="18"/>
                <w:szCs w:val="18"/>
              </w:rPr>
            </w:pPr>
            <w:r w:rsidRPr="006D4AE5">
              <w:rPr>
                <w:b/>
                <w:color w:val="FFFFFF" w:themeColor="background1"/>
                <w:sz w:val="18"/>
                <w:szCs w:val="18"/>
              </w:rPr>
              <w:t>Key Performance Indicators (KPIs)</w:t>
            </w:r>
          </w:p>
        </w:tc>
        <w:tc>
          <w:tcPr>
            <w:tcW w:w="2127" w:type="dxa"/>
            <w:shd w:val="clear" w:color="auto" w:fill="1F497D" w:themeFill="text2"/>
            <w:vAlign w:val="center"/>
          </w:tcPr>
          <w:p w:rsidR="002C3049" w:rsidRPr="006D4AE5" w:rsidRDefault="002C3049" w:rsidP="00EC36D2">
            <w:pPr>
              <w:spacing w:before="0" w:after="0"/>
              <w:jc w:val="center"/>
              <w:rPr>
                <w:color w:val="FFFFFF" w:themeColor="background1"/>
                <w:sz w:val="18"/>
                <w:szCs w:val="18"/>
              </w:rPr>
            </w:pPr>
            <w:r w:rsidRPr="006D4AE5">
              <w:rPr>
                <w:color w:val="FFFFFF" w:themeColor="background1"/>
                <w:sz w:val="18"/>
                <w:szCs w:val="18"/>
              </w:rPr>
              <w:t>ProDEP is managed and operationalized effectively</w:t>
            </w:r>
          </w:p>
        </w:tc>
        <w:tc>
          <w:tcPr>
            <w:tcW w:w="4536" w:type="dxa"/>
            <w:gridSpan w:val="4"/>
            <w:shd w:val="clear" w:color="auto" w:fill="1F497D" w:themeFill="text2"/>
            <w:vAlign w:val="center"/>
          </w:tcPr>
          <w:p w:rsidR="002C3049" w:rsidRPr="006D4AE5" w:rsidRDefault="002C3049" w:rsidP="00EC36D2">
            <w:pPr>
              <w:spacing w:before="0" w:after="0"/>
              <w:jc w:val="center"/>
              <w:rPr>
                <w:color w:val="FFFFFF" w:themeColor="background1"/>
                <w:sz w:val="18"/>
                <w:szCs w:val="18"/>
              </w:rPr>
            </w:pPr>
            <w:r w:rsidRPr="006D4AE5">
              <w:rPr>
                <w:color w:val="FFFFFF" w:themeColor="background1"/>
                <w:sz w:val="18"/>
                <w:szCs w:val="18"/>
              </w:rPr>
              <w:t>Principals, supervisors and district/provincial officials participate in ProDEP</w:t>
            </w:r>
          </w:p>
        </w:tc>
      </w:tr>
      <w:tr w:rsidR="002C3049" w:rsidRPr="006D4AE5" w:rsidTr="00EC36D2">
        <w:trPr>
          <w:trHeight w:val="652"/>
        </w:trPr>
        <w:tc>
          <w:tcPr>
            <w:tcW w:w="1242" w:type="dxa"/>
            <w:vMerge/>
            <w:shd w:val="clear" w:color="auto" w:fill="1F497D" w:themeFill="text2"/>
          </w:tcPr>
          <w:p w:rsidR="002C3049" w:rsidRPr="006D4AE5" w:rsidRDefault="002C3049" w:rsidP="00EC36D2">
            <w:pPr>
              <w:spacing w:before="0" w:after="0"/>
              <w:rPr>
                <w:b/>
                <w:color w:val="FFFFFF" w:themeColor="background1"/>
                <w:sz w:val="18"/>
                <w:szCs w:val="18"/>
              </w:rPr>
            </w:pPr>
          </w:p>
        </w:tc>
        <w:tc>
          <w:tcPr>
            <w:tcW w:w="1559" w:type="dxa"/>
            <w:shd w:val="clear" w:color="auto" w:fill="95B3D7" w:themeFill="accent1" w:themeFillTint="99"/>
            <w:vAlign w:val="center"/>
          </w:tcPr>
          <w:p w:rsidR="002C3049" w:rsidRPr="00FF0AC6" w:rsidRDefault="002C3049" w:rsidP="00EC36D2">
            <w:pPr>
              <w:spacing w:before="0" w:after="0"/>
              <w:jc w:val="center"/>
              <w:rPr>
                <w:b/>
                <w:sz w:val="18"/>
                <w:szCs w:val="18"/>
              </w:rPr>
            </w:pPr>
            <w:r w:rsidRPr="00FF0AC6">
              <w:rPr>
                <w:b/>
                <w:sz w:val="18"/>
                <w:szCs w:val="18"/>
              </w:rPr>
              <w:t>Measures</w:t>
            </w:r>
          </w:p>
        </w:tc>
        <w:tc>
          <w:tcPr>
            <w:tcW w:w="2127" w:type="dxa"/>
            <w:shd w:val="clear" w:color="auto" w:fill="95B3D7" w:themeFill="accent1" w:themeFillTint="99"/>
            <w:vAlign w:val="center"/>
          </w:tcPr>
          <w:p w:rsidR="002C3049" w:rsidRPr="00FF0AC6" w:rsidRDefault="002C3049" w:rsidP="00EC36D2">
            <w:pPr>
              <w:spacing w:before="0" w:after="0"/>
              <w:jc w:val="center"/>
              <w:rPr>
                <w:sz w:val="18"/>
                <w:szCs w:val="18"/>
              </w:rPr>
            </w:pPr>
            <w:r w:rsidRPr="00FF0AC6">
              <w:rPr>
                <w:sz w:val="18"/>
                <w:szCs w:val="18"/>
              </w:rPr>
              <w:t xml:space="preserve">2.5. Number of principals enrolled in CPD through </w:t>
            </w:r>
            <w:r w:rsidRPr="00FF0AC6">
              <w:rPr>
                <w:b/>
                <w:sz w:val="18"/>
                <w:szCs w:val="18"/>
              </w:rPr>
              <w:t>online learning</w:t>
            </w:r>
          </w:p>
        </w:tc>
        <w:tc>
          <w:tcPr>
            <w:tcW w:w="2268" w:type="dxa"/>
            <w:gridSpan w:val="2"/>
            <w:shd w:val="clear" w:color="auto" w:fill="95B3D7" w:themeFill="accent1" w:themeFillTint="99"/>
            <w:vAlign w:val="center"/>
          </w:tcPr>
          <w:p w:rsidR="002C3049" w:rsidRPr="00FF0AC6" w:rsidRDefault="002C3049" w:rsidP="00EC36D2">
            <w:pPr>
              <w:spacing w:before="0" w:after="0"/>
              <w:jc w:val="center"/>
              <w:rPr>
                <w:sz w:val="18"/>
                <w:szCs w:val="18"/>
              </w:rPr>
            </w:pPr>
            <w:r w:rsidRPr="00FF0AC6">
              <w:rPr>
                <w:sz w:val="18"/>
                <w:szCs w:val="18"/>
              </w:rPr>
              <w:t xml:space="preserve">3.2. Number of </w:t>
            </w:r>
            <w:r w:rsidRPr="00FF0AC6">
              <w:rPr>
                <w:sz w:val="18"/>
                <w:szCs w:val="18"/>
                <w:u w:val="single"/>
              </w:rPr>
              <w:t>new*</w:t>
            </w:r>
            <w:r w:rsidRPr="00FF0AC6">
              <w:rPr>
                <w:sz w:val="18"/>
                <w:szCs w:val="18"/>
              </w:rPr>
              <w:t xml:space="preserve"> </w:t>
            </w:r>
            <w:r w:rsidRPr="00FF0AC6">
              <w:rPr>
                <w:b/>
                <w:sz w:val="18"/>
                <w:szCs w:val="18"/>
              </w:rPr>
              <w:t>principals</w:t>
            </w:r>
            <w:r w:rsidRPr="00FF0AC6">
              <w:rPr>
                <w:sz w:val="18"/>
                <w:szCs w:val="18"/>
              </w:rPr>
              <w:t xml:space="preserve"> enrolled in at least one </w:t>
            </w:r>
            <w:r w:rsidRPr="00FF0AC6">
              <w:rPr>
                <w:b/>
                <w:sz w:val="18"/>
                <w:szCs w:val="18"/>
              </w:rPr>
              <w:t>CPD</w:t>
            </w:r>
            <w:r w:rsidRPr="00FF0AC6">
              <w:rPr>
                <w:sz w:val="18"/>
                <w:szCs w:val="18"/>
              </w:rPr>
              <w:t xml:space="preserve"> (annual data)</w:t>
            </w:r>
          </w:p>
        </w:tc>
        <w:tc>
          <w:tcPr>
            <w:tcW w:w="2268" w:type="dxa"/>
            <w:gridSpan w:val="2"/>
            <w:shd w:val="clear" w:color="auto" w:fill="95B3D7" w:themeFill="accent1" w:themeFillTint="99"/>
            <w:vAlign w:val="center"/>
          </w:tcPr>
          <w:p w:rsidR="002C3049" w:rsidRPr="00FF0AC6" w:rsidRDefault="002C3049" w:rsidP="00EC36D2">
            <w:pPr>
              <w:spacing w:before="0" w:after="0"/>
              <w:jc w:val="center"/>
              <w:rPr>
                <w:sz w:val="18"/>
                <w:szCs w:val="18"/>
              </w:rPr>
            </w:pPr>
            <w:r w:rsidRPr="00FF0AC6">
              <w:rPr>
                <w:sz w:val="18"/>
                <w:szCs w:val="18"/>
              </w:rPr>
              <w:t xml:space="preserve">Number of </w:t>
            </w:r>
            <w:r w:rsidRPr="00FF0AC6">
              <w:rPr>
                <w:sz w:val="18"/>
                <w:szCs w:val="18"/>
                <w:u w:val="single"/>
              </w:rPr>
              <w:t>new*</w:t>
            </w:r>
            <w:r w:rsidRPr="00FF0AC6">
              <w:rPr>
                <w:sz w:val="18"/>
                <w:szCs w:val="18"/>
              </w:rPr>
              <w:t xml:space="preserve"> </w:t>
            </w:r>
            <w:r w:rsidRPr="00FF0AC6">
              <w:rPr>
                <w:b/>
                <w:sz w:val="18"/>
                <w:szCs w:val="18"/>
              </w:rPr>
              <w:t>supervisors</w:t>
            </w:r>
            <w:r w:rsidRPr="00FF0AC6">
              <w:rPr>
                <w:sz w:val="18"/>
                <w:szCs w:val="18"/>
              </w:rPr>
              <w:t xml:space="preserve"> enrolled in </w:t>
            </w:r>
            <w:r w:rsidRPr="00FF0AC6">
              <w:rPr>
                <w:b/>
                <w:sz w:val="18"/>
                <w:szCs w:val="18"/>
              </w:rPr>
              <w:t>SPD</w:t>
            </w:r>
            <w:r w:rsidRPr="00FF0AC6">
              <w:rPr>
                <w:sz w:val="18"/>
                <w:szCs w:val="18"/>
              </w:rPr>
              <w:t xml:space="preserve"> training (annual data)</w:t>
            </w:r>
          </w:p>
        </w:tc>
      </w:tr>
      <w:tr w:rsidR="002C3049" w:rsidRPr="006D4AE5" w:rsidTr="00EC36D2">
        <w:trPr>
          <w:trHeight w:val="442"/>
        </w:trPr>
        <w:tc>
          <w:tcPr>
            <w:tcW w:w="1242" w:type="dxa"/>
            <w:vMerge w:val="restart"/>
            <w:shd w:val="clear" w:color="auto" w:fill="E5DFEC" w:themeFill="accent4" w:themeFillTint="33"/>
            <w:vAlign w:val="center"/>
          </w:tcPr>
          <w:p w:rsidR="002C3049" w:rsidRPr="006D4AE5" w:rsidRDefault="002C3049" w:rsidP="00EC36D2">
            <w:pPr>
              <w:spacing w:before="0" w:after="0"/>
              <w:jc w:val="center"/>
              <w:rPr>
                <w:sz w:val="18"/>
                <w:szCs w:val="18"/>
              </w:rPr>
            </w:pPr>
            <w:r w:rsidRPr="006D4AE5">
              <w:rPr>
                <w:sz w:val="18"/>
                <w:szCs w:val="18"/>
              </w:rPr>
              <w:t>Original PAF</w:t>
            </w:r>
          </w:p>
        </w:tc>
        <w:tc>
          <w:tcPr>
            <w:tcW w:w="1559" w:type="dxa"/>
            <w:shd w:val="clear" w:color="auto" w:fill="E5DFEC" w:themeFill="accent4" w:themeFillTint="33"/>
            <w:vAlign w:val="center"/>
          </w:tcPr>
          <w:p w:rsidR="002C3049" w:rsidRPr="006D4AE5" w:rsidRDefault="002C3049" w:rsidP="00EC36D2">
            <w:pPr>
              <w:spacing w:before="0" w:after="0"/>
              <w:jc w:val="center"/>
              <w:rPr>
                <w:sz w:val="18"/>
                <w:szCs w:val="18"/>
              </w:rPr>
            </w:pPr>
            <w:r w:rsidRPr="006D4AE5">
              <w:rPr>
                <w:sz w:val="18"/>
                <w:szCs w:val="18"/>
              </w:rPr>
              <w:t>Targeted levels</w:t>
            </w:r>
          </w:p>
        </w:tc>
        <w:tc>
          <w:tcPr>
            <w:tcW w:w="2127" w:type="dxa"/>
            <w:shd w:val="clear" w:color="auto" w:fill="E5DFEC" w:themeFill="accent4" w:themeFillTint="33"/>
            <w:vAlign w:val="center"/>
          </w:tcPr>
          <w:p w:rsidR="002C3049" w:rsidRPr="006D4AE5" w:rsidRDefault="002C3049" w:rsidP="00EC36D2">
            <w:pPr>
              <w:spacing w:before="0" w:after="0"/>
              <w:jc w:val="center"/>
              <w:rPr>
                <w:sz w:val="18"/>
                <w:szCs w:val="18"/>
              </w:rPr>
            </w:pPr>
            <w:r w:rsidRPr="006D4AE5">
              <w:rPr>
                <w:sz w:val="18"/>
                <w:szCs w:val="18"/>
              </w:rPr>
              <w:t>SD and SMP</w:t>
            </w:r>
          </w:p>
        </w:tc>
        <w:tc>
          <w:tcPr>
            <w:tcW w:w="2268" w:type="dxa"/>
            <w:gridSpan w:val="2"/>
            <w:shd w:val="clear" w:color="auto" w:fill="E5DFEC" w:themeFill="accent4" w:themeFillTint="33"/>
            <w:vAlign w:val="center"/>
          </w:tcPr>
          <w:p w:rsidR="002C3049" w:rsidRPr="006D4AE5" w:rsidRDefault="002C3049" w:rsidP="00EC36D2">
            <w:pPr>
              <w:spacing w:before="0" w:after="0"/>
              <w:jc w:val="center"/>
              <w:rPr>
                <w:sz w:val="18"/>
                <w:szCs w:val="18"/>
              </w:rPr>
            </w:pPr>
            <w:r w:rsidRPr="006D4AE5">
              <w:rPr>
                <w:sz w:val="18"/>
                <w:szCs w:val="18"/>
              </w:rPr>
              <w:t>SD and SMP</w:t>
            </w:r>
          </w:p>
        </w:tc>
        <w:tc>
          <w:tcPr>
            <w:tcW w:w="2268" w:type="dxa"/>
            <w:gridSpan w:val="2"/>
            <w:shd w:val="clear" w:color="auto" w:fill="E5DFEC" w:themeFill="accent4" w:themeFillTint="33"/>
            <w:vAlign w:val="center"/>
          </w:tcPr>
          <w:p w:rsidR="002C3049" w:rsidRPr="006D4AE5" w:rsidRDefault="002C3049" w:rsidP="00EC36D2">
            <w:pPr>
              <w:spacing w:before="0" w:after="0"/>
              <w:jc w:val="center"/>
              <w:rPr>
                <w:sz w:val="18"/>
                <w:szCs w:val="18"/>
              </w:rPr>
            </w:pPr>
            <w:r w:rsidRPr="006D4AE5">
              <w:rPr>
                <w:sz w:val="18"/>
                <w:szCs w:val="18"/>
              </w:rPr>
              <w:t>SD and SMP</w:t>
            </w:r>
          </w:p>
        </w:tc>
      </w:tr>
      <w:tr w:rsidR="002C3049" w:rsidRPr="006D4AE5" w:rsidTr="00EC36D2">
        <w:trPr>
          <w:trHeight w:val="407"/>
        </w:trPr>
        <w:tc>
          <w:tcPr>
            <w:tcW w:w="1242" w:type="dxa"/>
            <w:vMerge/>
            <w:shd w:val="clear" w:color="auto" w:fill="E5DFEC" w:themeFill="accent4" w:themeFillTint="33"/>
          </w:tcPr>
          <w:p w:rsidR="002C3049" w:rsidRPr="006D4AE5" w:rsidRDefault="002C3049" w:rsidP="00EC36D2">
            <w:pPr>
              <w:spacing w:before="0" w:after="0"/>
              <w:rPr>
                <w:sz w:val="18"/>
                <w:szCs w:val="18"/>
              </w:rPr>
            </w:pPr>
          </w:p>
        </w:tc>
        <w:tc>
          <w:tcPr>
            <w:tcW w:w="1559" w:type="dxa"/>
            <w:shd w:val="clear" w:color="auto" w:fill="E5DFEC" w:themeFill="accent4" w:themeFillTint="33"/>
            <w:vAlign w:val="center"/>
          </w:tcPr>
          <w:p w:rsidR="002C3049" w:rsidRPr="006D4AE5" w:rsidRDefault="002C3049" w:rsidP="00EC36D2">
            <w:pPr>
              <w:spacing w:before="0" w:after="0"/>
              <w:jc w:val="center"/>
              <w:rPr>
                <w:sz w:val="18"/>
                <w:szCs w:val="18"/>
              </w:rPr>
            </w:pPr>
            <w:r w:rsidRPr="006D4AE5">
              <w:rPr>
                <w:sz w:val="18"/>
                <w:szCs w:val="18"/>
              </w:rPr>
              <w:t>Target</w:t>
            </w:r>
          </w:p>
        </w:tc>
        <w:tc>
          <w:tcPr>
            <w:tcW w:w="2127" w:type="dxa"/>
            <w:shd w:val="clear" w:color="auto" w:fill="E5DFEC" w:themeFill="accent4" w:themeFillTint="33"/>
            <w:vAlign w:val="center"/>
          </w:tcPr>
          <w:p w:rsidR="002C3049" w:rsidRPr="006D4AE5" w:rsidRDefault="002C3049" w:rsidP="00EC36D2">
            <w:pPr>
              <w:spacing w:before="0" w:after="0"/>
              <w:jc w:val="center"/>
              <w:rPr>
                <w:sz w:val="18"/>
                <w:szCs w:val="18"/>
              </w:rPr>
            </w:pPr>
            <w:r w:rsidRPr="006D4AE5">
              <w:rPr>
                <w:sz w:val="18"/>
                <w:szCs w:val="18"/>
              </w:rPr>
              <w:t>2,500</w:t>
            </w:r>
          </w:p>
        </w:tc>
        <w:tc>
          <w:tcPr>
            <w:tcW w:w="2268" w:type="dxa"/>
            <w:gridSpan w:val="2"/>
            <w:shd w:val="clear" w:color="auto" w:fill="E5DFEC" w:themeFill="accent4" w:themeFillTint="33"/>
            <w:vAlign w:val="center"/>
          </w:tcPr>
          <w:p w:rsidR="002C3049" w:rsidRPr="006D4AE5" w:rsidRDefault="002C3049" w:rsidP="00EC36D2">
            <w:pPr>
              <w:spacing w:before="0" w:after="0"/>
              <w:jc w:val="center"/>
              <w:rPr>
                <w:sz w:val="18"/>
                <w:szCs w:val="18"/>
              </w:rPr>
            </w:pPr>
            <w:r w:rsidRPr="006D4AE5">
              <w:rPr>
                <w:sz w:val="18"/>
                <w:szCs w:val="18"/>
              </w:rPr>
              <w:t>20,000 (new)</w:t>
            </w:r>
          </w:p>
        </w:tc>
        <w:tc>
          <w:tcPr>
            <w:tcW w:w="2268" w:type="dxa"/>
            <w:gridSpan w:val="2"/>
            <w:shd w:val="clear" w:color="auto" w:fill="E5DFEC" w:themeFill="accent4" w:themeFillTint="33"/>
            <w:vAlign w:val="center"/>
          </w:tcPr>
          <w:p w:rsidR="002C3049" w:rsidRPr="006D4AE5" w:rsidRDefault="002C3049" w:rsidP="00EC36D2">
            <w:pPr>
              <w:spacing w:before="0" w:after="0"/>
              <w:jc w:val="center"/>
              <w:rPr>
                <w:sz w:val="18"/>
                <w:szCs w:val="18"/>
              </w:rPr>
            </w:pPr>
            <w:r w:rsidRPr="006D4AE5">
              <w:rPr>
                <w:sz w:val="18"/>
                <w:szCs w:val="18"/>
              </w:rPr>
              <w:t>4,000 (new)</w:t>
            </w:r>
          </w:p>
        </w:tc>
      </w:tr>
      <w:tr w:rsidR="002C3049" w:rsidRPr="006D4AE5" w:rsidTr="00EC36D2">
        <w:trPr>
          <w:trHeight w:val="413"/>
        </w:trPr>
        <w:tc>
          <w:tcPr>
            <w:tcW w:w="1242" w:type="dxa"/>
            <w:vMerge/>
            <w:shd w:val="clear" w:color="auto" w:fill="E5DFEC" w:themeFill="accent4" w:themeFillTint="33"/>
          </w:tcPr>
          <w:p w:rsidR="002C3049" w:rsidRPr="006D4AE5" w:rsidRDefault="002C3049" w:rsidP="00EC36D2">
            <w:pPr>
              <w:spacing w:before="0" w:after="0"/>
              <w:rPr>
                <w:sz w:val="18"/>
                <w:szCs w:val="18"/>
              </w:rPr>
            </w:pPr>
          </w:p>
        </w:tc>
        <w:tc>
          <w:tcPr>
            <w:tcW w:w="1559" w:type="dxa"/>
            <w:shd w:val="clear" w:color="auto" w:fill="E5DFEC" w:themeFill="accent4" w:themeFillTint="33"/>
            <w:vAlign w:val="center"/>
          </w:tcPr>
          <w:p w:rsidR="002C3049" w:rsidRPr="006D4AE5" w:rsidRDefault="002C3049" w:rsidP="00EC36D2">
            <w:pPr>
              <w:spacing w:before="0" w:after="0"/>
              <w:jc w:val="center"/>
              <w:rPr>
                <w:sz w:val="18"/>
                <w:szCs w:val="18"/>
              </w:rPr>
            </w:pPr>
            <w:r w:rsidRPr="006D4AE5">
              <w:rPr>
                <w:sz w:val="18"/>
                <w:szCs w:val="18"/>
              </w:rPr>
              <w:t>Modality</w:t>
            </w:r>
          </w:p>
        </w:tc>
        <w:tc>
          <w:tcPr>
            <w:tcW w:w="2127" w:type="dxa"/>
            <w:shd w:val="clear" w:color="auto" w:fill="E5DFEC" w:themeFill="accent4" w:themeFillTint="33"/>
            <w:vAlign w:val="center"/>
          </w:tcPr>
          <w:p w:rsidR="002C3049" w:rsidRPr="006D4AE5" w:rsidRDefault="002C3049" w:rsidP="00EC36D2">
            <w:pPr>
              <w:spacing w:before="0" w:after="0"/>
              <w:jc w:val="center"/>
              <w:rPr>
                <w:sz w:val="18"/>
                <w:szCs w:val="18"/>
              </w:rPr>
            </w:pPr>
            <w:r w:rsidRPr="006D4AE5">
              <w:rPr>
                <w:sz w:val="18"/>
                <w:szCs w:val="18"/>
              </w:rPr>
              <w:t>Online Learning only</w:t>
            </w:r>
          </w:p>
        </w:tc>
        <w:tc>
          <w:tcPr>
            <w:tcW w:w="2268" w:type="dxa"/>
            <w:gridSpan w:val="2"/>
            <w:shd w:val="clear" w:color="auto" w:fill="E5DFEC" w:themeFill="accent4" w:themeFillTint="33"/>
            <w:vAlign w:val="center"/>
          </w:tcPr>
          <w:p w:rsidR="002C3049" w:rsidRPr="006D4AE5" w:rsidRDefault="002C3049" w:rsidP="00EC36D2">
            <w:pPr>
              <w:spacing w:before="0" w:after="0"/>
              <w:jc w:val="center"/>
              <w:rPr>
                <w:sz w:val="18"/>
                <w:szCs w:val="18"/>
              </w:rPr>
            </w:pPr>
            <w:r w:rsidRPr="006D4AE5">
              <w:rPr>
                <w:sz w:val="18"/>
                <w:szCs w:val="18"/>
              </w:rPr>
              <w:t>Direct, Cluster, and Online</w:t>
            </w:r>
          </w:p>
        </w:tc>
        <w:tc>
          <w:tcPr>
            <w:tcW w:w="2268" w:type="dxa"/>
            <w:gridSpan w:val="2"/>
            <w:shd w:val="clear" w:color="auto" w:fill="E5DFEC" w:themeFill="accent4" w:themeFillTint="33"/>
            <w:vAlign w:val="center"/>
          </w:tcPr>
          <w:p w:rsidR="002C3049" w:rsidRPr="006D4AE5" w:rsidRDefault="002C3049" w:rsidP="00EC36D2">
            <w:pPr>
              <w:spacing w:before="0" w:after="0"/>
              <w:jc w:val="center"/>
              <w:rPr>
                <w:sz w:val="18"/>
                <w:szCs w:val="18"/>
              </w:rPr>
            </w:pPr>
            <w:r w:rsidRPr="006D4AE5">
              <w:rPr>
                <w:sz w:val="18"/>
                <w:szCs w:val="18"/>
              </w:rPr>
              <w:t>Trained by EEs</w:t>
            </w:r>
          </w:p>
        </w:tc>
      </w:tr>
      <w:tr w:rsidR="002C3049" w:rsidRPr="006D4AE5" w:rsidTr="00EC36D2">
        <w:trPr>
          <w:trHeight w:val="466"/>
        </w:trPr>
        <w:tc>
          <w:tcPr>
            <w:tcW w:w="1242" w:type="dxa"/>
            <w:vMerge w:val="restart"/>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Revised PAF</w:t>
            </w:r>
          </w:p>
          <w:p w:rsidR="002C3049" w:rsidRPr="006D4AE5" w:rsidRDefault="002C3049" w:rsidP="00EC36D2">
            <w:pPr>
              <w:spacing w:before="0" w:after="0"/>
              <w:jc w:val="center"/>
              <w:rPr>
                <w:sz w:val="18"/>
                <w:szCs w:val="18"/>
              </w:rPr>
            </w:pPr>
            <w:r w:rsidRPr="006D4AE5">
              <w:rPr>
                <w:sz w:val="18"/>
                <w:szCs w:val="18"/>
              </w:rPr>
              <w:t>(Dec 2015)</w:t>
            </w:r>
          </w:p>
        </w:tc>
        <w:tc>
          <w:tcPr>
            <w:tcW w:w="1559"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Targeted levels</w:t>
            </w:r>
          </w:p>
        </w:tc>
        <w:tc>
          <w:tcPr>
            <w:tcW w:w="2127"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SD and SMP</w:t>
            </w:r>
          </w:p>
        </w:tc>
        <w:tc>
          <w:tcPr>
            <w:tcW w:w="1134" w:type="dxa"/>
            <w:shd w:val="clear" w:color="auto" w:fill="EAF1DD" w:themeFill="accent3" w:themeFillTint="33"/>
            <w:vAlign w:val="center"/>
          </w:tcPr>
          <w:p w:rsidR="002C3049" w:rsidRPr="006D4AE5" w:rsidRDefault="002C3049" w:rsidP="00EC36D2">
            <w:pPr>
              <w:spacing w:before="0" w:after="0" w:line="240" w:lineRule="auto"/>
              <w:jc w:val="center"/>
              <w:rPr>
                <w:sz w:val="18"/>
                <w:szCs w:val="18"/>
              </w:rPr>
            </w:pPr>
            <w:r w:rsidRPr="006D4AE5">
              <w:rPr>
                <w:sz w:val="18"/>
                <w:szCs w:val="18"/>
              </w:rPr>
              <w:t>SMP</w:t>
            </w:r>
          </w:p>
        </w:tc>
        <w:tc>
          <w:tcPr>
            <w:tcW w:w="1134"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SMP</w:t>
            </w:r>
          </w:p>
        </w:tc>
        <w:tc>
          <w:tcPr>
            <w:tcW w:w="992" w:type="dxa"/>
            <w:shd w:val="clear" w:color="auto" w:fill="EAF1DD" w:themeFill="accent3" w:themeFillTint="33"/>
            <w:vAlign w:val="center"/>
          </w:tcPr>
          <w:p w:rsidR="002C3049" w:rsidRPr="006D4AE5" w:rsidRDefault="002C3049" w:rsidP="00EC36D2">
            <w:pPr>
              <w:spacing w:before="0" w:after="0" w:line="240" w:lineRule="auto"/>
              <w:jc w:val="center"/>
              <w:rPr>
                <w:sz w:val="18"/>
                <w:szCs w:val="18"/>
              </w:rPr>
            </w:pPr>
            <w:r w:rsidRPr="006D4AE5">
              <w:rPr>
                <w:sz w:val="18"/>
                <w:szCs w:val="18"/>
              </w:rPr>
              <w:t>SMP</w:t>
            </w:r>
          </w:p>
        </w:tc>
        <w:tc>
          <w:tcPr>
            <w:tcW w:w="1276"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SMP</w:t>
            </w:r>
          </w:p>
        </w:tc>
      </w:tr>
      <w:tr w:rsidR="002C3049" w:rsidRPr="006D4AE5" w:rsidTr="00EC36D2">
        <w:trPr>
          <w:trHeight w:val="466"/>
        </w:trPr>
        <w:tc>
          <w:tcPr>
            <w:tcW w:w="1242" w:type="dxa"/>
            <w:vMerge/>
            <w:shd w:val="clear" w:color="auto" w:fill="EAF1DD" w:themeFill="accent3" w:themeFillTint="33"/>
          </w:tcPr>
          <w:p w:rsidR="002C3049" w:rsidRPr="006D4AE5" w:rsidRDefault="002C3049" w:rsidP="00EC36D2">
            <w:pPr>
              <w:spacing w:before="0" w:after="0"/>
              <w:rPr>
                <w:sz w:val="18"/>
                <w:szCs w:val="18"/>
              </w:rPr>
            </w:pPr>
          </w:p>
        </w:tc>
        <w:tc>
          <w:tcPr>
            <w:tcW w:w="1559"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Target</w:t>
            </w:r>
          </w:p>
        </w:tc>
        <w:tc>
          <w:tcPr>
            <w:tcW w:w="2127"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1,494</w:t>
            </w:r>
          </w:p>
        </w:tc>
        <w:tc>
          <w:tcPr>
            <w:tcW w:w="1134"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7,606 (continuing)</w:t>
            </w:r>
          </w:p>
        </w:tc>
        <w:tc>
          <w:tcPr>
            <w:tcW w:w="1134"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 xml:space="preserve">180 </w:t>
            </w:r>
            <w:r>
              <w:rPr>
                <w:sz w:val="18"/>
                <w:szCs w:val="18"/>
              </w:rPr>
              <w:br/>
            </w:r>
            <w:r w:rsidRPr="006D4AE5">
              <w:rPr>
                <w:sz w:val="18"/>
                <w:szCs w:val="18"/>
              </w:rPr>
              <w:t>(new)</w:t>
            </w:r>
          </w:p>
        </w:tc>
        <w:tc>
          <w:tcPr>
            <w:tcW w:w="992" w:type="dxa"/>
            <w:shd w:val="clear" w:color="auto" w:fill="EAF1DD" w:themeFill="accent3" w:themeFillTint="33"/>
            <w:vAlign w:val="center"/>
          </w:tcPr>
          <w:p w:rsidR="002C3049" w:rsidRPr="006D4AE5" w:rsidRDefault="002C3049" w:rsidP="00EC36D2">
            <w:pPr>
              <w:spacing w:before="0" w:after="0" w:line="240" w:lineRule="auto"/>
              <w:jc w:val="center"/>
              <w:rPr>
                <w:sz w:val="18"/>
                <w:szCs w:val="18"/>
              </w:rPr>
            </w:pPr>
            <w:r w:rsidRPr="006D4AE5">
              <w:rPr>
                <w:sz w:val="18"/>
                <w:szCs w:val="18"/>
              </w:rPr>
              <w:t>1,611</w:t>
            </w:r>
          </w:p>
        </w:tc>
        <w:tc>
          <w:tcPr>
            <w:tcW w:w="1276"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36</w:t>
            </w:r>
          </w:p>
        </w:tc>
      </w:tr>
      <w:tr w:rsidR="002C3049" w:rsidRPr="006D4AE5" w:rsidTr="00EC36D2">
        <w:trPr>
          <w:trHeight w:val="466"/>
        </w:trPr>
        <w:tc>
          <w:tcPr>
            <w:tcW w:w="1242" w:type="dxa"/>
            <w:vMerge/>
            <w:shd w:val="clear" w:color="auto" w:fill="EAF1DD" w:themeFill="accent3" w:themeFillTint="33"/>
          </w:tcPr>
          <w:p w:rsidR="002C3049" w:rsidRPr="006D4AE5" w:rsidRDefault="002C3049" w:rsidP="00EC36D2">
            <w:pPr>
              <w:spacing w:before="0" w:after="0"/>
              <w:rPr>
                <w:sz w:val="18"/>
                <w:szCs w:val="18"/>
              </w:rPr>
            </w:pPr>
          </w:p>
        </w:tc>
        <w:tc>
          <w:tcPr>
            <w:tcW w:w="1559"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Modality</w:t>
            </w:r>
          </w:p>
        </w:tc>
        <w:tc>
          <w:tcPr>
            <w:tcW w:w="2127"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Online Learning only</w:t>
            </w:r>
          </w:p>
        </w:tc>
        <w:tc>
          <w:tcPr>
            <w:tcW w:w="1134" w:type="dxa"/>
            <w:shd w:val="clear" w:color="auto" w:fill="EAF1DD" w:themeFill="accent3" w:themeFillTint="33"/>
            <w:vAlign w:val="center"/>
          </w:tcPr>
          <w:p w:rsidR="002C3049" w:rsidRPr="006D4AE5" w:rsidRDefault="002C3049" w:rsidP="00EC36D2">
            <w:pPr>
              <w:spacing w:before="0" w:after="0" w:line="240" w:lineRule="auto"/>
              <w:jc w:val="center"/>
              <w:rPr>
                <w:sz w:val="18"/>
                <w:szCs w:val="18"/>
              </w:rPr>
            </w:pPr>
            <w:r w:rsidRPr="006D4AE5">
              <w:rPr>
                <w:sz w:val="18"/>
                <w:szCs w:val="18"/>
              </w:rPr>
              <w:t>Direct</w:t>
            </w:r>
          </w:p>
        </w:tc>
        <w:tc>
          <w:tcPr>
            <w:tcW w:w="1134"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Cluster</w:t>
            </w:r>
          </w:p>
        </w:tc>
        <w:tc>
          <w:tcPr>
            <w:tcW w:w="992" w:type="dxa"/>
            <w:shd w:val="clear" w:color="auto" w:fill="EAF1DD" w:themeFill="accent3" w:themeFillTint="33"/>
            <w:vAlign w:val="center"/>
          </w:tcPr>
          <w:p w:rsidR="002C3049" w:rsidRPr="006D4AE5" w:rsidRDefault="002C3049" w:rsidP="00EC36D2">
            <w:pPr>
              <w:spacing w:before="0" w:after="0" w:line="240" w:lineRule="auto"/>
              <w:jc w:val="center"/>
              <w:rPr>
                <w:sz w:val="18"/>
                <w:szCs w:val="18"/>
              </w:rPr>
            </w:pPr>
            <w:r w:rsidRPr="006D4AE5">
              <w:rPr>
                <w:sz w:val="18"/>
                <w:szCs w:val="18"/>
              </w:rPr>
              <w:t>Refresher course</w:t>
            </w:r>
          </w:p>
        </w:tc>
        <w:tc>
          <w:tcPr>
            <w:tcW w:w="1276"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Cluster</w:t>
            </w:r>
          </w:p>
        </w:tc>
      </w:tr>
    </w:tbl>
    <w:p w:rsidR="002C3049" w:rsidRPr="00734551" w:rsidRDefault="002C3049" w:rsidP="002C3049">
      <w:pPr>
        <w:pStyle w:val="SourceNotes"/>
      </w:pPr>
      <w:r w:rsidRPr="00734551">
        <w:t xml:space="preserve">Source: </w:t>
      </w:r>
      <w:r>
        <w:t>PAF June 2014</w:t>
      </w:r>
      <w:r w:rsidRPr="007008D7">
        <w:t xml:space="preserve"> and data from C2.</w:t>
      </w:r>
    </w:p>
    <w:p w:rsidR="002C3049" w:rsidRPr="007008D7" w:rsidRDefault="002C3049" w:rsidP="002C3049">
      <w:pPr>
        <w:rPr>
          <w:bCs/>
        </w:rPr>
      </w:pPr>
      <w:r>
        <w:rPr>
          <w:bCs/>
        </w:rPr>
        <w:t xml:space="preserve">Based on available data at the time of writing, C2 met about </w:t>
      </w:r>
      <w:r w:rsidR="00DB6F7F">
        <w:rPr>
          <w:bCs/>
        </w:rPr>
        <w:t>77.27</w:t>
      </w:r>
      <w:r>
        <w:rPr>
          <w:bCs/>
        </w:rPr>
        <w:t xml:space="preserve">% of its </w:t>
      </w:r>
      <w:r w:rsidRPr="00652109">
        <w:rPr>
          <w:bCs/>
          <w:i/>
        </w:rPr>
        <w:t>revised</w:t>
      </w:r>
      <w:r>
        <w:rPr>
          <w:bCs/>
        </w:rPr>
        <w:t xml:space="preserve"> targets for </w:t>
      </w:r>
      <w:r w:rsidRPr="007008D7">
        <w:rPr>
          <w:bCs/>
        </w:rPr>
        <w:t>2015</w:t>
      </w:r>
      <w:r>
        <w:rPr>
          <w:bCs/>
        </w:rPr>
        <w:t>, i.e. the targets for 2015 set in December 2015</w:t>
      </w:r>
      <w:r w:rsidRPr="007008D7">
        <w:rPr>
          <w:bCs/>
        </w:rPr>
        <w:t xml:space="preserve"> (see </w:t>
      </w:r>
      <w:r>
        <w:rPr>
          <w:bCs/>
          <w:highlight w:val="yellow"/>
        </w:rPr>
        <w:fldChar w:fldCharType="begin"/>
      </w:r>
      <w:r>
        <w:rPr>
          <w:bCs/>
        </w:rPr>
        <w:instrText xml:space="preserve"> REF _Ref448156017 \h </w:instrText>
      </w:r>
      <w:r>
        <w:rPr>
          <w:bCs/>
          <w:highlight w:val="yellow"/>
        </w:rPr>
      </w:r>
      <w:r>
        <w:rPr>
          <w:bCs/>
          <w:highlight w:val="yellow"/>
        </w:rPr>
        <w:fldChar w:fldCharType="separate"/>
      </w:r>
      <w:r w:rsidR="00EC36D2">
        <w:t xml:space="preserve">Table </w:t>
      </w:r>
      <w:r w:rsidR="00EC36D2">
        <w:rPr>
          <w:noProof/>
        </w:rPr>
        <w:t>10</w:t>
      </w:r>
      <w:r>
        <w:rPr>
          <w:bCs/>
          <w:highlight w:val="yellow"/>
        </w:rPr>
        <w:fldChar w:fldCharType="end"/>
      </w:r>
      <w:r w:rsidRPr="00E44179">
        <w:rPr>
          <w:bCs/>
        </w:rPr>
        <w:t>, below</w:t>
      </w:r>
      <w:r w:rsidRPr="007008D7">
        <w:rPr>
          <w:bCs/>
        </w:rPr>
        <w:t>)</w:t>
      </w:r>
      <w:r>
        <w:rPr>
          <w:bCs/>
        </w:rPr>
        <w:t xml:space="preserve">. </w:t>
      </w:r>
    </w:p>
    <w:p w:rsidR="002C3049" w:rsidRDefault="002C3049" w:rsidP="002C3049">
      <w:pPr>
        <w:pStyle w:val="Caption-Table"/>
        <w:rPr>
          <w:bCs/>
          <w:lang w:val="en-AU"/>
        </w:rPr>
      </w:pPr>
      <w:bookmarkStart w:id="53" w:name="_Ref448156017"/>
      <w:bookmarkStart w:id="54" w:name="_Toc450131631"/>
      <w:r>
        <w:t xml:space="preserve">Table </w:t>
      </w:r>
      <w:r>
        <w:fldChar w:fldCharType="begin"/>
      </w:r>
      <w:r>
        <w:instrText xml:space="preserve"> SEQ Table \* ARABIC </w:instrText>
      </w:r>
      <w:r>
        <w:fldChar w:fldCharType="separate"/>
      </w:r>
      <w:r w:rsidR="00EC36D2">
        <w:rPr>
          <w:noProof/>
        </w:rPr>
        <w:t>10</w:t>
      </w:r>
      <w:r>
        <w:fldChar w:fldCharType="end"/>
      </w:r>
      <w:bookmarkEnd w:id="53"/>
      <w:r w:rsidRPr="00851EC7">
        <w:rPr>
          <w:lang w:val="en-AU"/>
        </w:rPr>
        <w:t xml:space="preserve">: </w:t>
      </w:r>
      <w:r w:rsidRPr="00282BE7">
        <w:rPr>
          <w:bCs/>
          <w:lang w:val="en-AU"/>
        </w:rPr>
        <w:t>Performance against Revised PAF Targets</w:t>
      </w:r>
      <w:bookmarkEnd w:id="54"/>
    </w:p>
    <w:tbl>
      <w:tblPr>
        <w:tblStyle w:val="TableGrid"/>
        <w:tblW w:w="9515" w:type="dxa"/>
        <w:jc w:val="center"/>
        <w:tblLayout w:type="fixed"/>
        <w:tblLook w:val="04A0" w:firstRow="1" w:lastRow="0" w:firstColumn="1" w:lastColumn="0" w:noHBand="0" w:noVBand="1"/>
      </w:tblPr>
      <w:tblGrid>
        <w:gridCol w:w="1242"/>
        <w:gridCol w:w="1559"/>
        <w:gridCol w:w="1702"/>
        <w:gridCol w:w="1134"/>
        <w:gridCol w:w="992"/>
        <w:gridCol w:w="992"/>
        <w:gridCol w:w="992"/>
        <w:gridCol w:w="902"/>
      </w:tblGrid>
      <w:tr w:rsidR="002C3049" w:rsidRPr="006D4AE5" w:rsidTr="00EC36D2">
        <w:trPr>
          <w:trHeight w:val="744"/>
          <w:jc w:val="center"/>
        </w:trPr>
        <w:tc>
          <w:tcPr>
            <w:tcW w:w="1242" w:type="dxa"/>
            <w:vMerge w:val="restart"/>
            <w:shd w:val="clear" w:color="auto" w:fill="1F497D" w:themeFill="text2"/>
            <w:vAlign w:val="bottom"/>
          </w:tcPr>
          <w:p w:rsidR="002C3049" w:rsidRPr="006D4AE5" w:rsidRDefault="002C3049" w:rsidP="00EC36D2">
            <w:pPr>
              <w:spacing w:before="0" w:after="0"/>
              <w:jc w:val="center"/>
              <w:rPr>
                <w:b/>
                <w:color w:val="FFFFFF" w:themeColor="background1"/>
                <w:sz w:val="18"/>
                <w:szCs w:val="18"/>
              </w:rPr>
            </w:pPr>
            <w:r w:rsidRPr="006D4AE5">
              <w:rPr>
                <w:b/>
                <w:color w:val="FFFFFF" w:themeColor="background1"/>
                <w:sz w:val="18"/>
                <w:szCs w:val="18"/>
              </w:rPr>
              <w:t>Performance</w:t>
            </w:r>
          </w:p>
        </w:tc>
        <w:tc>
          <w:tcPr>
            <w:tcW w:w="1559" w:type="dxa"/>
            <w:shd w:val="clear" w:color="auto" w:fill="1F497D" w:themeFill="text2"/>
            <w:vAlign w:val="center"/>
          </w:tcPr>
          <w:p w:rsidR="002C3049" w:rsidRPr="006D4AE5" w:rsidRDefault="002C3049" w:rsidP="00EC36D2">
            <w:pPr>
              <w:spacing w:before="0" w:after="0"/>
              <w:jc w:val="center"/>
              <w:rPr>
                <w:b/>
                <w:color w:val="FFFFFF" w:themeColor="background1"/>
                <w:sz w:val="18"/>
                <w:szCs w:val="18"/>
              </w:rPr>
            </w:pPr>
            <w:r w:rsidRPr="006D4AE5">
              <w:rPr>
                <w:b/>
                <w:color w:val="FFFFFF" w:themeColor="background1"/>
                <w:sz w:val="18"/>
                <w:szCs w:val="18"/>
              </w:rPr>
              <w:t>Key Performance Indicators (KPIs)</w:t>
            </w:r>
          </w:p>
        </w:tc>
        <w:tc>
          <w:tcPr>
            <w:tcW w:w="1702" w:type="dxa"/>
            <w:shd w:val="clear" w:color="auto" w:fill="1F497D" w:themeFill="text2"/>
            <w:vAlign w:val="center"/>
          </w:tcPr>
          <w:p w:rsidR="002C3049" w:rsidRPr="006D4AE5" w:rsidRDefault="002C3049" w:rsidP="00EC36D2">
            <w:pPr>
              <w:spacing w:before="0" w:after="0"/>
              <w:jc w:val="center"/>
              <w:rPr>
                <w:color w:val="FFFFFF" w:themeColor="background1"/>
                <w:sz w:val="18"/>
                <w:szCs w:val="18"/>
              </w:rPr>
            </w:pPr>
            <w:r w:rsidRPr="006D4AE5">
              <w:rPr>
                <w:color w:val="FFFFFF" w:themeColor="background1"/>
                <w:sz w:val="18"/>
                <w:szCs w:val="18"/>
              </w:rPr>
              <w:t>ProDEP is managed and operationalized effectively</w:t>
            </w:r>
          </w:p>
        </w:tc>
        <w:tc>
          <w:tcPr>
            <w:tcW w:w="4110" w:type="dxa"/>
            <w:gridSpan w:val="4"/>
            <w:shd w:val="clear" w:color="auto" w:fill="1F497D" w:themeFill="text2"/>
            <w:vAlign w:val="center"/>
          </w:tcPr>
          <w:p w:rsidR="002C3049" w:rsidRPr="006D4AE5" w:rsidRDefault="002C3049" w:rsidP="00EC36D2">
            <w:pPr>
              <w:spacing w:before="0" w:after="0"/>
              <w:jc w:val="center"/>
              <w:rPr>
                <w:color w:val="FFFFFF" w:themeColor="background1"/>
                <w:sz w:val="18"/>
                <w:szCs w:val="18"/>
              </w:rPr>
            </w:pPr>
            <w:r w:rsidRPr="006D4AE5">
              <w:rPr>
                <w:color w:val="FFFFFF" w:themeColor="background1"/>
                <w:sz w:val="18"/>
                <w:szCs w:val="18"/>
              </w:rPr>
              <w:t>Principals, supervisors and district/provincial officials participate in ProDEP</w:t>
            </w:r>
          </w:p>
        </w:tc>
        <w:tc>
          <w:tcPr>
            <w:tcW w:w="902" w:type="dxa"/>
            <w:vMerge w:val="restart"/>
            <w:shd w:val="clear" w:color="auto" w:fill="1F497D" w:themeFill="text2"/>
            <w:vAlign w:val="bottom"/>
          </w:tcPr>
          <w:p w:rsidR="002C3049" w:rsidRPr="0044751F" w:rsidRDefault="002C3049" w:rsidP="00EC36D2">
            <w:pPr>
              <w:spacing w:before="0" w:after="0"/>
              <w:jc w:val="center"/>
              <w:rPr>
                <w:b/>
                <w:color w:val="FFFFFF" w:themeColor="background1"/>
                <w:sz w:val="18"/>
                <w:szCs w:val="18"/>
              </w:rPr>
            </w:pPr>
            <w:r w:rsidRPr="0044751F">
              <w:rPr>
                <w:b/>
                <w:color w:val="FFFFFF" w:themeColor="background1"/>
                <w:sz w:val="18"/>
                <w:szCs w:val="18"/>
              </w:rPr>
              <w:t>Total</w:t>
            </w:r>
          </w:p>
        </w:tc>
      </w:tr>
      <w:tr w:rsidR="002C3049" w:rsidRPr="006D4AE5" w:rsidTr="00EC36D2">
        <w:trPr>
          <w:trHeight w:val="981"/>
          <w:jc w:val="center"/>
        </w:trPr>
        <w:tc>
          <w:tcPr>
            <w:tcW w:w="1242" w:type="dxa"/>
            <w:vMerge/>
            <w:shd w:val="clear" w:color="auto" w:fill="1F497D" w:themeFill="text2"/>
          </w:tcPr>
          <w:p w:rsidR="002C3049" w:rsidRPr="006D4AE5" w:rsidRDefault="002C3049" w:rsidP="00EC36D2">
            <w:pPr>
              <w:spacing w:before="0" w:after="0"/>
              <w:rPr>
                <w:b/>
                <w:color w:val="FFFFFF" w:themeColor="background1"/>
                <w:sz w:val="18"/>
                <w:szCs w:val="18"/>
              </w:rPr>
            </w:pPr>
          </w:p>
        </w:tc>
        <w:tc>
          <w:tcPr>
            <w:tcW w:w="1559" w:type="dxa"/>
            <w:shd w:val="clear" w:color="auto" w:fill="95B3D7" w:themeFill="accent1" w:themeFillTint="99"/>
            <w:vAlign w:val="center"/>
          </w:tcPr>
          <w:p w:rsidR="002C3049" w:rsidRPr="00FF0AC6" w:rsidRDefault="002C3049" w:rsidP="00EC36D2">
            <w:pPr>
              <w:spacing w:before="0" w:after="0"/>
              <w:jc w:val="center"/>
              <w:rPr>
                <w:b/>
                <w:sz w:val="18"/>
                <w:szCs w:val="18"/>
              </w:rPr>
            </w:pPr>
            <w:r w:rsidRPr="00FF0AC6">
              <w:rPr>
                <w:b/>
                <w:sz w:val="18"/>
                <w:szCs w:val="18"/>
              </w:rPr>
              <w:t>Measures</w:t>
            </w:r>
          </w:p>
        </w:tc>
        <w:tc>
          <w:tcPr>
            <w:tcW w:w="1702" w:type="dxa"/>
            <w:shd w:val="clear" w:color="auto" w:fill="95B3D7" w:themeFill="accent1" w:themeFillTint="99"/>
            <w:vAlign w:val="center"/>
          </w:tcPr>
          <w:p w:rsidR="002C3049" w:rsidRPr="00FF0AC6" w:rsidRDefault="002C3049" w:rsidP="00EC36D2">
            <w:pPr>
              <w:spacing w:before="0" w:after="0"/>
              <w:jc w:val="center"/>
              <w:rPr>
                <w:sz w:val="18"/>
                <w:szCs w:val="18"/>
              </w:rPr>
            </w:pPr>
            <w:r w:rsidRPr="00FF0AC6">
              <w:rPr>
                <w:sz w:val="18"/>
                <w:szCs w:val="18"/>
              </w:rPr>
              <w:t xml:space="preserve">2.5. Number of principals enrolled in CPD through </w:t>
            </w:r>
            <w:r w:rsidRPr="00FF0AC6">
              <w:rPr>
                <w:b/>
                <w:sz w:val="18"/>
                <w:szCs w:val="18"/>
              </w:rPr>
              <w:t>online learning</w:t>
            </w:r>
          </w:p>
        </w:tc>
        <w:tc>
          <w:tcPr>
            <w:tcW w:w="2126" w:type="dxa"/>
            <w:gridSpan w:val="2"/>
            <w:shd w:val="clear" w:color="auto" w:fill="95B3D7" w:themeFill="accent1" w:themeFillTint="99"/>
            <w:vAlign w:val="center"/>
          </w:tcPr>
          <w:p w:rsidR="002C3049" w:rsidRPr="00FF0AC6" w:rsidRDefault="002C3049" w:rsidP="00EC36D2">
            <w:pPr>
              <w:spacing w:before="0" w:after="0"/>
              <w:jc w:val="center"/>
              <w:rPr>
                <w:sz w:val="18"/>
                <w:szCs w:val="18"/>
              </w:rPr>
            </w:pPr>
            <w:r w:rsidRPr="00FF0AC6">
              <w:rPr>
                <w:sz w:val="18"/>
                <w:szCs w:val="18"/>
              </w:rPr>
              <w:t xml:space="preserve">3.2. Number of </w:t>
            </w:r>
            <w:r w:rsidRPr="00FF0AC6">
              <w:rPr>
                <w:sz w:val="18"/>
                <w:szCs w:val="18"/>
                <w:u w:val="single"/>
              </w:rPr>
              <w:t>new*</w:t>
            </w:r>
            <w:r w:rsidRPr="00FF0AC6">
              <w:rPr>
                <w:sz w:val="18"/>
                <w:szCs w:val="18"/>
              </w:rPr>
              <w:t xml:space="preserve"> </w:t>
            </w:r>
            <w:r w:rsidRPr="00FF0AC6">
              <w:rPr>
                <w:b/>
                <w:sz w:val="18"/>
                <w:szCs w:val="18"/>
              </w:rPr>
              <w:t>principals</w:t>
            </w:r>
            <w:r w:rsidRPr="00FF0AC6">
              <w:rPr>
                <w:sz w:val="18"/>
                <w:szCs w:val="18"/>
              </w:rPr>
              <w:t xml:space="preserve"> enrolled in at least one </w:t>
            </w:r>
            <w:r w:rsidRPr="00FF0AC6">
              <w:rPr>
                <w:b/>
                <w:sz w:val="18"/>
                <w:szCs w:val="18"/>
              </w:rPr>
              <w:t>CPD</w:t>
            </w:r>
            <w:r w:rsidRPr="00FF0AC6">
              <w:rPr>
                <w:sz w:val="18"/>
                <w:szCs w:val="18"/>
              </w:rPr>
              <w:t xml:space="preserve"> (annual data)</w:t>
            </w:r>
          </w:p>
        </w:tc>
        <w:tc>
          <w:tcPr>
            <w:tcW w:w="1984" w:type="dxa"/>
            <w:gridSpan w:val="2"/>
            <w:shd w:val="clear" w:color="auto" w:fill="95B3D7" w:themeFill="accent1" w:themeFillTint="99"/>
            <w:vAlign w:val="center"/>
          </w:tcPr>
          <w:p w:rsidR="002C3049" w:rsidRPr="00FF0AC6" w:rsidRDefault="002C3049" w:rsidP="00EC36D2">
            <w:pPr>
              <w:spacing w:before="0" w:after="0"/>
              <w:jc w:val="center"/>
              <w:rPr>
                <w:sz w:val="18"/>
                <w:szCs w:val="18"/>
              </w:rPr>
            </w:pPr>
            <w:r w:rsidRPr="00FF0AC6">
              <w:rPr>
                <w:sz w:val="18"/>
                <w:szCs w:val="18"/>
              </w:rPr>
              <w:t xml:space="preserve">Number of </w:t>
            </w:r>
            <w:r w:rsidRPr="00FF0AC6">
              <w:rPr>
                <w:sz w:val="18"/>
                <w:szCs w:val="18"/>
                <w:u w:val="single"/>
              </w:rPr>
              <w:t>new*</w:t>
            </w:r>
            <w:r w:rsidRPr="00FF0AC6">
              <w:rPr>
                <w:sz w:val="18"/>
                <w:szCs w:val="18"/>
              </w:rPr>
              <w:t xml:space="preserve"> </w:t>
            </w:r>
            <w:r w:rsidRPr="00FF0AC6">
              <w:rPr>
                <w:b/>
                <w:sz w:val="18"/>
                <w:szCs w:val="18"/>
              </w:rPr>
              <w:t>supervisors</w:t>
            </w:r>
            <w:r w:rsidRPr="00FF0AC6">
              <w:rPr>
                <w:sz w:val="18"/>
                <w:szCs w:val="18"/>
              </w:rPr>
              <w:t xml:space="preserve"> enrolled in </w:t>
            </w:r>
            <w:r w:rsidRPr="00FF0AC6">
              <w:rPr>
                <w:b/>
                <w:sz w:val="18"/>
                <w:szCs w:val="18"/>
              </w:rPr>
              <w:t>SPD</w:t>
            </w:r>
            <w:r w:rsidRPr="00FF0AC6">
              <w:rPr>
                <w:sz w:val="18"/>
                <w:szCs w:val="18"/>
              </w:rPr>
              <w:t xml:space="preserve"> training (annual data)</w:t>
            </w:r>
          </w:p>
        </w:tc>
        <w:tc>
          <w:tcPr>
            <w:tcW w:w="902" w:type="dxa"/>
            <w:vMerge/>
            <w:shd w:val="clear" w:color="auto" w:fill="1F497D" w:themeFill="text2"/>
          </w:tcPr>
          <w:p w:rsidR="002C3049" w:rsidRPr="0044751F" w:rsidRDefault="002C3049" w:rsidP="00EC36D2">
            <w:pPr>
              <w:spacing w:before="0" w:after="0"/>
              <w:jc w:val="center"/>
              <w:rPr>
                <w:b/>
                <w:color w:val="FFFFFF" w:themeColor="background1"/>
                <w:sz w:val="18"/>
                <w:szCs w:val="18"/>
              </w:rPr>
            </w:pPr>
          </w:p>
        </w:tc>
      </w:tr>
      <w:tr w:rsidR="002C3049" w:rsidRPr="006D4AE5" w:rsidTr="00EC36D2">
        <w:trPr>
          <w:trHeight w:val="466"/>
          <w:jc w:val="center"/>
        </w:trPr>
        <w:tc>
          <w:tcPr>
            <w:tcW w:w="1242" w:type="dxa"/>
            <w:vMerge w:val="restart"/>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Revised PAF</w:t>
            </w:r>
          </w:p>
          <w:p w:rsidR="002C3049" w:rsidRPr="006D4AE5" w:rsidRDefault="002C3049" w:rsidP="00EC36D2">
            <w:pPr>
              <w:spacing w:before="0" w:after="0"/>
              <w:jc w:val="center"/>
              <w:rPr>
                <w:sz w:val="18"/>
                <w:szCs w:val="18"/>
              </w:rPr>
            </w:pPr>
            <w:r w:rsidRPr="006D4AE5">
              <w:rPr>
                <w:sz w:val="18"/>
                <w:szCs w:val="18"/>
              </w:rPr>
              <w:t>(Dec 2015)</w:t>
            </w:r>
          </w:p>
        </w:tc>
        <w:tc>
          <w:tcPr>
            <w:tcW w:w="1559"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Targeted levels</w:t>
            </w:r>
          </w:p>
        </w:tc>
        <w:tc>
          <w:tcPr>
            <w:tcW w:w="1702"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SD and SMP</w:t>
            </w:r>
            <w:r w:rsidR="00A06443">
              <w:rPr>
                <w:sz w:val="18"/>
                <w:szCs w:val="18"/>
              </w:rPr>
              <w:t xml:space="preserve"> </w:t>
            </w:r>
            <w:r w:rsidR="00A06443" w:rsidRPr="00A06443">
              <w:rPr>
                <w:sz w:val="18"/>
                <w:szCs w:val="18"/>
                <w:vertAlign w:val="superscript"/>
              </w:rPr>
              <w:t>(1)</w:t>
            </w:r>
          </w:p>
        </w:tc>
        <w:tc>
          <w:tcPr>
            <w:tcW w:w="1134" w:type="dxa"/>
            <w:shd w:val="clear" w:color="auto" w:fill="EAF1DD" w:themeFill="accent3" w:themeFillTint="33"/>
            <w:vAlign w:val="center"/>
          </w:tcPr>
          <w:p w:rsidR="002C3049" w:rsidRPr="006D4AE5" w:rsidRDefault="002C3049" w:rsidP="00EC36D2">
            <w:pPr>
              <w:spacing w:before="0" w:after="0" w:line="240" w:lineRule="auto"/>
              <w:jc w:val="center"/>
              <w:rPr>
                <w:sz w:val="18"/>
                <w:szCs w:val="18"/>
              </w:rPr>
            </w:pPr>
            <w:r w:rsidRPr="006D4AE5">
              <w:rPr>
                <w:sz w:val="18"/>
                <w:szCs w:val="18"/>
              </w:rPr>
              <w:t>SMP</w:t>
            </w:r>
          </w:p>
        </w:tc>
        <w:tc>
          <w:tcPr>
            <w:tcW w:w="992"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SMP</w:t>
            </w:r>
          </w:p>
        </w:tc>
        <w:tc>
          <w:tcPr>
            <w:tcW w:w="992" w:type="dxa"/>
            <w:shd w:val="clear" w:color="auto" w:fill="EAF1DD" w:themeFill="accent3" w:themeFillTint="33"/>
            <w:vAlign w:val="center"/>
          </w:tcPr>
          <w:p w:rsidR="002C3049" w:rsidRPr="006D4AE5" w:rsidRDefault="002C3049" w:rsidP="00EC36D2">
            <w:pPr>
              <w:spacing w:before="0" w:after="0" w:line="240" w:lineRule="auto"/>
              <w:jc w:val="center"/>
              <w:rPr>
                <w:sz w:val="18"/>
                <w:szCs w:val="18"/>
              </w:rPr>
            </w:pPr>
            <w:r w:rsidRPr="006D4AE5">
              <w:rPr>
                <w:sz w:val="18"/>
                <w:szCs w:val="18"/>
              </w:rPr>
              <w:t>SMP</w:t>
            </w:r>
          </w:p>
        </w:tc>
        <w:tc>
          <w:tcPr>
            <w:tcW w:w="992"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SMP</w:t>
            </w:r>
          </w:p>
        </w:tc>
        <w:tc>
          <w:tcPr>
            <w:tcW w:w="902" w:type="dxa"/>
            <w:shd w:val="clear" w:color="auto" w:fill="EAF1DD" w:themeFill="accent3" w:themeFillTint="33"/>
            <w:vAlign w:val="center"/>
          </w:tcPr>
          <w:p w:rsidR="002C3049" w:rsidRPr="0044751F" w:rsidRDefault="002C3049" w:rsidP="00EC36D2">
            <w:pPr>
              <w:spacing w:before="0" w:after="0"/>
              <w:jc w:val="center"/>
              <w:rPr>
                <w:b/>
                <w:sz w:val="18"/>
                <w:szCs w:val="18"/>
              </w:rPr>
            </w:pPr>
          </w:p>
        </w:tc>
      </w:tr>
      <w:tr w:rsidR="002C3049" w:rsidRPr="006D4AE5" w:rsidTr="00EC36D2">
        <w:trPr>
          <w:trHeight w:val="466"/>
          <w:jc w:val="center"/>
        </w:trPr>
        <w:tc>
          <w:tcPr>
            <w:tcW w:w="1242" w:type="dxa"/>
            <w:vMerge/>
            <w:shd w:val="clear" w:color="auto" w:fill="EAF1DD" w:themeFill="accent3" w:themeFillTint="33"/>
            <w:vAlign w:val="center"/>
          </w:tcPr>
          <w:p w:rsidR="002C3049" w:rsidRPr="006D4AE5" w:rsidRDefault="002C3049" w:rsidP="00EC36D2">
            <w:pPr>
              <w:spacing w:before="0" w:after="0"/>
              <w:jc w:val="center"/>
              <w:rPr>
                <w:sz w:val="18"/>
                <w:szCs w:val="18"/>
              </w:rPr>
            </w:pPr>
          </w:p>
        </w:tc>
        <w:tc>
          <w:tcPr>
            <w:tcW w:w="1559"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Target</w:t>
            </w:r>
          </w:p>
        </w:tc>
        <w:tc>
          <w:tcPr>
            <w:tcW w:w="1702"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1,494</w:t>
            </w:r>
          </w:p>
        </w:tc>
        <w:tc>
          <w:tcPr>
            <w:tcW w:w="1134"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7,606 (continuing)</w:t>
            </w:r>
          </w:p>
        </w:tc>
        <w:tc>
          <w:tcPr>
            <w:tcW w:w="992"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 xml:space="preserve">180 </w:t>
            </w:r>
            <w:r w:rsidRPr="006D4AE5">
              <w:rPr>
                <w:sz w:val="18"/>
                <w:szCs w:val="18"/>
              </w:rPr>
              <w:br/>
              <w:t>(new)</w:t>
            </w:r>
          </w:p>
        </w:tc>
        <w:tc>
          <w:tcPr>
            <w:tcW w:w="992" w:type="dxa"/>
            <w:shd w:val="clear" w:color="auto" w:fill="EAF1DD" w:themeFill="accent3" w:themeFillTint="33"/>
            <w:vAlign w:val="center"/>
          </w:tcPr>
          <w:p w:rsidR="002C3049" w:rsidRPr="006D4AE5" w:rsidRDefault="002C3049" w:rsidP="00EC36D2">
            <w:pPr>
              <w:spacing w:before="0" w:after="0" w:line="240" w:lineRule="auto"/>
              <w:jc w:val="center"/>
              <w:rPr>
                <w:sz w:val="18"/>
                <w:szCs w:val="18"/>
              </w:rPr>
            </w:pPr>
            <w:r w:rsidRPr="006D4AE5">
              <w:rPr>
                <w:sz w:val="18"/>
                <w:szCs w:val="18"/>
              </w:rPr>
              <w:t>1,611</w:t>
            </w:r>
          </w:p>
        </w:tc>
        <w:tc>
          <w:tcPr>
            <w:tcW w:w="992"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36</w:t>
            </w:r>
          </w:p>
        </w:tc>
        <w:tc>
          <w:tcPr>
            <w:tcW w:w="902" w:type="dxa"/>
            <w:shd w:val="clear" w:color="auto" w:fill="EAF1DD" w:themeFill="accent3" w:themeFillTint="33"/>
            <w:vAlign w:val="center"/>
          </w:tcPr>
          <w:p w:rsidR="002C3049" w:rsidRPr="0044751F" w:rsidRDefault="002C3049" w:rsidP="00EC36D2">
            <w:pPr>
              <w:spacing w:before="0" w:after="0"/>
              <w:jc w:val="center"/>
              <w:rPr>
                <w:b/>
                <w:sz w:val="18"/>
                <w:szCs w:val="18"/>
              </w:rPr>
            </w:pPr>
            <w:r w:rsidRPr="0044751F">
              <w:rPr>
                <w:b/>
                <w:sz w:val="18"/>
                <w:szCs w:val="18"/>
              </w:rPr>
              <w:t>10,927</w:t>
            </w:r>
            <w:r w:rsidR="00DE6B27">
              <w:rPr>
                <w:b/>
                <w:sz w:val="18"/>
                <w:szCs w:val="18"/>
              </w:rPr>
              <w:t xml:space="preserve"> </w:t>
            </w:r>
            <w:r w:rsidR="00DE6B27" w:rsidRPr="00DE6B27">
              <w:rPr>
                <w:b/>
                <w:sz w:val="18"/>
                <w:szCs w:val="18"/>
                <w:vertAlign w:val="superscript"/>
              </w:rPr>
              <w:t>(5)</w:t>
            </w:r>
          </w:p>
        </w:tc>
      </w:tr>
      <w:tr w:rsidR="002C3049" w:rsidRPr="006D4AE5" w:rsidTr="00EC36D2">
        <w:trPr>
          <w:trHeight w:val="466"/>
          <w:jc w:val="center"/>
        </w:trPr>
        <w:tc>
          <w:tcPr>
            <w:tcW w:w="1242" w:type="dxa"/>
            <w:vMerge/>
            <w:shd w:val="clear" w:color="auto" w:fill="EAF1DD" w:themeFill="accent3" w:themeFillTint="33"/>
            <w:vAlign w:val="center"/>
          </w:tcPr>
          <w:p w:rsidR="002C3049" w:rsidRPr="006D4AE5" w:rsidRDefault="002C3049" w:rsidP="00EC36D2">
            <w:pPr>
              <w:spacing w:before="0" w:after="0"/>
              <w:jc w:val="center"/>
              <w:rPr>
                <w:sz w:val="18"/>
                <w:szCs w:val="18"/>
              </w:rPr>
            </w:pPr>
          </w:p>
        </w:tc>
        <w:tc>
          <w:tcPr>
            <w:tcW w:w="1559"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Modality</w:t>
            </w:r>
          </w:p>
        </w:tc>
        <w:tc>
          <w:tcPr>
            <w:tcW w:w="1702"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Online Learning only</w:t>
            </w:r>
          </w:p>
        </w:tc>
        <w:tc>
          <w:tcPr>
            <w:tcW w:w="1134" w:type="dxa"/>
            <w:shd w:val="clear" w:color="auto" w:fill="EAF1DD" w:themeFill="accent3" w:themeFillTint="33"/>
            <w:vAlign w:val="center"/>
          </w:tcPr>
          <w:p w:rsidR="002C3049" w:rsidRPr="006D4AE5" w:rsidRDefault="002C3049" w:rsidP="00A06443">
            <w:pPr>
              <w:spacing w:before="0" w:after="0" w:line="240" w:lineRule="auto"/>
              <w:jc w:val="center"/>
              <w:rPr>
                <w:sz w:val="18"/>
                <w:szCs w:val="18"/>
              </w:rPr>
            </w:pPr>
            <w:r w:rsidRPr="006D4AE5">
              <w:rPr>
                <w:sz w:val="18"/>
                <w:szCs w:val="18"/>
              </w:rPr>
              <w:t>Direct</w:t>
            </w:r>
            <w:r w:rsidR="00A06443">
              <w:rPr>
                <w:sz w:val="18"/>
                <w:szCs w:val="18"/>
              </w:rPr>
              <w:t xml:space="preserve"> </w:t>
            </w:r>
            <w:r w:rsidR="00A06443" w:rsidRPr="00A06443">
              <w:rPr>
                <w:sz w:val="18"/>
                <w:szCs w:val="18"/>
                <w:vertAlign w:val="superscript"/>
              </w:rPr>
              <w:t>(</w:t>
            </w:r>
            <w:r w:rsidR="00A06443">
              <w:rPr>
                <w:sz w:val="18"/>
                <w:szCs w:val="18"/>
                <w:vertAlign w:val="superscript"/>
              </w:rPr>
              <w:t>3</w:t>
            </w:r>
            <w:r w:rsidR="00A06443" w:rsidRPr="00A06443">
              <w:rPr>
                <w:sz w:val="18"/>
                <w:szCs w:val="18"/>
                <w:vertAlign w:val="superscript"/>
              </w:rPr>
              <w:t>)</w:t>
            </w:r>
          </w:p>
        </w:tc>
        <w:tc>
          <w:tcPr>
            <w:tcW w:w="992"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Cluster</w:t>
            </w:r>
          </w:p>
        </w:tc>
        <w:tc>
          <w:tcPr>
            <w:tcW w:w="992" w:type="dxa"/>
            <w:shd w:val="clear" w:color="auto" w:fill="EAF1DD" w:themeFill="accent3" w:themeFillTint="33"/>
            <w:vAlign w:val="center"/>
          </w:tcPr>
          <w:p w:rsidR="002C3049" w:rsidRPr="006D4AE5" w:rsidRDefault="002C3049" w:rsidP="00EC36D2">
            <w:pPr>
              <w:spacing w:before="0" w:after="0" w:line="240" w:lineRule="auto"/>
              <w:jc w:val="center"/>
              <w:rPr>
                <w:sz w:val="18"/>
                <w:szCs w:val="18"/>
              </w:rPr>
            </w:pPr>
            <w:r w:rsidRPr="006D4AE5">
              <w:rPr>
                <w:sz w:val="18"/>
                <w:szCs w:val="18"/>
              </w:rPr>
              <w:t>Refresher course</w:t>
            </w:r>
            <w:r w:rsidR="00A06443">
              <w:rPr>
                <w:sz w:val="18"/>
                <w:szCs w:val="18"/>
              </w:rPr>
              <w:t xml:space="preserve"> </w:t>
            </w:r>
            <w:r w:rsidR="00A06443" w:rsidRPr="00A06443">
              <w:rPr>
                <w:sz w:val="18"/>
                <w:szCs w:val="18"/>
                <w:vertAlign w:val="superscript"/>
              </w:rPr>
              <w:t>(2)</w:t>
            </w:r>
          </w:p>
        </w:tc>
        <w:tc>
          <w:tcPr>
            <w:tcW w:w="992" w:type="dxa"/>
            <w:shd w:val="clear" w:color="auto" w:fill="EAF1DD" w:themeFill="accent3" w:themeFillTint="33"/>
            <w:vAlign w:val="center"/>
          </w:tcPr>
          <w:p w:rsidR="002C3049" w:rsidRPr="006D4AE5" w:rsidRDefault="002C3049" w:rsidP="00EC36D2">
            <w:pPr>
              <w:spacing w:before="0" w:after="0"/>
              <w:jc w:val="center"/>
              <w:rPr>
                <w:sz w:val="18"/>
                <w:szCs w:val="18"/>
              </w:rPr>
            </w:pPr>
            <w:r w:rsidRPr="006D4AE5">
              <w:rPr>
                <w:sz w:val="18"/>
                <w:szCs w:val="18"/>
              </w:rPr>
              <w:t>Cluster</w:t>
            </w:r>
          </w:p>
        </w:tc>
        <w:tc>
          <w:tcPr>
            <w:tcW w:w="902" w:type="dxa"/>
            <w:shd w:val="clear" w:color="auto" w:fill="EAF1DD" w:themeFill="accent3" w:themeFillTint="33"/>
            <w:vAlign w:val="center"/>
          </w:tcPr>
          <w:p w:rsidR="002C3049" w:rsidRPr="0044751F" w:rsidRDefault="002C3049" w:rsidP="00EC36D2">
            <w:pPr>
              <w:spacing w:before="0" w:after="0"/>
              <w:jc w:val="center"/>
              <w:rPr>
                <w:b/>
                <w:sz w:val="18"/>
                <w:szCs w:val="18"/>
              </w:rPr>
            </w:pPr>
          </w:p>
        </w:tc>
      </w:tr>
      <w:tr w:rsidR="002C3049" w:rsidRPr="006D4AE5" w:rsidTr="00EC36D2">
        <w:trPr>
          <w:trHeight w:val="466"/>
          <w:jc w:val="center"/>
        </w:trPr>
        <w:tc>
          <w:tcPr>
            <w:tcW w:w="1242" w:type="dxa"/>
            <w:vMerge w:val="restart"/>
            <w:shd w:val="clear" w:color="auto" w:fill="auto"/>
            <w:vAlign w:val="center"/>
          </w:tcPr>
          <w:p w:rsidR="002C3049" w:rsidRPr="006D4AE5" w:rsidRDefault="002C3049" w:rsidP="00EC36D2">
            <w:pPr>
              <w:spacing w:before="0" w:after="0"/>
              <w:jc w:val="center"/>
              <w:rPr>
                <w:sz w:val="18"/>
                <w:szCs w:val="18"/>
              </w:rPr>
            </w:pPr>
            <w:r w:rsidRPr="006D4AE5">
              <w:rPr>
                <w:sz w:val="18"/>
                <w:szCs w:val="18"/>
              </w:rPr>
              <w:t>Realisation</w:t>
            </w:r>
          </w:p>
          <w:p w:rsidR="002C3049" w:rsidRPr="006D4AE5" w:rsidRDefault="002C3049" w:rsidP="00E85C68">
            <w:pPr>
              <w:spacing w:before="0" w:after="0"/>
              <w:jc w:val="center"/>
              <w:rPr>
                <w:sz w:val="18"/>
                <w:szCs w:val="18"/>
              </w:rPr>
            </w:pPr>
            <w:r w:rsidRPr="006D4AE5">
              <w:rPr>
                <w:sz w:val="18"/>
                <w:szCs w:val="18"/>
              </w:rPr>
              <w:t>(</w:t>
            </w:r>
            <w:r w:rsidR="00E85C68">
              <w:rPr>
                <w:sz w:val="18"/>
                <w:szCs w:val="18"/>
              </w:rPr>
              <w:t>Up to</w:t>
            </w:r>
            <w:r>
              <w:rPr>
                <w:sz w:val="18"/>
                <w:szCs w:val="18"/>
              </w:rPr>
              <w:t xml:space="preserve"> </w:t>
            </w:r>
            <w:r w:rsidRPr="006D4AE5">
              <w:rPr>
                <w:sz w:val="18"/>
                <w:szCs w:val="18"/>
              </w:rPr>
              <w:t>Dec 2015)</w:t>
            </w:r>
          </w:p>
        </w:tc>
        <w:tc>
          <w:tcPr>
            <w:tcW w:w="1559" w:type="dxa"/>
            <w:shd w:val="clear" w:color="auto" w:fill="auto"/>
            <w:vAlign w:val="center"/>
          </w:tcPr>
          <w:p w:rsidR="002C3049" w:rsidRPr="006D4AE5" w:rsidRDefault="002C3049" w:rsidP="00EC36D2">
            <w:pPr>
              <w:spacing w:before="0" w:after="0"/>
              <w:jc w:val="center"/>
              <w:rPr>
                <w:sz w:val="18"/>
                <w:szCs w:val="18"/>
              </w:rPr>
            </w:pPr>
            <w:r>
              <w:rPr>
                <w:sz w:val="18"/>
                <w:szCs w:val="18"/>
              </w:rPr>
              <w:t>Trained</w:t>
            </w:r>
          </w:p>
        </w:tc>
        <w:tc>
          <w:tcPr>
            <w:tcW w:w="1702" w:type="dxa"/>
            <w:shd w:val="clear" w:color="auto" w:fill="auto"/>
            <w:vAlign w:val="center"/>
          </w:tcPr>
          <w:p w:rsidR="002C3049" w:rsidRPr="006D4AE5" w:rsidRDefault="002C3049" w:rsidP="00FC2962">
            <w:pPr>
              <w:spacing w:before="0" w:after="0"/>
              <w:jc w:val="center"/>
              <w:rPr>
                <w:sz w:val="18"/>
                <w:szCs w:val="18"/>
              </w:rPr>
            </w:pPr>
            <w:r>
              <w:rPr>
                <w:sz w:val="18"/>
                <w:szCs w:val="18"/>
              </w:rPr>
              <w:t>1,</w:t>
            </w:r>
            <w:r w:rsidR="007A585C">
              <w:rPr>
                <w:sz w:val="18"/>
                <w:szCs w:val="18"/>
              </w:rPr>
              <w:t xml:space="preserve">406 </w:t>
            </w:r>
          </w:p>
        </w:tc>
        <w:tc>
          <w:tcPr>
            <w:tcW w:w="1134" w:type="dxa"/>
            <w:shd w:val="clear" w:color="auto" w:fill="auto"/>
            <w:vAlign w:val="center"/>
          </w:tcPr>
          <w:p w:rsidR="002C3049" w:rsidRPr="006D4AE5" w:rsidRDefault="007A585C" w:rsidP="00A06443">
            <w:pPr>
              <w:spacing w:before="0" w:after="0" w:line="240" w:lineRule="auto"/>
              <w:jc w:val="center"/>
              <w:rPr>
                <w:sz w:val="18"/>
                <w:szCs w:val="18"/>
              </w:rPr>
            </w:pPr>
            <w:r>
              <w:rPr>
                <w:sz w:val="18"/>
                <w:szCs w:val="18"/>
              </w:rPr>
              <w:t>5,447</w:t>
            </w:r>
          </w:p>
        </w:tc>
        <w:tc>
          <w:tcPr>
            <w:tcW w:w="992" w:type="dxa"/>
            <w:shd w:val="clear" w:color="auto" w:fill="auto"/>
            <w:vAlign w:val="center"/>
          </w:tcPr>
          <w:p w:rsidR="002C3049" w:rsidRPr="006D4AE5" w:rsidRDefault="007A585C" w:rsidP="00EC36D2">
            <w:pPr>
              <w:spacing w:before="0" w:after="0"/>
              <w:jc w:val="center"/>
              <w:rPr>
                <w:sz w:val="18"/>
                <w:szCs w:val="18"/>
              </w:rPr>
            </w:pPr>
            <w:r>
              <w:rPr>
                <w:sz w:val="18"/>
                <w:szCs w:val="18"/>
              </w:rPr>
              <w:t xml:space="preserve">175 </w:t>
            </w:r>
            <w:r w:rsidR="00A06443" w:rsidRPr="00A06443">
              <w:rPr>
                <w:sz w:val="18"/>
                <w:szCs w:val="18"/>
                <w:vertAlign w:val="superscript"/>
              </w:rPr>
              <w:t>(4)</w:t>
            </w:r>
          </w:p>
        </w:tc>
        <w:tc>
          <w:tcPr>
            <w:tcW w:w="992" w:type="dxa"/>
            <w:shd w:val="clear" w:color="auto" w:fill="auto"/>
            <w:vAlign w:val="center"/>
          </w:tcPr>
          <w:p w:rsidR="002C3049" w:rsidRPr="006D4AE5" w:rsidRDefault="002C3049" w:rsidP="00A06443">
            <w:pPr>
              <w:spacing w:before="0" w:after="0" w:line="240" w:lineRule="auto"/>
              <w:jc w:val="center"/>
              <w:rPr>
                <w:sz w:val="18"/>
                <w:szCs w:val="18"/>
              </w:rPr>
            </w:pPr>
            <w:r>
              <w:rPr>
                <w:sz w:val="18"/>
                <w:szCs w:val="18"/>
              </w:rPr>
              <w:t>1,380</w:t>
            </w:r>
            <w:r w:rsidR="00A06443">
              <w:rPr>
                <w:sz w:val="18"/>
                <w:szCs w:val="18"/>
              </w:rPr>
              <w:t xml:space="preserve"> </w:t>
            </w:r>
          </w:p>
        </w:tc>
        <w:tc>
          <w:tcPr>
            <w:tcW w:w="992" w:type="dxa"/>
            <w:shd w:val="clear" w:color="auto" w:fill="auto"/>
            <w:vAlign w:val="center"/>
          </w:tcPr>
          <w:p w:rsidR="002C3049" w:rsidRPr="006D4AE5" w:rsidRDefault="002C3049" w:rsidP="00EC36D2">
            <w:pPr>
              <w:spacing w:before="0" w:after="0"/>
              <w:jc w:val="center"/>
              <w:rPr>
                <w:sz w:val="18"/>
                <w:szCs w:val="18"/>
              </w:rPr>
            </w:pPr>
            <w:r>
              <w:rPr>
                <w:sz w:val="18"/>
                <w:szCs w:val="18"/>
              </w:rPr>
              <w:t>35</w:t>
            </w:r>
            <w:r w:rsidR="00A06443">
              <w:rPr>
                <w:sz w:val="18"/>
                <w:szCs w:val="18"/>
              </w:rPr>
              <w:t xml:space="preserve"> </w:t>
            </w:r>
            <w:r w:rsidR="00A06443" w:rsidRPr="00A06443">
              <w:rPr>
                <w:sz w:val="18"/>
                <w:szCs w:val="18"/>
                <w:vertAlign w:val="superscript"/>
              </w:rPr>
              <w:t>(4)</w:t>
            </w:r>
          </w:p>
        </w:tc>
        <w:tc>
          <w:tcPr>
            <w:tcW w:w="902" w:type="dxa"/>
            <w:vAlign w:val="center"/>
          </w:tcPr>
          <w:p w:rsidR="002C3049" w:rsidRPr="0044751F" w:rsidRDefault="006F1C08" w:rsidP="00EC36D2">
            <w:pPr>
              <w:spacing w:before="0" w:after="0"/>
              <w:jc w:val="center"/>
              <w:rPr>
                <w:b/>
                <w:sz w:val="18"/>
                <w:szCs w:val="18"/>
              </w:rPr>
            </w:pPr>
            <w:r>
              <w:rPr>
                <w:b/>
                <w:sz w:val="18"/>
                <w:szCs w:val="18"/>
              </w:rPr>
              <w:t>8,443</w:t>
            </w:r>
          </w:p>
        </w:tc>
      </w:tr>
      <w:tr w:rsidR="002C3049" w:rsidRPr="006D4AE5" w:rsidTr="00EC36D2">
        <w:trPr>
          <w:trHeight w:val="466"/>
          <w:jc w:val="center"/>
        </w:trPr>
        <w:tc>
          <w:tcPr>
            <w:tcW w:w="1242" w:type="dxa"/>
            <w:vMerge/>
            <w:shd w:val="clear" w:color="auto" w:fill="auto"/>
            <w:vAlign w:val="center"/>
          </w:tcPr>
          <w:p w:rsidR="002C3049" w:rsidRPr="006D4AE5" w:rsidRDefault="002C3049" w:rsidP="00EC36D2">
            <w:pPr>
              <w:spacing w:before="0" w:after="0"/>
              <w:jc w:val="center"/>
              <w:rPr>
                <w:sz w:val="18"/>
                <w:szCs w:val="18"/>
              </w:rPr>
            </w:pPr>
          </w:p>
        </w:tc>
        <w:tc>
          <w:tcPr>
            <w:tcW w:w="1559" w:type="dxa"/>
            <w:shd w:val="clear" w:color="auto" w:fill="auto"/>
            <w:vAlign w:val="center"/>
          </w:tcPr>
          <w:p w:rsidR="002C3049" w:rsidRPr="006D4AE5" w:rsidRDefault="002C3049" w:rsidP="00EC36D2">
            <w:pPr>
              <w:spacing w:before="0" w:after="0"/>
              <w:jc w:val="center"/>
              <w:rPr>
                <w:sz w:val="18"/>
                <w:szCs w:val="18"/>
              </w:rPr>
            </w:pPr>
            <w:r>
              <w:rPr>
                <w:sz w:val="18"/>
                <w:szCs w:val="18"/>
              </w:rPr>
              <w:t xml:space="preserve">% of revised </w:t>
            </w:r>
            <w:r>
              <w:rPr>
                <w:sz w:val="18"/>
                <w:szCs w:val="18"/>
              </w:rPr>
              <w:br/>
              <w:t>PAF target</w:t>
            </w:r>
          </w:p>
        </w:tc>
        <w:tc>
          <w:tcPr>
            <w:tcW w:w="1702" w:type="dxa"/>
            <w:shd w:val="clear" w:color="auto" w:fill="auto"/>
            <w:vAlign w:val="center"/>
          </w:tcPr>
          <w:p w:rsidR="002C3049" w:rsidRPr="006D4AE5" w:rsidRDefault="007A585C" w:rsidP="00FC2962">
            <w:pPr>
              <w:spacing w:before="0" w:after="0"/>
              <w:jc w:val="center"/>
              <w:rPr>
                <w:sz w:val="18"/>
                <w:szCs w:val="18"/>
              </w:rPr>
            </w:pPr>
            <w:r>
              <w:rPr>
                <w:sz w:val="18"/>
                <w:szCs w:val="18"/>
              </w:rPr>
              <w:t>94</w:t>
            </w:r>
            <w:r w:rsidR="002C3049">
              <w:rPr>
                <w:sz w:val="18"/>
                <w:szCs w:val="18"/>
              </w:rPr>
              <w:t>.</w:t>
            </w:r>
            <w:r>
              <w:rPr>
                <w:sz w:val="18"/>
                <w:szCs w:val="18"/>
              </w:rPr>
              <w:t>11</w:t>
            </w:r>
            <w:r w:rsidR="002C3049">
              <w:rPr>
                <w:sz w:val="18"/>
                <w:szCs w:val="18"/>
              </w:rPr>
              <w:t>%</w:t>
            </w:r>
          </w:p>
        </w:tc>
        <w:tc>
          <w:tcPr>
            <w:tcW w:w="1134" w:type="dxa"/>
            <w:shd w:val="clear" w:color="auto" w:fill="auto"/>
            <w:vAlign w:val="center"/>
          </w:tcPr>
          <w:p w:rsidR="002C3049" w:rsidRPr="006D4AE5" w:rsidRDefault="007A585C" w:rsidP="00EC36D2">
            <w:pPr>
              <w:spacing w:before="0" w:after="0"/>
              <w:jc w:val="center"/>
              <w:rPr>
                <w:sz w:val="18"/>
                <w:szCs w:val="18"/>
              </w:rPr>
            </w:pPr>
            <w:r>
              <w:rPr>
                <w:sz w:val="18"/>
                <w:szCs w:val="18"/>
              </w:rPr>
              <w:t>71.61</w:t>
            </w:r>
            <w:r w:rsidR="002C3049">
              <w:rPr>
                <w:sz w:val="18"/>
                <w:szCs w:val="18"/>
              </w:rPr>
              <w:t>%</w:t>
            </w:r>
          </w:p>
        </w:tc>
        <w:tc>
          <w:tcPr>
            <w:tcW w:w="992" w:type="dxa"/>
            <w:shd w:val="clear" w:color="auto" w:fill="auto"/>
            <w:vAlign w:val="center"/>
          </w:tcPr>
          <w:p w:rsidR="002C3049" w:rsidRPr="006D4AE5" w:rsidRDefault="007A585C" w:rsidP="00EC36D2">
            <w:pPr>
              <w:spacing w:before="0" w:after="0"/>
              <w:jc w:val="center"/>
              <w:rPr>
                <w:sz w:val="18"/>
                <w:szCs w:val="18"/>
              </w:rPr>
            </w:pPr>
            <w:r>
              <w:rPr>
                <w:sz w:val="18"/>
                <w:szCs w:val="18"/>
              </w:rPr>
              <w:t>97.22</w:t>
            </w:r>
            <w:r w:rsidR="002C3049">
              <w:rPr>
                <w:sz w:val="18"/>
                <w:szCs w:val="18"/>
              </w:rPr>
              <w:t>%</w:t>
            </w:r>
          </w:p>
        </w:tc>
        <w:tc>
          <w:tcPr>
            <w:tcW w:w="992" w:type="dxa"/>
            <w:shd w:val="clear" w:color="auto" w:fill="auto"/>
            <w:vAlign w:val="center"/>
          </w:tcPr>
          <w:p w:rsidR="002C3049" w:rsidRPr="006D4AE5" w:rsidRDefault="002C3049" w:rsidP="00FC2962">
            <w:pPr>
              <w:spacing w:before="0" w:after="0" w:line="240" w:lineRule="auto"/>
              <w:jc w:val="center"/>
              <w:rPr>
                <w:sz w:val="18"/>
                <w:szCs w:val="18"/>
              </w:rPr>
            </w:pPr>
            <w:r>
              <w:rPr>
                <w:sz w:val="18"/>
                <w:szCs w:val="18"/>
              </w:rPr>
              <w:t>85.</w:t>
            </w:r>
            <w:r w:rsidR="006F1C08">
              <w:rPr>
                <w:sz w:val="18"/>
                <w:szCs w:val="18"/>
              </w:rPr>
              <w:t>66</w:t>
            </w:r>
            <w:r>
              <w:rPr>
                <w:sz w:val="18"/>
                <w:szCs w:val="18"/>
              </w:rPr>
              <w:t>%</w:t>
            </w:r>
          </w:p>
        </w:tc>
        <w:tc>
          <w:tcPr>
            <w:tcW w:w="992" w:type="dxa"/>
            <w:shd w:val="clear" w:color="auto" w:fill="auto"/>
            <w:vAlign w:val="center"/>
          </w:tcPr>
          <w:p w:rsidR="002C3049" w:rsidRPr="006D4AE5" w:rsidRDefault="002C3049" w:rsidP="00EC36D2">
            <w:pPr>
              <w:spacing w:before="0" w:after="0"/>
              <w:jc w:val="center"/>
              <w:rPr>
                <w:sz w:val="18"/>
                <w:szCs w:val="18"/>
              </w:rPr>
            </w:pPr>
            <w:r>
              <w:rPr>
                <w:sz w:val="18"/>
                <w:szCs w:val="18"/>
              </w:rPr>
              <w:t>97.</w:t>
            </w:r>
            <w:r w:rsidR="006F1C08">
              <w:rPr>
                <w:sz w:val="18"/>
                <w:szCs w:val="18"/>
              </w:rPr>
              <w:t>2</w:t>
            </w:r>
            <w:r>
              <w:rPr>
                <w:sz w:val="18"/>
                <w:szCs w:val="18"/>
              </w:rPr>
              <w:t>2%</w:t>
            </w:r>
          </w:p>
        </w:tc>
        <w:tc>
          <w:tcPr>
            <w:tcW w:w="902" w:type="dxa"/>
            <w:vAlign w:val="center"/>
          </w:tcPr>
          <w:p w:rsidR="002C3049" w:rsidRPr="0044751F" w:rsidRDefault="006F1C08" w:rsidP="00EC36D2">
            <w:pPr>
              <w:spacing w:before="0" w:after="0"/>
              <w:jc w:val="center"/>
              <w:rPr>
                <w:b/>
                <w:sz w:val="18"/>
                <w:szCs w:val="18"/>
              </w:rPr>
            </w:pPr>
            <w:r>
              <w:rPr>
                <w:b/>
                <w:sz w:val="18"/>
                <w:szCs w:val="18"/>
              </w:rPr>
              <w:t>77</w:t>
            </w:r>
            <w:r w:rsidR="002C3049">
              <w:rPr>
                <w:b/>
                <w:sz w:val="18"/>
                <w:szCs w:val="18"/>
              </w:rPr>
              <w:t>.</w:t>
            </w:r>
            <w:r>
              <w:rPr>
                <w:b/>
                <w:sz w:val="18"/>
                <w:szCs w:val="18"/>
              </w:rPr>
              <w:t>2</w:t>
            </w:r>
            <w:r w:rsidR="002C3049">
              <w:rPr>
                <w:b/>
                <w:sz w:val="18"/>
                <w:szCs w:val="18"/>
              </w:rPr>
              <w:t>7</w:t>
            </w:r>
            <w:r w:rsidR="002C3049" w:rsidRPr="0044751F">
              <w:rPr>
                <w:b/>
                <w:sz w:val="18"/>
                <w:szCs w:val="18"/>
              </w:rPr>
              <w:t>%</w:t>
            </w:r>
          </w:p>
        </w:tc>
      </w:tr>
    </w:tbl>
    <w:p w:rsidR="002C3049" w:rsidRDefault="002C3049" w:rsidP="002C3049">
      <w:pPr>
        <w:pStyle w:val="SourceNotes"/>
      </w:pPr>
      <w:r>
        <w:t>S</w:t>
      </w:r>
      <w:r w:rsidRPr="006C24DD">
        <w:t xml:space="preserve">ource: Data </w:t>
      </w:r>
      <w:r>
        <w:t xml:space="preserve">reflecting participation in 2015 </w:t>
      </w:r>
      <w:r w:rsidRPr="006C24DD">
        <w:t xml:space="preserve">received from C2 </w:t>
      </w:r>
      <w:r>
        <w:t>in April 2016</w:t>
      </w:r>
      <w:r w:rsidRPr="006C24DD">
        <w:t>.</w:t>
      </w:r>
    </w:p>
    <w:p w:rsidR="002C3049" w:rsidRDefault="002C3049" w:rsidP="002C3049">
      <w:pPr>
        <w:pStyle w:val="SourceNotes"/>
      </w:pPr>
      <w:r>
        <w:t xml:space="preserve">Notes: </w:t>
      </w:r>
    </w:p>
    <w:p w:rsidR="002C3049" w:rsidRPr="00E72168" w:rsidRDefault="002C3049" w:rsidP="000878B0">
      <w:pPr>
        <w:pStyle w:val="SourceNotes"/>
        <w:numPr>
          <w:ilvl w:val="0"/>
          <w:numId w:val="48"/>
        </w:numPr>
        <w:ind w:right="521"/>
        <w:jc w:val="both"/>
      </w:pPr>
      <w:r>
        <w:t>In 201</w:t>
      </w:r>
      <w:r w:rsidR="00800AA0">
        <w:t>5</w:t>
      </w:r>
      <w:r>
        <w:t xml:space="preserve">, a large number of primary school principals, previously trained by LPMP are no longer beneficiaries of ProDEP. A smaller number of primary school principals were able to participate through OLL. The exact number </w:t>
      </w:r>
      <w:r w:rsidR="00E85C68">
        <w:t xml:space="preserve">of </w:t>
      </w:r>
      <w:r>
        <w:t xml:space="preserve">primary school principals trained in 2015 could not be determined </w:t>
      </w:r>
      <w:r w:rsidR="00E85C68">
        <w:t>at</w:t>
      </w:r>
      <w:r>
        <w:t xml:space="preserve"> the time of writing due to absence of data.</w:t>
      </w:r>
    </w:p>
    <w:p w:rsidR="00A06443" w:rsidRDefault="002C3049" w:rsidP="000878B0">
      <w:pPr>
        <w:pStyle w:val="SourceNotes"/>
        <w:numPr>
          <w:ilvl w:val="0"/>
          <w:numId w:val="48"/>
        </w:numPr>
        <w:ind w:right="521"/>
        <w:jc w:val="both"/>
      </w:pPr>
      <w:r>
        <w:lastRenderedPageBreak/>
        <w:t xml:space="preserve">Signifies participants participating already in 2014. The </w:t>
      </w:r>
      <w:r w:rsidR="00A06443">
        <w:t>1,380</w:t>
      </w:r>
      <w:r>
        <w:t xml:space="preserve"> supervisors taking SPD are provided with a refresher course </w:t>
      </w:r>
    </w:p>
    <w:p w:rsidR="002C3049" w:rsidRDefault="00A06443" w:rsidP="000878B0">
      <w:pPr>
        <w:pStyle w:val="SourceNotes"/>
        <w:numPr>
          <w:ilvl w:val="0"/>
          <w:numId w:val="48"/>
        </w:numPr>
        <w:ind w:right="521"/>
        <w:jc w:val="both"/>
      </w:pPr>
      <w:r>
        <w:t>T</w:t>
      </w:r>
      <w:r w:rsidR="002C3049">
        <w:t xml:space="preserve">he </w:t>
      </w:r>
      <w:r w:rsidR="009D6DDB">
        <w:t>5,447</w:t>
      </w:r>
      <w:r w:rsidR="002C3049">
        <w:t xml:space="preserve"> principals trained</w:t>
      </w:r>
      <w:r w:rsidR="00B935F3">
        <w:t xml:space="preserve"> in CPD</w:t>
      </w:r>
      <w:r w:rsidR="002C3049">
        <w:t xml:space="preserve"> through the direct modality are participating for the second time in 2015 taking another two UoLs.</w:t>
      </w:r>
    </w:p>
    <w:p w:rsidR="002C3049" w:rsidRDefault="002C3049" w:rsidP="000878B0">
      <w:pPr>
        <w:pStyle w:val="SourceNotes"/>
        <w:numPr>
          <w:ilvl w:val="0"/>
          <w:numId w:val="48"/>
        </w:numPr>
        <w:ind w:right="521"/>
        <w:jc w:val="both"/>
      </w:pPr>
      <w:r>
        <w:t>Signifies new participants in 2015 i.e. those not having participated previously in ProDEP activities.</w:t>
      </w:r>
    </w:p>
    <w:p w:rsidR="002C3049" w:rsidRDefault="002C3049" w:rsidP="000878B0">
      <w:pPr>
        <w:pStyle w:val="SourceNotes"/>
        <w:numPr>
          <w:ilvl w:val="0"/>
          <w:numId w:val="48"/>
        </w:numPr>
        <w:ind w:right="521"/>
        <w:jc w:val="both"/>
      </w:pPr>
      <w:r>
        <w:t xml:space="preserve">PAF targets do not include PPIP participants. </w:t>
      </w:r>
    </w:p>
    <w:p w:rsidR="002C3049" w:rsidRDefault="002C3049" w:rsidP="002C3049">
      <w:pPr>
        <w:rPr>
          <w:bCs/>
        </w:rPr>
      </w:pPr>
      <w:r>
        <w:rPr>
          <w:bCs/>
        </w:rPr>
        <w:t>Upon receipt of full data in Q2 2016, C2 stakeholders will know if the revised targets for 2015 were met. Notwithstanding, the numbers trained will be significantly lower than the initial expectations captured in the original PAF – a consequence of the institutional changes in MoEC and in DFAT in 2015, allied to earlier delays. These factors have hampered the efficiency of C2 and have compromised the timely development and scope of ProDEP</w:t>
      </w:r>
      <w:r w:rsidRPr="007008D7">
        <w:rPr>
          <w:bCs/>
        </w:rPr>
        <w:t>.</w:t>
      </w:r>
    </w:p>
    <w:p w:rsidR="002C3049" w:rsidRDefault="002C3049" w:rsidP="002C3049">
      <w:pPr>
        <w:pStyle w:val="Heading3"/>
      </w:pPr>
      <w:r w:rsidRPr="00851EC7">
        <w:t>Effectiveness</w:t>
      </w:r>
    </w:p>
    <w:p w:rsidR="002C3049" w:rsidRDefault="002C3049" w:rsidP="002C3049">
      <w:r>
        <w:rPr>
          <w:bCs/>
        </w:rPr>
        <w:t>ProDEP</w:t>
      </w:r>
      <w:r w:rsidRPr="00F26819">
        <w:rPr>
          <w:bCs/>
        </w:rPr>
        <w:t xml:space="preserve"> offers promise as a </w:t>
      </w:r>
      <w:r w:rsidRPr="00F26819">
        <w:rPr>
          <w:bCs/>
          <w:i/>
        </w:rPr>
        <w:t>system</w:t>
      </w:r>
      <w:r w:rsidRPr="00F26819">
        <w:rPr>
          <w:bCs/>
        </w:rPr>
        <w:t xml:space="preserve"> to improve school principal leadership and management. </w:t>
      </w:r>
      <w:r>
        <w:rPr>
          <w:bCs/>
        </w:rPr>
        <w:t xml:space="preserve">However, full </w:t>
      </w:r>
      <w:r>
        <w:t xml:space="preserve">roll-out of Phase 1 of CPD only commenced in October 2014, i.e. three years after the EP commenced and with only two years of the Partnership remaining. Implementation proceeded until December 2014 at which point it was postponed again until October 2015. Inevitably, therefore, the total number of persons trained is considerably less than that which was foreseen in the GA </w:t>
      </w:r>
      <w:r w:rsidRPr="001B0FE9">
        <w:t xml:space="preserve">PAF of </w:t>
      </w:r>
      <w:r w:rsidRPr="00734551">
        <w:t>June 2014</w:t>
      </w:r>
      <w:r w:rsidRPr="00734551">
        <w:rPr>
          <w:rStyle w:val="FootnoteReference"/>
        </w:rPr>
        <w:footnoteReference w:id="57"/>
      </w:r>
      <w:r>
        <w:t xml:space="preserve"> </w:t>
      </w:r>
      <w:r w:rsidRPr="001B0FE9">
        <w:rPr>
          <w:rStyle w:val="EndnoteReference"/>
          <w:bCs/>
        </w:rPr>
        <w:endnoteReference w:id="26"/>
      </w:r>
      <w:r w:rsidRPr="001B0FE9">
        <w:t>.</w:t>
      </w:r>
      <w:r>
        <w:t xml:space="preserve"> </w:t>
      </w:r>
    </w:p>
    <w:p w:rsidR="002C3049" w:rsidRDefault="002C3049" w:rsidP="002C3049">
      <w:r>
        <w:t>In 2015 DFAT opted to postpone implementation of the EOPO 2 midline/endline study to give ProDEP sufficient time and opportunity for results to have been generated</w:t>
      </w:r>
      <w:r>
        <w:rPr>
          <w:rStyle w:val="FootnoteReference"/>
        </w:rPr>
        <w:footnoteReference w:id="58"/>
      </w:r>
      <w:r>
        <w:t xml:space="preserve">. As such, the extent to which principals are routinely applying their improved professional competencies and the extent to which this is contributing to improvements in school/Madrasah management are largely unknown. </w:t>
      </w:r>
      <w:r>
        <w:rPr>
          <w:bCs/>
        </w:rPr>
        <w:t>Moreover, the</w:t>
      </w:r>
      <w:r w:rsidRPr="00044FE3">
        <w:rPr>
          <w:bCs/>
        </w:rPr>
        <w:t xml:space="preserve"> extent to which ProDEP is making a significant contribution to the EOCO of “improved professional competencies of participating principals are applied” will be known once </w:t>
      </w:r>
      <w:r>
        <w:rPr>
          <w:bCs/>
        </w:rPr>
        <w:t>the C2 SSQ Managing Contractor</w:t>
      </w:r>
      <w:r w:rsidRPr="00044FE3">
        <w:rPr>
          <w:bCs/>
        </w:rPr>
        <w:t xml:space="preserve"> complete</w:t>
      </w:r>
      <w:r>
        <w:rPr>
          <w:bCs/>
        </w:rPr>
        <w:t>s</w:t>
      </w:r>
      <w:r w:rsidRPr="00044FE3">
        <w:rPr>
          <w:bCs/>
        </w:rPr>
        <w:t xml:space="preserve"> its PAF Survey in Q2 2016. </w:t>
      </w:r>
      <w:r>
        <w:t xml:space="preserve">However, POM can say with confidence that the EOPO will </w:t>
      </w:r>
      <w:r w:rsidRPr="00734551">
        <w:rPr>
          <w:i/>
        </w:rPr>
        <w:t>not</w:t>
      </w:r>
      <w:r>
        <w:t xml:space="preserve"> be achieved by June 2016 simply because there has been insufficient output-level delivery to date to generate the anticipated effects at the level of </w:t>
      </w:r>
      <w:r w:rsidRPr="00044FE3">
        <w:rPr>
          <w:i/>
        </w:rPr>
        <w:t>participating district</w:t>
      </w:r>
      <w:r>
        <w:rPr>
          <w:i/>
        </w:rPr>
        <w:t>s</w:t>
      </w:r>
      <w:r>
        <w:t xml:space="preserve">. As such, the question then becomes one of potential; whether the EOPO may be achieved </w:t>
      </w:r>
      <w:r w:rsidRPr="00D507C2">
        <w:rPr>
          <w:i/>
        </w:rPr>
        <w:t>in time</w:t>
      </w:r>
      <w:r>
        <w:t>.</w:t>
      </w:r>
    </w:p>
    <w:p w:rsidR="002C3049" w:rsidRDefault="002C3049" w:rsidP="002C3049">
      <w:pPr>
        <w:spacing w:after="0"/>
      </w:pPr>
      <w:r>
        <w:t>Four existing sources of evidence point to ProDEP’s potential:</w:t>
      </w:r>
      <w:r w:rsidR="002010DB">
        <w:t xml:space="preserve"> </w:t>
      </w:r>
    </w:p>
    <w:p w:rsidR="002C3049" w:rsidRDefault="002C3049" w:rsidP="002C3049">
      <w:pPr>
        <w:pStyle w:val="ListParagraph"/>
        <w:numPr>
          <w:ilvl w:val="0"/>
          <w:numId w:val="34"/>
        </w:numPr>
      </w:pPr>
      <w:r>
        <w:t xml:space="preserve">POM’s </w:t>
      </w:r>
      <w:r w:rsidRPr="00D67E41">
        <w:rPr>
          <w:i/>
        </w:rPr>
        <w:t>Systemic Literature Review</w:t>
      </w:r>
      <w:r>
        <w:t xml:space="preserve"> of 2014 on the role of </w:t>
      </w:r>
      <w:r w:rsidRPr="00435F36">
        <w:t>principals</w:t>
      </w:r>
      <w:r>
        <w:t xml:space="preserve"> in delivering improved learning outcomes</w:t>
      </w:r>
      <w:r w:rsidRPr="00450C46">
        <w:rPr>
          <w:rStyle w:val="EndnoteReference"/>
        </w:rPr>
        <w:endnoteReference w:id="27"/>
      </w:r>
      <w:r>
        <w:t>, which</w:t>
      </w:r>
      <w:r w:rsidRPr="00450C46">
        <w:rPr>
          <w:rStyle w:val="EndnoteReference"/>
        </w:rPr>
        <w:t xml:space="preserve"> </w:t>
      </w:r>
      <w:r>
        <w:t>found that s</w:t>
      </w:r>
      <w:r w:rsidRPr="00354EA2">
        <w:t xml:space="preserve">chool leadership is second only to teacher quality as </w:t>
      </w:r>
      <w:r>
        <w:t>the most important</w:t>
      </w:r>
      <w:r w:rsidRPr="00354EA2">
        <w:t xml:space="preserve"> school-based driver of </w:t>
      </w:r>
      <w:r>
        <w:t>improved</w:t>
      </w:r>
      <w:r w:rsidRPr="00354EA2">
        <w:t xml:space="preserve"> educational outcomes</w:t>
      </w:r>
      <w:r>
        <w:t>. Specifically, it found that the two most potent dimensions of school leadership are:</w:t>
      </w:r>
    </w:p>
    <w:p w:rsidR="002C3049" w:rsidRDefault="002C3049" w:rsidP="002C3049">
      <w:pPr>
        <w:pStyle w:val="ListParagraph"/>
        <w:numPr>
          <w:ilvl w:val="1"/>
          <w:numId w:val="35"/>
        </w:numPr>
      </w:pPr>
      <w:r>
        <w:t xml:space="preserve">Promoting and participating in teacher learning and development (d=0.91). </w:t>
      </w:r>
    </w:p>
    <w:p w:rsidR="002C3049" w:rsidRDefault="002C3049" w:rsidP="002C3049">
      <w:pPr>
        <w:pStyle w:val="ListParagraph"/>
        <w:numPr>
          <w:ilvl w:val="1"/>
          <w:numId w:val="35"/>
        </w:numPr>
      </w:pPr>
      <w:r>
        <w:t>Planning, coordinating and evaluating teaching and the curriculum (d=0.74)</w:t>
      </w:r>
      <w:r w:rsidRPr="00CA3AB2">
        <w:rPr>
          <w:rStyle w:val="EndnoteReference"/>
        </w:rPr>
        <w:t xml:space="preserve"> </w:t>
      </w:r>
      <w:r>
        <w:rPr>
          <w:rStyle w:val="EndnoteReference"/>
        </w:rPr>
        <w:endnoteReference w:id="28"/>
      </w:r>
      <w:r>
        <w:t>.</w:t>
      </w:r>
    </w:p>
    <w:p w:rsidR="002C3049" w:rsidRDefault="002C3049" w:rsidP="002C3049">
      <w:pPr>
        <w:pStyle w:val="ListParagraph"/>
        <w:numPr>
          <w:ilvl w:val="0"/>
          <w:numId w:val="34"/>
        </w:numPr>
      </w:pPr>
      <w:r>
        <w:t xml:space="preserve">An </w:t>
      </w:r>
      <w:r w:rsidRPr="00D67E41">
        <w:rPr>
          <w:i/>
        </w:rPr>
        <w:t>evaluation of the CPD pilot program</w:t>
      </w:r>
      <w:r>
        <w:t xml:space="preserve"> by C2 SSQ in June 2013</w:t>
      </w:r>
      <w:r>
        <w:rPr>
          <w:rStyle w:val="EndnoteReference"/>
        </w:rPr>
        <w:endnoteReference w:id="29"/>
      </w:r>
      <w:r>
        <w:t xml:space="preserve">, which indicated that </w:t>
      </w:r>
      <w:r w:rsidRPr="00D507C2">
        <w:t>all principals</w:t>
      </w:r>
      <w:r w:rsidRPr="00D67E41">
        <w:rPr>
          <w:b/>
        </w:rPr>
        <w:t xml:space="preserve"> </w:t>
      </w:r>
      <w:r w:rsidRPr="00681C77">
        <w:t>applied some learning and a large proportion of principals appl</w:t>
      </w:r>
      <w:r>
        <w:t>ied significant amounts of the</w:t>
      </w:r>
      <w:r w:rsidRPr="00681C77">
        <w:t xml:space="preserve"> learning</w:t>
      </w:r>
      <w:r>
        <w:t xml:space="preserve"> acquired from training activities</w:t>
      </w:r>
      <w:r w:rsidRPr="00681C77">
        <w:t>.</w:t>
      </w:r>
      <w:r w:rsidRPr="00D67E41">
        <w:rPr>
          <w:b/>
        </w:rPr>
        <w:t xml:space="preserve"> </w:t>
      </w:r>
      <w:r>
        <w:t xml:space="preserve">It also noted that supervisors had </w:t>
      </w:r>
      <w:r>
        <w:lastRenderedPageBreak/>
        <w:t>observed some changes in schools, e.g. in teaching practice and in planning and accountability of expenditure. The evaluation also pointed to an early indication of changes to learning outcomes and increased support for the students’ well-being</w:t>
      </w:r>
      <w:r>
        <w:rPr>
          <w:rStyle w:val="FootnoteReference"/>
        </w:rPr>
        <w:footnoteReference w:id="59"/>
      </w:r>
      <w:r>
        <w:t>.</w:t>
      </w:r>
    </w:p>
    <w:p w:rsidR="002C3049" w:rsidRDefault="002C3049" w:rsidP="002C3049">
      <w:pPr>
        <w:pStyle w:val="ListParagraph"/>
        <w:numPr>
          <w:ilvl w:val="0"/>
          <w:numId w:val="34"/>
        </w:numPr>
      </w:pPr>
      <w:r>
        <w:t xml:space="preserve">The </w:t>
      </w:r>
      <w:r w:rsidRPr="00D67E41">
        <w:rPr>
          <w:i/>
        </w:rPr>
        <w:t xml:space="preserve">EOPO 2 Evaluation Study Baseline </w:t>
      </w:r>
      <w:r>
        <w:t>(J</w:t>
      </w:r>
      <w:r w:rsidRPr="001B0FE9">
        <w:t>une 2015</w:t>
      </w:r>
      <w:r>
        <w:t>)</w:t>
      </w:r>
      <w:r w:rsidRPr="00681C77">
        <w:t xml:space="preserve"> which found that training has a positive effect on leadership and management practices</w:t>
      </w:r>
      <w:r>
        <w:t>. For example, receipt of training prior to being appointed as principal had a positive effect of 0.121 on effective leadership and 0.134 on effective management (which points to the importance of the PPP component of ProDEP)</w:t>
      </w:r>
      <w:r>
        <w:rPr>
          <w:rStyle w:val="FootnoteReference"/>
        </w:rPr>
        <w:footnoteReference w:id="60"/>
      </w:r>
      <w:r>
        <w:t>.</w:t>
      </w:r>
    </w:p>
    <w:p w:rsidR="002C3049" w:rsidRPr="001D0B28" w:rsidRDefault="002C3049" w:rsidP="002C3049">
      <w:pPr>
        <w:pStyle w:val="ListParagraph"/>
        <w:numPr>
          <w:ilvl w:val="0"/>
          <w:numId w:val="34"/>
        </w:numPr>
      </w:pPr>
      <w:r>
        <w:t>A</w:t>
      </w:r>
      <w:r w:rsidRPr="00370308">
        <w:t xml:space="preserve"> </w:t>
      </w:r>
      <w:r w:rsidRPr="00D67E41">
        <w:rPr>
          <w:i/>
        </w:rPr>
        <w:t>rapid desk review of case study material</w:t>
      </w:r>
      <w:r>
        <w:t xml:space="preserve"> from the 48 schools </w:t>
      </w:r>
      <w:r w:rsidRPr="00370308">
        <w:t xml:space="preserve">sampled </w:t>
      </w:r>
      <w:r>
        <w:t xml:space="preserve">in the qualitative component of POM’s EOPO 2 </w:t>
      </w:r>
      <w:r w:rsidRPr="00D67E41">
        <w:rPr>
          <w:i/>
        </w:rPr>
        <w:t>Evaluation Study Baseline</w:t>
      </w:r>
      <w:r>
        <w:rPr>
          <w:rStyle w:val="FootnoteReference"/>
        </w:rPr>
        <w:footnoteReference w:id="61"/>
      </w:r>
      <w:r>
        <w:t>, which suggested that principals in 13 of those 42 schools that had already received ProDEP support were showing signs that they were applying knowledge and skills covered by the Units of Learning</w:t>
      </w:r>
      <w:r w:rsidRPr="00370308">
        <w:t>.</w:t>
      </w:r>
    </w:p>
    <w:p w:rsidR="002C3049" w:rsidRDefault="002C3049" w:rsidP="002C3049">
      <w:pPr>
        <w:spacing w:after="0"/>
        <w:rPr>
          <w:rFonts w:cstheme="minorHAnsi"/>
        </w:rPr>
      </w:pPr>
      <w:r>
        <w:t xml:space="preserve">Based on the available evidence, therefore, POM’s cautious assessment is that, from a </w:t>
      </w:r>
      <w:r w:rsidRPr="0069023F">
        <w:rPr>
          <w:i/>
        </w:rPr>
        <w:t>technical perspective</w:t>
      </w:r>
      <w:r>
        <w:t xml:space="preserve">, there is considerable potential for ProDEP to make a significant contribution to the EOPO </w:t>
      </w:r>
      <w:r w:rsidRPr="00681C77">
        <w:rPr>
          <w:i/>
        </w:rPr>
        <w:t>over time</w:t>
      </w:r>
      <w:r>
        <w:t xml:space="preserve">. The potential should not be underestimated. </w:t>
      </w:r>
      <w:r w:rsidRPr="00681C77">
        <w:rPr>
          <w:rFonts w:cstheme="minorHAnsi"/>
        </w:rPr>
        <w:t xml:space="preserve">Until ProDEP, Indonesia </w:t>
      </w:r>
      <w:r>
        <w:rPr>
          <w:rFonts w:cstheme="minorHAnsi"/>
        </w:rPr>
        <w:t xml:space="preserve">– </w:t>
      </w:r>
      <w:r w:rsidRPr="00681C77">
        <w:rPr>
          <w:rFonts w:cstheme="minorHAnsi"/>
        </w:rPr>
        <w:t>a country with over a quarter of a million principals and education professionals, and over fifty million students from primary to senior secondary levels</w:t>
      </w:r>
      <w:r w:rsidRPr="00D20962">
        <w:rPr>
          <w:rFonts w:cstheme="minorHAnsi"/>
          <w:vertAlign w:val="superscript"/>
        </w:rPr>
        <w:endnoteReference w:id="30"/>
      </w:r>
      <w:r>
        <w:rPr>
          <w:rFonts w:cstheme="minorHAnsi"/>
        </w:rPr>
        <w:t xml:space="preserve"> - </w:t>
      </w:r>
      <w:r w:rsidRPr="00681C77">
        <w:rPr>
          <w:rFonts w:cstheme="minorHAnsi"/>
        </w:rPr>
        <w:t xml:space="preserve">did not have a comprehensive professional development system for </w:t>
      </w:r>
      <w:r w:rsidRPr="007C1B0C">
        <w:t>education</w:t>
      </w:r>
      <w:r w:rsidRPr="00681C77">
        <w:rPr>
          <w:rFonts w:cstheme="minorHAnsi"/>
        </w:rPr>
        <w:t xml:space="preserve"> </w:t>
      </w:r>
      <w:r w:rsidRPr="007C1B0C">
        <w:t>personnel</w:t>
      </w:r>
      <w:r w:rsidRPr="00681C77">
        <w:rPr>
          <w:rFonts w:cstheme="minorHAnsi"/>
        </w:rPr>
        <w:t xml:space="preserve">. </w:t>
      </w:r>
    </w:p>
    <w:p w:rsidR="002C3049" w:rsidRDefault="002C3049" w:rsidP="002C3049">
      <w:pPr>
        <w:spacing w:after="0"/>
        <w:rPr>
          <w:rFonts w:cstheme="minorHAnsi"/>
        </w:rPr>
      </w:pPr>
      <w:r>
        <w:rPr>
          <w:rFonts w:cstheme="minorHAnsi"/>
        </w:rPr>
        <w:t xml:space="preserve">ProDEP’s </w:t>
      </w:r>
      <w:r w:rsidRPr="00681C77">
        <w:rPr>
          <w:rFonts w:cstheme="minorHAnsi"/>
        </w:rPr>
        <w:t xml:space="preserve">potential to improve the management of schools and </w:t>
      </w:r>
      <w:r>
        <w:rPr>
          <w:rFonts w:cstheme="minorHAnsi"/>
        </w:rPr>
        <w:t>Madrasah</w:t>
      </w:r>
      <w:r w:rsidRPr="00681C77">
        <w:rPr>
          <w:rFonts w:cstheme="minorHAnsi"/>
        </w:rPr>
        <w:t xml:space="preserve"> </w:t>
      </w:r>
      <w:r>
        <w:rPr>
          <w:rFonts w:cstheme="minorHAnsi"/>
        </w:rPr>
        <w:t>has seemingly been recognized by GoI. For example:</w:t>
      </w:r>
    </w:p>
    <w:p w:rsidR="002C3049" w:rsidRDefault="002C3049" w:rsidP="002C3049">
      <w:pPr>
        <w:pStyle w:val="ListParagraph"/>
        <w:numPr>
          <w:ilvl w:val="0"/>
          <w:numId w:val="36"/>
        </w:numPr>
      </w:pPr>
      <w:r>
        <w:t>In 2015 MoEC financed the “replication” of ProDEP in 16 non-participating districts</w:t>
      </w:r>
      <w:r>
        <w:rPr>
          <w:rStyle w:val="FootnoteReference"/>
          <w:rFonts w:eastAsia="Times New Roman"/>
          <w:bCs/>
        </w:rPr>
        <w:footnoteReference w:id="62"/>
      </w:r>
      <w:r>
        <w:t xml:space="preserve">, both increasing the number of trained principals and closing the gap between expected PAF results and actual results. MoEC has also committed to finance implementation in a further 24 districts in 2016, bringing the total number of MoEC-financed ProDEP districts to 40. </w:t>
      </w:r>
    </w:p>
    <w:p w:rsidR="002C3049" w:rsidRDefault="002C3049" w:rsidP="002C3049">
      <w:pPr>
        <w:pStyle w:val="ListParagraph"/>
        <w:numPr>
          <w:ilvl w:val="0"/>
          <w:numId w:val="36"/>
        </w:numPr>
      </w:pPr>
      <w:r>
        <w:t>To date, 374 districts have self-financed their participation in PPP</w:t>
      </w:r>
      <w:r>
        <w:rPr>
          <w:rStyle w:val="EndnoteReference"/>
          <w:rFonts w:eastAsia="Times New Roman"/>
          <w:bCs/>
        </w:rPr>
        <w:endnoteReference w:id="31"/>
      </w:r>
      <w:r>
        <w:t>. While POM remains wary of the potential implications should ‘ProDEP’ be broken into its constituent parts</w:t>
      </w:r>
      <w:r>
        <w:rPr>
          <w:rStyle w:val="FootnoteReference"/>
          <w:rFonts w:eastAsia="Times New Roman"/>
          <w:bCs/>
        </w:rPr>
        <w:footnoteReference w:id="63"/>
      </w:r>
      <w:r>
        <w:t>, POM also notes the potential for districts to ‘opt in’ to a PD initiative should they see the benefits of doing so, which potentially bodes well for CPD and SPD, i.e. the core elements of ProDEP.</w:t>
      </w:r>
    </w:p>
    <w:p w:rsidR="002C3049" w:rsidRDefault="002C3049" w:rsidP="002C3049">
      <w:pPr>
        <w:pStyle w:val="ListParagraph"/>
        <w:numPr>
          <w:ilvl w:val="0"/>
          <w:numId w:val="36"/>
        </w:numPr>
      </w:pPr>
      <w:r w:rsidRPr="00D507C2">
        <w:t>MoEC</w:t>
      </w:r>
      <w:r>
        <w:t xml:space="preserve"> officials</w:t>
      </w:r>
      <w:r>
        <w:rPr>
          <w:rStyle w:val="EndnoteReference"/>
          <w:rFonts w:eastAsia="Times New Roman"/>
          <w:bCs/>
        </w:rPr>
        <w:endnoteReference w:id="32"/>
      </w:r>
      <w:r>
        <w:t xml:space="preserve"> report that ProDEP contributes to an improving relationship between principals and supervisors that resulted in better school and Madrasah management.</w:t>
      </w:r>
    </w:p>
    <w:p w:rsidR="002C3049" w:rsidRDefault="002C3049" w:rsidP="002C3049">
      <w:pPr>
        <w:spacing w:after="0"/>
      </w:pPr>
      <w:r>
        <w:lastRenderedPageBreak/>
        <w:t xml:space="preserve">Such positives must be counter-balanced by other realizations. </w:t>
      </w:r>
      <w:r w:rsidRPr="00D20962">
        <w:rPr>
          <w:rFonts w:cstheme="minorHAnsi"/>
        </w:rPr>
        <w:t xml:space="preserve">To maximize its </w:t>
      </w:r>
      <w:r>
        <w:rPr>
          <w:rFonts w:cstheme="minorHAnsi"/>
        </w:rPr>
        <w:t xml:space="preserve">effectiveness and </w:t>
      </w:r>
      <w:r w:rsidRPr="00D20962">
        <w:rPr>
          <w:rFonts w:cstheme="minorHAnsi"/>
        </w:rPr>
        <w:t xml:space="preserve">impact, </w:t>
      </w:r>
      <w:r>
        <w:rPr>
          <w:rFonts w:cstheme="minorHAnsi"/>
        </w:rPr>
        <w:t xml:space="preserve">it is inevitable that </w:t>
      </w:r>
      <w:r w:rsidRPr="00D507C2">
        <w:rPr>
          <w:rFonts w:cstheme="minorHAnsi"/>
        </w:rPr>
        <w:t>the system will need to evolve.</w:t>
      </w:r>
      <w:r>
        <w:rPr>
          <w:rFonts w:cstheme="minorHAnsi"/>
        </w:rPr>
        <w:t xml:space="preserve"> For example, t</w:t>
      </w:r>
      <w:r>
        <w:t xml:space="preserve">he </w:t>
      </w:r>
      <w:r w:rsidRPr="00AA203D">
        <w:rPr>
          <w:i/>
        </w:rPr>
        <w:t>EOPO 1</w:t>
      </w:r>
      <w:r>
        <w:t xml:space="preserve"> </w:t>
      </w:r>
      <w:r w:rsidRPr="001B0FE9">
        <w:rPr>
          <w:i/>
        </w:rPr>
        <w:t xml:space="preserve">Evaluation </w:t>
      </w:r>
      <w:r>
        <w:rPr>
          <w:i/>
        </w:rPr>
        <w:t>Study</w:t>
      </w:r>
      <w:r w:rsidRPr="00681C77">
        <w:rPr>
          <w:i/>
        </w:rPr>
        <w:t xml:space="preserve"> Baseline</w:t>
      </w:r>
      <w:r>
        <w:rPr>
          <w:i/>
        </w:rPr>
        <w:t xml:space="preserve"> </w:t>
      </w:r>
      <w:r>
        <w:t xml:space="preserve">suggests </w:t>
      </w:r>
      <w:r w:rsidRPr="00D507C2">
        <w:t xml:space="preserve">that the current content, delivery and structure of ProDEP would benefit from review and revision. </w:t>
      </w:r>
      <w:r>
        <w:t>Specifically</w:t>
      </w:r>
      <w:r w:rsidRPr="00D507C2">
        <w:t>:</w:t>
      </w:r>
    </w:p>
    <w:p w:rsidR="002C3049" w:rsidRDefault="002C3049" w:rsidP="002C3049">
      <w:pPr>
        <w:pStyle w:val="ListParagraph"/>
        <w:numPr>
          <w:ilvl w:val="0"/>
          <w:numId w:val="37"/>
        </w:numPr>
      </w:pPr>
      <w:r w:rsidRPr="0098215C">
        <w:t xml:space="preserve">With regards to </w:t>
      </w:r>
      <w:r>
        <w:t>its</w:t>
      </w:r>
      <w:r w:rsidRPr="0098215C">
        <w:t xml:space="preserve"> </w:t>
      </w:r>
      <w:r w:rsidRPr="00116348">
        <w:rPr>
          <w:i/>
        </w:rPr>
        <w:t>scope</w:t>
      </w:r>
      <w:r w:rsidRPr="0098215C">
        <w:t xml:space="preserve">, its adherence </w:t>
      </w:r>
      <w:r>
        <w:t xml:space="preserve">with the National Education Standards (NES) and Minimum Service Standards (MSS) means that further evolution of ProDEP is required for it to address </w:t>
      </w:r>
      <w:r w:rsidRPr="0098215C">
        <w:t xml:space="preserve">all the </w:t>
      </w:r>
      <w:r>
        <w:t>known</w:t>
      </w:r>
      <w:r w:rsidRPr="0098215C">
        <w:t xml:space="preserve"> drivers of improved school and </w:t>
      </w:r>
      <w:r>
        <w:t>M</w:t>
      </w:r>
      <w:r w:rsidRPr="0098215C">
        <w:t>adrasah leadership and management</w:t>
      </w:r>
      <w:r>
        <w:t xml:space="preserve"> (e.g. as identified in international literature).</w:t>
      </w:r>
    </w:p>
    <w:p w:rsidR="002C3049" w:rsidRPr="002F6ED6" w:rsidRDefault="002C3049" w:rsidP="002C3049">
      <w:pPr>
        <w:pStyle w:val="ListParagraph"/>
        <w:numPr>
          <w:ilvl w:val="0"/>
          <w:numId w:val="37"/>
        </w:numPr>
      </w:pPr>
      <w:r w:rsidRPr="002F6ED6">
        <w:t xml:space="preserve">With regards to </w:t>
      </w:r>
      <w:r w:rsidRPr="00116348">
        <w:rPr>
          <w:i/>
        </w:rPr>
        <w:t>variation</w:t>
      </w:r>
      <w:r w:rsidRPr="002F6ED6">
        <w:t xml:space="preserve">, different principals </w:t>
      </w:r>
      <w:r>
        <w:t>and different types of schools/Madrasah</w:t>
      </w:r>
      <w:r w:rsidRPr="002F6ED6">
        <w:t xml:space="preserve"> have different needs (suggesting </w:t>
      </w:r>
      <w:r>
        <w:t>need for varied</w:t>
      </w:r>
      <w:r w:rsidRPr="002F6ED6">
        <w:t xml:space="preserve"> content and delivery modes</w:t>
      </w:r>
      <w:r w:rsidRPr="00116348">
        <w:rPr>
          <w:rFonts w:cstheme="minorHAnsi"/>
        </w:rPr>
        <w:t xml:space="preserve">, including </w:t>
      </w:r>
      <w:r>
        <w:rPr>
          <w:rFonts w:cstheme="minorHAnsi"/>
        </w:rPr>
        <w:t>OLL</w:t>
      </w:r>
      <w:r w:rsidRPr="00116348">
        <w:rPr>
          <w:rFonts w:cstheme="minorHAnsi"/>
        </w:rPr>
        <w:t xml:space="preserve"> and cluster-based modalities, to facilitate efficient access of all principals to the training program</w:t>
      </w:r>
      <w:r w:rsidRPr="002F6ED6">
        <w:t>)</w:t>
      </w:r>
      <w:r>
        <w:rPr>
          <w:rStyle w:val="FootnoteReference"/>
        </w:rPr>
        <w:footnoteReference w:id="64"/>
      </w:r>
      <w:r w:rsidRPr="002F6ED6">
        <w:t xml:space="preserve">. </w:t>
      </w:r>
    </w:p>
    <w:p w:rsidR="002C3049" w:rsidRPr="002F6ED6" w:rsidRDefault="002C3049" w:rsidP="002C3049">
      <w:pPr>
        <w:pStyle w:val="ListParagraph"/>
        <w:numPr>
          <w:ilvl w:val="0"/>
          <w:numId w:val="37"/>
        </w:numPr>
      </w:pPr>
      <w:r w:rsidRPr="002F6ED6">
        <w:t xml:space="preserve">With regards to </w:t>
      </w:r>
      <w:r w:rsidRPr="00116348">
        <w:rPr>
          <w:i/>
        </w:rPr>
        <w:t>targeting</w:t>
      </w:r>
      <w:r>
        <w:t>, s</w:t>
      </w:r>
      <w:r w:rsidRPr="002F6ED6">
        <w:t xml:space="preserve">ome principals would </w:t>
      </w:r>
      <w:r>
        <w:t xml:space="preserve">secure greater benefit from participation in ProDEP </w:t>
      </w:r>
      <w:r w:rsidRPr="002F6ED6">
        <w:t xml:space="preserve">than others (suggesting a need to target </w:t>
      </w:r>
      <w:r>
        <w:t>resources</w:t>
      </w:r>
      <w:r w:rsidRPr="002F6ED6">
        <w:t>, with potential upsides in terms of results and value for money).</w:t>
      </w:r>
      <w:r>
        <w:t xml:space="preserve"> </w:t>
      </w:r>
    </w:p>
    <w:p w:rsidR="002C3049" w:rsidRPr="002F6ED6" w:rsidRDefault="002C3049" w:rsidP="002C3049">
      <w:pPr>
        <w:pStyle w:val="ListParagraph"/>
        <w:numPr>
          <w:ilvl w:val="0"/>
          <w:numId w:val="37"/>
        </w:numPr>
      </w:pPr>
      <w:r w:rsidRPr="002F6ED6">
        <w:t xml:space="preserve">With regards to </w:t>
      </w:r>
      <w:r w:rsidRPr="00116348">
        <w:rPr>
          <w:i/>
        </w:rPr>
        <w:t>support</w:t>
      </w:r>
      <w:r w:rsidRPr="002F6ED6">
        <w:t xml:space="preserve">, </w:t>
      </w:r>
      <w:r>
        <w:t xml:space="preserve">the level and quality of </w:t>
      </w:r>
      <w:r w:rsidRPr="002F6ED6">
        <w:t xml:space="preserve">supervisory support </w:t>
      </w:r>
      <w:r>
        <w:t xml:space="preserve">provided </w:t>
      </w:r>
      <w:r w:rsidRPr="002F6ED6">
        <w:t>for principals is variable (suggesting a need to strengthen the ongoing ‘support’ system for ProDEP).</w:t>
      </w:r>
    </w:p>
    <w:p w:rsidR="002C3049" w:rsidRPr="00196AC0" w:rsidRDefault="002C3049" w:rsidP="002C3049">
      <w:pPr>
        <w:rPr>
          <w:bCs/>
        </w:rPr>
      </w:pPr>
      <w:r>
        <w:t>From a technical perspective, it is positive that ProDEP is tailored to the performance appraisal system and that it provides academic credits</w:t>
      </w:r>
      <w:r>
        <w:rPr>
          <w:rStyle w:val="FootnoteReference"/>
        </w:rPr>
        <w:footnoteReference w:id="65"/>
      </w:r>
      <w:r>
        <w:t xml:space="preserve"> for successful participants for their career progression as civil servants</w:t>
      </w:r>
      <w:r>
        <w:rPr>
          <w:rStyle w:val="EndnoteReference"/>
        </w:rPr>
        <w:endnoteReference w:id="33"/>
      </w:r>
      <w:r>
        <w:t xml:space="preserve">. However, it is likely that a range of context-based drivers will have bearing on the future potential of ProDEP. </w:t>
      </w:r>
      <w:r>
        <w:rPr>
          <w:bCs/>
          <w:iCs/>
        </w:rPr>
        <w:t>T</w:t>
      </w:r>
      <w:r w:rsidRPr="00196AC0">
        <w:rPr>
          <w:bCs/>
          <w:iCs/>
        </w:rPr>
        <w:t xml:space="preserve">he processes by which supervisors are appointed and fulfil their mandates </w:t>
      </w:r>
      <w:r>
        <w:rPr>
          <w:bCs/>
          <w:iCs/>
        </w:rPr>
        <w:t xml:space="preserve">are </w:t>
      </w:r>
      <w:r w:rsidRPr="00196AC0">
        <w:rPr>
          <w:bCs/>
          <w:iCs/>
        </w:rPr>
        <w:t xml:space="preserve">likely </w:t>
      </w:r>
      <w:r>
        <w:rPr>
          <w:bCs/>
          <w:iCs/>
        </w:rPr>
        <w:t xml:space="preserve">to </w:t>
      </w:r>
      <w:r w:rsidRPr="00196AC0">
        <w:rPr>
          <w:bCs/>
          <w:iCs/>
        </w:rPr>
        <w:t>have bearing on the extent to which ProDEP activities will contribute to their intended aims</w:t>
      </w:r>
      <w:r w:rsidRPr="00D20962">
        <w:rPr>
          <w:vertAlign w:val="superscript"/>
        </w:rPr>
        <w:endnoteReference w:id="34"/>
      </w:r>
      <w:r w:rsidRPr="00196AC0">
        <w:rPr>
          <w:bCs/>
          <w:iCs/>
        </w:rPr>
        <w:t>. Any interference in the merit-based nature of ProDEP is likely to compromise its effectiveness and impact.</w:t>
      </w:r>
      <w:r>
        <w:rPr>
          <w:bCs/>
          <w:iCs/>
        </w:rPr>
        <w:t xml:space="preserve"> Furthermore, cuts to DFAT’s budget, coupled with the loss of LPMP as an Eligible Entity because of MoEC’s restructure in 2015, meant that </w:t>
      </w:r>
      <w:r w:rsidRPr="001C6996">
        <w:rPr>
          <w:bCs/>
        </w:rPr>
        <w:t xml:space="preserve">a large number of primary school principals </w:t>
      </w:r>
      <w:r>
        <w:rPr>
          <w:bCs/>
        </w:rPr>
        <w:t xml:space="preserve">could not be accommodated in 2015 and will be omitted </w:t>
      </w:r>
      <w:r w:rsidRPr="001B0FE9">
        <w:rPr>
          <w:bCs/>
        </w:rPr>
        <w:t>from ProDEP</w:t>
      </w:r>
      <w:r>
        <w:rPr>
          <w:bCs/>
        </w:rPr>
        <w:t xml:space="preserve"> in the foreseeable future</w:t>
      </w:r>
      <w:r>
        <w:rPr>
          <w:rStyle w:val="FootnoteReference"/>
          <w:bCs/>
          <w:iCs/>
        </w:rPr>
        <w:footnoteReference w:id="66"/>
      </w:r>
      <w:r>
        <w:rPr>
          <w:bCs/>
        </w:rPr>
        <w:t>. This will naturally limit the program’s reach across the different tiers of 12 years’ schooling</w:t>
      </w:r>
      <w:r w:rsidRPr="00196AC0">
        <w:rPr>
          <w:bCs/>
        </w:rPr>
        <w:t xml:space="preserve">. </w:t>
      </w:r>
    </w:p>
    <w:p w:rsidR="002C3049" w:rsidRDefault="002C3049" w:rsidP="002C3049">
      <w:pPr>
        <w:rPr>
          <w:bCs/>
        </w:rPr>
      </w:pPr>
      <w:r>
        <w:rPr>
          <w:bCs/>
        </w:rPr>
        <w:t xml:space="preserve">While ProDEP lacks a critical mass of trained principals to affect EOPO-level change in participating districts, it is reassuring to see MoEC self-financing replication in non-EP districts. Notwithstanding the need for a further evaluation study to capture the nature and degree of change generated by ProDEP, it remains likely that the technical foundations of ProDEP are sound and, with the right support and investment, it is probable that ProDEP will deliver its EOPO after the closure of the EP in 2016. </w:t>
      </w:r>
    </w:p>
    <w:p w:rsidR="002C3049" w:rsidRDefault="002C3049" w:rsidP="002C3049">
      <w:pPr>
        <w:pStyle w:val="Heading3"/>
      </w:pPr>
      <w:r w:rsidRPr="00851EC7">
        <w:lastRenderedPageBreak/>
        <w:t>Impact</w:t>
      </w:r>
    </w:p>
    <w:p w:rsidR="002C3049" w:rsidRDefault="002C3049" w:rsidP="002C3049">
      <w:pPr>
        <w:rPr>
          <w:bCs/>
        </w:rPr>
      </w:pPr>
      <w:r>
        <w:rPr>
          <w:bCs/>
        </w:rPr>
        <w:t>POM remains of the view that ProDEP has tremendous potential to contribute to the emergence of better quality education. For its potential to be realised, ProDEP must reach a critical mass of trained principals to trigger improvements at district level. This will inevitably require future investment and “champions” i.e. individuals with the necessary influence and authority to embed, develop and sell ProDEP. POM is therefore encouraged to see that elements of ProDEP resonate with the needs and priorities of MoEC. For example, the DG for Teacher and Education Personnel is supportive of OLL and it is therefore timely that Level 2 and Level 3 UoLs are being prepared for on-line delivery</w:t>
      </w:r>
      <w:r>
        <w:rPr>
          <w:rStyle w:val="EndnoteReference"/>
          <w:bCs/>
        </w:rPr>
        <w:endnoteReference w:id="35"/>
      </w:r>
      <w:r>
        <w:rPr>
          <w:bCs/>
        </w:rPr>
        <w:t>. Once this occurs ProDEP will be able to cater for and reach a greater number of principals. MoEC is also reportedly examining the possibility of adapting ProDEP for the delivery of CPD for teachers</w:t>
      </w:r>
      <w:r>
        <w:rPr>
          <w:rStyle w:val="EndnoteReference"/>
          <w:bCs/>
        </w:rPr>
        <w:endnoteReference w:id="36"/>
      </w:r>
      <w:r>
        <w:rPr>
          <w:bCs/>
        </w:rPr>
        <w:t xml:space="preserve"> and, with adequate support and investment, ProDEP may be well placed to support school management across all tiers of 12 years of schooling</w:t>
      </w:r>
      <w:r>
        <w:rPr>
          <w:rStyle w:val="EndnoteReference"/>
          <w:bCs/>
        </w:rPr>
        <w:endnoteReference w:id="37"/>
      </w:r>
      <w:r>
        <w:rPr>
          <w:bCs/>
        </w:rPr>
        <w:t>. As that might suggest, DFAT’s TA-based Forward Program should be able and willing to respond to needs and opportunities as they emerge.</w:t>
      </w:r>
      <w:r w:rsidRPr="00236CA6">
        <w:rPr>
          <w:bCs/>
        </w:rPr>
        <w:t xml:space="preserve"> </w:t>
      </w:r>
    </w:p>
    <w:p w:rsidR="002C3049" w:rsidRDefault="002C3049" w:rsidP="002C3049">
      <w:pPr>
        <w:rPr>
          <w:bCs/>
        </w:rPr>
      </w:pPr>
      <w:r>
        <w:rPr>
          <w:bCs/>
        </w:rPr>
        <w:t>While prospects exist for long-term benefit in the MoEC environment, the outlook insofar as MoRA and Madrasah are concerned is less positive. This is not a surprise</w:t>
      </w:r>
      <w:r>
        <w:rPr>
          <w:rStyle w:val="FootnoteReference"/>
          <w:bCs/>
        </w:rPr>
        <w:footnoteReference w:id="67"/>
      </w:r>
      <w:r>
        <w:rPr>
          <w:bCs/>
        </w:rPr>
        <w:t>. It is estimated that Madrasah principals accounted for about 10% of ProDEP participants in 2015</w:t>
      </w:r>
      <w:r>
        <w:rPr>
          <w:rStyle w:val="EndnoteReference"/>
          <w:bCs/>
        </w:rPr>
        <w:endnoteReference w:id="38"/>
      </w:r>
      <w:r>
        <w:rPr>
          <w:bCs/>
        </w:rPr>
        <w:t>, i.e. still below the (perhaps unrealistic) target of 15%. While MoRA officials have stated that their involvement in ProDEP has led to the development of a more comprehensive database for education personnel</w:t>
      </w:r>
      <w:r>
        <w:rPr>
          <w:rStyle w:val="EndnoteReference"/>
          <w:bCs/>
        </w:rPr>
        <w:endnoteReference w:id="39"/>
      </w:r>
      <w:r>
        <w:rPr>
          <w:bCs/>
        </w:rPr>
        <w:t xml:space="preserve">, POM believes that it remains improbable that MoRA will secure ongoing benefit from and be able to participate in a MoEC-led ProDEP in the long-term. </w:t>
      </w:r>
    </w:p>
    <w:p w:rsidR="002C3049" w:rsidRDefault="002C3049" w:rsidP="002C3049">
      <w:pPr>
        <w:rPr>
          <w:bCs/>
        </w:rPr>
      </w:pPr>
    </w:p>
    <w:p w:rsidR="002C3049" w:rsidRDefault="002C3049" w:rsidP="002C3049">
      <w:pPr>
        <w:pStyle w:val="Heading3"/>
      </w:pPr>
      <w:r w:rsidRPr="00851EC7">
        <w:t>Sustainability</w:t>
      </w:r>
    </w:p>
    <w:p w:rsidR="002C3049" w:rsidRDefault="002C3049" w:rsidP="002C3049">
      <w:pPr>
        <w:rPr>
          <w:bCs/>
        </w:rPr>
      </w:pPr>
      <w:r>
        <w:rPr>
          <w:bCs/>
        </w:rPr>
        <w:t>C2 has laid a number of important foundations, which, when taken together, give rise to a cautious degree of optimism about the future prospects of ProDEP. Of particular note:</w:t>
      </w:r>
    </w:p>
    <w:p w:rsidR="002C3049" w:rsidRDefault="002C3049" w:rsidP="002C3049">
      <w:pPr>
        <w:pStyle w:val="ListParagraph"/>
        <w:numPr>
          <w:ilvl w:val="0"/>
          <w:numId w:val="38"/>
        </w:numPr>
      </w:pPr>
      <w:r>
        <w:t xml:space="preserve">MoEC has demonstrated ownership and commitment. For example, </w:t>
      </w:r>
      <w:r w:rsidRPr="00FA4E39">
        <w:t>POM has obtained the related special account records that suggest that MoEC originally planned to provide IDR 370 billion in 2015 to expand ProDEP to non-EP districts</w:t>
      </w:r>
      <w:r>
        <w:rPr>
          <w:rStyle w:val="FootnoteReference"/>
        </w:rPr>
        <w:footnoteReference w:id="68"/>
      </w:r>
      <w:r>
        <w:t xml:space="preserve"> </w:t>
      </w:r>
      <w:r>
        <w:rPr>
          <w:rStyle w:val="EndnoteReference"/>
          <w:rFonts w:eastAsia="Times New Roman"/>
          <w:bCs/>
        </w:rPr>
        <w:endnoteReference w:id="40"/>
      </w:r>
      <w:r w:rsidRPr="00FA4E39">
        <w:t xml:space="preserve">. </w:t>
      </w:r>
      <w:r>
        <w:t>Furthermore, in addition to having trained 798 participants in the 16 replication districts in 2015, MoEC also completed OJL and In-On-In activities that were to be financed through the GA. Furthermore, its allocation of approximately IDR 100 billion</w:t>
      </w:r>
      <w:r>
        <w:rPr>
          <w:rStyle w:val="FootnoteReference"/>
          <w:rFonts w:eastAsia="Times New Roman"/>
          <w:bCs/>
        </w:rPr>
        <w:footnoteReference w:id="69"/>
      </w:r>
      <w:r>
        <w:t xml:space="preserve"> to finance implementation in 24 further districts in 2016 is encouraging</w:t>
      </w:r>
      <w:r>
        <w:rPr>
          <w:rStyle w:val="EndnoteReference"/>
          <w:rFonts w:eastAsia="Times New Roman"/>
          <w:bCs/>
        </w:rPr>
        <w:endnoteReference w:id="41"/>
      </w:r>
      <w:r>
        <w:t xml:space="preserve">. </w:t>
      </w:r>
    </w:p>
    <w:p w:rsidR="002C3049" w:rsidRDefault="002C3049" w:rsidP="002C3049">
      <w:pPr>
        <w:pStyle w:val="ListParagraph"/>
        <w:numPr>
          <w:ilvl w:val="0"/>
          <w:numId w:val="38"/>
        </w:numPr>
      </w:pPr>
      <w:r>
        <w:lastRenderedPageBreak/>
        <w:t xml:space="preserve">When MoEC delivered the </w:t>
      </w:r>
      <w:r w:rsidRPr="00BB700F">
        <w:t xml:space="preserve">GoI-financed replication in the </w:t>
      </w:r>
      <w:r>
        <w:t>16</w:t>
      </w:r>
      <w:r w:rsidRPr="00BB700F">
        <w:t xml:space="preserve"> districts in 2015 </w:t>
      </w:r>
      <w:r>
        <w:t>it</w:t>
      </w:r>
      <w:r w:rsidRPr="00BB700F">
        <w:t xml:space="preserve"> opted to maintain the whole </w:t>
      </w:r>
      <w:r>
        <w:t>package</w:t>
      </w:r>
      <w:r>
        <w:rPr>
          <w:rStyle w:val="FootnoteReference"/>
          <w:rFonts w:eastAsia="Times New Roman"/>
          <w:bCs/>
        </w:rPr>
        <w:footnoteReference w:id="70"/>
      </w:r>
      <w:r>
        <w:t xml:space="preserve"> </w:t>
      </w:r>
      <w:r>
        <w:rPr>
          <w:rStyle w:val="EndnoteReference"/>
          <w:rFonts w:eastAsia="Times New Roman"/>
          <w:bCs/>
        </w:rPr>
        <w:endnoteReference w:id="42"/>
      </w:r>
      <w:r>
        <w:t xml:space="preserve">, therefore safeguarding the integrity of the model. </w:t>
      </w:r>
    </w:p>
    <w:p w:rsidR="002C3049" w:rsidRDefault="002C3049" w:rsidP="002C3049">
      <w:pPr>
        <w:pStyle w:val="ListParagraph"/>
        <w:numPr>
          <w:ilvl w:val="0"/>
          <w:numId w:val="38"/>
        </w:numPr>
      </w:pPr>
      <w:r>
        <w:t>PPP is now implemented in over 250 districts with district financing.</w:t>
      </w:r>
    </w:p>
    <w:p w:rsidR="002C3049" w:rsidRDefault="002C3049" w:rsidP="002C3049">
      <w:pPr>
        <w:pStyle w:val="ListParagraph"/>
        <w:numPr>
          <w:ilvl w:val="0"/>
          <w:numId w:val="38"/>
        </w:numPr>
      </w:pPr>
      <w:r>
        <w:t>All four ProDEP modalities have been implemented. The direct, cluster based, and OLL modalities have been rolled out with DFAT financing. The district modality is being implemented in MoEC replication districts.</w:t>
      </w:r>
      <w:r w:rsidRPr="00BB700F">
        <w:t xml:space="preserve"> </w:t>
      </w:r>
      <w:r>
        <w:t>Furthermore, d</w:t>
      </w:r>
      <w:r w:rsidRPr="00BB700F">
        <w:t>uring the course of 2015</w:t>
      </w:r>
      <w:r>
        <w:t>,</w:t>
      </w:r>
      <w:r w:rsidRPr="00BB700F">
        <w:t xml:space="preserve"> Component 2 revised Level 1 </w:t>
      </w:r>
      <w:r>
        <w:t xml:space="preserve">UoLs </w:t>
      </w:r>
      <w:r w:rsidRPr="00BB700F">
        <w:t>based on feedback from participants and to help ensure that the materials remained in line with systemic and individual needs.</w:t>
      </w:r>
      <w:r>
        <w:t xml:space="preserve"> With all modalities in place, the prospects of ProDEP to reach a broader audience inevitably increase. </w:t>
      </w:r>
    </w:p>
    <w:p w:rsidR="002C3049" w:rsidRPr="00AC1371" w:rsidRDefault="002C3049" w:rsidP="002C3049">
      <w:pPr>
        <w:pStyle w:val="ListParagraph"/>
        <w:numPr>
          <w:ilvl w:val="0"/>
          <w:numId w:val="38"/>
        </w:numPr>
      </w:pPr>
      <w:r>
        <w:t>The r</w:t>
      </w:r>
      <w:r w:rsidRPr="00AC1371">
        <w:t xml:space="preserve">esults of </w:t>
      </w:r>
      <w:r>
        <w:t>GoI’s</w:t>
      </w:r>
      <w:r w:rsidRPr="00AC1371">
        <w:t xml:space="preserve"> teacher competency test (UKG) have become a tool for MoEC</w:t>
      </w:r>
      <w:r>
        <w:t xml:space="preserve"> and districts</w:t>
      </w:r>
      <w:r w:rsidRPr="00AC1371">
        <w:t xml:space="preserve"> to discuss the </w:t>
      </w:r>
      <w:r>
        <w:t>teaching</w:t>
      </w:r>
      <w:r w:rsidRPr="00AC1371">
        <w:t xml:space="preserve"> quality</w:t>
      </w:r>
      <w:r>
        <w:t xml:space="preserve"> and have created space for an informed debate about a CPD program for</w:t>
      </w:r>
      <w:r w:rsidRPr="00AC1371">
        <w:t xml:space="preserve"> teacher</w:t>
      </w:r>
      <w:r>
        <w:t>s</w:t>
      </w:r>
      <w:r w:rsidRPr="00AC1371">
        <w:t>. MoEC is c</w:t>
      </w:r>
      <w:r>
        <w:t>urrently c</w:t>
      </w:r>
      <w:r w:rsidRPr="00AC1371">
        <w:t xml:space="preserve">onducting </w:t>
      </w:r>
      <w:r>
        <w:t>a</w:t>
      </w:r>
      <w:r w:rsidRPr="00AC1371">
        <w:t xml:space="preserve"> principal competency test (UKKS)</w:t>
      </w:r>
      <w:r>
        <w:t xml:space="preserve"> and this may, in turn, </w:t>
      </w:r>
      <w:r w:rsidRPr="00AC1371">
        <w:t xml:space="preserve">create similar opportunities </w:t>
      </w:r>
      <w:r>
        <w:t xml:space="preserve">to discuss the need for and financing of </w:t>
      </w:r>
      <w:r w:rsidRPr="00AC1371">
        <w:t>CPD for principals.</w:t>
      </w:r>
    </w:p>
    <w:p w:rsidR="002C3049" w:rsidRPr="00851EC7" w:rsidRDefault="002C3049" w:rsidP="002C3049">
      <w:pPr>
        <w:pStyle w:val="Heading2"/>
      </w:pPr>
      <w:r>
        <w:t>Summary and recommendations</w:t>
      </w:r>
      <w:r w:rsidRPr="00851EC7">
        <w:t xml:space="preserve"> </w:t>
      </w:r>
    </w:p>
    <w:p w:rsidR="002C3049" w:rsidRPr="00D20962" w:rsidRDefault="002C3049" w:rsidP="002C3049">
      <w:r w:rsidRPr="00D20962">
        <w:t xml:space="preserve">A summary table of component performance by DAC criteria is presented in </w:t>
      </w:r>
      <w:r>
        <w:fldChar w:fldCharType="begin"/>
      </w:r>
      <w:r>
        <w:instrText xml:space="preserve"> REF _Ref447781965 \h </w:instrText>
      </w:r>
      <w:r>
        <w:fldChar w:fldCharType="separate"/>
      </w:r>
      <w:r w:rsidR="00EC36D2" w:rsidRPr="00D20962">
        <w:t xml:space="preserve">Table </w:t>
      </w:r>
      <w:r w:rsidR="00EC36D2">
        <w:rPr>
          <w:noProof/>
        </w:rPr>
        <w:t>11</w:t>
      </w:r>
      <w:r>
        <w:fldChar w:fldCharType="end"/>
      </w:r>
      <w:r w:rsidRPr="00D20962">
        <w:t xml:space="preserve">, below. </w:t>
      </w:r>
      <w:r w:rsidRPr="00851EC7">
        <w:t xml:space="preserve">The rating scale </w:t>
      </w:r>
      <w:r>
        <w:t>reflects the requirements of GoA’s Investment Quality Reporting (IQR) and the associated Aid Quality Checks (AQCs), and it is consistent with that used in earlier APPRs</w:t>
      </w:r>
      <w:r w:rsidRPr="00851EC7">
        <w:t>.</w:t>
      </w:r>
      <w:r>
        <w:t xml:space="preserve"> </w:t>
      </w:r>
      <w:r w:rsidRPr="00D20962">
        <w:t xml:space="preserve">Recommendations for improvement and, in particular, the necessary measures to increase the likelihood of achieving EOPO 2 are provided in </w:t>
      </w:r>
      <w:r>
        <w:fldChar w:fldCharType="begin"/>
      </w:r>
      <w:r>
        <w:instrText xml:space="preserve"> REF _Ref447781974 \h </w:instrText>
      </w:r>
      <w:r>
        <w:fldChar w:fldCharType="separate"/>
      </w:r>
      <w:r w:rsidR="00EC36D2" w:rsidRPr="0069023F">
        <w:rPr>
          <w:bCs/>
          <w:iCs/>
        </w:rPr>
        <w:t xml:space="preserve">Table </w:t>
      </w:r>
      <w:r w:rsidR="00EC36D2">
        <w:rPr>
          <w:bCs/>
          <w:iCs/>
          <w:noProof/>
        </w:rPr>
        <w:t>12</w:t>
      </w:r>
      <w:r>
        <w:fldChar w:fldCharType="end"/>
      </w:r>
      <w:r w:rsidR="00BE4367">
        <w:t>.</w:t>
      </w:r>
      <w:r w:rsidR="00BE4367" w:rsidRPr="00BE4367">
        <w:t xml:space="preserve"> </w:t>
      </w:r>
      <w:r w:rsidR="00BE4367">
        <w:t>I</w:t>
      </w:r>
      <w:r w:rsidR="00BE4367" w:rsidRPr="001A284F">
        <w:t>t is recognised that some recommendations relate to ongoing work and that considerable progress in actioning some of the recommendations</w:t>
      </w:r>
      <w:r w:rsidR="00BE4367">
        <w:t xml:space="preserve"> may already have been made.</w:t>
      </w:r>
    </w:p>
    <w:p w:rsidR="002C3049" w:rsidRPr="00D20962" w:rsidRDefault="002C3049" w:rsidP="002C3049"/>
    <w:p w:rsidR="002C3049" w:rsidRPr="00D20962" w:rsidRDefault="002C3049" w:rsidP="002C3049">
      <w:pPr>
        <w:sectPr w:rsidR="002C3049" w:rsidRPr="00D20962" w:rsidSect="00DC41F6">
          <w:pgSz w:w="11906" w:h="16838" w:code="9"/>
          <w:pgMar w:top="1440" w:right="1440" w:bottom="1440" w:left="1440" w:header="709" w:footer="709" w:gutter="0"/>
          <w:cols w:space="708"/>
          <w:noEndnote/>
          <w:docGrid w:linePitch="360"/>
        </w:sectPr>
      </w:pPr>
    </w:p>
    <w:p w:rsidR="002C3049" w:rsidRDefault="002C3049" w:rsidP="002C3049">
      <w:pPr>
        <w:pStyle w:val="Caption-Table"/>
        <w:rPr>
          <w:bCs/>
          <w:iCs/>
          <w:lang w:val="en-AU"/>
        </w:rPr>
      </w:pPr>
      <w:bookmarkStart w:id="55" w:name="_Ref447781965"/>
      <w:bookmarkStart w:id="56" w:name="_Toc447623971"/>
      <w:bookmarkStart w:id="57" w:name="_Toc450131632"/>
      <w:r w:rsidRPr="00D20962">
        <w:lastRenderedPageBreak/>
        <w:t xml:space="preserve">Table </w:t>
      </w:r>
      <w:r w:rsidRPr="00D20962">
        <w:fldChar w:fldCharType="begin"/>
      </w:r>
      <w:r w:rsidRPr="00D20962">
        <w:instrText xml:space="preserve"> SEQ Table \* ARABIC </w:instrText>
      </w:r>
      <w:r w:rsidRPr="00D20962">
        <w:fldChar w:fldCharType="separate"/>
      </w:r>
      <w:r w:rsidR="00EC36D2">
        <w:rPr>
          <w:noProof/>
        </w:rPr>
        <w:t>11</w:t>
      </w:r>
      <w:r w:rsidRPr="00D20962">
        <w:fldChar w:fldCharType="end"/>
      </w:r>
      <w:bookmarkEnd w:id="55"/>
      <w:r w:rsidRPr="00D20962">
        <w:rPr>
          <w:bCs/>
          <w:lang w:val="en-AU"/>
        </w:rPr>
        <w:t xml:space="preserve">: </w:t>
      </w:r>
      <w:r w:rsidRPr="00D20962">
        <w:rPr>
          <w:bCs/>
          <w:iCs/>
          <w:lang w:val="en-AU"/>
        </w:rPr>
        <w:t>Component 2 scorecard</w:t>
      </w:r>
      <w:bookmarkEnd w:id="56"/>
      <w:bookmarkEnd w:id="57"/>
      <w:r w:rsidRPr="00D20962">
        <w:rPr>
          <w:bCs/>
          <w:iCs/>
          <w:lang w:val="en-AU"/>
        </w:rPr>
        <w:t xml:space="preserve"> </w:t>
      </w:r>
    </w:p>
    <w:tbl>
      <w:tblPr>
        <w:tblStyle w:val="TableGrid15"/>
        <w:tblW w:w="0" w:type="auto"/>
        <w:jc w:val="center"/>
        <w:tblLook w:val="04A0" w:firstRow="1" w:lastRow="0" w:firstColumn="1" w:lastColumn="0" w:noHBand="0" w:noVBand="1"/>
      </w:tblPr>
      <w:tblGrid>
        <w:gridCol w:w="1486"/>
        <w:gridCol w:w="969"/>
        <w:gridCol w:w="969"/>
        <w:gridCol w:w="969"/>
        <w:gridCol w:w="4836"/>
        <w:gridCol w:w="4607"/>
      </w:tblGrid>
      <w:tr w:rsidR="002C3049" w:rsidRPr="0077380B" w:rsidTr="00EC36D2">
        <w:trPr>
          <w:trHeight w:val="434"/>
          <w:jc w:val="center"/>
        </w:trPr>
        <w:tc>
          <w:tcPr>
            <w:tcW w:w="1486" w:type="dxa"/>
            <w:shd w:val="clear" w:color="auto" w:fill="244061" w:themeFill="accent1" w:themeFillShade="80"/>
            <w:vAlign w:val="center"/>
          </w:tcPr>
          <w:p w:rsidR="002C3049" w:rsidRPr="0069023F" w:rsidRDefault="002C3049" w:rsidP="00EC36D2">
            <w:pPr>
              <w:jc w:val="center"/>
              <w:rPr>
                <w:b/>
                <w:sz w:val="20"/>
                <w:szCs w:val="20"/>
              </w:rPr>
            </w:pPr>
            <w:r w:rsidRPr="0069023F">
              <w:rPr>
                <w:b/>
                <w:sz w:val="20"/>
                <w:szCs w:val="20"/>
              </w:rPr>
              <w:t>DAC Criterion</w:t>
            </w:r>
          </w:p>
        </w:tc>
        <w:tc>
          <w:tcPr>
            <w:tcW w:w="969" w:type="dxa"/>
            <w:shd w:val="clear" w:color="auto" w:fill="244061" w:themeFill="accent1" w:themeFillShade="80"/>
            <w:vAlign w:val="center"/>
          </w:tcPr>
          <w:p w:rsidR="002C3049" w:rsidRPr="0069023F" w:rsidRDefault="002C3049" w:rsidP="00EC36D2">
            <w:pPr>
              <w:jc w:val="center"/>
              <w:rPr>
                <w:b/>
                <w:sz w:val="20"/>
                <w:szCs w:val="20"/>
              </w:rPr>
            </w:pPr>
            <w:r w:rsidRPr="0069023F">
              <w:rPr>
                <w:b/>
                <w:sz w:val="20"/>
                <w:szCs w:val="20"/>
              </w:rPr>
              <w:t>Score 2013</w:t>
            </w:r>
          </w:p>
        </w:tc>
        <w:tc>
          <w:tcPr>
            <w:tcW w:w="969" w:type="dxa"/>
            <w:shd w:val="clear" w:color="auto" w:fill="244061" w:themeFill="accent1" w:themeFillShade="80"/>
            <w:vAlign w:val="center"/>
          </w:tcPr>
          <w:p w:rsidR="002C3049" w:rsidRPr="0069023F" w:rsidRDefault="002C3049" w:rsidP="00EC36D2">
            <w:pPr>
              <w:jc w:val="center"/>
              <w:rPr>
                <w:b/>
                <w:sz w:val="20"/>
                <w:szCs w:val="20"/>
              </w:rPr>
            </w:pPr>
            <w:r w:rsidRPr="0069023F">
              <w:rPr>
                <w:b/>
                <w:sz w:val="20"/>
                <w:szCs w:val="20"/>
              </w:rPr>
              <w:t>Score 2014</w:t>
            </w:r>
          </w:p>
        </w:tc>
        <w:tc>
          <w:tcPr>
            <w:tcW w:w="969" w:type="dxa"/>
            <w:tcBorders>
              <w:bottom w:val="single" w:sz="4" w:space="0" w:color="auto"/>
            </w:tcBorders>
            <w:shd w:val="clear" w:color="auto" w:fill="244061" w:themeFill="accent1" w:themeFillShade="80"/>
            <w:vAlign w:val="center"/>
          </w:tcPr>
          <w:p w:rsidR="002C3049" w:rsidRPr="0069023F" w:rsidRDefault="002C3049" w:rsidP="00EC36D2">
            <w:pPr>
              <w:jc w:val="center"/>
              <w:rPr>
                <w:b/>
                <w:sz w:val="20"/>
                <w:szCs w:val="20"/>
              </w:rPr>
            </w:pPr>
            <w:r w:rsidRPr="0069023F">
              <w:rPr>
                <w:b/>
                <w:sz w:val="20"/>
                <w:szCs w:val="20"/>
              </w:rPr>
              <w:t>Score 2015</w:t>
            </w:r>
          </w:p>
        </w:tc>
        <w:tc>
          <w:tcPr>
            <w:tcW w:w="4836" w:type="dxa"/>
            <w:shd w:val="clear" w:color="auto" w:fill="244061" w:themeFill="accent1" w:themeFillShade="80"/>
            <w:vAlign w:val="center"/>
          </w:tcPr>
          <w:p w:rsidR="002C3049" w:rsidRPr="0069023F" w:rsidRDefault="002C3049" w:rsidP="00EC36D2">
            <w:pPr>
              <w:jc w:val="center"/>
              <w:rPr>
                <w:b/>
                <w:sz w:val="20"/>
                <w:szCs w:val="20"/>
              </w:rPr>
            </w:pPr>
            <w:r w:rsidRPr="0069023F">
              <w:rPr>
                <w:b/>
                <w:sz w:val="20"/>
                <w:szCs w:val="20"/>
              </w:rPr>
              <w:t>Justification</w:t>
            </w:r>
          </w:p>
        </w:tc>
        <w:tc>
          <w:tcPr>
            <w:tcW w:w="4607" w:type="dxa"/>
            <w:shd w:val="clear" w:color="auto" w:fill="244061" w:themeFill="accent1" w:themeFillShade="80"/>
            <w:vAlign w:val="center"/>
          </w:tcPr>
          <w:p w:rsidR="002C3049" w:rsidRPr="0069023F" w:rsidRDefault="002C3049" w:rsidP="00EC36D2">
            <w:pPr>
              <w:jc w:val="center"/>
              <w:rPr>
                <w:b/>
                <w:sz w:val="20"/>
                <w:szCs w:val="20"/>
              </w:rPr>
            </w:pPr>
            <w:r w:rsidRPr="0069023F">
              <w:rPr>
                <w:b/>
                <w:sz w:val="20"/>
                <w:szCs w:val="20"/>
              </w:rPr>
              <w:t>Comments</w:t>
            </w:r>
          </w:p>
        </w:tc>
      </w:tr>
      <w:tr w:rsidR="002C3049" w:rsidRPr="0077380B" w:rsidTr="00EC36D2">
        <w:trPr>
          <w:trHeight w:val="681"/>
          <w:jc w:val="center"/>
        </w:trPr>
        <w:tc>
          <w:tcPr>
            <w:tcW w:w="1486" w:type="dxa"/>
            <w:vAlign w:val="center"/>
          </w:tcPr>
          <w:p w:rsidR="002C3049" w:rsidRPr="0069023F" w:rsidRDefault="002C3049" w:rsidP="00EC36D2">
            <w:pPr>
              <w:rPr>
                <w:sz w:val="20"/>
                <w:szCs w:val="20"/>
              </w:rPr>
            </w:pPr>
            <w:r w:rsidRPr="0069023F">
              <w:rPr>
                <w:sz w:val="20"/>
                <w:szCs w:val="20"/>
              </w:rPr>
              <w:t>Relevance</w:t>
            </w:r>
          </w:p>
        </w:tc>
        <w:tc>
          <w:tcPr>
            <w:tcW w:w="969" w:type="dxa"/>
            <w:tcBorders>
              <w:bottom w:val="single" w:sz="4" w:space="0" w:color="auto"/>
            </w:tcBorders>
            <w:shd w:val="clear" w:color="auto" w:fill="92D050"/>
            <w:vAlign w:val="center"/>
          </w:tcPr>
          <w:p w:rsidR="002C3049" w:rsidRPr="0069023F" w:rsidRDefault="002C3049" w:rsidP="00EC36D2">
            <w:pPr>
              <w:jc w:val="center"/>
              <w:rPr>
                <w:sz w:val="20"/>
                <w:szCs w:val="20"/>
              </w:rPr>
            </w:pPr>
            <w:r w:rsidRPr="0069023F">
              <w:rPr>
                <w:sz w:val="20"/>
                <w:szCs w:val="20"/>
              </w:rPr>
              <w:t>5</w:t>
            </w:r>
          </w:p>
        </w:tc>
        <w:tc>
          <w:tcPr>
            <w:tcW w:w="969" w:type="dxa"/>
            <w:tcBorders>
              <w:bottom w:val="single" w:sz="4" w:space="0" w:color="auto"/>
            </w:tcBorders>
            <w:shd w:val="clear" w:color="auto" w:fill="92D050"/>
            <w:vAlign w:val="center"/>
          </w:tcPr>
          <w:p w:rsidR="002C3049" w:rsidRPr="0069023F" w:rsidRDefault="002C3049" w:rsidP="00EC36D2">
            <w:pPr>
              <w:jc w:val="center"/>
              <w:rPr>
                <w:sz w:val="20"/>
                <w:szCs w:val="20"/>
              </w:rPr>
            </w:pPr>
            <w:r w:rsidRPr="0069023F">
              <w:rPr>
                <w:sz w:val="20"/>
                <w:szCs w:val="20"/>
              </w:rPr>
              <w:t>5</w:t>
            </w:r>
          </w:p>
        </w:tc>
        <w:tc>
          <w:tcPr>
            <w:tcW w:w="969" w:type="dxa"/>
            <w:tcBorders>
              <w:bottom w:val="single" w:sz="4" w:space="0" w:color="auto"/>
            </w:tcBorders>
            <w:shd w:val="clear" w:color="auto" w:fill="FFFF00"/>
            <w:vAlign w:val="center"/>
          </w:tcPr>
          <w:p w:rsidR="002C3049" w:rsidRPr="0069023F" w:rsidRDefault="002C3049" w:rsidP="00EC36D2">
            <w:pPr>
              <w:jc w:val="center"/>
              <w:rPr>
                <w:sz w:val="20"/>
                <w:szCs w:val="20"/>
              </w:rPr>
            </w:pPr>
            <w:r w:rsidRPr="0069023F">
              <w:rPr>
                <w:sz w:val="20"/>
                <w:szCs w:val="20"/>
              </w:rPr>
              <w:t>4</w:t>
            </w:r>
          </w:p>
        </w:tc>
        <w:tc>
          <w:tcPr>
            <w:tcW w:w="4836" w:type="dxa"/>
            <w:shd w:val="clear" w:color="auto" w:fill="FFFFFF" w:themeFill="background1"/>
          </w:tcPr>
          <w:p w:rsidR="002C3049" w:rsidRPr="0069023F" w:rsidRDefault="002C3049" w:rsidP="00EC36D2">
            <w:pPr>
              <w:pStyle w:val="ScoreParagraph"/>
              <w:rPr>
                <w:rFonts w:eastAsia="Calibri"/>
                <w:sz w:val="20"/>
                <w:szCs w:val="20"/>
              </w:rPr>
            </w:pPr>
            <w:r w:rsidRPr="0069023F">
              <w:rPr>
                <w:rFonts w:eastAsia="Calibri"/>
                <w:sz w:val="20"/>
                <w:szCs w:val="20"/>
              </w:rPr>
              <w:t>The Minister of Education and Culture has spoken of the need to improve the quality of principalship and ProDEP is in line with 2016-2019 Renstra targets.</w:t>
            </w:r>
          </w:p>
          <w:p w:rsidR="002C3049" w:rsidRPr="0069023F" w:rsidRDefault="002C3049" w:rsidP="00EC36D2">
            <w:pPr>
              <w:pStyle w:val="ScoreParagraph"/>
              <w:rPr>
                <w:rFonts w:eastAsia="Calibri"/>
                <w:sz w:val="20"/>
                <w:szCs w:val="20"/>
              </w:rPr>
            </w:pPr>
            <w:r w:rsidRPr="0069023F">
              <w:rPr>
                <w:rFonts w:eastAsia="Calibri"/>
                <w:sz w:val="20"/>
                <w:szCs w:val="20"/>
              </w:rPr>
              <w:t xml:space="preserve">ProDEP is in line with GoA’s broad commitment to adopt a systemic approach to quality improvements but </w:t>
            </w:r>
            <w:r>
              <w:rPr>
                <w:rFonts w:eastAsia="Calibri"/>
                <w:sz w:val="20"/>
                <w:szCs w:val="20"/>
              </w:rPr>
              <w:t>is no longer in line with its preferred</w:t>
            </w:r>
            <w:r w:rsidRPr="0069023F">
              <w:rPr>
                <w:rFonts w:eastAsia="Calibri"/>
                <w:sz w:val="20"/>
                <w:szCs w:val="20"/>
              </w:rPr>
              <w:t xml:space="preserve"> support modalities.</w:t>
            </w:r>
          </w:p>
          <w:p w:rsidR="002C3049" w:rsidRPr="0069023F" w:rsidRDefault="002C3049" w:rsidP="00EC36D2">
            <w:pPr>
              <w:pStyle w:val="ScoreParagraph"/>
              <w:rPr>
                <w:sz w:val="20"/>
                <w:szCs w:val="20"/>
              </w:rPr>
            </w:pPr>
            <w:r w:rsidRPr="0069023F">
              <w:rPr>
                <w:rFonts w:eastAsia="Calibri"/>
                <w:sz w:val="20"/>
                <w:szCs w:val="20"/>
              </w:rPr>
              <w:t>The technical foundations remain sound and international evidence suggests that the internal relevance is defensible.</w:t>
            </w:r>
          </w:p>
        </w:tc>
        <w:tc>
          <w:tcPr>
            <w:tcW w:w="4607" w:type="dxa"/>
            <w:shd w:val="clear" w:color="auto" w:fill="FFFFFF" w:themeFill="background1"/>
          </w:tcPr>
          <w:p w:rsidR="002C3049" w:rsidRPr="0069023F" w:rsidRDefault="002C3049" w:rsidP="00EC36D2">
            <w:pPr>
              <w:pStyle w:val="ScoreParagraph"/>
              <w:numPr>
                <w:ilvl w:val="0"/>
                <w:numId w:val="0"/>
              </w:numPr>
              <w:ind w:left="357"/>
              <w:rPr>
                <w:sz w:val="20"/>
                <w:szCs w:val="20"/>
              </w:rPr>
            </w:pPr>
          </w:p>
        </w:tc>
      </w:tr>
      <w:tr w:rsidR="002C3049" w:rsidRPr="0077380B" w:rsidTr="00EC36D2">
        <w:trPr>
          <w:trHeight w:val="681"/>
          <w:jc w:val="center"/>
        </w:trPr>
        <w:tc>
          <w:tcPr>
            <w:tcW w:w="1486" w:type="dxa"/>
            <w:vAlign w:val="center"/>
          </w:tcPr>
          <w:p w:rsidR="002C3049" w:rsidRPr="0069023F" w:rsidRDefault="002C3049" w:rsidP="00EC36D2">
            <w:pPr>
              <w:rPr>
                <w:sz w:val="20"/>
                <w:szCs w:val="20"/>
              </w:rPr>
            </w:pPr>
            <w:r w:rsidRPr="0069023F">
              <w:rPr>
                <w:sz w:val="20"/>
                <w:szCs w:val="20"/>
              </w:rPr>
              <w:t>Efficiency</w:t>
            </w:r>
          </w:p>
        </w:tc>
        <w:tc>
          <w:tcPr>
            <w:tcW w:w="969" w:type="dxa"/>
            <w:shd w:val="clear" w:color="auto" w:fill="FFC000"/>
            <w:vAlign w:val="center"/>
          </w:tcPr>
          <w:p w:rsidR="002C3049" w:rsidRPr="0069023F" w:rsidRDefault="002C3049" w:rsidP="00EC36D2">
            <w:pPr>
              <w:jc w:val="center"/>
              <w:rPr>
                <w:sz w:val="20"/>
                <w:szCs w:val="20"/>
              </w:rPr>
            </w:pPr>
            <w:r w:rsidRPr="0069023F">
              <w:rPr>
                <w:sz w:val="20"/>
                <w:szCs w:val="20"/>
              </w:rPr>
              <w:t>3</w:t>
            </w:r>
          </w:p>
        </w:tc>
        <w:tc>
          <w:tcPr>
            <w:tcW w:w="969" w:type="dxa"/>
            <w:shd w:val="clear" w:color="auto" w:fill="92D050"/>
            <w:vAlign w:val="center"/>
          </w:tcPr>
          <w:p w:rsidR="002C3049" w:rsidRPr="0069023F" w:rsidRDefault="002C3049" w:rsidP="00EC36D2">
            <w:pPr>
              <w:jc w:val="center"/>
              <w:rPr>
                <w:sz w:val="20"/>
                <w:szCs w:val="20"/>
              </w:rPr>
            </w:pPr>
            <w:r w:rsidRPr="0069023F">
              <w:rPr>
                <w:sz w:val="20"/>
                <w:szCs w:val="20"/>
              </w:rPr>
              <w:t>5</w:t>
            </w:r>
          </w:p>
        </w:tc>
        <w:tc>
          <w:tcPr>
            <w:tcW w:w="969" w:type="dxa"/>
            <w:tcBorders>
              <w:bottom w:val="single" w:sz="4" w:space="0" w:color="auto"/>
            </w:tcBorders>
            <w:shd w:val="clear" w:color="auto" w:fill="FFC000"/>
            <w:vAlign w:val="center"/>
          </w:tcPr>
          <w:p w:rsidR="002C3049" w:rsidRPr="0069023F" w:rsidRDefault="002C3049" w:rsidP="00EC36D2">
            <w:pPr>
              <w:jc w:val="center"/>
              <w:rPr>
                <w:sz w:val="20"/>
                <w:szCs w:val="20"/>
              </w:rPr>
            </w:pPr>
            <w:r w:rsidRPr="0069023F">
              <w:rPr>
                <w:sz w:val="20"/>
                <w:szCs w:val="20"/>
              </w:rPr>
              <w:t>3</w:t>
            </w:r>
          </w:p>
        </w:tc>
        <w:tc>
          <w:tcPr>
            <w:tcW w:w="4836" w:type="dxa"/>
            <w:tcBorders>
              <w:bottom w:val="single" w:sz="4" w:space="0" w:color="auto"/>
            </w:tcBorders>
            <w:shd w:val="clear" w:color="auto" w:fill="FFFFFF" w:themeFill="background1"/>
          </w:tcPr>
          <w:p w:rsidR="002C3049" w:rsidRPr="0069023F" w:rsidRDefault="002C3049" w:rsidP="00EC36D2">
            <w:pPr>
              <w:pStyle w:val="ScoreParagraph"/>
              <w:rPr>
                <w:sz w:val="20"/>
                <w:szCs w:val="20"/>
              </w:rPr>
            </w:pPr>
            <w:r w:rsidRPr="00D51950">
              <w:rPr>
                <w:sz w:val="20"/>
                <w:szCs w:val="20"/>
              </w:rPr>
              <w:t>Upon receipt of full data in Q2 2016 C2 stakeholders will know if the revised targets for 2015 were met. Notwithstanding, the numbers trained will be significantly lower than the initial expectatio</w:t>
            </w:r>
            <w:r>
              <w:rPr>
                <w:sz w:val="20"/>
                <w:szCs w:val="20"/>
              </w:rPr>
              <w:t>ns captured in the original PAF.</w:t>
            </w:r>
            <w:r w:rsidRPr="00D51950">
              <w:rPr>
                <w:sz w:val="20"/>
                <w:szCs w:val="20"/>
              </w:rPr>
              <w:t xml:space="preserve"> </w:t>
            </w:r>
          </w:p>
          <w:p w:rsidR="002C3049" w:rsidRPr="0069023F" w:rsidRDefault="002C3049" w:rsidP="00EC36D2">
            <w:pPr>
              <w:pStyle w:val="ScoreParagraph"/>
              <w:rPr>
                <w:sz w:val="20"/>
                <w:szCs w:val="20"/>
              </w:rPr>
            </w:pPr>
            <w:r>
              <w:rPr>
                <w:sz w:val="20"/>
                <w:szCs w:val="20"/>
              </w:rPr>
              <w:t>In 2015 i</w:t>
            </w:r>
            <w:r w:rsidRPr="0069023F">
              <w:rPr>
                <w:sz w:val="20"/>
                <w:szCs w:val="20"/>
              </w:rPr>
              <w:t>mplementation was delayed until October because of a range of institutional changes and uncertainties, including MoEC’s restructuring and associated staffing changes.</w:t>
            </w:r>
          </w:p>
          <w:p w:rsidR="002C3049" w:rsidRPr="0069023F" w:rsidRDefault="002C3049" w:rsidP="00EC36D2">
            <w:pPr>
              <w:pStyle w:val="ScoreParagraph"/>
              <w:rPr>
                <w:sz w:val="20"/>
                <w:szCs w:val="20"/>
              </w:rPr>
            </w:pPr>
            <w:r w:rsidRPr="0069023F">
              <w:rPr>
                <w:sz w:val="20"/>
                <w:szCs w:val="20"/>
              </w:rPr>
              <w:t>A series of budget cuts generated uncertainty amongst key decision makers.</w:t>
            </w:r>
          </w:p>
        </w:tc>
        <w:tc>
          <w:tcPr>
            <w:tcW w:w="4607" w:type="dxa"/>
            <w:tcBorders>
              <w:bottom w:val="single" w:sz="4" w:space="0" w:color="auto"/>
            </w:tcBorders>
            <w:shd w:val="clear" w:color="auto" w:fill="FFFFFF" w:themeFill="background1"/>
          </w:tcPr>
          <w:p w:rsidR="002C3049" w:rsidRPr="0069023F" w:rsidRDefault="002C3049" w:rsidP="00EC36D2">
            <w:pPr>
              <w:pStyle w:val="ScoreParagraph"/>
              <w:rPr>
                <w:sz w:val="20"/>
                <w:szCs w:val="20"/>
              </w:rPr>
            </w:pPr>
            <w:r>
              <w:rPr>
                <w:sz w:val="20"/>
                <w:szCs w:val="20"/>
              </w:rPr>
              <w:t xml:space="preserve">DFAT report that the </w:t>
            </w:r>
            <w:r w:rsidRPr="0069023F">
              <w:rPr>
                <w:sz w:val="20"/>
                <w:szCs w:val="20"/>
              </w:rPr>
              <w:t>budget adjustments in themselves did not impinge on C2 efficiency in 2015.</w:t>
            </w:r>
          </w:p>
        </w:tc>
      </w:tr>
      <w:tr w:rsidR="002C3049" w:rsidRPr="0077380B" w:rsidTr="00EC36D2">
        <w:trPr>
          <w:cantSplit/>
          <w:trHeight w:val="681"/>
          <w:jc w:val="center"/>
        </w:trPr>
        <w:tc>
          <w:tcPr>
            <w:tcW w:w="1486" w:type="dxa"/>
            <w:vAlign w:val="center"/>
          </w:tcPr>
          <w:p w:rsidR="002C3049" w:rsidRPr="0069023F" w:rsidRDefault="002C3049" w:rsidP="00EC36D2">
            <w:pPr>
              <w:rPr>
                <w:sz w:val="20"/>
                <w:szCs w:val="20"/>
              </w:rPr>
            </w:pPr>
            <w:r w:rsidRPr="0069023F">
              <w:rPr>
                <w:sz w:val="20"/>
                <w:szCs w:val="20"/>
              </w:rPr>
              <w:lastRenderedPageBreak/>
              <w:t>Effectiveness</w:t>
            </w:r>
          </w:p>
        </w:tc>
        <w:tc>
          <w:tcPr>
            <w:tcW w:w="969" w:type="dxa"/>
            <w:shd w:val="clear" w:color="auto" w:fill="auto"/>
            <w:vAlign w:val="center"/>
          </w:tcPr>
          <w:p w:rsidR="002C3049" w:rsidRPr="0069023F" w:rsidRDefault="002C3049" w:rsidP="00EC36D2">
            <w:pPr>
              <w:jc w:val="center"/>
              <w:rPr>
                <w:sz w:val="20"/>
                <w:szCs w:val="20"/>
              </w:rPr>
            </w:pPr>
            <w:r w:rsidRPr="0069023F">
              <w:rPr>
                <w:sz w:val="20"/>
                <w:szCs w:val="20"/>
              </w:rPr>
              <w:t>TE</w:t>
            </w:r>
          </w:p>
        </w:tc>
        <w:tc>
          <w:tcPr>
            <w:tcW w:w="969" w:type="dxa"/>
            <w:shd w:val="clear" w:color="auto" w:fill="FFC000"/>
            <w:vAlign w:val="center"/>
          </w:tcPr>
          <w:p w:rsidR="002C3049" w:rsidRPr="0069023F" w:rsidRDefault="002C3049" w:rsidP="00EC36D2">
            <w:pPr>
              <w:jc w:val="center"/>
              <w:rPr>
                <w:sz w:val="20"/>
                <w:szCs w:val="20"/>
              </w:rPr>
            </w:pPr>
            <w:r w:rsidRPr="0069023F">
              <w:rPr>
                <w:sz w:val="20"/>
                <w:szCs w:val="20"/>
              </w:rPr>
              <w:t>3</w:t>
            </w:r>
          </w:p>
        </w:tc>
        <w:tc>
          <w:tcPr>
            <w:tcW w:w="969" w:type="dxa"/>
            <w:tcBorders>
              <w:bottom w:val="single" w:sz="4" w:space="0" w:color="auto"/>
            </w:tcBorders>
            <w:shd w:val="clear" w:color="auto" w:fill="FFC000"/>
            <w:vAlign w:val="center"/>
          </w:tcPr>
          <w:p w:rsidR="002C3049" w:rsidRPr="0069023F" w:rsidRDefault="002C3049" w:rsidP="00EC36D2">
            <w:pPr>
              <w:jc w:val="center"/>
              <w:rPr>
                <w:sz w:val="20"/>
                <w:szCs w:val="20"/>
              </w:rPr>
            </w:pPr>
            <w:r w:rsidRPr="0069023F">
              <w:rPr>
                <w:sz w:val="20"/>
                <w:szCs w:val="20"/>
              </w:rPr>
              <w:t>3</w:t>
            </w:r>
          </w:p>
        </w:tc>
        <w:tc>
          <w:tcPr>
            <w:tcW w:w="4836" w:type="dxa"/>
            <w:shd w:val="clear" w:color="auto" w:fill="FFFFFF" w:themeFill="background1"/>
          </w:tcPr>
          <w:p w:rsidR="002C3049" w:rsidRPr="0069023F" w:rsidRDefault="002C3049" w:rsidP="00EC36D2">
            <w:pPr>
              <w:pStyle w:val="ScoreParagraph"/>
              <w:rPr>
                <w:rFonts w:eastAsia="Calibri"/>
                <w:sz w:val="20"/>
                <w:szCs w:val="20"/>
              </w:rPr>
            </w:pPr>
            <w:r w:rsidRPr="0069023F">
              <w:rPr>
                <w:rFonts w:eastAsia="Calibri"/>
                <w:sz w:val="20"/>
                <w:szCs w:val="20"/>
              </w:rPr>
              <w:t xml:space="preserve">C2 has not generated the critical mass of trained principals that is necessary to trigger change at district level (noting that the EOPO reads ‘Management of schools and </w:t>
            </w:r>
            <w:r>
              <w:rPr>
                <w:rFonts w:eastAsia="Calibri"/>
                <w:sz w:val="20"/>
                <w:szCs w:val="20"/>
              </w:rPr>
              <w:t>Madrasah</w:t>
            </w:r>
            <w:r w:rsidRPr="0069023F">
              <w:rPr>
                <w:rFonts w:eastAsia="Calibri"/>
                <w:sz w:val="20"/>
                <w:szCs w:val="20"/>
              </w:rPr>
              <w:t xml:space="preserve"> improves in </w:t>
            </w:r>
            <w:r w:rsidRPr="0069023F">
              <w:rPr>
                <w:rFonts w:eastAsia="Calibri"/>
                <w:i/>
                <w:sz w:val="20"/>
                <w:szCs w:val="20"/>
              </w:rPr>
              <w:t>participating districts’)</w:t>
            </w:r>
            <w:r w:rsidRPr="0069023F">
              <w:rPr>
                <w:rFonts w:eastAsia="Calibri"/>
                <w:sz w:val="20"/>
                <w:szCs w:val="20"/>
              </w:rPr>
              <w:t>.</w:t>
            </w:r>
          </w:p>
          <w:p w:rsidR="002C3049" w:rsidRPr="0069023F" w:rsidRDefault="002C3049" w:rsidP="00EC36D2">
            <w:pPr>
              <w:pStyle w:val="ScoreParagraph"/>
              <w:rPr>
                <w:rFonts w:eastAsia="Calibri"/>
                <w:sz w:val="20"/>
                <w:szCs w:val="20"/>
              </w:rPr>
            </w:pPr>
            <w:r w:rsidRPr="0069023F">
              <w:rPr>
                <w:rFonts w:eastAsia="Calibri"/>
                <w:sz w:val="20"/>
                <w:szCs w:val="20"/>
              </w:rPr>
              <w:t xml:space="preserve">The EOPO </w:t>
            </w:r>
            <w:r w:rsidRPr="0069023F">
              <w:rPr>
                <w:rFonts w:eastAsia="Calibri"/>
                <w:i/>
                <w:sz w:val="20"/>
                <w:szCs w:val="20"/>
              </w:rPr>
              <w:t>may</w:t>
            </w:r>
            <w:r w:rsidRPr="0069023F">
              <w:rPr>
                <w:rFonts w:eastAsia="Calibri"/>
                <w:sz w:val="20"/>
                <w:szCs w:val="20"/>
              </w:rPr>
              <w:t xml:space="preserve"> be achieved at some point after C2 concludes in June 2016.</w:t>
            </w:r>
          </w:p>
          <w:p w:rsidR="002C3049" w:rsidRPr="0069023F" w:rsidRDefault="002C3049" w:rsidP="00EC36D2">
            <w:pPr>
              <w:pStyle w:val="ScoreParagraph"/>
              <w:rPr>
                <w:sz w:val="20"/>
                <w:szCs w:val="20"/>
              </w:rPr>
            </w:pPr>
            <w:r w:rsidRPr="0069023F">
              <w:rPr>
                <w:rFonts w:eastAsia="Calibri"/>
                <w:sz w:val="20"/>
                <w:szCs w:val="20"/>
              </w:rPr>
              <w:t>The existing evidence base points to ProDEP’s potential as a driver of change but understanding of its actual effect is limited because of the absence of a midline or endline to complement the Baseline conducted in 2014</w:t>
            </w:r>
            <w:r>
              <w:rPr>
                <w:rFonts w:eastAsia="Calibri"/>
                <w:sz w:val="20"/>
                <w:szCs w:val="20"/>
              </w:rPr>
              <w:t xml:space="preserve"> (and reported in 2015).</w:t>
            </w:r>
          </w:p>
        </w:tc>
        <w:tc>
          <w:tcPr>
            <w:tcW w:w="4607" w:type="dxa"/>
            <w:shd w:val="clear" w:color="auto" w:fill="FFFFFF" w:themeFill="background1"/>
          </w:tcPr>
          <w:p w:rsidR="002C3049" w:rsidRPr="0069023F" w:rsidRDefault="002C3049" w:rsidP="00EC36D2">
            <w:pPr>
              <w:pStyle w:val="ScoreParagraph"/>
              <w:rPr>
                <w:rFonts w:eastAsia="Calibri"/>
                <w:sz w:val="20"/>
                <w:szCs w:val="20"/>
              </w:rPr>
            </w:pPr>
            <w:r w:rsidRPr="0069023F">
              <w:rPr>
                <w:rFonts w:eastAsia="Calibri"/>
                <w:sz w:val="20"/>
                <w:szCs w:val="20"/>
              </w:rPr>
              <w:t xml:space="preserve">ProDEP is still not tailored to principals’ appraisal and career development. </w:t>
            </w:r>
          </w:p>
          <w:p w:rsidR="002C3049" w:rsidRPr="0069023F" w:rsidRDefault="002C3049" w:rsidP="00EC36D2">
            <w:pPr>
              <w:pStyle w:val="ScoreParagraph"/>
              <w:numPr>
                <w:ilvl w:val="0"/>
                <w:numId w:val="0"/>
              </w:numPr>
              <w:ind w:left="357"/>
              <w:rPr>
                <w:sz w:val="20"/>
                <w:szCs w:val="20"/>
              </w:rPr>
            </w:pPr>
          </w:p>
        </w:tc>
      </w:tr>
      <w:tr w:rsidR="002C3049" w:rsidRPr="0077380B" w:rsidTr="00EC36D2">
        <w:trPr>
          <w:trHeight w:val="681"/>
          <w:jc w:val="center"/>
        </w:trPr>
        <w:tc>
          <w:tcPr>
            <w:tcW w:w="1486" w:type="dxa"/>
            <w:vAlign w:val="center"/>
          </w:tcPr>
          <w:p w:rsidR="002C3049" w:rsidRPr="0069023F" w:rsidRDefault="002C3049" w:rsidP="00EC36D2">
            <w:pPr>
              <w:rPr>
                <w:sz w:val="20"/>
                <w:szCs w:val="20"/>
              </w:rPr>
            </w:pPr>
            <w:r w:rsidRPr="0069023F">
              <w:rPr>
                <w:sz w:val="20"/>
                <w:szCs w:val="20"/>
              </w:rPr>
              <w:t>Impact</w:t>
            </w:r>
          </w:p>
        </w:tc>
        <w:tc>
          <w:tcPr>
            <w:tcW w:w="969" w:type="dxa"/>
            <w:vAlign w:val="center"/>
          </w:tcPr>
          <w:p w:rsidR="002C3049" w:rsidRPr="0069023F" w:rsidRDefault="002C3049" w:rsidP="00EC36D2">
            <w:pPr>
              <w:jc w:val="center"/>
              <w:rPr>
                <w:sz w:val="20"/>
                <w:szCs w:val="20"/>
              </w:rPr>
            </w:pPr>
            <w:r w:rsidRPr="0069023F">
              <w:rPr>
                <w:sz w:val="20"/>
                <w:szCs w:val="20"/>
              </w:rPr>
              <w:t>TE</w:t>
            </w:r>
          </w:p>
        </w:tc>
        <w:tc>
          <w:tcPr>
            <w:tcW w:w="969" w:type="dxa"/>
            <w:shd w:val="clear" w:color="auto" w:fill="FFFF00"/>
            <w:vAlign w:val="center"/>
          </w:tcPr>
          <w:p w:rsidR="002C3049" w:rsidRPr="0069023F" w:rsidRDefault="002C3049" w:rsidP="00EC36D2">
            <w:pPr>
              <w:jc w:val="center"/>
              <w:rPr>
                <w:sz w:val="20"/>
                <w:szCs w:val="20"/>
              </w:rPr>
            </w:pPr>
            <w:r w:rsidRPr="0069023F">
              <w:rPr>
                <w:sz w:val="20"/>
                <w:szCs w:val="20"/>
              </w:rPr>
              <w:t>4</w:t>
            </w:r>
          </w:p>
        </w:tc>
        <w:tc>
          <w:tcPr>
            <w:tcW w:w="969" w:type="dxa"/>
            <w:tcBorders>
              <w:bottom w:val="single" w:sz="4" w:space="0" w:color="auto"/>
            </w:tcBorders>
            <w:shd w:val="clear" w:color="auto" w:fill="FFC000"/>
            <w:vAlign w:val="center"/>
          </w:tcPr>
          <w:p w:rsidR="002C3049" w:rsidRPr="0069023F" w:rsidRDefault="002C3049" w:rsidP="00EC36D2">
            <w:pPr>
              <w:jc w:val="center"/>
              <w:rPr>
                <w:sz w:val="20"/>
                <w:szCs w:val="20"/>
              </w:rPr>
            </w:pPr>
            <w:r>
              <w:rPr>
                <w:sz w:val="20"/>
                <w:szCs w:val="20"/>
              </w:rPr>
              <w:t>3</w:t>
            </w:r>
          </w:p>
        </w:tc>
        <w:tc>
          <w:tcPr>
            <w:tcW w:w="4836" w:type="dxa"/>
            <w:shd w:val="clear" w:color="auto" w:fill="FFFFFF" w:themeFill="background1"/>
          </w:tcPr>
          <w:p w:rsidR="002C3049" w:rsidRDefault="002C3049" w:rsidP="00EC36D2">
            <w:pPr>
              <w:pStyle w:val="ScoreParagraph"/>
              <w:rPr>
                <w:rFonts w:eastAsia="Calibri"/>
                <w:sz w:val="20"/>
                <w:szCs w:val="20"/>
              </w:rPr>
            </w:pPr>
            <w:r w:rsidRPr="0069023F">
              <w:rPr>
                <w:rFonts w:eastAsia="Calibri"/>
                <w:sz w:val="20"/>
                <w:szCs w:val="20"/>
              </w:rPr>
              <w:t>The uncertainty about the actual effectiveness of ProDEP and its limited reach to date inevitably limit any certainty about long-term impact</w:t>
            </w:r>
            <w:r>
              <w:rPr>
                <w:rFonts w:eastAsia="Calibri"/>
                <w:sz w:val="20"/>
                <w:szCs w:val="20"/>
              </w:rPr>
              <w:t>.</w:t>
            </w:r>
          </w:p>
          <w:p w:rsidR="002C3049" w:rsidRDefault="002C3049" w:rsidP="00EC36D2">
            <w:pPr>
              <w:pStyle w:val="ScoreParagraph"/>
              <w:rPr>
                <w:rFonts w:eastAsia="Calibri"/>
                <w:sz w:val="20"/>
                <w:szCs w:val="20"/>
              </w:rPr>
            </w:pPr>
            <w:r>
              <w:rPr>
                <w:rFonts w:eastAsia="Calibri"/>
                <w:sz w:val="20"/>
                <w:szCs w:val="20"/>
              </w:rPr>
              <w:t xml:space="preserve">MoEC’s apparent interest in sustaining and/or developing, </w:t>
            </w:r>
            <w:r w:rsidRPr="00BF5DCF">
              <w:rPr>
                <w:rFonts w:eastAsia="Calibri"/>
                <w:i/>
                <w:sz w:val="20"/>
                <w:szCs w:val="20"/>
              </w:rPr>
              <w:t>inter alia</w:t>
            </w:r>
            <w:r>
              <w:rPr>
                <w:rFonts w:eastAsia="Calibri"/>
                <w:sz w:val="20"/>
                <w:szCs w:val="20"/>
              </w:rPr>
              <w:t>, OLL, quality assurance technology and an on-line complaint handling system is encouraging.</w:t>
            </w:r>
            <w:r w:rsidR="002010DB">
              <w:rPr>
                <w:rFonts w:eastAsia="Calibri"/>
                <w:sz w:val="20"/>
                <w:szCs w:val="20"/>
              </w:rPr>
              <w:t xml:space="preserve"> </w:t>
            </w:r>
          </w:p>
          <w:p w:rsidR="002C3049" w:rsidRPr="0069023F" w:rsidRDefault="002C3049" w:rsidP="00EC36D2">
            <w:pPr>
              <w:pStyle w:val="ScoreParagraph"/>
              <w:numPr>
                <w:ilvl w:val="0"/>
                <w:numId w:val="0"/>
              </w:numPr>
              <w:ind w:left="357"/>
              <w:rPr>
                <w:sz w:val="20"/>
                <w:szCs w:val="20"/>
              </w:rPr>
            </w:pPr>
            <w:r w:rsidRPr="0069023F">
              <w:rPr>
                <w:rFonts w:eastAsia="Calibri"/>
                <w:sz w:val="20"/>
                <w:szCs w:val="20"/>
              </w:rPr>
              <w:t xml:space="preserve">The impact </w:t>
            </w:r>
            <w:r>
              <w:rPr>
                <w:rFonts w:eastAsia="Calibri"/>
                <w:sz w:val="20"/>
                <w:szCs w:val="20"/>
              </w:rPr>
              <w:t>on</w:t>
            </w:r>
            <w:r w:rsidRPr="0069023F">
              <w:rPr>
                <w:rFonts w:eastAsia="Calibri"/>
                <w:sz w:val="20"/>
                <w:szCs w:val="20"/>
              </w:rPr>
              <w:t xml:space="preserve"> </w:t>
            </w:r>
            <w:r>
              <w:rPr>
                <w:rFonts w:eastAsia="Calibri"/>
                <w:sz w:val="20"/>
                <w:szCs w:val="20"/>
              </w:rPr>
              <w:t>M</w:t>
            </w:r>
            <w:r w:rsidRPr="0069023F">
              <w:rPr>
                <w:rFonts w:eastAsia="Calibri"/>
                <w:sz w:val="20"/>
                <w:szCs w:val="20"/>
              </w:rPr>
              <w:t xml:space="preserve">adrasah will </w:t>
            </w:r>
            <w:r>
              <w:rPr>
                <w:rFonts w:eastAsia="Calibri"/>
                <w:sz w:val="20"/>
                <w:szCs w:val="20"/>
              </w:rPr>
              <w:t xml:space="preserve">probably </w:t>
            </w:r>
            <w:r w:rsidRPr="0069023F">
              <w:rPr>
                <w:rFonts w:eastAsia="Calibri"/>
                <w:sz w:val="20"/>
                <w:szCs w:val="20"/>
              </w:rPr>
              <w:t>fade in time as MoRA</w:t>
            </w:r>
            <w:r>
              <w:rPr>
                <w:rFonts w:eastAsia="Calibri"/>
                <w:sz w:val="20"/>
                <w:szCs w:val="20"/>
              </w:rPr>
              <w:t>’s</w:t>
            </w:r>
            <w:r w:rsidRPr="0069023F">
              <w:rPr>
                <w:rFonts w:eastAsia="Calibri"/>
                <w:sz w:val="20"/>
                <w:szCs w:val="20"/>
              </w:rPr>
              <w:t xml:space="preserve"> participation </w:t>
            </w:r>
            <w:r>
              <w:rPr>
                <w:rFonts w:eastAsia="Calibri"/>
                <w:sz w:val="20"/>
                <w:szCs w:val="20"/>
              </w:rPr>
              <w:t xml:space="preserve">in a MoEC-led professional development system looks circumspect in the long-term. </w:t>
            </w:r>
            <w:r w:rsidRPr="0069023F">
              <w:rPr>
                <w:rFonts w:eastAsia="Calibri"/>
                <w:sz w:val="20"/>
                <w:szCs w:val="20"/>
              </w:rPr>
              <w:t xml:space="preserve">However, there could be </w:t>
            </w:r>
            <w:r>
              <w:rPr>
                <w:rFonts w:eastAsia="Calibri"/>
                <w:sz w:val="20"/>
                <w:szCs w:val="20"/>
              </w:rPr>
              <w:t xml:space="preserve">a </w:t>
            </w:r>
            <w:r w:rsidRPr="0069023F">
              <w:rPr>
                <w:rFonts w:eastAsia="Calibri"/>
                <w:sz w:val="20"/>
                <w:szCs w:val="20"/>
              </w:rPr>
              <w:t>positive long-term effect should MoRA wish to apply ProDEP lessons in the development of its own CPD system.</w:t>
            </w:r>
          </w:p>
        </w:tc>
        <w:tc>
          <w:tcPr>
            <w:tcW w:w="4607" w:type="dxa"/>
            <w:shd w:val="clear" w:color="auto" w:fill="FFFFFF" w:themeFill="background1"/>
          </w:tcPr>
          <w:p w:rsidR="002C3049" w:rsidRPr="0069023F" w:rsidRDefault="002C3049" w:rsidP="00EC36D2">
            <w:pPr>
              <w:pStyle w:val="ScoreParagraph"/>
              <w:numPr>
                <w:ilvl w:val="0"/>
                <w:numId w:val="0"/>
              </w:numPr>
              <w:ind w:left="357"/>
              <w:rPr>
                <w:sz w:val="20"/>
                <w:szCs w:val="20"/>
              </w:rPr>
            </w:pPr>
          </w:p>
        </w:tc>
      </w:tr>
      <w:tr w:rsidR="002C3049" w:rsidRPr="0077380B" w:rsidTr="00EC36D2">
        <w:trPr>
          <w:cantSplit/>
          <w:trHeight w:val="681"/>
          <w:jc w:val="center"/>
        </w:trPr>
        <w:tc>
          <w:tcPr>
            <w:tcW w:w="1486" w:type="dxa"/>
            <w:vAlign w:val="center"/>
          </w:tcPr>
          <w:p w:rsidR="002C3049" w:rsidRPr="0069023F" w:rsidRDefault="002C3049" w:rsidP="00EC36D2">
            <w:pPr>
              <w:rPr>
                <w:sz w:val="20"/>
                <w:szCs w:val="20"/>
              </w:rPr>
            </w:pPr>
            <w:r w:rsidRPr="0069023F">
              <w:rPr>
                <w:sz w:val="20"/>
                <w:szCs w:val="20"/>
              </w:rPr>
              <w:lastRenderedPageBreak/>
              <w:t>Sustainability</w:t>
            </w:r>
          </w:p>
        </w:tc>
        <w:tc>
          <w:tcPr>
            <w:tcW w:w="969" w:type="dxa"/>
            <w:shd w:val="clear" w:color="auto" w:fill="FFC000"/>
            <w:vAlign w:val="center"/>
          </w:tcPr>
          <w:p w:rsidR="002C3049" w:rsidRPr="0069023F" w:rsidRDefault="002C3049" w:rsidP="00EC36D2">
            <w:pPr>
              <w:jc w:val="center"/>
              <w:rPr>
                <w:sz w:val="20"/>
                <w:szCs w:val="20"/>
              </w:rPr>
            </w:pPr>
            <w:r w:rsidRPr="0069023F">
              <w:rPr>
                <w:sz w:val="20"/>
                <w:szCs w:val="20"/>
              </w:rPr>
              <w:t>3</w:t>
            </w:r>
          </w:p>
        </w:tc>
        <w:tc>
          <w:tcPr>
            <w:tcW w:w="969" w:type="dxa"/>
            <w:shd w:val="clear" w:color="auto" w:fill="FFFF00"/>
            <w:vAlign w:val="center"/>
          </w:tcPr>
          <w:p w:rsidR="002C3049" w:rsidRPr="0069023F" w:rsidRDefault="002C3049" w:rsidP="00EC36D2">
            <w:pPr>
              <w:jc w:val="center"/>
              <w:rPr>
                <w:sz w:val="20"/>
                <w:szCs w:val="20"/>
              </w:rPr>
            </w:pPr>
            <w:r w:rsidRPr="0069023F">
              <w:rPr>
                <w:sz w:val="20"/>
                <w:szCs w:val="20"/>
              </w:rPr>
              <w:t>4</w:t>
            </w:r>
          </w:p>
        </w:tc>
        <w:tc>
          <w:tcPr>
            <w:tcW w:w="969" w:type="dxa"/>
            <w:shd w:val="clear" w:color="auto" w:fill="FFFF00"/>
            <w:vAlign w:val="center"/>
          </w:tcPr>
          <w:p w:rsidR="002C3049" w:rsidRPr="0069023F" w:rsidRDefault="002C3049" w:rsidP="00EC36D2">
            <w:pPr>
              <w:jc w:val="center"/>
              <w:rPr>
                <w:sz w:val="20"/>
                <w:szCs w:val="20"/>
              </w:rPr>
            </w:pPr>
            <w:r w:rsidRPr="0069023F">
              <w:rPr>
                <w:sz w:val="20"/>
                <w:szCs w:val="20"/>
              </w:rPr>
              <w:t>4</w:t>
            </w:r>
          </w:p>
        </w:tc>
        <w:tc>
          <w:tcPr>
            <w:tcW w:w="4836" w:type="dxa"/>
            <w:shd w:val="clear" w:color="auto" w:fill="FFFFFF" w:themeFill="background1"/>
          </w:tcPr>
          <w:p w:rsidR="002C3049" w:rsidRPr="0069023F" w:rsidRDefault="002C3049" w:rsidP="00EC36D2">
            <w:pPr>
              <w:pStyle w:val="ScoreParagraph"/>
              <w:rPr>
                <w:rFonts w:eastAsia="Calibri"/>
                <w:sz w:val="20"/>
                <w:szCs w:val="20"/>
              </w:rPr>
            </w:pPr>
            <w:r w:rsidRPr="0069023F">
              <w:rPr>
                <w:rFonts w:eastAsia="Calibri"/>
                <w:sz w:val="20"/>
                <w:szCs w:val="20"/>
              </w:rPr>
              <w:t>While GoI-financed ProDEP will not be implemented across 250 or more districts in 2016, it is encouraging to see MoEC finance implementation in 40 districts.</w:t>
            </w:r>
          </w:p>
          <w:p w:rsidR="002C3049" w:rsidRPr="0069023F" w:rsidRDefault="00B631D5" w:rsidP="00EC36D2">
            <w:pPr>
              <w:pStyle w:val="ScoreParagraph"/>
              <w:rPr>
                <w:rFonts w:eastAsia="Calibri"/>
                <w:sz w:val="20"/>
                <w:szCs w:val="20"/>
              </w:rPr>
            </w:pPr>
            <w:r>
              <w:rPr>
                <w:rFonts w:eastAsia="Calibri"/>
                <w:sz w:val="20"/>
                <w:szCs w:val="20"/>
              </w:rPr>
              <w:t xml:space="preserve">The apparent </w:t>
            </w:r>
            <w:r w:rsidR="002C3049" w:rsidRPr="0069023F">
              <w:rPr>
                <w:rFonts w:eastAsia="Calibri"/>
                <w:sz w:val="20"/>
                <w:szCs w:val="20"/>
              </w:rPr>
              <w:t xml:space="preserve">ability and willingness </w:t>
            </w:r>
            <w:r>
              <w:rPr>
                <w:rFonts w:eastAsia="Calibri"/>
                <w:sz w:val="20"/>
                <w:szCs w:val="20"/>
              </w:rPr>
              <w:t xml:space="preserve">of districts </w:t>
            </w:r>
            <w:r w:rsidR="002C3049" w:rsidRPr="0069023F">
              <w:rPr>
                <w:rFonts w:eastAsia="Calibri"/>
                <w:sz w:val="20"/>
                <w:szCs w:val="20"/>
              </w:rPr>
              <w:t xml:space="preserve">to finance PPP is also encouraging, though the extent to which this will extend to other components of ProDEP (e.g. CPD, SPD) over time is unclear. </w:t>
            </w:r>
          </w:p>
          <w:p w:rsidR="002C3049" w:rsidRPr="0069023F" w:rsidRDefault="002C3049" w:rsidP="00EC36D2">
            <w:pPr>
              <w:pStyle w:val="ScoreParagraph"/>
              <w:rPr>
                <w:sz w:val="20"/>
                <w:szCs w:val="20"/>
              </w:rPr>
            </w:pPr>
            <w:r w:rsidRPr="0069023F">
              <w:rPr>
                <w:rFonts w:eastAsia="Calibri"/>
                <w:sz w:val="20"/>
                <w:szCs w:val="20"/>
              </w:rPr>
              <w:t xml:space="preserve">The integrity of the ProDEP model is reflected in MoEC’s replication activities. </w:t>
            </w:r>
          </w:p>
        </w:tc>
        <w:tc>
          <w:tcPr>
            <w:tcW w:w="4607" w:type="dxa"/>
            <w:shd w:val="clear" w:color="auto" w:fill="FFFFFF" w:themeFill="background1"/>
          </w:tcPr>
          <w:p w:rsidR="002C3049" w:rsidRPr="0069023F" w:rsidRDefault="002C3049" w:rsidP="00EC36D2">
            <w:pPr>
              <w:pStyle w:val="ScoreParagraph"/>
              <w:numPr>
                <w:ilvl w:val="0"/>
                <w:numId w:val="0"/>
              </w:numPr>
              <w:rPr>
                <w:sz w:val="20"/>
                <w:szCs w:val="20"/>
              </w:rPr>
            </w:pPr>
          </w:p>
        </w:tc>
      </w:tr>
    </w:tbl>
    <w:p w:rsidR="002C3049" w:rsidRPr="0069023F" w:rsidRDefault="002C3049" w:rsidP="002C3049">
      <w:pPr>
        <w:pStyle w:val="Caption-Table"/>
        <w:rPr>
          <w:bCs/>
          <w:iCs/>
          <w:lang w:val="en-AU"/>
        </w:rPr>
      </w:pPr>
      <w:r w:rsidRPr="00D20962">
        <w:br w:type="page"/>
      </w:r>
      <w:bookmarkStart w:id="58" w:name="_Ref447781974"/>
      <w:bookmarkStart w:id="59" w:name="_Toc447623972"/>
      <w:bookmarkStart w:id="60" w:name="_Toc450131633"/>
      <w:r w:rsidRPr="0069023F">
        <w:rPr>
          <w:bCs/>
          <w:iCs/>
          <w:lang w:val="en-AU"/>
        </w:rPr>
        <w:lastRenderedPageBreak/>
        <w:t xml:space="preserve">Table </w:t>
      </w:r>
      <w:r w:rsidRPr="0069023F">
        <w:rPr>
          <w:bCs/>
          <w:iCs/>
          <w:lang w:val="en-AU"/>
        </w:rPr>
        <w:fldChar w:fldCharType="begin"/>
      </w:r>
      <w:r w:rsidRPr="0069023F">
        <w:rPr>
          <w:bCs/>
          <w:iCs/>
          <w:lang w:val="en-AU"/>
        </w:rPr>
        <w:instrText xml:space="preserve"> SEQ Table \* ARABIC </w:instrText>
      </w:r>
      <w:r w:rsidRPr="0069023F">
        <w:rPr>
          <w:bCs/>
          <w:iCs/>
          <w:lang w:val="en-AU"/>
        </w:rPr>
        <w:fldChar w:fldCharType="separate"/>
      </w:r>
      <w:r w:rsidR="00EC36D2">
        <w:rPr>
          <w:bCs/>
          <w:iCs/>
          <w:noProof/>
          <w:lang w:val="en-AU"/>
        </w:rPr>
        <w:t>12</w:t>
      </w:r>
      <w:r w:rsidRPr="0069023F">
        <w:rPr>
          <w:bCs/>
          <w:iCs/>
          <w:lang w:val="en-AU"/>
        </w:rPr>
        <w:fldChar w:fldCharType="end"/>
      </w:r>
      <w:bookmarkEnd w:id="58"/>
      <w:r w:rsidRPr="0069023F">
        <w:rPr>
          <w:bCs/>
          <w:iCs/>
          <w:lang w:val="en-AU"/>
        </w:rPr>
        <w:t>: Component 2 key findings and recommendations</w:t>
      </w:r>
      <w:bookmarkEnd w:id="59"/>
      <w:bookmarkEnd w:id="60"/>
      <w:r w:rsidRPr="0069023F">
        <w:rPr>
          <w:bCs/>
          <w:iCs/>
          <w:lang w:val="en-AU"/>
        </w:rPr>
        <w:t xml:space="preserve"> </w:t>
      </w:r>
    </w:p>
    <w:tbl>
      <w:tblPr>
        <w:tblStyle w:val="TableGrid31"/>
        <w:tblW w:w="5000" w:type="pct"/>
        <w:tblCellMar>
          <w:top w:w="108" w:type="dxa"/>
          <w:bottom w:w="108" w:type="dxa"/>
        </w:tblCellMar>
        <w:tblLook w:val="04A0" w:firstRow="1" w:lastRow="0" w:firstColumn="1" w:lastColumn="0" w:noHBand="0" w:noVBand="1"/>
      </w:tblPr>
      <w:tblGrid>
        <w:gridCol w:w="5212"/>
        <w:gridCol w:w="5954"/>
        <w:gridCol w:w="1134"/>
        <w:gridCol w:w="1870"/>
      </w:tblGrid>
      <w:tr w:rsidR="002C3049" w:rsidRPr="0077380B" w:rsidTr="00EC36D2">
        <w:trPr>
          <w:trHeight w:val="567"/>
          <w:tblHeader/>
        </w:trPr>
        <w:tc>
          <w:tcPr>
            <w:tcW w:w="1839" w:type="pct"/>
            <w:tcBorders>
              <w:bottom w:val="single" w:sz="4" w:space="0" w:color="auto"/>
            </w:tcBorders>
            <w:shd w:val="clear" w:color="auto" w:fill="244061" w:themeFill="accent1" w:themeFillShade="80"/>
            <w:vAlign w:val="center"/>
          </w:tcPr>
          <w:p w:rsidR="002C3049" w:rsidRPr="0069023F" w:rsidRDefault="002C3049" w:rsidP="00EC36D2">
            <w:pPr>
              <w:jc w:val="center"/>
              <w:rPr>
                <w:b/>
                <w:sz w:val="20"/>
                <w:szCs w:val="20"/>
              </w:rPr>
            </w:pPr>
            <w:r w:rsidRPr="0069023F">
              <w:rPr>
                <w:b/>
                <w:sz w:val="20"/>
                <w:szCs w:val="20"/>
              </w:rPr>
              <w:t>Findings</w:t>
            </w:r>
          </w:p>
        </w:tc>
        <w:tc>
          <w:tcPr>
            <w:tcW w:w="2101" w:type="pct"/>
            <w:tcBorders>
              <w:bottom w:val="single" w:sz="4" w:space="0" w:color="auto"/>
            </w:tcBorders>
            <w:shd w:val="clear" w:color="auto" w:fill="244061" w:themeFill="accent1" w:themeFillShade="80"/>
            <w:vAlign w:val="center"/>
          </w:tcPr>
          <w:p w:rsidR="002C3049" w:rsidRPr="0069023F" w:rsidRDefault="002C3049" w:rsidP="00EC36D2">
            <w:pPr>
              <w:jc w:val="center"/>
              <w:rPr>
                <w:b/>
                <w:sz w:val="20"/>
                <w:szCs w:val="20"/>
              </w:rPr>
            </w:pPr>
            <w:r w:rsidRPr="0069023F">
              <w:rPr>
                <w:b/>
                <w:sz w:val="20"/>
                <w:szCs w:val="20"/>
              </w:rPr>
              <w:t>Recommendations</w:t>
            </w:r>
          </w:p>
        </w:tc>
        <w:tc>
          <w:tcPr>
            <w:tcW w:w="400" w:type="pct"/>
            <w:tcBorders>
              <w:bottom w:val="single" w:sz="4" w:space="0" w:color="auto"/>
            </w:tcBorders>
            <w:shd w:val="clear" w:color="auto" w:fill="244061" w:themeFill="accent1" w:themeFillShade="80"/>
            <w:vAlign w:val="center"/>
          </w:tcPr>
          <w:p w:rsidR="002C3049" w:rsidRPr="0069023F" w:rsidRDefault="002C3049" w:rsidP="00EC36D2">
            <w:pPr>
              <w:jc w:val="center"/>
              <w:rPr>
                <w:b/>
                <w:sz w:val="20"/>
                <w:szCs w:val="20"/>
              </w:rPr>
            </w:pPr>
            <w:r w:rsidRPr="0069023F">
              <w:rPr>
                <w:b/>
                <w:sz w:val="20"/>
                <w:szCs w:val="20"/>
              </w:rPr>
              <w:t>Level of urgency</w:t>
            </w:r>
          </w:p>
        </w:tc>
        <w:tc>
          <w:tcPr>
            <w:tcW w:w="660" w:type="pct"/>
            <w:tcBorders>
              <w:bottom w:val="single" w:sz="4" w:space="0" w:color="auto"/>
            </w:tcBorders>
            <w:shd w:val="clear" w:color="auto" w:fill="244061" w:themeFill="accent1" w:themeFillShade="80"/>
            <w:vAlign w:val="center"/>
          </w:tcPr>
          <w:p w:rsidR="002C3049" w:rsidRPr="0069023F" w:rsidRDefault="002C3049" w:rsidP="00EC36D2">
            <w:pPr>
              <w:jc w:val="center"/>
              <w:rPr>
                <w:b/>
                <w:sz w:val="20"/>
                <w:szCs w:val="20"/>
              </w:rPr>
            </w:pPr>
            <w:r w:rsidRPr="0069023F">
              <w:rPr>
                <w:b/>
                <w:sz w:val="20"/>
                <w:szCs w:val="20"/>
              </w:rPr>
              <w:t>Prime Responsibility</w:t>
            </w:r>
          </w:p>
        </w:tc>
      </w:tr>
      <w:tr w:rsidR="002C3049" w:rsidRPr="0077380B" w:rsidTr="00BE4367">
        <w:trPr>
          <w:trHeight w:val="996"/>
        </w:trPr>
        <w:tc>
          <w:tcPr>
            <w:tcW w:w="1839" w:type="pct"/>
            <w:vMerge w:val="restart"/>
            <w:shd w:val="clear" w:color="auto" w:fill="FFFFFF" w:themeFill="background1"/>
            <w:vAlign w:val="center"/>
          </w:tcPr>
          <w:p w:rsidR="002C3049" w:rsidRPr="0069023F" w:rsidRDefault="002C3049" w:rsidP="00EC36D2">
            <w:pPr>
              <w:spacing w:before="0" w:after="0"/>
              <w:rPr>
                <w:sz w:val="20"/>
                <w:szCs w:val="20"/>
              </w:rPr>
            </w:pPr>
            <w:r w:rsidRPr="0069023F">
              <w:rPr>
                <w:sz w:val="20"/>
                <w:szCs w:val="20"/>
              </w:rPr>
              <w:t xml:space="preserve">There is insufficient evidence to date of ProDEP’s ability to make significant contribution to improvements to quality of school and </w:t>
            </w:r>
            <w:r>
              <w:rPr>
                <w:sz w:val="20"/>
                <w:szCs w:val="20"/>
              </w:rPr>
              <w:t>Madrasah</w:t>
            </w:r>
            <w:r w:rsidRPr="0069023F">
              <w:rPr>
                <w:sz w:val="20"/>
                <w:szCs w:val="20"/>
              </w:rPr>
              <w:t xml:space="preserve"> management (see §3.4.3).</w:t>
            </w:r>
          </w:p>
        </w:tc>
        <w:tc>
          <w:tcPr>
            <w:tcW w:w="2101" w:type="pct"/>
            <w:shd w:val="clear" w:color="auto" w:fill="FFFFFF" w:themeFill="background1"/>
            <w:vAlign w:val="center"/>
          </w:tcPr>
          <w:p w:rsidR="002C3049" w:rsidRPr="0069023F" w:rsidRDefault="002C3049" w:rsidP="00E748FF">
            <w:pPr>
              <w:spacing w:before="0" w:after="0"/>
              <w:ind w:left="458" w:hanging="458"/>
              <w:rPr>
                <w:sz w:val="20"/>
                <w:szCs w:val="20"/>
              </w:rPr>
            </w:pPr>
            <w:r w:rsidRPr="0069023F">
              <w:rPr>
                <w:sz w:val="20"/>
                <w:szCs w:val="20"/>
              </w:rPr>
              <w:t>R3:</w:t>
            </w:r>
            <w:r w:rsidRPr="0069023F">
              <w:rPr>
                <w:sz w:val="20"/>
                <w:szCs w:val="20"/>
              </w:rPr>
              <w:tab/>
            </w:r>
            <w:r>
              <w:rPr>
                <w:sz w:val="20"/>
                <w:szCs w:val="20"/>
              </w:rPr>
              <w:t>The</w:t>
            </w:r>
            <w:r w:rsidRPr="0069023F">
              <w:rPr>
                <w:sz w:val="20"/>
                <w:szCs w:val="20"/>
              </w:rPr>
              <w:t xml:space="preserve"> performance of ProDEP </w:t>
            </w:r>
            <w:r>
              <w:rPr>
                <w:sz w:val="20"/>
                <w:szCs w:val="20"/>
              </w:rPr>
              <w:t xml:space="preserve">be assessed </w:t>
            </w:r>
            <w:r w:rsidRPr="0069023F">
              <w:rPr>
                <w:sz w:val="20"/>
                <w:szCs w:val="20"/>
              </w:rPr>
              <w:t xml:space="preserve">with due consideration given to the relative merits of </w:t>
            </w:r>
            <w:r>
              <w:rPr>
                <w:sz w:val="20"/>
                <w:szCs w:val="20"/>
              </w:rPr>
              <w:t>its</w:t>
            </w:r>
            <w:r w:rsidRPr="0069023F">
              <w:rPr>
                <w:sz w:val="20"/>
                <w:szCs w:val="20"/>
              </w:rPr>
              <w:t xml:space="preserve"> </w:t>
            </w:r>
            <w:r>
              <w:rPr>
                <w:sz w:val="20"/>
                <w:szCs w:val="20"/>
              </w:rPr>
              <w:t>Units of Learning</w:t>
            </w:r>
            <w:r w:rsidRPr="0069023F">
              <w:rPr>
                <w:sz w:val="20"/>
                <w:szCs w:val="20"/>
              </w:rPr>
              <w:t>, components</w:t>
            </w:r>
            <w:r>
              <w:rPr>
                <w:sz w:val="20"/>
                <w:szCs w:val="20"/>
              </w:rPr>
              <w:t xml:space="preserve"> (e.g. CPD, SPD)</w:t>
            </w:r>
            <w:r w:rsidRPr="0069023F">
              <w:rPr>
                <w:sz w:val="20"/>
                <w:szCs w:val="20"/>
              </w:rPr>
              <w:t xml:space="preserve">, and </w:t>
            </w:r>
            <w:r>
              <w:rPr>
                <w:sz w:val="20"/>
                <w:szCs w:val="20"/>
              </w:rPr>
              <w:t xml:space="preserve">delivery </w:t>
            </w:r>
            <w:r w:rsidRPr="0069023F">
              <w:rPr>
                <w:sz w:val="20"/>
                <w:szCs w:val="20"/>
              </w:rPr>
              <w:t>modalities</w:t>
            </w:r>
            <w:r>
              <w:rPr>
                <w:sz w:val="20"/>
                <w:szCs w:val="20"/>
              </w:rPr>
              <w:t xml:space="preserve"> (e.g. direct, on-line learning) that are particularly applied in GoI financed districts</w:t>
            </w:r>
            <w:r w:rsidR="00E748FF">
              <w:rPr>
                <w:sz w:val="20"/>
                <w:szCs w:val="20"/>
              </w:rPr>
              <w:t>.</w:t>
            </w:r>
          </w:p>
        </w:tc>
        <w:tc>
          <w:tcPr>
            <w:tcW w:w="400" w:type="pct"/>
            <w:shd w:val="clear" w:color="auto" w:fill="FF0000"/>
            <w:vAlign w:val="center"/>
          </w:tcPr>
          <w:p w:rsidR="002C3049" w:rsidRPr="0069023F" w:rsidRDefault="002C3049" w:rsidP="00BE4367">
            <w:pPr>
              <w:spacing w:before="0" w:after="0"/>
              <w:jc w:val="center"/>
              <w:rPr>
                <w:sz w:val="20"/>
                <w:szCs w:val="20"/>
              </w:rPr>
            </w:pPr>
            <w:r w:rsidRPr="0069023F">
              <w:rPr>
                <w:sz w:val="20"/>
                <w:szCs w:val="20"/>
              </w:rPr>
              <w:t>***</w:t>
            </w:r>
          </w:p>
        </w:tc>
        <w:tc>
          <w:tcPr>
            <w:tcW w:w="660" w:type="pct"/>
            <w:vAlign w:val="center"/>
          </w:tcPr>
          <w:p w:rsidR="002C3049" w:rsidRPr="0069023F" w:rsidRDefault="002C3049" w:rsidP="00EC36D2">
            <w:pPr>
              <w:spacing w:before="0" w:after="0"/>
              <w:jc w:val="left"/>
              <w:rPr>
                <w:sz w:val="20"/>
                <w:szCs w:val="20"/>
              </w:rPr>
            </w:pPr>
            <w:r w:rsidRPr="0069023F">
              <w:rPr>
                <w:sz w:val="20"/>
                <w:szCs w:val="20"/>
              </w:rPr>
              <w:t xml:space="preserve">MoEC with DFAT </w:t>
            </w:r>
          </w:p>
        </w:tc>
      </w:tr>
      <w:tr w:rsidR="002C3049" w:rsidRPr="0077380B" w:rsidTr="00BE4367">
        <w:trPr>
          <w:trHeight w:val="27"/>
        </w:trPr>
        <w:tc>
          <w:tcPr>
            <w:tcW w:w="1839" w:type="pct"/>
            <w:vMerge/>
            <w:shd w:val="clear" w:color="auto" w:fill="FFFFFF" w:themeFill="background1"/>
            <w:vAlign w:val="center"/>
          </w:tcPr>
          <w:p w:rsidR="002C3049" w:rsidRPr="0069023F" w:rsidRDefault="002C3049" w:rsidP="00EC36D2">
            <w:pPr>
              <w:spacing w:before="0" w:after="0"/>
              <w:rPr>
                <w:sz w:val="20"/>
                <w:szCs w:val="20"/>
              </w:rPr>
            </w:pPr>
          </w:p>
        </w:tc>
        <w:tc>
          <w:tcPr>
            <w:tcW w:w="2101" w:type="pct"/>
            <w:shd w:val="clear" w:color="auto" w:fill="FFFFFF" w:themeFill="background1"/>
          </w:tcPr>
          <w:p w:rsidR="002C3049" w:rsidRPr="003E1475" w:rsidRDefault="002C3049" w:rsidP="00EC36D2">
            <w:pPr>
              <w:spacing w:before="0" w:after="0"/>
              <w:ind w:left="458" w:hanging="458"/>
              <w:rPr>
                <w:sz w:val="20"/>
                <w:szCs w:val="20"/>
              </w:rPr>
            </w:pPr>
            <w:r>
              <w:rPr>
                <w:color w:val="000000" w:themeColor="text1"/>
                <w:sz w:val="20"/>
                <w:szCs w:val="20"/>
              </w:rPr>
              <w:t>R4:</w:t>
            </w:r>
            <w:r>
              <w:rPr>
                <w:color w:val="000000" w:themeColor="text1"/>
                <w:sz w:val="20"/>
                <w:szCs w:val="20"/>
              </w:rPr>
              <w:tab/>
            </w:r>
            <w:r w:rsidRPr="007E1DB7">
              <w:rPr>
                <w:color w:val="000000" w:themeColor="text1"/>
                <w:sz w:val="20"/>
                <w:szCs w:val="20"/>
              </w:rPr>
              <w:t xml:space="preserve">The </w:t>
            </w:r>
            <w:r>
              <w:rPr>
                <w:color w:val="000000" w:themeColor="text1"/>
                <w:sz w:val="20"/>
                <w:szCs w:val="20"/>
              </w:rPr>
              <w:t xml:space="preserve">relevant </w:t>
            </w:r>
            <w:r w:rsidRPr="007E1DB7">
              <w:rPr>
                <w:color w:val="000000" w:themeColor="text1"/>
                <w:sz w:val="20"/>
                <w:szCs w:val="20"/>
              </w:rPr>
              <w:t xml:space="preserve">findings and implications of ACDP’s </w:t>
            </w:r>
            <w:r w:rsidRPr="007E1DB7">
              <w:rPr>
                <w:i/>
                <w:color w:val="000000" w:themeColor="text1"/>
                <w:sz w:val="20"/>
                <w:szCs w:val="20"/>
              </w:rPr>
              <w:t>Evaluation of Principals Preparation Program</w:t>
            </w:r>
            <w:r w:rsidRPr="007E1DB7">
              <w:rPr>
                <w:color w:val="000000" w:themeColor="text1"/>
                <w:sz w:val="20"/>
                <w:szCs w:val="20"/>
              </w:rPr>
              <w:t xml:space="preserve"> (ACDP 04</w:t>
            </w:r>
            <w:r>
              <w:rPr>
                <w:color w:val="000000" w:themeColor="text1"/>
                <w:sz w:val="20"/>
                <w:szCs w:val="20"/>
              </w:rPr>
              <w:t xml:space="preserve">2) for ProDEP be identified and </w:t>
            </w:r>
            <w:r w:rsidRPr="007E1DB7">
              <w:rPr>
                <w:color w:val="000000" w:themeColor="text1"/>
                <w:sz w:val="20"/>
                <w:szCs w:val="20"/>
              </w:rPr>
              <w:t>applied</w:t>
            </w:r>
            <w:r w:rsidR="00E748FF">
              <w:rPr>
                <w:color w:val="000000" w:themeColor="text1"/>
                <w:sz w:val="20"/>
                <w:szCs w:val="20"/>
              </w:rPr>
              <w:t>.</w:t>
            </w:r>
            <w:r w:rsidRPr="007E1DB7">
              <w:rPr>
                <w:color w:val="000000" w:themeColor="text1"/>
                <w:sz w:val="20"/>
                <w:szCs w:val="20"/>
              </w:rPr>
              <w:t xml:space="preserve"> </w:t>
            </w:r>
          </w:p>
        </w:tc>
        <w:tc>
          <w:tcPr>
            <w:tcW w:w="400" w:type="pct"/>
            <w:shd w:val="clear" w:color="auto" w:fill="FF0000"/>
            <w:vAlign w:val="center"/>
          </w:tcPr>
          <w:p w:rsidR="002C3049" w:rsidRPr="0069023F" w:rsidRDefault="002C3049" w:rsidP="00BE4367">
            <w:pPr>
              <w:spacing w:before="0" w:after="0"/>
              <w:jc w:val="center"/>
              <w:rPr>
                <w:sz w:val="20"/>
                <w:szCs w:val="20"/>
              </w:rPr>
            </w:pPr>
            <w:r w:rsidRPr="007E1DB7">
              <w:rPr>
                <w:color w:val="000000" w:themeColor="text1"/>
                <w:sz w:val="20"/>
                <w:szCs w:val="20"/>
              </w:rPr>
              <w:t>***</w:t>
            </w:r>
          </w:p>
        </w:tc>
        <w:tc>
          <w:tcPr>
            <w:tcW w:w="660" w:type="pct"/>
          </w:tcPr>
          <w:p w:rsidR="002C3049" w:rsidRPr="0069023F" w:rsidRDefault="002C3049" w:rsidP="00EC36D2">
            <w:pPr>
              <w:spacing w:before="0" w:after="0"/>
              <w:rPr>
                <w:sz w:val="20"/>
                <w:szCs w:val="20"/>
              </w:rPr>
            </w:pPr>
            <w:r>
              <w:rPr>
                <w:color w:val="000000" w:themeColor="text1"/>
                <w:sz w:val="20"/>
                <w:szCs w:val="20"/>
              </w:rPr>
              <w:t xml:space="preserve">MoEC with DFAT and </w:t>
            </w:r>
            <w:r w:rsidRPr="007E1DB7">
              <w:rPr>
                <w:color w:val="000000" w:themeColor="text1"/>
                <w:sz w:val="20"/>
                <w:szCs w:val="20"/>
              </w:rPr>
              <w:t>ACDP</w:t>
            </w:r>
          </w:p>
        </w:tc>
      </w:tr>
      <w:tr w:rsidR="002C3049" w:rsidRPr="0077380B" w:rsidTr="00BE4367">
        <w:trPr>
          <w:trHeight w:val="1427"/>
        </w:trPr>
        <w:tc>
          <w:tcPr>
            <w:tcW w:w="1839" w:type="pct"/>
            <w:vMerge/>
            <w:shd w:val="clear" w:color="auto" w:fill="FFFFFF" w:themeFill="background1"/>
            <w:vAlign w:val="center"/>
          </w:tcPr>
          <w:p w:rsidR="002C3049" w:rsidRPr="0069023F" w:rsidRDefault="002C3049" w:rsidP="00EC36D2">
            <w:pPr>
              <w:spacing w:before="0" w:after="0"/>
              <w:rPr>
                <w:sz w:val="20"/>
                <w:szCs w:val="20"/>
              </w:rPr>
            </w:pPr>
          </w:p>
        </w:tc>
        <w:tc>
          <w:tcPr>
            <w:tcW w:w="2101" w:type="pct"/>
            <w:shd w:val="clear" w:color="auto" w:fill="FFFFFF" w:themeFill="background1"/>
          </w:tcPr>
          <w:p w:rsidR="002C3049" w:rsidRPr="003E1475" w:rsidRDefault="002C3049" w:rsidP="00EC36D2">
            <w:pPr>
              <w:spacing w:before="0" w:after="0"/>
              <w:ind w:left="458" w:hanging="458"/>
              <w:rPr>
                <w:sz w:val="20"/>
                <w:szCs w:val="20"/>
              </w:rPr>
            </w:pPr>
            <w:r w:rsidRPr="007E1DB7">
              <w:rPr>
                <w:color w:val="000000" w:themeColor="text1"/>
                <w:sz w:val="20"/>
                <w:szCs w:val="20"/>
              </w:rPr>
              <w:t>R</w:t>
            </w:r>
            <w:r>
              <w:rPr>
                <w:color w:val="000000" w:themeColor="text1"/>
                <w:sz w:val="20"/>
                <w:szCs w:val="20"/>
              </w:rPr>
              <w:t>5</w:t>
            </w:r>
            <w:r w:rsidRPr="007E1DB7">
              <w:rPr>
                <w:color w:val="000000" w:themeColor="text1"/>
                <w:sz w:val="20"/>
                <w:szCs w:val="20"/>
              </w:rPr>
              <w:t xml:space="preserve">: </w:t>
            </w:r>
            <w:r>
              <w:rPr>
                <w:color w:val="000000" w:themeColor="text1"/>
                <w:sz w:val="20"/>
                <w:szCs w:val="20"/>
              </w:rPr>
              <w:tab/>
            </w:r>
            <w:r w:rsidRPr="007E1DB7">
              <w:rPr>
                <w:color w:val="000000" w:themeColor="text1"/>
                <w:sz w:val="20"/>
                <w:szCs w:val="20"/>
              </w:rPr>
              <w:t xml:space="preserve">Light-touch reviews of </w:t>
            </w:r>
            <w:r>
              <w:rPr>
                <w:color w:val="000000" w:themeColor="text1"/>
                <w:sz w:val="20"/>
                <w:szCs w:val="20"/>
              </w:rPr>
              <w:t xml:space="preserve">the </w:t>
            </w:r>
            <w:r w:rsidRPr="007E1DB7">
              <w:rPr>
                <w:color w:val="000000" w:themeColor="text1"/>
                <w:sz w:val="20"/>
                <w:szCs w:val="20"/>
              </w:rPr>
              <w:t>GoI-financed ProDEP “replication” in 2016 be undertaken on a frequent and ongoing basis so that real-time learnings are captured and applied, and such that more evidence becomes available about ProDEP’s ongoing relevance and effectiveness</w:t>
            </w:r>
            <w:r w:rsidR="00E748FF">
              <w:rPr>
                <w:color w:val="000000" w:themeColor="text1"/>
                <w:sz w:val="20"/>
                <w:szCs w:val="20"/>
              </w:rPr>
              <w:t>.</w:t>
            </w:r>
            <w:r w:rsidRPr="007E1DB7">
              <w:rPr>
                <w:color w:val="000000" w:themeColor="text1"/>
                <w:sz w:val="20"/>
                <w:szCs w:val="20"/>
              </w:rPr>
              <w:t xml:space="preserve"> </w:t>
            </w:r>
          </w:p>
        </w:tc>
        <w:tc>
          <w:tcPr>
            <w:tcW w:w="400" w:type="pct"/>
            <w:shd w:val="clear" w:color="auto" w:fill="FF0000"/>
            <w:vAlign w:val="center"/>
          </w:tcPr>
          <w:p w:rsidR="002C3049" w:rsidRPr="0069023F" w:rsidRDefault="002C3049" w:rsidP="00BE4367">
            <w:pPr>
              <w:spacing w:before="0" w:after="0"/>
              <w:jc w:val="center"/>
              <w:rPr>
                <w:sz w:val="20"/>
                <w:szCs w:val="20"/>
              </w:rPr>
            </w:pPr>
            <w:r w:rsidRPr="00BF5DCF">
              <w:rPr>
                <w:sz w:val="20"/>
                <w:szCs w:val="20"/>
              </w:rPr>
              <w:t>***</w:t>
            </w:r>
          </w:p>
        </w:tc>
        <w:tc>
          <w:tcPr>
            <w:tcW w:w="660" w:type="pct"/>
          </w:tcPr>
          <w:p w:rsidR="002C3049" w:rsidRPr="0069023F" w:rsidRDefault="002C3049" w:rsidP="00EC36D2">
            <w:pPr>
              <w:spacing w:before="0" w:after="0"/>
              <w:rPr>
                <w:sz w:val="20"/>
                <w:szCs w:val="20"/>
              </w:rPr>
            </w:pPr>
            <w:r w:rsidRPr="007E1DB7">
              <w:rPr>
                <w:color w:val="000000" w:themeColor="text1"/>
                <w:sz w:val="20"/>
                <w:szCs w:val="20"/>
              </w:rPr>
              <w:t>MoEC</w:t>
            </w:r>
            <w:r>
              <w:rPr>
                <w:color w:val="000000" w:themeColor="text1"/>
                <w:sz w:val="20"/>
                <w:szCs w:val="20"/>
              </w:rPr>
              <w:t xml:space="preserve"> with DFAT</w:t>
            </w:r>
          </w:p>
        </w:tc>
      </w:tr>
      <w:tr w:rsidR="002C3049" w:rsidRPr="0077380B" w:rsidTr="00BE4367">
        <w:trPr>
          <w:trHeight w:val="27"/>
        </w:trPr>
        <w:tc>
          <w:tcPr>
            <w:tcW w:w="1839" w:type="pct"/>
            <w:vMerge w:val="restart"/>
            <w:shd w:val="clear" w:color="auto" w:fill="FFFFFF" w:themeFill="background1"/>
            <w:vAlign w:val="center"/>
          </w:tcPr>
          <w:p w:rsidR="002C3049" w:rsidRPr="0069023F" w:rsidRDefault="002C3049" w:rsidP="00EC36D2">
            <w:pPr>
              <w:spacing w:before="0" w:after="0"/>
              <w:rPr>
                <w:sz w:val="20"/>
                <w:szCs w:val="20"/>
              </w:rPr>
            </w:pPr>
            <w:r w:rsidRPr="0069023F">
              <w:rPr>
                <w:sz w:val="20"/>
                <w:szCs w:val="20"/>
              </w:rPr>
              <w:t>Continued uncertainty about the willingness and ability of the sector to adapt or adopt ProDEP</w:t>
            </w:r>
            <w:r>
              <w:rPr>
                <w:sz w:val="20"/>
                <w:szCs w:val="20"/>
              </w:rPr>
              <w:t xml:space="preserve"> (see §3.4.5)</w:t>
            </w:r>
            <w:r w:rsidRPr="0069023F">
              <w:rPr>
                <w:sz w:val="20"/>
                <w:szCs w:val="20"/>
              </w:rPr>
              <w:t xml:space="preserve">. </w:t>
            </w:r>
          </w:p>
        </w:tc>
        <w:tc>
          <w:tcPr>
            <w:tcW w:w="2101" w:type="pct"/>
            <w:shd w:val="clear" w:color="auto" w:fill="FFFFFF" w:themeFill="background1"/>
            <w:vAlign w:val="center"/>
          </w:tcPr>
          <w:p w:rsidR="002C3049" w:rsidRPr="0069023F" w:rsidRDefault="002C3049" w:rsidP="00EC36D2">
            <w:pPr>
              <w:spacing w:before="0" w:after="0"/>
              <w:ind w:left="458" w:hanging="458"/>
              <w:rPr>
                <w:sz w:val="20"/>
                <w:szCs w:val="20"/>
              </w:rPr>
            </w:pPr>
            <w:r>
              <w:rPr>
                <w:sz w:val="20"/>
                <w:szCs w:val="20"/>
              </w:rPr>
              <w:t>R6</w:t>
            </w:r>
            <w:r w:rsidRPr="003E1475">
              <w:rPr>
                <w:sz w:val="20"/>
                <w:szCs w:val="20"/>
              </w:rPr>
              <w:t>:</w:t>
            </w:r>
            <w:r w:rsidRPr="003E1475">
              <w:rPr>
                <w:sz w:val="20"/>
                <w:szCs w:val="20"/>
              </w:rPr>
              <w:tab/>
              <w:t xml:space="preserve">Subsequent to assessing the performance of ProDEP, a revised sustainability </w:t>
            </w:r>
            <w:r>
              <w:rPr>
                <w:sz w:val="20"/>
                <w:szCs w:val="20"/>
              </w:rPr>
              <w:t>plan</w:t>
            </w:r>
            <w:r w:rsidRPr="003E1475">
              <w:rPr>
                <w:sz w:val="20"/>
                <w:szCs w:val="20"/>
              </w:rPr>
              <w:t xml:space="preserve"> should be developed that reflects experience to date and emerging opportunities</w:t>
            </w:r>
            <w:r>
              <w:rPr>
                <w:sz w:val="20"/>
                <w:szCs w:val="20"/>
              </w:rPr>
              <w:t xml:space="preserve"> at national and district levels</w:t>
            </w:r>
            <w:r w:rsidRPr="003E1475">
              <w:rPr>
                <w:sz w:val="20"/>
                <w:szCs w:val="20"/>
              </w:rPr>
              <w:t xml:space="preserve"> to adopt a properly timed and sequenced ProDEP that is relevant to the needs of the sector and key decision makers.</w:t>
            </w:r>
          </w:p>
        </w:tc>
        <w:tc>
          <w:tcPr>
            <w:tcW w:w="400" w:type="pct"/>
            <w:shd w:val="clear" w:color="auto" w:fill="FF0000"/>
            <w:vAlign w:val="center"/>
          </w:tcPr>
          <w:p w:rsidR="002C3049" w:rsidRPr="0069023F" w:rsidRDefault="002C3049" w:rsidP="00BE4367">
            <w:pPr>
              <w:spacing w:before="0" w:after="0"/>
              <w:jc w:val="center"/>
              <w:rPr>
                <w:sz w:val="20"/>
                <w:szCs w:val="20"/>
              </w:rPr>
            </w:pPr>
            <w:r w:rsidRPr="0069023F">
              <w:rPr>
                <w:sz w:val="20"/>
                <w:szCs w:val="20"/>
              </w:rPr>
              <w:t>***</w:t>
            </w:r>
          </w:p>
        </w:tc>
        <w:tc>
          <w:tcPr>
            <w:tcW w:w="660" w:type="pct"/>
            <w:vAlign w:val="center"/>
          </w:tcPr>
          <w:p w:rsidR="002C3049" w:rsidRPr="0069023F" w:rsidRDefault="002C3049" w:rsidP="00EC36D2">
            <w:pPr>
              <w:spacing w:before="0" w:after="0"/>
              <w:rPr>
                <w:sz w:val="20"/>
                <w:szCs w:val="20"/>
              </w:rPr>
            </w:pPr>
            <w:r w:rsidRPr="0069023F">
              <w:rPr>
                <w:sz w:val="20"/>
                <w:szCs w:val="20"/>
              </w:rPr>
              <w:t>MoEC with DFAT</w:t>
            </w:r>
          </w:p>
        </w:tc>
      </w:tr>
      <w:tr w:rsidR="002C3049" w:rsidRPr="0077380B" w:rsidTr="00BE4367">
        <w:trPr>
          <w:trHeight w:val="27"/>
        </w:trPr>
        <w:tc>
          <w:tcPr>
            <w:tcW w:w="1839" w:type="pct"/>
            <w:vMerge/>
            <w:shd w:val="clear" w:color="auto" w:fill="FFFFFF" w:themeFill="background1"/>
            <w:vAlign w:val="center"/>
          </w:tcPr>
          <w:p w:rsidR="002C3049" w:rsidRPr="0069023F" w:rsidRDefault="002C3049" w:rsidP="00EC36D2">
            <w:pPr>
              <w:spacing w:before="0" w:after="0"/>
              <w:rPr>
                <w:sz w:val="20"/>
                <w:szCs w:val="20"/>
              </w:rPr>
            </w:pPr>
          </w:p>
        </w:tc>
        <w:tc>
          <w:tcPr>
            <w:tcW w:w="2101" w:type="pct"/>
            <w:shd w:val="clear" w:color="auto" w:fill="FFFFFF" w:themeFill="background1"/>
            <w:vAlign w:val="center"/>
          </w:tcPr>
          <w:p w:rsidR="002C3049" w:rsidRPr="0069023F" w:rsidRDefault="002C3049" w:rsidP="00EC36D2">
            <w:pPr>
              <w:spacing w:before="0" w:after="0"/>
              <w:ind w:left="458" w:hanging="458"/>
              <w:rPr>
                <w:sz w:val="20"/>
                <w:szCs w:val="20"/>
              </w:rPr>
            </w:pPr>
            <w:r>
              <w:rPr>
                <w:sz w:val="20"/>
                <w:szCs w:val="20"/>
              </w:rPr>
              <w:t>R7</w:t>
            </w:r>
            <w:r w:rsidRPr="003E1475">
              <w:rPr>
                <w:sz w:val="20"/>
                <w:szCs w:val="20"/>
              </w:rPr>
              <w:t>:</w:t>
            </w:r>
            <w:r w:rsidRPr="003E1475">
              <w:rPr>
                <w:sz w:val="20"/>
                <w:szCs w:val="20"/>
              </w:rPr>
              <w:tab/>
              <w:t xml:space="preserve">Consideration should be given to the provision of </w:t>
            </w:r>
            <w:r>
              <w:rPr>
                <w:sz w:val="20"/>
                <w:szCs w:val="20"/>
              </w:rPr>
              <w:t xml:space="preserve">DFAT-financed </w:t>
            </w:r>
            <w:r w:rsidRPr="003E1475">
              <w:rPr>
                <w:sz w:val="20"/>
                <w:szCs w:val="20"/>
              </w:rPr>
              <w:t xml:space="preserve">technical assistance in support of </w:t>
            </w:r>
            <w:r>
              <w:rPr>
                <w:sz w:val="20"/>
                <w:szCs w:val="20"/>
              </w:rPr>
              <w:t xml:space="preserve">the appraisal and, where applicable, </w:t>
            </w:r>
            <w:r w:rsidRPr="003E1475">
              <w:rPr>
                <w:sz w:val="20"/>
                <w:szCs w:val="20"/>
              </w:rPr>
              <w:t>further development of ProDEP.</w:t>
            </w:r>
            <w:r w:rsidR="002010DB">
              <w:rPr>
                <w:sz w:val="20"/>
                <w:szCs w:val="20"/>
              </w:rPr>
              <w:t xml:space="preserve"> </w:t>
            </w:r>
          </w:p>
        </w:tc>
        <w:tc>
          <w:tcPr>
            <w:tcW w:w="400" w:type="pct"/>
            <w:shd w:val="clear" w:color="auto" w:fill="FFC000"/>
            <w:vAlign w:val="center"/>
          </w:tcPr>
          <w:p w:rsidR="002C3049" w:rsidRPr="0069023F" w:rsidRDefault="002C3049" w:rsidP="00BE4367">
            <w:pPr>
              <w:spacing w:before="0" w:after="0"/>
              <w:jc w:val="center"/>
              <w:rPr>
                <w:sz w:val="20"/>
                <w:szCs w:val="20"/>
              </w:rPr>
            </w:pPr>
            <w:r>
              <w:rPr>
                <w:sz w:val="20"/>
                <w:szCs w:val="20"/>
              </w:rPr>
              <w:t>**</w:t>
            </w:r>
          </w:p>
        </w:tc>
        <w:tc>
          <w:tcPr>
            <w:tcW w:w="660" w:type="pct"/>
            <w:vAlign w:val="center"/>
          </w:tcPr>
          <w:p w:rsidR="002C3049" w:rsidRPr="0069023F" w:rsidRDefault="002C3049" w:rsidP="00EC36D2">
            <w:pPr>
              <w:spacing w:before="0" w:after="0"/>
              <w:rPr>
                <w:sz w:val="20"/>
                <w:szCs w:val="20"/>
              </w:rPr>
            </w:pPr>
            <w:r>
              <w:rPr>
                <w:sz w:val="20"/>
                <w:szCs w:val="20"/>
              </w:rPr>
              <w:t>DFAT</w:t>
            </w:r>
          </w:p>
        </w:tc>
      </w:tr>
    </w:tbl>
    <w:p w:rsidR="00DC41F6" w:rsidRPr="00851EC7" w:rsidRDefault="002C3049" w:rsidP="00775568">
      <w:pPr>
        <w:rPr>
          <w:bCs/>
          <w:iCs/>
        </w:rPr>
      </w:pPr>
      <w:r w:rsidRPr="00D20962">
        <w:t>NB: Red (***) - high urgency; orange (**) - medium urgency; green (*) - low urgency</w:t>
      </w:r>
      <w:r w:rsidR="00DC41F6" w:rsidRPr="00851EC7">
        <w:rPr>
          <w:bCs/>
          <w:iCs/>
        </w:rPr>
        <w:br w:type="page"/>
      </w:r>
    </w:p>
    <w:p w:rsidR="00F6127C" w:rsidRPr="00851EC7" w:rsidRDefault="00F6127C" w:rsidP="00775568">
      <w:pPr>
        <w:sectPr w:rsidR="00F6127C" w:rsidRPr="00851EC7" w:rsidSect="00A943BB">
          <w:pgSz w:w="16834" w:h="11909" w:orient="landscape" w:code="9"/>
          <w:pgMar w:top="1440" w:right="1440" w:bottom="1440" w:left="1440" w:header="432" w:footer="720" w:gutter="0"/>
          <w:cols w:space="720"/>
          <w:noEndnote/>
          <w:docGrid w:linePitch="360"/>
        </w:sectPr>
      </w:pPr>
    </w:p>
    <w:p w:rsidR="003F2A50" w:rsidRPr="00851EC7" w:rsidRDefault="003F2A50" w:rsidP="003F2A50">
      <w:pPr>
        <w:pStyle w:val="Heading1"/>
      </w:pPr>
      <w:bookmarkStart w:id="61" w:name="_Toc448156327"/>
      <w:r w:rsidRPr="00851EC7">
        <w:lastRenderedPageBreak/>
        <w:t xml:space="preserve">Component </w:t>
      </w:r>
      <w:r w:rsidR="00823B4D">
        <w:t>3</w:t>
      </w:r>
      <w:r w:rsidRPr="00851EC7">
        <w:t xml:space="preserve">: </w:t>
      </w:r>
      <w:r w:rsidR="00823B4D">
        <w:t>Islamic School Accreditation</w:t>
      </w:r>
      <w:bookmarkEnd w:id="61"/>
    </w:p>
    <w:p w:rsidR="003F2A50" w:rsidRPr="00851EC7" w:rsidRDefault="003F2A50" w:rsidP="003F2A50">
      <w:pPr>
        <w:pStyle w:val="Heading2"/>
      </w:pPr>
      <w:r w:rsidRPr="00851EC7">
        <w:t xml:space="preserve">Introduction </w:t>
      </w:r>
    </w:p>
    <w:p w:rsidR="003F2A50" w:rsidRDefault="003F2A50" w:rsidP="003F2A50">
      <w:pPr>
        <w:pStyle w:val="Heading3"/>
      </w:pPr>
      <w:r w:rsidRPr="00851EC7">
        <w:t xml:space="preserve">The EP investment </w:t>
      </w:r>
    </w:p>
    <w:p w:rsidR="00D3070C" w:rsidRDefault="00D3070C" w:rsidP="00D3070C">
      <w:r>
        <w:t xml:space="preserve">Component 3 of the EP seeks to improve the quality of </w:t>
      </w:r>
      <w:r w:rsidR="004729E4">
        <w:t>Madrasah</w:t>
      </w:r>
      <w:r>
        <w:t xml:space="preserve"> service provision in line with National Education Standards (NES) in targeted districts (see Figure 3). Specifically, Component 3 was designed to support the Ministry of Religious Affairs (MoRA) to achieve one of its R</w:t>
      </w:r>
      <w:r w:rsidR="000878B0">
        <w:t>enstra</w:t>
      </w:r>
      <w:r>
        <w:t xml:space="preserve"> targets: that all </w:t>
      </w:r>
      <w:r w:rsidR="004729E4">
        <w:t>Madrasah</w:t>
      </w:r>
      <w:r>
        <w:t xml:space="preserve"> are accredited against the NES, with a minimum of 50% at Level ‘B’, by the end of the 2014-2015 academic year. In turn, the EP is expected to contribute to improvements in the quality of </w:t>
      </w:r>
      <w:r w:rsidR="004729E4">
        <w:t>Madrasah</w:t>
      </w:r>
      <w:r>
        <w:t xml:space="preserve"> education services.</w:t>
      </w:r>
    </w:p>
    <w:p w:rsidR="00D3070C" w:rsidRDefault="00D3070C" w:rsidP="00D3070C">
      <w:pPr>
        <w:pStyle w:val="Caption-Figure"/>
      </w:pPr>
      <w:bookmarkStart w:id="62" w:name="_Ref447915968"/>
      <w:bookmarkStart w:id="63" w:name="_Toc448145928"/>
      <w:r>
        <w:t xml:space="preserve">Figure </w:t>
      </w:r>
      <w:r>
        <w:fldChar w:fldCharType="begin"/>
      </w:r>
      <w:r>
        <w:instrText xml:space="preserve"> SEQ Figure \* ARABIC </w:instrText>
      </w:r>
      <w:r>
        <w:fldChar w:fldCharType="separate"/>
      </w:r>
      <w:r w:rsidR="00693E96">
        <w:rPr>
          <w:noProof/>
        </w:rPr>
        <w:t>3</w:t>
      </w:r>
      <w:r>
        <w:fldChar w:fldCharType="end"/>
      </w:r>
      <w:bookmarkEnd w:id="62"/>
      <w:r w:rsidR="0078589C">
        <w:t>:</w:t>
      </w:r>
      <w:r w:rsidRPr="005C30EA">
        <w:t xml:space="preserve"> </w:t>
      </w:r>
      <w:r>
        <w:t>C3 logic architecture</w:t>
      </w:r>
      <w:bookmarkEnd w:id="63"/>
    </w:p>
    <w:p w:rsidR="00D3070C" w:rsidRDefault="00D3070C" w:rsidP="00D3070C">
      <w:pPr>
        <w:jc w:val="center"/>
        <w:rPr>
          <w:rFonts w:asciiTheme="minorHAnsi" w:hAnsiTheme="minorHAnsi" w:cstheme="minorHAnsi"/>
          <w:bCs/>
          <w:iCs/>
        </w:rPr>
      </w:pPr>
      <w:r>
        <w:rPr>
          <w:noProof/>
          <w:lang w:eastAsia="en-AU"/>
        </w:rPr>
        <w:drawing>
          <wp:inline distT="0" distB="0" distL="0" distR="0" wp14:anchorId="1791CA89" wp14:editId="4F13978D">
            <wp:extent cx="3076575" cy="26193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6575" cy="2619375"/>
                    </a:xfrm>
                    <a:prstGeom prst="rect">
                      <a:avLst/>
                    </a:prstGeom>
                    <a:noFill/>
                    <a:ln>
                      <a:noFill/>
                    </a:ln>
                  </pic:spPr>
                </pic:pic>
              </a:graphicData>
            </a:graphic>
          </wp:inline>
        </w:drawing>
      </w:r>
    </w:p>
    <w:p w:rsidR="00D3070C" w:rsidRDefault="00D3070C" w:rsidP="00D3070C">
      <w:pPr>
        <w:rPr>
          <w:rFonts w:cstheme="minorHAnsi"/>
          <w:bCs/>
          <w:iCs/>
        </w:rPr>
      </w:pPr>
      <w:r>
        <w:rPr>
          <w:rFonts w:cstheme="minorHAnsi"/>
          <w:bCs/>
          <w:iCs/>
        </w:rPr>
        <w:t>The EP investment is deemed to be important for a number of reasons:</w:t>
      </w:r>
    </w:p>
    <w:p w:rsidR="00D3070C" w:rsidRDefault="00D3070C" w:rsidP="00B14021">
      <w:pPr>
        <w:numPr>
          <w:ilvl w:val="0"/>
          <w:numId w:val="22"/>
        </w:numPr>
        <w:contextualSpacing/>
        <w:rPr>
          <w:rFonts w:eastAsia="Calibri" w:cstheme="minorHAnsi"/>
          <w:bCs/>
          <w:iCs/>
        </w:rPr>
      </w:pPr>
      <w:r>
        <w:rPr>
          <w:rFonts w:eastAsia="Calibri" w:cstheme="minorHAnsi"/>
          <w:bCs/>
          <w:iCs/>
        </w:rPr>
        <w:t xml:space="preserve">Madrasah provide education services to an estimated </w:t>
      </w:r>
      <w:r w:rsidR="00CA192B">
        <w:rPr>
          <w:rFonts w:eastAsia="Calibri" w:cstheme="minorHAnsi"/>
          <w:bCs/>
          <w:iCs/>
        </w:rPr>
        <w:t>13.2</w:t>
      </w:r>
      <w:r>
        <w:rPr>
          <w:rFonts w:eastAsia="Calibri" w:cstheme="minorHAnsi"/>
          <w:bCs/>
          <w:iCs/>
        </w:rPr>
        <w:t>% of the primary and secondary school age population</w:t>
      </w:r>
      <w:r>
        <w:rPr>
          <w:rFonts w:ascii="Times New Roman" w:eastAsia="Calibri" w:hAnsi="Times New Roman" w:cstheme="minorHAnsi"/>
          <w:bCs/>
          <w:iCs/>
          <w:vertAlign w:val="superscript"/>
        </w:rPr>
        <w:footnoteReference w:id="71"/>
      </w:r>
      <w:r>
        <w:rPr>
          <w:rFonts w:eastAsia="Calibri" w:cstheme="minorHAnsi"/>
          <w:bCs/>
          <w:iCs/>
        </w:rPr>
        <w:t>. They are also one of the main providers of education in less advantaged communities.</w:t>
      </w:r>
    </w:p>
    <w:p w:rsidR="00D3070C" w:rsidRDefault="00D3070C" w:rsidP="00B14021">
      <w:pPr>
        <w:numPr>
          <w:ilvl w:val="0"/>
          <w:numId w:val="22"/>
        </w:numPr>
        <w:contextualSpacing/>
        <w:rPr>
          <w:rFonts w:eastAsia="Calibri" w:cstheme="minorHAnsi"/>
          <w:bCs/>
          <w:iCs/>
        </w:rPr>
      </w:pPr>
      <w:r>
        <w:rPr>
          <w:rFonts w:eastAsia="Calibri" w:cstheme="minorHAnsi"/>
          <w:bCs/>
          <w:iCs/>
        </w:rPr>
        <w:t xml:space="preserve">There are an estimated 38,315 </w:t>
      </w:r>
      <w:r w:rsidR="004729E4">
        <w:rPr>
          <w:rFonts w:eastAsia="Calibri" w:cstheme="minorHAnsi"/>
          <w:bCs/>
          <w:iCs/>
        </w:rPr>
        <w:t>Madrasah</w:t>
      </w:r>
      <w:r>
        <w:rPr>
          <w:rFonts w:eastAsia="Calibri" w:cstheme="minorHAnsi"/>
          <w:bCs/>
          <w:iCs/>
        </w:rPr>
        <w:t xml:space="preserve"> (MI and MTs), of which 92% are private</w:t>
      </w:r>
      <w:r w:rsidRPr="002510D1">
        <w:rPr>
          <w:rStyle w:val="EndnoteReference"/>
          <w:rFonts w:eastAsia="Calibri"/>
        </w:rPr>
        <w:endnoteReference w:id="43"/>
      </w:r>
      <w:r>
        <w:rPr>
          <w:rFonts w:eastAsia="Calibri" w:cstheme="minorHAnsi"/>
          <w:bCs/>
          <w:iCs/>
        </w:rPr>
        <w:t xml:space="preserve">. </w:t>
      </w:r>
    </w:p>
    <w:p w:rsidR="00D3070C" w:rsidRDefault="00D3070C" w:rsidP="00B14021">
      <w:pPr>
        <w:numPr>
          <w:ilvl w:val="0"/>
          <w:numId w:val="22"/>
        </w:numPr>
        <w:contextualSpacing/>
        <w:rPr>
          <w:rFonts w:eastAsia="Calibri" w:cstheme="minorHAnsi"/>
          <w:bCs/>
          <w:iCs/>
        </w:rPr>
      </w:pPr>
      <w:r>
        <w:rPr>
          <w:rFonts w:eastAsia="Calibri" w:cstheme="minorHAnsi"/>
          <w:bCs/>
          <w:iCs/>
        </w:rPr>
        <w:t>There are significant disparities in the quality of education between public schools/</w:t>
      </w:r>
      <w:r w:rsidR="004729E4">
        <w:rPr>
          <w:rFonts w:eastAsia="Calibri" w:cstheme="minorHAnsi"/>
          <w:bCs/>
          <w:iCs/>
        </w:rPr>
        <w:t>Madrasah</w:t>
      </w:r>
      <w:r>
        <w:rPr>
          <w:rFonts w:eastAsia="Calibri" w:cstheme="minorHAnsi"/>
          <w:bCs/>
          <w:iCs/>
        </w:rPr>
        <w:t xml:space="preserve"> and private </w:t>
      </w:r>
      <w:r w:rsidR="004729E4">
        <w:rPr>
          <w:rFonts w:eastAsia="Calibri" w:cstheme="minorHAnsi"/>
          <w:bCs/>
          <w:iCs/>
        </w:rPr>
        <w:t>Madrasah</w:t>
      </w:r>
      <w:r w:rsidRPr="002510D1">
        <w:rPr>
          <w:rStyle w:val="EndnoteReference"/>
          <w:rFonts w:eastAsia="Calibri"/>
        </w:rPr>
        <w:endnoteReference w:id="44"/>
      </w:r>
      <w:r>
        <w:rPr>
          <w:rFonts w:eastAsia="Calibri" w:cstheme="minorHAnsi"/>
          <w:bCs/>
          <w:iCs/>
        </w:rPr>
        <w:t>.</w:t>
      </w:r>
    </w:p>
    <w:p w:rsidR="00D3070C" w:rsidRDefault="00D3070C" w:rsidP="00B14021">
      <w:pPr>
        <w:numPr>
          <w:ilvl w:val="0"/>
          <w:numId w:val="22"/>
        </w:numPr>
        <w:contextualSpacing/>
        <w:rPr>
          <w:rFonts w:cstheme="minorHAnsi"/>
          <w:bCs/>
          <w:iCs/>
        </w:rPr>
      </w:pPr>
      <w:r>
        <w:rPr>
          <w:rFonts w:eastAsia="Calibri" w:cstheme="minorHAnsi"/>
        </w:rPr>
        <w:t>O</w:t>
      </w:r>
      <w:r>
        <w:rPr>
          <w:rFonts w:eastAsia="Calibri" w:cstheme="minorHAnsi"/>
          <w:bCs/>
          <w:iCs/>
        </w:rPr>
        <w:t xml:space="preserve">nly accredited </w:t>
      </w:r>
      <w:r w:rsidR="004729E4">
        <w:rPr>
          <w:rFonts w:eastAsia="Calibri" w:cstheme="minorHAnsi"/>
          <w:bCs/>
          <w:iCs/>
        </w:rPr>
        <w:t>Madrasah</w:t>
      </w:r>
      <w:r>
        <w:rPr>
          <w:rFonts w:eastAsia="Calibri" w:cstheme="minorHAnsi"/>
          <w:bCs/>
          <w:iCs/>
        </w:rPr>
        <w:t xml:space="preserve"> are permitted to have students participate in national examinations and provide graduation certificates that enable students to apply for other formal educational opportunities</w:t>
      </w:r>
      <w:r>
        <w:rPr>
          <w:rFonts w:cstheme="minorHAnsi"/>
          <w:bCs/>
          <w:iCs/>
        </w:rPr>
        <w:t>. This factor is of increased significance in the context of current GoI efforts to mainstream 12 years of universal education.</w:t>
      </w:r>
    </w:p>
    <w:p w:rsidR="00D3070C" w:rsidRDefault="00D3070C" w:rsidP="00D3070C">
      <w:pPr>
        <w:spacing w:line="120" w:lineRule="auto"/>
        <w:ind w:left="720"/>
        <w:contextualSpacing/>
        <w:rPr>
          <w:rFonts w:cstheme="minorHAnsi"/>
          <w:bCs/>
          <w:iCs/>
        </w:rPr>
      </w:pPr>
    </w:p>
    <w:p w:rsidR="00D3070C" w:rsidRDefault="00D3070C" w:rsidP="00D3070C">
      <w:pPr>
        <w:rPr>
          <w:rFonts w:cstheme="minorHAnsi"/>
          <w:bCs/>
          <w:iCs/>
        </w:rPr>
      </w:pPr>
      <w:r>
        <w:rPr>
          <w:bCs/>
        </w:rPr>
        <w:lastRenderedPageBreak/>
        <w:t xml:space="preserve">The EP supports the work of the MoRA Directorate General for Islamic Education (PENDIS) through the Directorate for Madrasah Education (PENMA). Program implementation is managed at the provincial level by </w:t>
      </w:r>
      <w:r>
        <w:rPr>
          <w:rFonts w:cstheme="minorHAnsi"/>
          <w:bCs/>
          <w:iCs/>
        </w:rPr>
        <w:t xml:space="preserve">various contracted Sub-National Implementation Partners (SNIPs). </w:t>
      </w:r>
    </w:p>
    <w:p w:rsidR="00D3070C" w:rsidRDefault="00D3070C" w:rsidP="00D3070C">
      <w:r>
        <w:rPr>
          <w:rFonts w:cstheme="minorHAnsi"/>
          <w:iCs/>
        </w:rPr>
        <w:t xml:space="preserve">Component 3 is the only component of the EP that is expected to deliver two distinct results (see </w:t>
      </w:r>
      <w:r w:rsidR="00247BAA">
        <w:rPr>
          <w:rFonts w:cstheme="minorHAnsi"/>
          <w:iCs/>
        </w:rPr>
        <w:fldChar w:fldCharType="begin"/>
      </w:r>
      <w:r w:rsidR="00247BAA">
        <w:rPr>
          <w:rFonts w:cstheme="minorHAnsi"/>
          <w:iCs/>
        </w:rPr>
        <w:instrText xml:space="preserve"> REF _Ref447915968 \h </w:instrText>
      </w:r>
      <w:r w:rsidR="00247BAA">
        <w:rPr>
          <w:rFonts w:cstheme="minorHAnsi"/>
          <w:iCs/>
        </w:rPr>
      </w:r>
      <w:r w:rsidR="00247BAA">
        <w:rPr>
          <w:rFonts w:cstheme="minorHAnsi"/>
          <w:iCs/>
        </w:rPr>
        <w:fldChar w:fldCharType="separate"/>
      </w:r>
      <w:r w:rsidR="00693E96">
        <w:t xml:space="preserve">Figure </w:t>
      </w:r>
      <w:r w:rsidR="00693E96">
        <w:rPr>
          <w:noProof/>
        </w:rPr>
        <w:t>3</w:t>
      </w:r>
      <w:r w:rsidR="00247BAA">
        <w:rPr>
          <w:rFonts w:cstheme="minorHAnsi"/>
          <w:iCs/>
        </w:rPr>
        <w:fldChar w:fldCharType="end"/>
      </w:r>
      <w:r>
        <w:rPr>
          <w:rFonts w:cstheme="minorHAnsi"/>
          <w:iCs/>
        </w:rPr>
        <w:t>).</w:t>
      </w:r>
      <w:r>
        <w:t xml:space="preserve"> The first is the preparation </w:t>
      </w:r>
      <w:r w:rsidR="004729E4">
        <w:t xml:space="preserve">for accreditation </w:t>
      </w:r>
      <w:r>
        <w:t xml:space="preserve">of approximately 1,500 </w:t>
      </w:r>
      <w:r w:rsidR="004729E4">
        <w:t>Madrasah</w:t>
      </w:r>
      <w:r>
        <w:t xml:space="preserve"> in 13 provinces (EOCO 3.1). Targeted </w:t>
      </w:r>
      <w:r w:rsidR="004729E4">
        <w:t>Madrasah</w:t>
      </w:r>
      <w:r>
        <w:t xml:space="preserve"> receive technical assistance and support from contracted SNIPs in each province, in addition to financial support in the form of Block Grants of AUD 10,000. A smaller number (n = 132) of additional </w:t>
      </w:r>
      <w:r>
        <w:rPr>
          <w:i/>
        </w:rPr>
        <w:t xml:space="preserve">non-targeted </w:t>
      </w:r>
      <w:r w:rsidR="004729E4">
        <w:t>Madrasah</w:t>
      </w:r>
      <w:r>
        <w:t xml:space="preserve"> have also been incorporated into EOCO 3.1 activities. These institutions have been beneficiaries of SNIP training and technical assistance only (i.e. they did not receive Block Grants)</w:t>
      </w:r>
      <w:r w:rsidR="004729E4">
        <w:t>.</w:t>
      </w:r>
      <w:r>
        <w:t xml:space="preserve"> The selection of non-targeted </w:t>
      </w:r>
      <w:r w:rsidR="004729E4">
        <w:t>Madrasah</w:t>
      </w:r>
      <w:r>
        <w:t xml:space="preserve"> was at the discretion of SNIP and based on the condition that they met requirements for support (i.e. passed the verification assessment conducted during scoping exercises), and exhibited sufficient capacity and independence to respond positively to a ‘training-only’ support package. </w:t>
      </w:r>
    </w:p>
    <w:p w:rsidR="00D3070C" w:rsidRDefault="00D3070C" w:rsidP="00D3070C">
      <w:pPr>
        <w:rPr>
          <w:rFonts w:ascii="Times New Roman" w:eastAsiaTheme="minorHAnsi" w:hAnsi="Times New Roman" w:cs="Times New Roman"/>
          <w:sz w:val="24"/>
          <w:szCs w:val="24"/>
          <w:lang w:eastAsia="en-AU"/>
        </w:rPr>
      </w:pPr>
      <w:r>
        <w:t>The second result expected of C3 – approved in early 2014 during a revision of the EP logic architecture – is the strengthening of systems for the purposes of expanding and sustaining improvements in the quality</w:t>
      </w:r>
      <w:r w:rsidR="004729E4">
        <w:t xml:space="preserve"> of</w:t>
      </w:r>
      <w:r>
        <w:t xml:space="preserve"> </w:t>
      </w:r>
      <w:r w:rsidR="004729E4">
        <w:t>Madrasah</w:t>
      </w:r>
      <w:r>
        <w:t xml:space="preserve"> service provision (EOCO 3.2). EOCO 3.2 requires a program of work that </w:t>
      </w:r>
      <w:r>
        <w:rPr>
          <w:rFonts w:cstheme="minorHAnsi"/>
        </w:rPr>
        <w:t xml:space="preserve">tests and promotes a system-wide model for strengthening </w:t>
      </w:r>
      <w:r w:rsidR="004729E4">
        <w:rPr>
          <w:rFonts w:cstheme="minorHAnsi"/>
        </w:rPr>
        <w:t>Madrasah</w:t>
      </w:r>
      <w:r>
        <w:rPr>
          <w:rFonts w:cstheme="minorHAnsi"/>
        </w:rPr>
        <w:t xml:space="preserve"> quality. This has included the promotion of district government funding mechanisms</w:t>
      </w:r>
      <w:r>
        <w:rPr>
          <w:rFonts w:eastAsia="Calibri" w:cstheme="minorHAnsi"/>
          <w:iCs/>
        </w:rPr>
        <w:t xml:space="preserve"> for private </w:t>
      </w:r>
      <w:r w:rsidR="004729E4">
        <w:rPr>
          <w:rFonts w:eastAsia="Calibri" w:cstheme="minorHAnsi"/>
          <w:iCs/>
        </w:rPr>
        <w:t>Madrasah</w:t>
      </w:r>
      <w:r>
        <w:rPr>
          <w:rFonts w:eastAsia="Calibri" w:cstheme="minorHAnsi"/>
          <w:iCs/>
        </w:rPr>
        <w:t>, support to MoRA in the design of scaled-up accreditation programs funded through the state budget, and the promotion of the C3 SNIP-Mentor- Madrasah ‘system’ of continuous quality improvement.</w:t>
      </w:r>
      <w:r>
        <w:rPr>
          <w:rFonts w:ascii="Times New Roman" w:hAnsi="Times New Roman" w:cs="Times New Roman"/>
          <w:sz w:val="24"/>
          <w:szCs w:val="24"/>
          <w:lang w:eastAsia="en-AU"/>
        </w:rPr>
        <w:t xml:space="preserve"> </w:t>
      </w:r>
    </w:p>
    <w:p w:rsidR="003F2A50" w:rsidRDefault="003F2A50" w:rsidP="003F2A50">
      <w:pPr>
        <w:pStyle w:val="Heading3"/>
      </w:pPr>
      <w:r w:rsidRPr="00851EC7">
        <w:t>The delivery mechanisms and support provided by the EP</w:t>
      </w:r>
    </w:p>
    <w:p w:rsidR="00D3070C" w:rsidRDefault="00D3070C" w:rsidP="00D3070C">
      <w:r>
        <w:t>C3 activities are managed and implemented by the SSQ managing contractor in close collaboration with the Directorate for Madrasah Education and relevant sub-directorates, the Bureau of Planning, , and the Provincial (</w:t>
      </w:r>
      <w:r>
        <w:rPr>
          <w:i/>
        </w:rPr>
        <w:t>Kanwil</w:t>
      </w:r>
      <w:r>
        <w:t>) and District (</w:t>
      </w:r>
      <w:r>
        <w:rPr>
          <w:i/>
        </w:rPr>
        <w:t>Kandep</w:t>
      </w:r>
      <w:r>
        <w:t xml:space="preserve">) Offices of MoRA. Block Grants are transferred directly to SNIPs and targeted </w:t>
      </w:r>
      <w:r w:rsidR="004729E4">
        <w:t>Madrasah</w:t>
      </w:r>
      <w:r>
        <w:t xml:space="preserve"> by the SSQ managing contractor. Technical assistance is provided by the SSQ managing contractor directly to MoRA (national, provincial and district) and to the contracted SNIPs. SNIPs facilitate the delivery of training programs and provide technical assistance, primarily in the form of mentoring to </w:t>
      </w:r>
      <w:r w:rsidR="004729E4">
        <w:t>Madrasah</w:t>
      </w:r>
      <w:r>
        <w:t>.</w:t>
      </w:r>
    </w:p>
    <w:p w:rsidR="003F2A50" w:rsidRDefault="003F2A50" w:rsidP="003F2A50">
      <w:pPr>
        <w:pStyle w:val="Heading2"/>
      </w:pPr>
      <w:r w:rsidRPr="00851EC7">
        <w:t>Context</w:t>
      </w:r>
    </w:p>
    <w:p w:rsidR="00D3070C" w:rsidRDefault="00D3070C" w:rsidP="00D3070C">
      <w:r>
        <w:t xml:space="preserve">The context in which C3 operated was relatively unchanged in 2015. The program remained largely unaffected by a significant reformulation of GoA’s overseas aid framework and related reductions in spending on Indonesian programs </w:t>
      </w:r>
      <w:r w:rsidRPr="00985389">
        <w:t xml:space="preserve">(see Section </w:t>
      </w:r>
      <w:r w:rsidR="00467730" w:rsidRPr="00985389">
        <w:fldChar w:fldCharType="begin"/>
      </w:r>
      <w:r w:rsidR="00467730" w:rsidRPr="00985389">
        <w:instrText xml:space="preserve"> REF _Ref447916857 \w \h </w:instrText>
      </w:r>
      <w:r w:rsidR="00985389">
        <w:instrText xml:space="preserve"> \* MERGEFORMAT </w:instrText>
      </w:r>
      <w:r w:rsidR="00467730" w:rsidRPr="00985389">
        <w:fldChar w:fldCharType="separate"/>
      </w:r>
      <w:r w:rsidR="00693E96" w:rsidRPr="00985389">
        <w:t>6.3</w:t>
      </w:r>
      <w:r w:rsidR="00467730" w:rsidRPr="00985389">
        <w:fldChar w:fldCharType="end"/>
      </w:r>
      <w:r w:rsidRPr="00985389">
        <w:t>).</w:t>
      </w:r>
    </w:p>
    <w:p w:rsidR="00D3070C" w:rsidRDefault="00D3070C" w:rsidP="00D3070C">
      <w:r>
        <w:t>The GoI continued to support C3 activities throughout 2015. The new MoRA Strategic Plan (</w:t>
      </w:r>
      <w:r w:rsidR="00994307" w:rsidRPr="0069023F">
        <w:rPr>
          <w:i/>
        </w:rPr>
        <w:t>Renstra</w:t>
      </w:r>
      <w:r>
        <w:t>) for 2015-2019 was developed during 2015. The plan</w:t>
      </w:r>
      <w:r>
        <w:rPr>
          <w:rFonts w:cs="Arial Narrow"/>
        </w:rPr>
        <w:t xml:space="preserve"> includes ongoing commitments to private </w:t>
      </w:r>
      <w:r w:rsidR="004729E4">
        <w:rPr>
          <w:rFonts w:cs="Arial Narrow"/>
        </w:rPr>
        <w:t>Madrasah</w:t>
      </w:r>
      <w:r>
        <w:rPr>
          <w:rFonts w:cs="Arial Narrow"/>
        </w:rPr>
        <w:t xml:space="preserve"> accreditation</w:t>
      </w:r>
      <w:r>
        <w:rPr>
          <w:rStyle w:val="FootnoteReference"/>
          <w:rFonts w:cs="Arial Narrow"/>
          <w:bCs/>
        </w:rPr>
        <w:footnoteReference w:id="72"/>
      </w:r>
      <w:r>
        <w:rPr>
          <w:rFonts w:cs="Arial Narrow"/>
        </w:rPr>
        <w:t xml:space="preserve">. The </w:t>
      </w:r>
      <w:r w:rsidRPr="0079566A">
        <w:rPr>
          <w:rFonts w:cs="Arial Narrow"/>
          <w:i/>
        </w:rPr>
        <w:t>R</w:t>
      </w:r>
      <w:r w:rsidR="00655B30" w:rsidRPr="0079566A">
        <w:rPr>
          <w:rFonts w:cs="Arial Narrow"/>
          <w:i/>
        </w:rPr>
        <w:t>enstra</w:t>
      </w:r>
      <w:r>
        <w:rPr>
          <w:rFonts w:cs="Arial Narrow"/>
        </w:rPr>
        <w:t xml:space="preserve"> also included targets for MDC</w:t>
      </w:r>
      <w:r>
        <w:rPr>
          <w:rStyle w:val="FootnoteReference"/>
          <w:rFonts w:cs="Arial Narrow"/>
          <w:bCs/>
        </w:rPr>
        <w:footnoteReference w:id="73"/>
      </w:r>
      <w:r>
        <w:rPr>
          <w:rFonts w:cs="Arial Narrow"/>
        </w:rPr>
        <w:t xml:space="preserve"> development, thereby </w:t>
      </w:r>
      <w:r>
        <w:rPr>
          <w:rFonts w:cs="Arial Narrow"/>
        </w:rPr>
        <w:lastRenderedPageBreak/>
        <w:t>opening the way for these provincial level entities to receive routine funding from the state budget upon the finalisation of implementing regulations.</w:t>
      </w:r>
    </w:p>
    <w:p w:rsidR="00D3070C" w:rsidRDefault="00D3070C" w:rsidP="00D3070C">
      <w:r>
        <w:t>The context for C3 activities at the provincial level also exhibited a strong degree of continuity in 2015. Four of the seven SNIP</w:t>
      </w:r>
      <w:r w:rsidR="00655B30">
        <w:t>s</w:t>
      </w:r>
      <w:r>
        <w:t xml:space="preserve"> engaged for Phase 3 (October 2014 – December 2015) had participated in one or two of the preceding phases of the program. This previous experience resulted in improved levels of SNIP efficiency during Phase 3</w:t>
      </w:r>
      <w:r w:rsidRPr="002510D1">
        <w:rPr>
          <w:rStyle w:val="EndnoteReference"/>
        </w:rPr>
        <w:endnoteReference w:id="45"/>
      </w:r>
      <w:r>
        <w:t>. This, in turn, created space for the allocation of additional assistance for new SNIP</w:t>
      </w:r>
      <w:r w:rsidR="00655B30">
        <w:t>s</w:t>
      </w:r>
      <w:r>
        <w:t xml:space="preserve"> in Riau, </w:t>
      </w:r>
      <w:r w:rsidR="00655B30">
        <w:t xml:space="preserve">in </w:t>
      </w:r>
      <w:r>
        <w:t xml:space="preserve">West Java and </w:t>
      </w:r>
      <w:r w:rsidR="00655B30">
        <w:t xml:space="preserve">in </w:t>
      </w:r>
      <w:r>
        <w:t xml:space="preserve">West Kalimantan and </w:t>
      </w:r>
      <w:r w:rsidR="00655B30">
        <w:t xml:space="preserve">for </w:t>
      </w:r>
      <w:r>
        <w:t xml:space="preserve">refresher programs for Phase 2 </w:t>
      </w:r>
      <w:r w:rsidR="004729E4">
        <w:t>Madrasah</w:t>
      </w:r>
      <w:r>
        <w:t xml:space="preserve"> that were scheduled for assessment visitations in 2015.</w:t>
      </w:r>
    </w:p>
    <w:p w:rsidR="00D3070C" w:rsidRDefault="00D3070C" w:rsidP="00D3070C">
      <w:pPr>
        <w:rPr>
          <w:rFonts w:ascii="Times New Roman" w:eastAsiaTheme="minorHAnsi" w:hAnsi="Times New Roman" w:cs="Times New Roman"/>
          <w:sz w:val="24"/>
          <w:szCs w:val="24"/>
          <w:lang w:eastAsia="en-AU"/>
        </w:rPr>
      </w:pPr>
      <w:r>
        <w:rPr>
          <w:bCs/>
        </w:rPr>
        <w:t xml:space="preserve">The Grand Design has not yet significantly affected the MoRA landscape in terms of its strategic priorities. </w:t>
      </w:r>
      <w:r>
        <w:rPr>
          <w:lang w:val="en-US"/>
        </w:rPr>
        <w:t xml:space="preserve">The original expectation was that the Grand Design would inform the design and content of the 2015-2019 </w:t>
      </w:r>
      <w:r w:rsidRPr="0079566A">
        <w:rPr>
          <w:i/>
          <w:lang w:val="en-US"/>
        </w:rPr>
        <w:t>R</w:t>
      </w:r>
      <w:r w:rsidR="00655B30" w:rsidRPr="0079566A">
        <w:rPr>
          <w:i/>
          <w:lang w:val="en-US"/>
        </w:rPr>
        <w:t>enstra</w:t>
      </w:r>
      <w:r>
        <w:rPr>
          <w:lang w:val="en-US"/>
        </w:rPr>
        <w:t xml:space="preserve">. With the </w:t>
      </w:r>
      <w:r w:rsidR="0079566A" w:rsidRPr="0079566A">
        <w:rPr>
          <w:i/>
          <w:lang w:val="en-US"/>
        </w:rPr>
        <w:t>Renstra</w:t>
      </w:r>
      <w:r>
        <w:rPr>
          <w:lang w:val="en-US"/>
        </w:rPr>
        <w:t xml:space="preserve"> preceding the Grand Design in order of production, the latter was repositioned as a ‘road-map’ for </w:t>
      </w:r>
      <w:r w:rsidR="0079566A" w:rsidRPr="0079566A">
        <w:rPr>
          <w:i/>
          <w:lang w:val="en-US"/>
        </w:rPr>
        <w:t>Renstra</w:t>
      </w:r>
      <w:r>
        <w:rPr>
          <w:lang w:val="en-US"/>
        </w:rPr>
        <w:t xml:space="preserve"> implementation. At the time of writing, the question of how the Grand Design road map might shape </w:t>
      </w:r>
      <w:r w:rsidR="0079566A" w:rsidRPr="0079566A">
        <w:rPr>
          <w:i/>
          <w:lang w:val="en-US"/>
        </w:rPr>
        <w:t>Renstra</w:t>
      </w:r>
      <w:r>
        <w:rPr>
          <w:lang w:val="en-US"/>
        </w:rPr>
        <w:t xml:space="preserve"> implementation was still the subject of ongoing discussions between MoRA and DFAT</w:t>
      </w:r>
      <w:r w:rsidRPr="002510D1">
        <w:rPr>
          <w:rStyle w:val="EndnoteReference"/>
        </w:rPr>
        <w:endnoteReference w:id="46"/>
      </w:r>
      <w:r>
        <w:rPr>
          <w:lang w:val="en-US"/>
        </w:rPr>
        <w:t>.</w:t>
      </w:r>
      <w:r w:rsidR="002010DB">
        <w:rPr>
          <w:lang w:val="en-US"/>
        </w:rPr>
        <w:t xml:space="preserve"> </w:t>
      </w:r>
    </w:p>
    <w:p w:rsidR="003F2A50" w:rsidRDefault="003F2A50" w:rsidP="003F2A50">
      <w:pPr>
        <w:pStyle w:val="Heading2"/>
      </w:pPr>
      <w:r w:rsidRPr="00851EC7">
        <w:t>Achievements</w:t>
      </w:r>
    </w:p>
    <w:p w:rsidR="00D3070C" w:rsidRDefault="00D3070C" w:rsidP="00D3070C">
      <w:pPr>
        <w:pStyle w:val="Heading3"/>
      </w:pPr>
      <w:r>
        <w:t>With regards to EOCO 3.1</w:t>
      </w:r>
    </w:p>
    <w:p w:rsidR="00D3070C" w:rsidRDefault="00D3070C" w:rsidP="00D3070C">
      <w:pPr>
        <w:rPr>
          <w:bCs/>
        </w:rPr>
      </w:pPr>
      <w:r>
        <w:rPr>
          <w:bCs/>
        </w:rPr>
        <w:t xml:space="preserve">To date C3 has supported 1,500 targeted </w:t>
      </w:r>
      <w:r w:rsidR="004729E4">
        <w:rPr>
          <w:bCs/>
        </w:rPr>
        <w:t>Madrasah</w:t>
      </w:r>
      <w:r>
        <w:rPr>
          <w:bCs/>
        </w:rPr>
        <w:t xml:space="preserve"> and 132 non-targeted </w:t>
      </w:r>
      <w:r w:rsidR="004729E4">
        <w:rPr>
          <w:bCs/>
        </w:rPr>
        <w:t>Madrasah</w:t>
      </w:r>
      <w:r>
        <w:rPr>
          <w:bCs/>
        </w:rPr>
        <w:t xml:space="preserve"> for accreditation preparation. The final phase of the program involved 416 targeted </w:t>
      </w:r>
      <w:r w:rsidR="004729E4">
        <w:rPr>
          <w:bCs/>
        </w:rPr>
        <w:t>Madrasah</w:t>
      </w:r>
      <w:r>
        <w:rPr>
          <w:bCs/>
        </w:rPr>
        <w:t xml:space="preserve"> only</w:t>
      </w:r>
      <w:r>
        <w:rPr>
          <w:rStyle w:val="FootnoteReference"/>
          <w:bCs/>
        </w:rPr>
        <w:footnoteReference w:id="74"/>
      </w:r>
      <w:r>
        <w:rPr>
          <w:bCs/>
        </w:rPr>
        <w:t xml:space="preserve">. Accreditation assessment outcomes for the final phase were very high, with </w:t>
      </w:r>
      <w:r>
        <w:rPr>
          <w:rFonts w:cs="Arial"/>
          <w:shd w:val="clear" w:color="auto" w:fill="FFFFFF"/>
        </w:rPr>
        <w:t xml:space="preserve">96% of </w:t>
      </w:r>
      <w:r w:rsidR="004729E4">
        <w:rPr>
          <w:rFonts w:cs="Arial"/>
          <w:shd w:val="clear" w:color="auto" w:fill="FFFFFF"/>
        </w:rPr>
        <w:t>Madrasah</w:t>
      </w:r>
      <w:r>
        <w:rPr>
          <w:rFonts w:cs="Arial"/>
          <w:shd w:val="clear" w:color="auto" w:fill="FFFFFF"/>
        </w:rPr>
        <w:t xml:space="preserve"> attaining an A or B ranking</w:t>
      </w:r>
      <w:r>
        <w:rPr>
          <w:rStyle w:val="FootnoteReference"/>
          <w:rFonts w:cs="Arial"/>
          <w:shd w:val="clear" w:color="auto" w:fill="FFFFFF"/>
        </w:rPr>
        <w:footnoteReference w:id="75"/>
      </w:r>
      <w:r>
        <w:rPr>
          <w:rFonts w:cs="Arial"/>
          <w:shd w:val="clear" w:color="auto" w:fill="FFFFFF"/>
        </w:rPr>
        <w:t xml:space="preserve">. Results were particularly impressive given the fact that </w:t>
      </w:r>
      <w:r>
        <w:rPr>
          <w:bCs/>
        </w:rPr>
        <w:t xml:space="preserve">changes to BAN-S/M timetables in 2015 had reduced the time available for accreditation preparation training and negotiations with provincial governments for the purpose of securing funds for assessment visitations. While the new assessment schedule </w:t>
      </w:r>
      <w:r w:rsidR="00CA192B">
        <w:rPr>
          <w:bCs/>
        </w:rPr>
        <w:t xml:space="preserve">potentially </w:t>
      </w:r>
      <w:r>
        <w:rPr>
          <w:bCs/>
        </w:rPr>
        <w:t xml:space="preserve">compromised the ability of C3 to achieve accreditation targets for Phase 3, the </w:t>
      </w:r>
      <w:r w:rsidR="00655B30">
        <w:rPr>
          <w:bCs/>
        </w:rPr>
        <w:t xml:space="preserve">response of the </w:t>
      </w:r>
      <w:r>
        <w:rPr>
          <w:bCs/>
        </w:rPr>
        <w:t xml:space="preserve">SSQ managing contractor was </w:t>
      </w:r>
      <w:r w:rsidR="00655B30">
        <w:rPr>
          <w:bCs/>
        </w:rPr>
        <w:t xml:space="preserve">both </w:t>
      </w:r>
      <w:r>
        <w:rPr>
          <w:bCs/>
        </w:rPr>
        <w:t>timely and appropriate</w:t>
      </w:r>
      <w:r>
        <w:rPr>
          <w:rStyle w:val="FootnoteReference"/>
          <w:bCs/>
        </w:rPr>
        <w:footnoteReference w:id="76"/>
      </w:r>
      <w:r>
        <w:rPr>
          <w:bCs/>
        </w:rPr>
        <w:t xml:space="preserve">. </w:t>
      </w:r>
    </w:p>
    <w:p w:rsidR="004128A2" w:rsidRDefault="004128A2">
      <w:pPr>
        <w:spacing w:before="0" w:after="0" w:line="240" w:lineRule="auto"/>
        <w:jc w:val="left"/>
        <w:rPr>
          <w:b/>
          <w:lang w:val="en-GB"/>
        </w:rPr>
      </w:pPr>
      <w:bookmarkStart w:id="64" w:name="_Ref379641308"/>
      <w:bookmarkStart w:id="65" w:name="_Toc412534584"/>
      <w:r>
        <w:br w:type="page"/>
      </w:r>
    </w:p>
    <w:p w:rsidR="00D3070C" w:rsidRPr="007844FE" w:rsidRDefault="00D3070C" w:rsidP="007844FE">
      <w:pPr>
        <w:pStyle w:val="Caption-Table"/>
      </w:pPr>
      <w:bookmarkStart w:id="66" w:name="_Toc450131634"/>
      <w:r w:rsidRPr="00D20962">
        <w:lastRenderedPageBreak/>
        <w:t xml:space="preserve">Table </w:t>
      </w:r>
      <w:r w:rsidRPr="00D20962">
        <w:fldChar w:fldCharType="begin"/>
      </w:r>
      <w:r w:rsidRPr="00D20962">
        <w:instrText xml:space="preserve"> SEQ Table \* ARABIC </w:instrText>
      </w:r>
      <w:r w:rsidRPr="00D20962">
        <w:fldChar w:fldCharType="separate"/>
      </w:r>
      <w:r w:rsidR="00EC36D2">
        <w:rPr>
          <w:noProof/>
        </w:rPr>
        <w:t>13</w:t>
      </w:r>
      <w:r w:rsidRPr="00D20962">
        <w:fldChar w:fldCharType="end"/>
      </w:r>
      <w:r w:rsidRPr="00D20962">
        <w:rPr>
          <w:bCs/>
        </w:rPr>
        <w:t xml:space="preserve">: </w:t>
      </w:r>
      <w:r w:rsidR="007844FE">
        <w:t>C3 Phases of Support to Madrasah</w:t>
      </w:r>
      <w:bookmarkEnd w:id="66"/>
      <w:r w:rsidRPr="00D20962">
        <w:rPr>
          <w:bCs/>
          <w:iCs/>
        </w:rPr>
        <w:t xml:space="preserve"> </w:t>
      </w:r>
      <w:bookmarkEnd w:id="64"/>
      <w:bookmarkEnd w:id="65"/>
    </w:p>
    <w:tbl>
      <w:tblPr>
        <w:tblStyle w:val="TableGrid172"/>
        <w:tblW w:w="0" w:type="auto"/>
        <w:jc w:val="center"/>
        <w:tblLook w:val="04A0" w:firstRow="1" w:lastRow="0" w:firstColumn="1" w:lastColumn="0" w:noHBand="0" w:noVBand="1"/>
      </w:tblPr>
      <w:tblGrid>
        <w:gridCol w:w="2408"/>
        <w:gridCol w:w="1559"/>
        <w:gridCol w:w="1560"/>
        <w:gridCol w:w="1560"/>
      </w:tblGrid>
      <w:tr w:rsidR="00D3070C" w:rsidRPr="00A56343" w:rsidTr="007844FE">
        <w:trPr>
          <w:trHeight w:val="266"/>
          <w:jc w:val="center"/>
        </w:trPr>
        <w:tc>
          <w:tcPr>
            <w:tcW w:w="2408" w:type="dxa"/>
            <w:vMerge w:val="restar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D3070C" w:rsidRPr="00B631D5" w:rsidRDefault="007844FE" w:rsidP="007844FE">
            <w:pPr>
              <w:spacing w:before="60" w:after="60" w:line="240" w:lineRule="auto"/>
              <w:jc w:val="center"/>
              <w:rPr>
                <w:b/>
              </w:rPr>
            </w:pPr>
            <w:r w:rsidRPr="00B631D5">
              <w:rPr>
                <w:b/>
              </w:rPr>
              <w:t>Phase</w:t>
            </w:r>
          </w:p>
        </w:tc>
        <w:tc>
          <w:tcPr>
            <w:tcW w:w="3119"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D3070C" w:rsidRPr="00B631D5" w:rsidRDefault="00D3070C">
            <w:pPr>
              <w:spacing w:before="60" w:after="60" w:line="240" w:lineRule="auto"/>
              <w:jc w:val="center"/>
              <w:rPr>
                <w:b/>
              </w:rPr>
            </w:pPr>
            <w:r w:rsidRPr="00B631D5">
              <w:rPr>
                <w:b/>
              </w:rPr>
              <w:t>Madrasah type</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D3070C" w:rsidRPr="00A56343" w:rsidRDefault="00D3070C">
            <w:pPr>
              <w:spacing w:before="60" w:after="60" w:line="240" w:lineRule="auto"/>
              <w:jc w:val="center"/>
              <w:rPr>
                <w:b/>
              </w:rPr>
            </w:pPr>
            <w:r w:rsidRPr="00A56343">
              <w:rPr>
                <w:b/>
              </w:rPr>
              <w:t>Mentors</w:t>
            </w:r>
          </w:p>
        </w:tc>
      </w:tr>
      <w:tr w:rsidR="00D3070C" w:rsidRPr="00A56343" w:rsidTr="007844FE">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70C" w:rsidRPr="00A56343" w:rsidRDefault="00D3070C">
            <w:pPr>
              <w:spacing w:after="0" w:line="240" w:lineRule="auto"/>
              <w:rPr>
                <w:b/>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D3070C" w:rsidRPr="00B631D5" w:rsidRDefault="00D3070C">
            <w:pPr>
              <w:spacing w:before="60" w:after="60" w:line="240" w:lineRule="auto"/>
              <w:jc w:val="center"/>
              <w:rPr>
                <w:b/>
              </w:rPr>
            </w:pPr>
            <w:r w:rsidRPr="00B631D5">
              <w:rPr>
                <w:b/>
              </w:rPr>
              <w:t>Targeted</w:t>
            </w:r>
          </w:p>
        </w:tc>
        <w:tc>
          <w:tcPr>
            <w:tcW w:w="1560"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D3070C" w:rsidRPr="00A56343" w:rsidRDefault="00D3070C">
            <w:pPr>
              <w:spacing w:before="60" w:after="60" w:line="240" w:lineRule="auto"/>
              <w:jc w:val="center"/>
              <w:rPr>
                <w:b/>
              </w:rPr>
            </w:pPr>
            <w:r w:rsidRPr="00A56343">
              <w:rPr>
                <w:b/>
              </w:rPr>
              <w:t>Non-targeted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70C" w:rsidRPr="00A56343" w:rsidRDefault="00D3070C">
            <w:pPr>
              <w:spacing w:after="0" w:line="240" w:lineRule="auto"/>
              <w:rPr>
                <w:b/>
              </w:rPr>
            </w:pPr>
          </w:p>
        </w:tc>
      </w:tr>
      <w:tr w:rsidR="00D3070C" w:rsidRPr="00A56343" w:rsidTr="0079566A">
        <w:trPr>
          <w:trHeight w:val="510"/>
          <w:jc w:val="center"/>
        </w:trPr>
        <w:tc>
          <w:tcPr>
            <w:tcW w:w="2408" w:type="dxa"/>
            <w:tcBorders>
              <w:top w:val="single" w:sz="4" w:space="0" w:color="auto"/>
              <w:left w:val="single" w:sz="4" w:space="0" w:color="auto"/>
              <w:bottom w:val="single" w:sz="4" w:space="0" w:color="auto"/>
              <w:right w:val="single" w:sz="4" w:space="0" w:color="auto"/>
            </w:tcBorders>
            <w:vAlign w:val="center"/>
            <w:hideMark/>
          </w:tcPr>
          <w:p w:rsidR="00D3070C" w:rsidRPr="00A56343" w:rsidRDefault="00D3070C">
            <w:pPr>
              <w:spacing w:before="60" w:after="60" w:line="240" w:lineRule="auto"/>
              <w:rPr>
                <w:sz w:val="20"/>
                <w:szCs w:val="20"/>
              </w:rPr>
            </w:pPr>
            <w:r w:rsidRPr="00A56343">
              <w:rPr>
                <w:sz w:val="20"/>
                <w:szCs w:val="20"/>
              </w:rPr>
              <w:t>Phase 1</w:t>
            </w:r>
            <w:r w:rsidR="002010DB" w:rsidRPr="00A56343">
              <w:rPr>
                <w:sz w:val="20"/>
                <w:szCs w:val="20"/>
              </w:rPr>
              <w:t xml:space="preserve"> </w:t>
            </w:r>
            <w:r w:rsidRPr="00A56343">
              <w:rPr>
                <w:sz w:val="20"/>
                <w:szCs w:val="20"/>
              </w:rPr>
              <w:t>(2012-2013)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D3070C" w:rsidRPr="00A56343" w:rsidRDefault="00D3070C">
            <w:pPr>
              <w:spacing w:before="60" w:after="60" w:line="240" w:lineRule="auto"/>
              <w:jc w:val="center"/>
              <w:rPr>
                <w:sz w:val="20"/>
                <w:szCs w:val="20"/>
              </w:rPr>
            </w:pPr>
            <w:r w:rsidRPr="00A56343">
              <w:rPr>
                <w:sz w:val="20"/>
                <w:szCs w:val="20"/>
              </w:rPr>
              <w:t>565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070C" w:rsidRPr="00A56343" w:rsidRDefault="00D3070C">
            <w:pPr>
              <w:spacing w:before="60" w:after="60" w:line="240" w:lineRule="auto"/>
              <w:jc w:val="center"/>
              <w:rPr>
                <w:sz w:val="20"/>
                <w:szCs w:val="20"/>
              </w:rPr>
            </w:pPr>
            <w:r w:rsidRPr="00A56343">
              <w:rPr>
                <w:sz w:val="20"/>
                <w:szCs w:val="20"/>
              </w:rPr>
              <w:t>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070C" w:rsidRPr="00A56343" w:rsidRDefault="00D3070C">
            <w:pPr>
              <w:spacing w:before="60" w:after="60" w:line="240" w:lineRule="auto"/>
              <w:jc w:val="center"/>
              <w:rPr>
                <w:sz w:val="20"/>
                <w:szCs w:val="20"/>
              </w:rPr>
            </w:pPr>
            <w:r w:rsidRPr="00A56343">
              <w:rPr>
                <w:sz w:val="20"/>
                <w:szCs w:val="20"/>
              </w:rPr>
              <w:t>90</w:t>
            </w:r>
          </w:p>
        </w:tc>
      </w:tr>
      <w:tr w:rsidR="00D3070C" w:rsidRPr="00A56343" w:rsidTr="0079566A">
        <w:trPr>
          <w:trHeight w:val="454"/>
          <w:jc w:val="center"/>
        </w:trPr>
        <w:tc>
          <w:tcPr>
            <w:tcW w:w="2408" w:type="dxa"/>
            <w:tcBorders>
              <w:top w:val="single" w:sz="4" w:space="0" w:color="auto"/>
              <w:left w:val="single" w:sz="4" w:space="0" w:color="auto"/>
              <w:bottom w:val="single" w:sz="4" w:space="0" w:color="auto"/>
              <w:right w:val="single" w:sz="4" w:space="0" w:color="auto"/>
            </w:tcBorders>
            <w:vAlign w:val="center"/>
            <w:hideMark/>
          </w:tcPr>
          <w:p w:rsidR="00D3070C" w:rsidRPr="00A56343" w:rsidRDefault="00D3070C">
            <w:pPr>
              <w:spacing w:before="60" w:after="60" w:line="240" w:lineRule="auto"/>
              <w:rPr>
                <w:sz w:val="20"/>
                <w:szCs w:val="20"/>
              </w:rPr>
            </w:pPr>
            <w:r w:rsidRPr="00A56343">
              <w:rPr>
                <w:sz w:val="20"/>
                <w:szCs w:val="20"/>
              </w:rPr>
              <w:t>Phase 2</w:t>
            </w:r>
            <w:r w:rsidR="002010DB" w:rsidRPr="00A56343">
              <w:rPr>
                <w:sz w:val="20"/>
                <w:szCs w:val="20"/>
              </w:rPr>
              <w:t xml:space="preserve"> </w:t>
            </w:r>
            <w:r w:rsidRPr="00A56343">
              <w:rPr>
                <w:sz w:val="20"/>
                <w:szCs w:val="20"/>
              </w:rPr>
              <w:t>(2013-2014)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D3070C" w:rsidRPr="00A56343" w:rsidRDefault="00D3070C">
            <w:pPr>
              <w:spacing w:before="60" w:after="60" w:line="240" w:lineRule="auto"/>
              <w:jc w:val="center"/>
              <w:rPr>
                <w:sz w:val="20"/>
                <w:szCs w:val="20"/>
              </w:rPr>
            </w:pPr>
            <w:r w:rsidRPr="00A56343">
              <w:rPr>
                <w:sz w:val="20"/>
                <w:szCs w:val="20"/>
              </w:rPr>
              <w:t>519</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070C" w:rsidRPr="00A56343" w:rsidRDefault="00D3070C">
            <w:pPr>
              <w:spacing w:before="60" w:after="60"/>
              <w:jc w:val="center"/>
              <w:rPr>
                <w:sz w:val="20"/>
                <w:szCs w:val="20"/>
                <w:highlight w:val="yellow"/>
              </w:rPr>
            </w:pPr>
            <w:r w:rsidRPr="00A56343">
              <w:rPr>
                <w:sz w:val="20"/>
                <w:szCs w:val="20"/>
              </w:rPr>
              <w:t>108</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070C" w:rsidRPr="00A56343" w:rsidRDefault="00D3070C">
            <w:pPr>
              <w:spacing w:before="60" w:after="60" w:line="240" w:lineRule="auto"/>
              <w:jc w:val="center"/>
              <w:rPr>
                <w:sz w:val="20"/>
                <w:szCs w:val="20"/>
              </w:rPr>
            </w:pPr>
            <w:r w:rsidRPr="00A56343">
              <w:rPr>
                <w:sz w:val="20"/>
                <w:szCs w:val="20"/>
              </w:rPr>
              <w:t>102</w:t>
            </w:r>
          </w:p>
        </w:tc>
      </w:tr>
      <w:tr w:rsidR="00D3070C" w:rsidRPr="00A56343" w:rsidTr="0079566A">
        <w:trPr>
          <w:trHeight w:val="510"/>
          <w:jc w:val="center"/>
        </w:trPr>
        <w:tc>
          <w:tcPr>
            <w:tcW w:w="2408" w:type="dxa"/>
            <w:tcBorders>
              <w:top w:val="single" w:sz="4" w:space="0" w:color="auto"/>
              <w:left w:val="single" w:sz="4" w:space="0" w:color="auto"/>
              <w:bottom w:val="single" w:sz="4" w:space="0" w:color="auto"/>
              <w:right w:val="single" w:sz="4" w:space="0" w:color="auto"/>
            </w:tcBorders>
            <w:vAlign w:val="center"/>
            <w:hideMark/>
          </w:tcPr>
          <w:p w:rsidR="00D3070C" w:rsidRPr="00A56343" w:rsidRDefault="00D3070C">
            <w:pPr>
              <w:spacing w:before="60" w:after="60" w:line="240" w:lineRule="auto"/>
              <w:rPr>
                <w:sz w:val="20"/>
                <w:szCs w:val="20"/>
              </w:rPr>
            </w:pPr>
            <w:r w:rsidRPr="00A56343">
              <w:rPr>
                <w:sz w:val="20"/>
                <w:szCs w:val="20"/>
              </w:rPr>
              <w:t>Phase 3</w:t>
            </w:r>
            <w:r w:rsidR="002010DB" w:rsidRPr="00A56343">
              <w:rPr>
                <w:sz w:val="20"/>
                <w:szCs w:val="20"/>
              </w:rPr>
              <w:t xml:space="preserve"> </w:t>
            </w:r>
            <w:r w:rsidRPr="00A56343">
              <w:rPr>
                <w:sz w:val="20"/>
                <w:szCs w:val="20"/>
              </w:rPr>
              <w:t>(2014-2015)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D3070C" w:rsidRPr="00A56343" w:rsidRDefault="00D3070C">
            <w:pPr>
              <w:spacing w:before="60" w:after="60" w:line="240" w:lineRule="auto"/>
              <w:jc w:val="center"/>
              <w:rPr>
                <w:sz w:val="20"/>
                <w:szCs w:val="20"/>
              </w:rPr>
            </w:pPr>
            <w:r w:rsidRPr="00A56343">
              <w:rPr>
                <w:sz w:val="20"/>
                <w:szCs w:val="20"/>
              </w:rPr>
              <w:t>416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070C" w:rsidRPr="00A56343" w:rsidRDefault="00D3070C">
            <w:pPr>
              <w:spacing w:before="60" w:after="60" w:line="240" w:lineRule="auto"/>
              <w:jc w:val="center"/>
              <w:rPr>
                <w:sz w:val="20"/>
                <w:szCs w:val="20"/>
              </w:rPr>
            </w:pPr>
            <w:r w:rsidRPr="00A56343">
              <w:rPr>
                <w:sz w:val="20"/>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070C" w:rsidRPr="00A56343" w:rsidRDefault="00D3070C" w:rsidP="007844FE">
            <w:pPr>
              <w:spacing w:before="60" w:after="60" w:line="240" w:lineRule="auto"/>
              <w:jc w:val="center"/>
              <w:rPr>
                <w:sz w:val="20"/>
                <w:szCs w:val="20"/>
              </w:rPr>
            </w:pPr>
            <w:r w:rsidRPr="00A56343">
              <w:rPr>
                <w:sz w:val="20"/>
                <w:szCs w:val="20"/>
              </w:rPr>
              <w:t>81</w:t>
            </w:r>
          </w:p>
        </w:tc>
      </w:tr>
      <w:tr w:rsidR="00D3070C" w:rsidRPr="00A56343" w:rsidTr="0079566A">
        <w:trPr>
          <w:trHeight w:val="510"/>
          <w:jc w:val="center"/>
        </w:trPr>
        <w:tc>
          <w:tcPr>
            <w:tcW w:w="2408" w:type="dxa"/>
            <w:tcBorders>
              <w:top w:val="single" w:sz="4" w:space="0" w:color="auto"/>
              <w:left w:val="single" w:sz="4" w:space="0" w:color="auto"/>
              <w:bottom w:val="single" w:sz="4" w:space="0" w:color="auto"/>
              <w:right w:val="single" w:sz="4" w:space="0" w:color="auto"/>
            </w:tcBorders>
            <w:vAlign w:val="center"/>
            <w:hideMark/>
          </w:tcPr>
          <w:p w:rsidR="00D3070C" w:rsidRPr="00A56343" w:rsidRDefault="00D3070C">
            <w:pPr>
              <w:spacing w:before="60" w:after="60" w:line="240" w:lineRule="auto"/>
              <w:jc w:val="center"/>
              <w:rPr>
                <w:b/>
                <w:sz w:val="20"/>
                <w:szCs w:val="20"/>
              </w:rPr>
            </w:pPr>
            <w:r w:rsidRPr="00A56343">
              <w:rPr>
                <w:b/>
                <w:sz w:val="20"/>
                <w:szCs w:val="20"/>
              </w:rPr>
              <w:t>TOTAL</w:t>
            </w:r>
          </w:p>
        </w:tc>
        <w:tc>
          <w:tcPr>
            <w:tcW w:w="1559" w:type="dxa"/>
            <w:tcBorders>
              <w:top w:val="single" w:sz="4" w:space="0" w:color="auto"/>
              <w:left w:val="single" w:sz="4" w:space="0" w:color="auto"/>
              <w:bottom w:val="single" w:sz="4" w:space="0" w:color="auto"/>
              <w:right w:val="single" w:sz="4" w:space="0" w:color="auto"/>
            </w:tcBorders>
            <w:vAlign w:val="center"/>
            <w:hideMark/>
          </w:tcPr>
          <w:p w:rsidR="00D3070C" w:rsidRPr="00A56343" w:rsidRDefault="00D3070C">
            <w:pPr>
              <w:spacing w:before="60" w:after="60" w:line="240" w:lineRule="auto"/>
              <w:jc w:val="center"/>
              <w:rPr>
                <w:b/>
                <w:sz w:val="20"/>
                <w:szCs w:val="20"/>
              </w:rPr>
            </w:pPr>
            <w:r w:rsidRPr="00A56343">
              <w:rPr>
                <w:b/>
                <w:sz w:val="20"/>
                <w:szCs w:val="20"/>
              </w:rPr>
              <w:t>1,500</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070C" w:rsidRPr="00A56343" w:rsidRDefault="00655B30">
            <w:pPr>
              <w:spacing w:before="60" w:after="60" w:line="240" w:lineRule="auto"/>
              <w:jc w:val="center"/>
              <w:rPr>
                <w:b/>
                <w:sz w:val="20"/>
                <w:szCs w:val="20"/>
              </w:rPr>
            </w:pPr>
            <w:r w:rsidRPr="00A56343">
              <w:rPr>
                <w:b/>
                <w:sz w:val="20"/>
                <w:szCs w:val="20"/>
              </w:rPr>
              <w:t>132</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070C" w:rsidRPr="00A56343" w:rsidRDefault="00D3070C">
            <w:pPr>
              <w:spacing w:before="60" w:after="60" w:line="240" w:lineRule="auto"/>
              <w:jc w:val="center"/>
              <w:rPr>
                <w:b/>
                <w:sz w:val="20"/>
                <w:szCs w:val="20"/>
              </w:rPr>
            </w:pPr>
            <w:r w:rsidRPr="00A56343">
              <w:rPr>
                <w:b/>
                <w:sz w:val="20"/>
                <w:szCs w:val="20"/>
              </w:rPr>
              <w:t>273</w:t>
            </w:r>
          </w:p>
        </w:tc>
      </w:tr>
    </w:tbl>
    <w:p w:rsidR="00D3070C" w:rsidRDefault="007844FE" w:rsidP="001D2009">
      <w:pPr>
        <w:pStyle w:val="SourceNotes"/>
      </w:pPr>
      <w:r w:rsidRPr="00BD5D3A">
        <w:t>Source</w:t>
      </w:r>
      <w:r w:rsidR="00206953">
        <w:t>: SSQ Component 3 management team</w:t>
      </w:r>
    </w:p>
    <w:p w:rsidR="00D3070C" w:rsidRDefault="00D3070C" w:rsidP="00D3070C">
      <w:pPr>
        <w:pStyle w:val="Heading3"/>
      </w:pPr>
      <w:bookmarkStart w:id="67" w:name="_Ref448145394"/>
      <w:r>
        <w:t xml:space="preserve">With </w:t>
      </w:r>
      <w:r w:rsidRPr="00D3070C">
        <w:t>regards</w:t>
      </w:r>
      <w:r>
        <w:t xml:space="preserve"> to EOCO 3.2</w:t>
      </w:r>
      <w:bookmarkEnd w:id="67"/>
    </w:p>
    <w:p w:rsidR="00D3070C" w:rsidRDefault="00D3070C" w:rsidP="00D3070C">
      <w:r>
        <w:rPr>
          <w:bCs/>
        </w:rPr>
        <w:t xml:space="preserve">The year saw the realisation of a new </w:t>
      </w:r>
      <w:r w:rsidR="00CA192B">
        <w:rPr>
          <w:bCs/>
        </w:rPr>
        <w:t xml:space="preserve">Director General of Islamic Education </w:t>
      </w:r>
      <w:r>
        <w:rPr>
          <w:bCs/>
        </w:rPr>
        <w:t>regulation establishing MDCs as components of a nationwide quality assurance system for the Islamic education sector. C3 was heavily involved in t</w:t>
      </w:r>
      <w:r>
        <w:t>he development of this regulation from the point of conceptualisation to final drafting.</w:t>
      </w:r>
    </w:p>
    <w:p w:rsidR="00D3070C" w:rsidRDefault="00D3070C" w:rsidP="00D3070C">
      <w:r>
        <w:t xml:space="preserve">MoRA significantly expanded budgetary commitments to its own accreditation programs during 2015. The twin-track </w:t>
      </w:r>
      <w:r>
        <w:rPr>
          <w:i/>
        </w:rPr>
        <w:t>Madrasah Up-Grading Program</w:t>
      </w:r>
      <w:r>
        <w:t xml:space="preserve"> saw 153 </w:t>
      </w:r>
      <w:r w:rsidR="004729E4">
        <w:t>Madrasah</w:t>
      </w:r>
      <w:r>
        <w:t xml:space="preserve"> selected for a C3-style support program (track one) and the roll-out of a simplified accreditation support program for 3,000 </w:t>
      </w:r>
      <w:r w:rsidR="004729E4">
        <w:t>Madrasah</w:t>
      </w:r>
      <w:r>
        <w:t xml:space="preserve"> (track two)</w:t>
      </w:r>
      <w:r>
        <w:rPr>
          <w:rStyle w:val="FootnoteReference"/>
        </w:rPr>
        <w:footnoteReference w:id="77"/>
      </w:r>
      <w:r>
        <w:t>. The scope of these programs represented a 4,0</w:t>
      </w:r>
      <w:r w:rsidR="0079566A">
        <w:t>00</w:t>
      </w:r>
      <w:r>
        <w:t xml:space="preserve">% increase on the number of </w:t>
      </w:r>
      <w:r w:rsidR="004729E4">
        <w:t>Madrasah</w:t>
      </w:r>
      <w:r>
        <w:t xml:space="preserve"> initially targeted for MoRA-financed quality improvement activities in 2015</w:t>
      </w:r>
      <w:r w:rsidRPr="002510D1">
        <w:rPr>
          <w:rStyle w:val="EndnoteReference"/>
        </w:rPr>
        <w:endnoteReference w:id="47"/>
      </w:r>
      <w:r>
        <w:t>. C3 provided technical assistance to both programs in the form of modified training modules, assistance in the formulation of technical guidelines (</w:t>
      </w:r>
      <w:r>
        <w:rPr>
          <w:i/>
        </w:rPr>
        <w:t>juknis</w:t>
      </w:r>
      <w:r>
        <w:t>), and MDC training.</w:t>
      </w:r>
    </w:p>
    <w:p w:rsidR="00D3070C" w:rsidRDefault="00D3070C" w:rsidP="00D3070C">
      <w:r>
        <w:t xml:space="preserve">At DFAT’s request, C3 also successfully delivered a pilot program for inclusive education in the private </w:t>
      </w:r>
      <w:r w:rsidR="004729E4">
        <w:t>Madrasah</w:t>
      </w:r>
      <w:r>
        <w:t xml:space="preserve"> sector in the final months of 2015. </w:t>
      </w:r>
      <w:r w:rsidR="00CA192B">
        <w:t xml:space="preserve">The initiative </w:t>
      </w:r>
      <w:r w:rsidR="00552DB8">
        <w:t>spoke strongly to</w:t>
      </w:r>
      <w:r w:rsidR="00CA192B">
        <w:t xml:space="preserve"> draft provisions within the 2015-19 MoRA Renstra</w:t>
      </w:r>
      <w:r w:rsidR="00552DB8">
        <w:t xml:space="preserve"> concerning inclusive education</w:t>
      </w:r>
      <w:r w:rsidR="00CA192B">
        <w:t xml:space="preserve">. </w:t>
      </w:r>
      <w:r>
        <w:t xml:space="preserve">Assessments of the program are pending. However, interim outcomes suggest that </w:t>
      </w:r>
      <w:r w:rsidR="00CA192B">
        <w:t xml:space="preserve">MoRA counterparts and </w:t>
      </w:r>
      <w:r>
        <w:t xml:space="preserve">participating </w:t>
      </w:r>
      <w:r w:rsidR="004729E4">
        <w:t>Madrasah</w:t>
      </w:r>
      <w:r>
        <w:t xml:space="preserve"> were responsive to the initiative</w:t>
      </w:r>
      <w:r w:rsidRPr="002510D1">
        <w:rPr>
          <w:rStyle w:val="EndnoteReference"/>
        </w:rPr>
        <w:endnoteReference w:id="48"/>
      </w:r>
      <w:r>
        <w:t>.</w:t>
      </w:r>
    </w:p>
    <w:p w:rsidR="003F2A50" w:rsidRPr="00851EC7" w:rsidRDefault="003F2A50" w:rsidP="003F2A50">
      <w:pPr>
        <w:pStyle w:val="Heading2"/>
      </w:pPr>
      <w:r w:rsidRPr="00851EC7">
        <w:t>Analysis</w:t>
      </w:r>
    </w:p>
    <w:p w:rsidR="003F2A50" w:rsidRDefault="003F2A50" w:rsidP="003F2A50">
      <w:pPr>
        <w:pStyle w:val="Heading3"/>
      </w:pPr>
      <w:r w:rsidRPr="00851EC7">
        <w:t>Relevance</w:t>
      </w:r>
    </w:p>
    <w:p w:rsidR="007844FE" w:rsidRDefault="007844FE" w:rsidP="007844FE">
      <w:r>
        <w:t xml:space="preserve">EOCO 3.1 – </w:t>
      </w:r>
      <w:r>
        <w:rPr>
          <w:i/>
        </w:rPr>
        <w:t xml:space="preserve">targeted </w:t>
      </w:r>
      <w:r w:rsidR="004729E4">
        <w:rPr>
          <w:i/>
        </w:rPr>
        <w:t>Madrasah</w:t>
      </w:r>
      <w:r>
        <w:rPr>
          <w:i/>
        </w:rPr>
        <w:t xml:space="preserve"> are ready for accreditation</w:t>
      </w:r>
      <w:r>
        <w:t xml:space="preserve"> - remained relevant to GoI in 2015. MoRA Policy and Strategy Guidelines for 2015-2019 include an ongoing technical and financial commitment to accreditation activities in the Islamic education sector. For the </w:t>
      </w:r>
      <w:r w:rsidR="004729E4">
        <w:t>Madrasah</w:t>
      </w:r>
      <w:r>
        <w:t xml:space="preserve"> sector specifically, guidelines evidence a shift from a focus on the </w:t>
      </w:r>
      <w:r>
        <w:rPr>
          <w:i/>
        </w:rPr>
        <w:t>preparation</w:t>
      </w:r>
      <w:r>
        <w:t xml:space="preserve"> for accreditation (i.e. getting </w:t>
      </w:r>
      <w:r w:rsidR="004729E4">
        <w:t>Madrasah</w:t>
      </w:r>
      <w:r>
        <w:t xml:space="preserve"> accredited in the first instance) to </w:t>
      </w:r>
      <w:r>
        <w:rPr>
          <w:i/>
        </w:rPr>
        <w:t>improvement</w:t>
      </w:r>
      <w:r>
        <w:t xml:space="preserve"> upon existing accreditation rankings</w:t>
      </w:r>
      <w:r w:rsidRPr="002510D1">
        <w:rPr>
          <w:rStyle w:val="EndnoteReference"/>
        </w:rPr>
        <w:endnoteReference w:id="49"/>
      </w:r>
      <w:r>
        <w:t xml:space="preserve">. The 2015-2019 RENSTRA accreditation benchmarks were raised by 20-30 percentage points. The revised target is for 80% of MI and 70% of MTs and MA/MAK to have a minimum B ranking by 2019 (the previous </w:t>
      </w:r>
      <w:r w:rsidR="00994307" w:rsidRPr="0069023F">
        <w:rPr>
          <w:i/>
        </w:rPr>
        <w:lastRenderedPageBreak/>
        <w:t>Renstra</w:t>
      </w:r>
      <w:r w:rsidR="00994307">
        <w:t xml:space="preserve"> </w:t>
      </w:r>
      <w:r w:rsidR="00E60E09">
        <w:t xml:space="preserve">had </w:t>
      </w:r>
      <w:r>
        <w:t>set a target of 50%)</w:t>
      </w:r>
      <w:r w:rsidRPr="002510D1">
        <w:rPr>
          <w:rStyle w:val="EndnoteReference"/>
        </w:rPr>
        <w:endnoteReference w:id="50"/>
      </w:r>
      <w:r>
        <w:t xml:space="preserve">. This revision sees ministerial goals more closely aligned with the achievable outcomes demonstrated by C3 accreditation activities. The continued relevance of EOCO 3.1 was further evidenced by MoRA funding commitments to its </w:t>
      </w:r>
      <w:r>
        <w:rPr>
          <w:i/>
        </w:rPr>
        <w:t>Madrasah Up-Grading Program</w:t>
      </w:r>
      <w:r>
        <w:t xml:space="preserve"> (see </w:t>
      </w:r>
      <w:r w:rsidR="00E60E09">
        <w:t xml:space="preserve">Section </w:t>
      </w:r>
      <w:r w:rsidR="00467730">
        <w:fldChar w:fldCharType="begin"/>
      </w:r>
      <w:r w:rsidR="00467730">
        <w:instrText xml:space="preserve"> REF _Ref448145394 \w \h </w:instrText>
      </w:r>
      <w:r w:rsidR="00467730">
        <w:fldChar w:fldCharType="separate"/>
      </w:r>
      <w:r w:rsidR="00693E96">
        <w:t>4.3.2</w:t>
      </w:r>
      <w:r w:rsidR="00467730">
        <w:fldChar w:fldCharType="end"/>
      </w:r>
      <w:r>
        <w:t>).</w:t>
      </w:r>
    </w:p>
    <w:p w:rsidR="007844FE" w:rsidRDefault="007844FE" w:rsidP="007844FE">
      <w:r>
        <w:t xml:space="preserve">The relevance of EOCO 3.2 – </w:t>
      </w:r>
      <w:r>
        <w:rPr>
          <w:i/>
        </w:rPr>
        <w:t xml:space="preserve">the system for </w:t>
      </w:r>
      <w:r w:rsidR="004729E4">
        <w:rPr>
          <w:i/>
        </w:rPr>
        <w:t>Madrasah</w:t>
      </w:r>
      <w:r>
        <w:rPr>
          <w:i/>
        </w:rPr>
        <w:t xml:space="preserve"> quality improvement is strengthened – </w:t>
      </w:r>
      <w:r>
        <w:t>was best demonstrated by the drafting and issuance of a regulation to establish MDCs as quality assurance entities for the Islamic education sector. The regulation strengthens the existing provincial MDC network via the allocation of routine funding for permanent secretariats and the establishment of a central coordinating unit</w:t>
      </w:r>
      <w:r>
        <w:rPr>
          <w:rStyle w:val="FootnoteReference"/>
          <w:bCs/>
        </w:rPr>
        <w:footnoteReference w:id="78"/>
      </w:r>
      <w:r>
        <w:t>.</w:t>
      </w:r>
    </w:p>
    <w:p w:rsidR="007844FE" w:rsidRDefault="007844FE" w:rsidP="007844FE">
      <w:r>
        <w:t xml:space="preserve">For DFAT, the high degree of autonomy accorded to the SSQ </w:t>
      </w:r>
      <w:r w:rsidR="00A907A2">
        <w:t>M</w:t>
      </w:r>
      <w:r>
        <w:t xml:space="preserve">anaging </w:t>
      </w:r>
      <w:r w:rsidR="00A907A2">
        <w:t>C</w:t>
      </w:r>
      <w:r>
        <w:t xml:space="preserve">ontractor during 2015 suggests that the component remained relevant in the context of GoA’s </w:t>
      </w:r>
      <w:r w:rsidR="00E60E09">
        <w:t>n</w:t>
      </w:r>
      <w:r>
        <w:t xml:space="preserve">ew </w:t>
      </w:r>
      <w:r w:rsidR="00E60E09">
        <w:t>a</w:t>
      </w:r>
      <w:r>
        <w:t xml:space="preserve">id </w:t>
      </w:r>
      <w:r w:rsidR="00E60E09">
        <w:t>p</w:t>
      </w:r>
      <w:r>
        <w:t>aradigm</w:t>
      </w:r>
      <w:r w:rsidR="00552DB8">
        <w:t xml:space="preserve"> (i.e. there appeared to be no need to intervene and adjust the existing work plan)</w:t>
      </w:r>
      <w:r>
        <w:t xml:space="preserve">. While the C3 budget was cut by AUD 11 million </w:t>
      </w:r>
      <w:r w:rsidR="00E60E09">
        <w:t xml:space="preserve">in 2014 </w:t>
      </w:r>
      <w:r w:rsidR="00206953">
        <w:t>on the basis of changes to the scope of the program</w:t>
      </w:r>
      <w:r w:rsidR="00206953">
        <w:rPr>
          <w:rStyle w:val="FootnoteReference"/>
        </w:rPr>
        <w:footnoteReference w:id="79"/>
      </w:r>
      <w:r w:rsidR="00206953">
        <w:t xml:space="preserve">, </w:t>
      </w:r>
      <w:r>
        <w:t xml:space="preserve">no further revisions were made during 2015. In many ways, further revisions would have been </w:t>
      </w:r>
      <w:r w:rsidR="00206953">
        <w:t xml:space="preserve">at odds with a </w:t>
      </w:r>
      <w:r>
        <w:t xml:space="preserve">program that neatly bridged the twin pillars of the new paradigm: private sector engagement and human development. The program was also relevant in terms of the premium that the new aid paradigm placed upon </w:t>
      </w:r>
      <w:r w:rsidR="00552DB8">
        <w:t>the public diplomacy aspect of</w:t>
      </w:r>
      <w:r>
        <w:t xml:space="preserve"> aid investments. Interviews conducted for this report revealed a strong appreciation of the goodwill that had been generated within MoRA as a result of C3 activities. This was matched by the </w:t>
      </w:r>
      <w:r w:rsidR="00552DB8">
        <w:t>strengthening of Australia-Indonesia relationships</w:t>
      </w:r>
      <w:r>
        <w:t xml:space="preserve"> at the district level via a comprehensive series of closing ceremonies that </w:t>
      </w:r>
      <w:r w:rsidR="00E60E09">
        <w:t xml:space="preserve">secured </w:t>
      </w:r>
      <w:r>
        <w:t xml:space="preserve">high-level ministerial </w:t>
      </w:r>
      <w:r w:rsidR="00E60E09">
        <w:t xml:space="preserve">attendance as well as </w:t>
      </w:r>
      <w:r>
        <w:t>support from key provincial and district government stakeholders.</w:t>
      </w:r>
    </w:p>
    <w:p w:rsidR="007844FE" w:rsidRDefault="007844FE" w:rsidP="007844FE">
      <w:r>
        <w:t>The more significant factor underpinning the relative autonomy of C3 operations was the relevance of the component modality during a year when the accountability of aid investments came under increased scrutiny. The managing contractor-SNIP modality of C3 provided a secure framework for the close monitoring of aid spending. Evidence of improved financial management practices in late 2014 enhanced the accountability, and therefore the relevance, of the component.</w:t>
      </w:r>
    </w:p>
    <w:p w:rsidR="007844FE" w:rsidRDefault="007844FE" w:rsidP="007844FE">
      <w:pPr>
        <w:rPr>
          <w:rFonts w:asciiTheme="minorHAnsi" w:eastAsiaTheme="minorEastAsia" w:hAnsiTheme="minorHAnsi" w:cstheme="minorBidi"/>
          <w:color w:val="000000" w:themeColor="text1"/>
          <w:kern w:val="24"/>
          <w:lang w:val="en-GB"/>
        </w:rPr>
      </w:pPr>
      <w:r>
        <w:t xml:space="preserve">The internal relevance of C3 investments to the attainment of the End-Of-Partnership Outcome (EOPO 3) - </w:t>
      </w:r>
      <w:r>
        <w:rPr>
          <w:i/>
        </w:rPr>
        <w:t xml:space="preserve">improved quality of </w:t>
      </w:r>
      <w:r w:rsidR="004729E4">
        <w:rPr>
          <w:i/>
        </w:rPr>
        <w:t>Madrasah</w:t>
      </w:r>
      <w:r>
        <w:rPr>
          <w:i/>
        </w:rPr>
        <w:t xml:space="preserve"> service provision</w:t>
      </w:r>
      <w:r>
        <w:t xml:space="preserve"> – improved significantly in 2015. As was noted in the introduction to this section, </w:t>
      </w:r>
      <w:r>
        <w:rPr>
          <w:rFonts w:eastAsiaTheme="minorEastAsia"/>
          <w:color w:val="000000" w:themeColor="text1"/>
          <w:kern w:val="24"/>
        </w:rPr>
        <w:t xml:space="preserve">C3 contains two EOCO-level objectives. The second EOCO - </w:t>
      </w:r>
      <w:r>
        <w:rPr>
          <w:i/>
        </w:rPr>
        <w:t xml:space="preserve">the system for </w:t>
      </w:r>
      <w:r w:rsidR="004729E4">
        <w:rPr>
          <w:i/>
        </w:rPr>
        <w:t>Madrasah</w:t>
      </w:r>
      <w:r>
        <w:rPr>
          <w:i/>
        </w:rPr>
        <w:t xml:space="preserve"> quality improvement is strengthened – </w:t>
      </w:r>
      <w:r>
        <w:rPr>
          <w:rFonts w:eastAsiaTheme="minorEastAsia"/>
          <w:color w:val="000000" w:themeColor="text1"/>
          <w:kern w:val="24"/>
        </w:rPr>
        <w:t xml:space="preserve">was </w:t>
      </w:r>
      <w:r w:rsidR="00E60E09">
        <w:rPr>
          <w:rFonts w:eastAsiaTheme="minorEastAsia"/>
          <w:color w:val="000000" w:themeColor="text1"/>
          <w:kern w:val="24"/>
        </w:rPr>
        <w:t xml:space="preserve">added </w:t>
      </w:r>
      <w:r>
        <w:rPr>
          <w:rFonts w:eastAsiaTheme="minorEastAsia"/>
          <w:color w:val="000000" w:themeColor="text1"/>
          <w:kern w:val="24"/>
        </w:rPr>
        <w:t xml:space="preserve">at the mid-point of the program in response to concerns about the value for money of C3 should it be restricted to supporting approximately 1,500 targeted and non-targeted </w:t>
      </w:r>
      <w:r w:rsidR="004729E4">
        <w:rPr>
          <w:rFonts w:eastAsiaTheme="minorEastAsia"/>
          <w:color w:val="000000" w:themeColor="text1"/>
          <w:kern w:val="24"/>
        </w:rPr>
        <w:t>Madrasah</w:t>
      </w:r>
      <w:r>
        <w:rPr>
          <w:rFonts w:eastAsiaTheme="minorEastAsia"/>
          <w:color w:val="000000" w:themeColor="text1"/>
          <w:kern w:val="24"/>
        </w:rPr>
        <w:t xml:space="preserve"> and allied concerns that accreditation preparation activities were unlikely to lead to general improvements in the quality of </w:t>
      </w:r>
      <w:r w:rsidR="004729E4">
        <w:rPr>
          <w:rFonts w:eastAsiaTheme="minorEastAsia"/>
          <w:color w:val="000000" w:themeColor="text1"/>
          <w:kern w:val="24"/>
        </w:rPr>
        <w:t>Madrasah</w:t>
      </w:r>
      <w:r>
        <w:rPr>
          <w:rFonts w:eastAsiaTheme="minorEastAsia"/>
          <w:color w:val="000000" w:themeColor="text1"/>
          <w:kern w:val="24"/>
        </w:rPr>
        <w:t xml:space="preserve"> service provision at the district level. For the duration of 2014, progress towards the two EOCOs was unbalanced. In the 2014 APPR, it was noted that activities related to EOCO 3.2 were only producing ‘signs’ of progress</w:t>
      </w:r>
      <w:r w:rsidRPr="002510D1">
        <w:rPr>
          <w:rStyle w:val="EndnoteReference"/>
          <w:rFonts w:eastAsiaTheme="minorEastAsia"/>
        </w:rPr>
        <w:endnoteReference w:id="51"/>
      </w:r>
      <w:r>
        <w:rPr>
          <w:rFonts w:eastAsiaTheme="minorEastAsia"/>
          <w:color w:val="000000" w:themeColor="text1"/>
          <w:kern w:val="24"/>
        </w:rPr>
        <w:t xml:space="preserve">. By the end of 2015, however, the two component outcomes evinced improved synergy. The success of C3 in producing high accreditation outcomes stimulated </w:t>
      </w:r>
      <w:r>
        <w:rPr>
          <w:rFonts w:eastAsiaTheme="minorEastAsia"/>
          <w:color w:val="000000" w:themeColor="text1"/>
          <w:kern w:val="24"/>
        </w:rPr>
        <w:lastRenderedPageBreak/>
        <w:t xml:space="preserve">ministerial buy-in for more complex activities aimed at strengthening elements of the Islamic education system. The degree of C3 influence upon such activities (e.g. </w:t>
      </w:r>
      <w:r w:rsidR="004729E4">
        <w:rPr>
          <w:rFonts w:eastAsiaTheme="minorEastAsia"/>
          <w:color w:val="000000" w:themeColor="text1"/>
          <w:kern w:val="24"/>
        </w:rPr>
        <w:t>Madrasah</w:t>
      </w:r>
      <w:r>
        <w:rPr>
          <w:rFonts w:eastAsiaTheme="minorEastAsia"/>
          <w:color w:val="000000" w:themeColor="text1"/>
          <w:kern w:val="24"/>
        </w:rPr>
        <w:t xml:space="preserve"> upgrading, the formulation of a regulation on MDCs, drafting of the Grand Design) was a function of demonstrated achievements in preparing both targeted and non-targeted </w:t>
      </w:r>
      <w:r w:rsidR="004729E4">
        <w:rPr>
          <w:rFonts w:eastAsiaTheme="minorEastAsia"/>
          <w:color w:val="000000" w:themeColor="text1"/>
          <w:kern w:val="24"/>
        </w:rPr>
        <w:t>Madrasah</w:t>
      </w:r>
      <w:r>
        <w:rPr>
          <w:rFonts w:eastAsiaTheme="minorEastAsia"/>
          <w:color w:val="000000" w:themeColor="text1"/>
          <w:kern w:val="24"/>
        </w:rPr>
        <w:t xml:space="preserve"> for accreditation</w:t>
      </w:r>
      <w:r>
        <w:rPr>
          <w:rStyle w:val="FootnoteReference"/>
          <w:rFonts w:eastAsiaTheme="minorEastAsia" w:cstheme="minorBidi"/>
          <w:color w:val="000000" w:themeColor="text1"/>
          <w:kern w:val="24"/>
        </w:rPr>
        <w:footnoteReference w:id="80"/>
      </w:r>
      <w:r>
        <w:rPr>
          <w:rFonts w:eastAsiaTheme="minorEastAsia"/>
          <w:color w:val="000000" w:themeColor="text1"/>
          <w:kern w:val="24"/>
        </w:rPr>
        <w:t xml:space="preserve">. </w:t>
      </w:r>
    </w:p>
    <w:p w:rsidR="003F2A50" w:rsidRDefault="003F2A50" w:rsidP="003F2A50">
      <w:pPr>
        <w:pStyle w:val="Heading3"/>
      </w:pPr>
      <w:r w:rsidRPr="00851EC7">
        <w:t>Efficiency</w:t>
      </w:r>
    </w:p>
    <w:p w:rsidR="007844FE" w:rsidRDefault="007844FE" w:rsidP="007844FE">
      <w:pPr>
        <w:rPr>
          <w:bCs/>
        </w:rPr>
      </w:pPr>
      <w:r>
        <w:rPr>
          <w:bCs/>
        </w:rPr>
        <w:t xml:space="preserve">From a delivery perspective, the implementation of Phases 2 and 3 has been managed well. </w:t>
      </w:r>
      <w:r>
        <w:rPr>
          <w:bCs/>
        </w:rPr>
        <w:fldChar w:fldCharType="begin"/>
      </w:r>
      <w:r>
        <w:rPr>
          <w:bCs/>
        </w:rPr>
        <w:instrText xml:space="preserve"> REF _Ref447805451 \h </w:instrText>
      </w:r>
      <w:r>
        <w:rPr>
          <w:bCs/>
        </w:rPr>
      </w:r>
      <w:r>
        <w:rPr>
          <w:bCs/>
        </w:rPr>
        <w:fldChar w:fldCharType="separate"/>
      </w:r>
      <w:r w:rsidR="00EC36D2" w:rsidRPr="00D20962">
        <w:t xml:space="preserve">Table </w:t>
      </w:r>
      <w:r w:rsidR="00EC36D2">
        <w:rPr>
          <w:noProof/>
        </w:rPr>
        <w:t>14</w:t>
      </w:r>
      <w:r>
        <w:rPr>
          <w:bCs/>
        </w:rPr>
        <w:fldChar w:fldCharType="end"/>
      </w:r>
      <w:r>
        <w:rPr>
          <w:bCs/>
        </w:rPr>
        <w:t xml:space="preserve"> shows that strong progress was made against 2015 PMF targets. C3 met or exceeded targ</w:t>
      </w:r>
      <w:bookmarkStart w:id="68" w:name="_Toc412534585"/>
      <w:r>
        <w:rPr>
          <w:bCs/>
        </w:rPr>
        <w:t xml:space="preserve">ets for six key milestones. </w:t>
      </w:r>
    </w:p>
    <w:p w:rsidR="007844FE" w:rsidRPr="007844FE" w:rsidRDefault="007844FE" w:rsidP="007844FE">
      <w:pPr>
        <w:pStyle w:val="Caption-Table"/>
      </w:pPr>
      <w:bookmarkStart w:id="69" w:name="_Ref447805451"/>
      <w:bookmarkStart w:id="70" w:name="_Toc450131635"/>
      <w:r w:rsidRPr="00D20962">
        <w:t xml:space="preserve">Table </w:t>
      </w:r>
      <w:r w:rsidRPr="00D20962">
        <w:fldChar w:fldCharType="begin"/>
      </w:r>
      <w:r w:rsidRPr="00D20962">
        <w:instrText xml:space="preserve"> SEQ Table \* ARABIC </w:instrText>
      </w:r>
      <w:r w:rsidRPr="00D20962">
        <w:fldChar w:fldCharType="separate"/>
      </w:r>
      <w:r w:rsidR="00EC36D2">
        <w:rPr>
          <w:noProof/>
        </w:rPr>
        <w:t>14</w:t>
      </w:r>
      <w:r w:rsidRPr="00D20962">
        <w:fldChar w:fldCharType="end"/>
      </w:r>
      <w:bookmarkEnd w:id="69"/>
      <w:r w:rsidRPr="00D20962">
        <w:rPr>
          <w:bCs/>
        </w:rPr>
        <w:t xml:space="preserve">: </w:t>
      </w:r>
      <w:r>
        <w:rPr>
          <w:lang w:val="en-AU"/>
        </w:rPr>
        <w:t xml:space="preserve">C3 Achievements against PMF </w:t>
      </w:r>
      <w:r w:rsidRPr="007844FE">
        <w:t>Targets</w:t>
      </w:r>
      <w:r>
        <w:rPr>
          <w:lang w:val="en-AU"/>
        </w:rPr>
        <w:t xml:space="preserve"> to the End of 2015 (cumulative)</w:t>
      </w:r>
      <w:bookmarkEnd w:id="70"/>
    </w:p>
    <w:tbl>
      <w:tblPr>
        <w:tblStyle w:val="TableGrid172"/>
        <w:tblW w:w="0" w:type="auto"/>
        <w:jc w:val="center"/>
        <w:tblLook w:val="04A0" w:firstRow="1" w:lastRow="0" w:firstColumn="1" w:lastColumn="0" w:noHBand="0" w:noVBand="1"/>
      </w:tblPr>
      <w:tblGrid>
        <w:gridCol w:w="3875"/>
        <w:gridCol w:w="1418"/>
        <w:gridCol w:w="1424"/>
      </w:tblGrid>
      <w:tr w:rsidR="007844FE" w:rsidTr="007844FE">
        <w:trPr>
          <w:trHeight w:val="211"/>
          <w:tblHeader/>
          <w:jc w:val="center"/>
        </w:trPr>
        <w:tc>
          <w:tcPr>
            <w:tcW w:w="3875" w:type="dxa"/>
            <w:vMerge w:val="restar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bookmarkEnd w:id="68"/>
          <w:p w:rsidR="007844FE" w:rsidRDefault="007844FE">
            <w:pPr>
              <w:spacing w:after="0" w:line="240" w:lineRule="auto"/>
              <w:jc w:val="center"/>
              <w:rPr>
                <w:b/>
              </w:rPr>
            </w:pPr>
            <w:r>
              <w:rPr>
                <w:b/>
              </w:rPr>
              <w:t>Output</w:t>
            </w:r>
          </w:p>
          <w:p w:rsidR="007844FE" w:rsidRDefault="007844FE">
            <w:pPr>
              <w:spacing w:after="0" w:line="240" w:lineRule="auto"/>
              <w:jc w:val="center"/>
              <w:rPr>
                <w:b/>
              </w:rPr>
            </w:pPr>
            <w:r>
              <w:rPr>
                <w:b/>
              </w:rPr>
              <w:t>Indicators*</w:t>
            </w:r>
          </w:p>
        </w:tc>
        <w:tc>
          <w:tcPr>
            <w:tcW w:w="2842"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7844FE" w:rsidRDefault="007844FE">
            <w:pPr>
              <w:spacing w:after="0" w:line="240" w:lineRule="auto"/>
              <w:jc w:val="center"/>
              <w:rPr>
                <w:b/>
              </w:rPr>
            </w:pPr>
            <w:r>
              <w:rPr>
                <w:b/>
              </w:rPr>
              <w:t>Milestones</w:t>
            </w:r>
          </w:p>
        </w:tc>
      </w:tr>
      <w:tr w:rsidR="007844FE" w:rsidTr="007844FE">
        <w:trPr>
          <w:trHeight w:val="31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44FE" w:rsidRDefault="007844FE">
            <w:pPr>
              <w:spacing w:after="0" w:line="240" w:lineRule="auto"/>
              <w:rPr>
                <w:b/>
              </w:rPr>
            </w:pPr>
          </w:p>
        </w:tc>
        <w:tc>
          <w:tcPr>
            <w:tcW w:w="1418"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7844FE" w:rsidRDefault="007844FE">
            <w:pPr>
              <w:spacing w:after="0" w:line="240" w:lineRule="auto"/>
              <w:jc w:val="center"/>
              <w:rPr>
                <w:b/>
              </w:rPr>
            </w:pPr>
            <w:r>
              <w:rPr>
                <w:b/>
              </w:rPr>
              <w:t>2015 Target</w:t>
            </w:r>
          </w:p>
        </w:tc>
        <w:tc>
          <w:tcPr>
            <w:tcW w:w="1424"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7844FE" w:rsidRDefault="007844FE">
            <w:pPr>
              <w:spacing w:after="0" w:line="240" w:lineRule="auto"/>
              <w:jc w:val="center"/>
              <w:rPr>
                <w:b/>
              </w:rPr>
            </w:pPr>
            <w:r>
              <w:rPr>
                <w:b/>
              </w:rPr>
              <w:t>Achievement</w:t>
            </w:r>
          </w:p>
        </w:tc>
      </w:tr>
      <w:tr w:rsidR="007844FE" w:rsidTr="007436CF">
        <w:trPr>
          <w:trHeight w:val="659"/>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rsidR="007844FE" w:rsidRDefault="007844FE" w:rsidP="007436CF">
            <w:pPr>
              <w:spacing w:before="0" w:after="0" w:line="240" w:lineRule="auto"/>
              <w:rPr>
                <w:sz w:val="18"/>
                <w:szCs w:val="18"/>
              </w:rPr>
            </w:pPr>
            <w:r>
              <w:rPr>
                <w:sz w:val="18"/>
                <w:szCs w:val="18"/>
              </w:rPr>
              <w:t xml:space="preserve">Number of training sessions provided per year by SNIP to </w:t>
            </w:r>
            <w:r w:rsidR="004729E4">
              <w:rPr>
                <w:sz w:val="18"/>
                <w:szCs w:val="18"/>
              </w:rPr>
              <w:t>Madrasah</w:t>
            </w:r>
          </w:p>
        </w:tc>
        <w:tc>
          <w:tcPr>
            <w:tcW w:w="1418" w:type="dxa"/>
            <w:tcBorders>
              <w:top w:val="single" w:sz="4" w:space="0" w:color="auto"/>
              <w:left w:val="single" w:sz="4" w:space="0" w:color="auto"/>
              <w:bottom w:val="single" w:sz="4" w:space="0" w:color="auto"/>
              <w:right w:val="single" w:sz="4" w:space="0" w:color="auto"/>
            </w:tcBorders>
            <w:vAlign w:val="center"/>
            <w:hideMark/>
          </w:tcPr>
          <w:p w:rsidR="007844FE" w:rsidRDefault="007844FE" w:rsidP="007436CF">
            <w:pPr>
              <w:spacing w:before="0" w:after="0" w:line="240" w:lineRule="auto"/>
              <w:jc w:val="center"/>
              <w:rPr>
                <w:sz w:val="18"/>
                <w:szCs w:val="18"/>
              </w:rPr>
            </w:pPr>
            <w:r>
              <w:rPr>
                <w:sz w:val="18"/>
                <w:szCs w:val="18"/>
              </w:rPr>
              <w:t>10,500</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44FE" w:rsidRDefault="007844FE" w:rsidP="007436CF">
            <w:pPr>
              <w:spacing w:before="0" w:after="0" w:line="240" w:lineRule="auto"/>
              <w:jc w:val="center"/>
              <w:rPr>
                <w:sz w:val="18"/>
                <w:szCs w:val="18"/>
                <w:highlight w:val="yellow"/>
              </w:rPr>
            </w:pPr>
            <w:r>
              <w:rPr>
                <w:sz w:val="18"/>
                <w:szCs w:val="18"/>
              </w:rPr>
              <w:t>11,456 (109%)</w:t>
            </w:r>
          </w:p>
        </w:tc>
      </w:tr>
      <w:tr w:rsidR="007844FE" w:rsidTr="007436CF">
        <w:trPr>
          <w:trHeight w:val="659"/>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rsidR="007844FE" w:rsidRDefault="007844FE" w:rsidP="007436CF">
            <w:pPr>
              <w:spacing w:before="0" w:after="0" w:line="240" w:lineRule="auto"/>
              <w:rPr>
                <w:sz w:val="18"/>
                <w:szCs w:val="18"/>
              </w:rPr>
            </w:pPr>
            <w:r>
              <w:rPr>
                <w:sz w:val="18"/>
                <w:szCs w:val="18"/>
              </w:rPr>
              <w:t xml:space="preserve">Number of mentoring visits per year provided to targeted </w:t>
            </w:r>
            <w:r w:rsidR="004729E4">
              <w:rPr>
                <w:sz w:val="18"/>
                <w:szCs w:val="18"/>
              </w:rPr>
              <w:t>Madrasah</w:t>
            </w:r>
          </w:p>
        </w:tc>
        <w:tc>
          <w:tcPr>
            <w:tcW w:w="1418" w:type="dxa"/>
            <w:tcBorders>
              <w:top w:val="single" w:sz="4" w:space="0" w:color="auto"/>
              <w:left w:val="single" w:sz="4" w:space="0" w:color="auto"/>
              <w:bottom w:val="single" w:sz="4" w:space="0" w:color="auto"/>
              <w:right w:val="single" w:sz="4" w:space="0" w:color="auto"/>
            </w:tcBorders>
            <w:vAlign w:val="center"/>
            <w:hideMark/>
          </w:tcPr>
          <w:p w:rsidR="007844FE" w:rsidRDefault="007844FE" w:rsidP="007436CF">
            <w:pPr>
              <w:spacing w:before="0" w:after="0" w:line="240" w:lineRule="auto"/>
              <w:jc w:val="center"/>
              <w:rPr>
                <w:sz w:val="18"/>
                <w:szCs w:val="18"/>
              </w:rPr>
            </w:pPr>
            <w:r>
              <w:rPr>
                <w:sz w:val="18"/>
                <w:szCs w:val="18"/>
              </w:rPr>
              <w:t>30,000</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44FE" w:rsidRDefault="007844FE" w:rsidP="007436CF">
            <w:pPr>
              <w:spacing w:before="0" w:after="0" w:line="240" w:lineRule="auto"/>
              <w:jc w:val="center"/>
              <w:rPr>
                <w:sz w:val="18"/>
                <w:szCs w:val="18"/>
                <w:highlight w:val="yellow"/>
              </w:rPr>
            </w:pPr>
            <w:r>
              <w:rPr>
                <w:sz w:val="18"/>
                <w:szCs w:val="18"/>
              </w:rPr>
              <w:t>42,510 (142%)</w:t>
            </w:r>
          </w:p>
        </w:tc>
      </w:tr>
      <w:tr w:rsidR="007844FE" w:rsidTr="007436CF">
        <w:trPr>
          <w:trHeight w:val="659"/>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rsidR="007844FE" w:rsidRDefault="007844FE" w:rsidP="007436CF">
            <w:pPr>
              <w:spacing w:before="0" w:after="0" w:line="240" w:lineRule="auto"/>
              <w:rPr>
                <w:sz w:val="18"/>
                <w:szCs w:val="18"/>
              </w:rPr>
            </w:pPr>
            <w:r>
              <w:rPr>
                <w:sz w:val="18"/>
                <w:szCs w:val="18"/>
              </w:rPr>
              <w:t xml:space="preserve">Number of </w:t>
            </w:r>
            <w:r w:rsidR="004729E4">
              <w:rPr>
                <w:sz w:val="18"/>
                <w:szCs w:val="18"/>
              </w:rPr>
              <w:t>Madrasah</w:t>
            </w:r>
            <w:r>
              <w:rPr>
                <w:sz w:val="18"/>
                <w:szCs w:val="18"/>
              </w:rPr>
              <w:t xml:space="preserve"> supported by MoRA with quality improvement activities (other than EP)</w:t>
            </w:r>
          </w:p>
        </w:tc>
        <w:tc>
          <w:tcPr>
            <w:tcW w:w="1418" w:type="dxa"/>
            <w:tcBorders>
              <w:top w:val="single" w:sz="4" w:space="0" w:color="auto"/>
              <w:left w:val="single" w:sz="4" w:space="0" w:color="auto"/>
              <w:bottom w:val="single" w:sz="4" w:space="0" w:color="auto"/>
              <w:right w:val="single" w:sz="4" w:space="0" w:color="auto"/>
            </w:tcBorders>
            <w:vAlign w:val="center"/>
            <w:hideMark/>
          </w:tcPr>
          <w:p w:rsidR="007844FE" w:rsidRDefault="007844FE" w:rsidP="007436CF">
            <w:pPr>
              <w:spacing w:before="0" w:after="0" w:line="240" w:lineRule="auto"/>
              <w:jc w:val="center"/>
              <w:rPr>
                <w:sz w:val="18"/>
                <w:szCs w:val="18"/>
              </w:rPr>
            </w:pPr>
            <w:r>
              <w:rPr>
                <w:sz w:val="18"/>
                <w:szCs w:val="18"/>
              </w:rPr>
              <w:t>80</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44FE" w:rsidRDefault="007844FE" w:rsidP="007436CF">
            <w:pPr>
              <w:spacing w:before="0" w:after="0" w:line="240" w:lineRule="auto"/>
              <w:jc w:val="center"/>
              <w:rPr>
                <w:sz w:val="18"/>
                <w:szCs w:val="18"/>
              </w:rPr>
            </w:pPr>
            <w:r>
              <w:rPr>
                <w:sz w:val="18"/>
                <w:szCs w:val="18"/>
              </w:rPr>
              <w:t>3,233 (4,041%)</w:t>
            </w:r>
          </w:p>
        </w:tc>
      </w:tr>
      <w:tr w:rsidR="007844FE" w:rsidTr="007436CF">
        <w:trPr>
          <w:trHeight w:val="659"/>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rsidR="007844FE" w:rsidRDefault="007844FE" w:rsidP="007436CF">
            <w:pPr>
              <w:spacing w:before="0" w:after="0" w:line="240" w:lineRule="auto"/>
              <w:rPr>
                <w:sz w:val="18"/>
                <w:szCs w:val="18"/>
              </w:rPr>
            </w:pPr>
            <w:r>
              <w:rPr>
                <w:sz w:val="18"/>
                <w:szCs w:val="18"/>
              </w:rPr>
              <w:t>Number of provinces in which there is evidence of improvement of networking and relationships between sub-national stakeholders</w:t>
            </w:r>
          </w:p>
        </w:tc>
        <w:tc>
          <w:tcPr>
            <w:tcW w:w="1418" w:type="dxa"/>
            <w:tcBorders>
              <w:top w:val="single" w:sz="4" w:space="0" w:color="auto"/>
              <w:left w:val="single" w:sz="4" w:space="0" w:color="auto"/>
              <w:bottom w:val="single" w:sz="4" w:space="0" w:color="auto"/>
              <w:right w:val="single" w:sz="4" w:space="0" w:color="auto"/>
            </w:tcBorders>
            <w:vAlign w:val="center"/>
            <w:hideMark/>
          </w:tcPr>
          <w:p w:rsidR="007844FE" w:rsidRDefault="007844FE" w:rsidP="007436CF">
            <w:pPr>
              <w:spacing w:before="0" w:after="0" w:line="240" w:lineRule="auto"/>
              <w:jc w:val="center"/>
              <w:rPr>
                <w:sz w:val="18"/>
                <w:szCs w:val="18"/>
              </w:rPr>
            </w:pPr>
            <w:r>
              <w:rPr>
                <w:sz w:val="18"/>
                <w:szCs w:val="18"/>
              </w:rPr>
              <w:t>13</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44FE" w:rsidRDefault="007844FE" w:rsidP="007436CF">
            <w:pPr>
              <w:spacing w:before="0" w:after="0" w:line="240" w:lineRule="auto"/>
              <w:jc w:val="center"/>
              <w:rPr>
                <w:sz w:val="18"/>
                <w:szCs w:val="18"/>
              </w:rPr>
            </w:pPr>
            <w:r>
              <w:rPr>
                <w:sz w:val="18"/>
                <w:szCs w:val="18"/>
              </w:rPr>
              <w:t>13 (100%)</w:t>
            </w:r>
          </w:p>
        </w:tc>
      </w:tr>
      <w:tr w:rsidR="007844FE" w:rsidTr="007436CF">
        <w:trPr>
          <w:trHeight w:val="659"/>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rsidR="007844FE" w:rsidRDefault="007844FE" w:rsidP="007436CF">
            <w:pPr>
              <w:spacing w:before="0" w:after="0" w:line="240" w:lineRule="auto"/>
              <w:rPr>
                <w:sz w:val="18"/>
                <w:szCs w:val="18"/>
              </w:rPr>
            </w:pPr>
            <w:r>
              <w:rPr>
                <w:sz w:val="18"/>
                <w:szCs w:val="18"/>
              </w:rPr>
              <w:t>Number of KKM trained by SNIPs in targeted districts</w:t>
            </w:r>
          </w:p>
        </w:tc>
        <w:tc>
          <w:tcPr>
            <w:tcW w:w="1418" w:type="dxa"/>
            <w:tcBorders>
              <w:top w:val="single" w:sz="4" w:space="0" w:color="auto"/>
              <w:left w:val="single" w:sz="4" w:space="0" w:color="auto"/>
              <w:bottom w:val="single" w:sz="4" w:space="0" w:color="auto"/>
              <w:right w:val="single" w:sz="4" w:space="0" w:color="auto"/>
            </w:tcBorders>
            <w:vAlign w:val="center"/>
            <w:hideMark/>
          </w:tcPr>
          <w:p w:rsidR="007844FE" w:rsidRDefault="007844FE" w:rsidP="007436CF">
            <w:pPr>
              <w:spacing w:before="0" w:after="0" w:line="240" w:lineRule="auto"/>
              <w:jc w:val="center"/>
              <w:rPr>
                <w:sz w:val="18"/>
                <w:szCs w:val="18"/>
              </w:rPr>
            </w:pPr>
            <w:r>
              <w:rPr>
                <w:sz w:val="18"/>
                <w:szCs w:val="18"/>
              </w:rPr>
              <w:t>180</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44FE" w:rsidRDefault="007844FE" w:rsidP="007436CF">
            <w:pPr>
              <w:spacing w:before="0" w:after="0" w:line="240" w:lineRule="auto"/>
              <w:jc w:val="center"/>
              <w:rPr>
                <w:sz w:val="18"/>
                <w:szCs w:val="18"/>
              </w:rPr>
            </w:pPr>
            <w:r>
              <w:rPr>
                <w:sz w:val="18"/>
                <w:szCs w:val="18"/>
              </w:rPr>
              <w:t>202 (112%)</w:t>
            </w:r>
          </w:p>
        </w:tc>
      </w:tr>
      <w:tr w:rsidR="007844FE" w:rsidTr="007436CF">
        <w:trPr>
          <w:trHeight w:val="659"/>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rsidR="007844FE" w:rsidRDefault="007844FE" w:rsidP="007436CF">
            <w:pPr>
              <w:spacing w:before="0" w:after="0" w:line="240" w:lineRule="auto"/>
              <w:rPr>
                <w:sz w:val="18"/>
                <w:szCs w:val="18"/>
              </w:rPr>
            </w:pPr>
            <w:r>
              <w:rPr>
                <w:sz w:val="18"/>
                <w:szCs w:val="18"/>
              </w:rPr>
              <w:t xml:space="preserve">Number of targeted </w:t>
            </w:r>
            <w:r w:rsidR="004729E4">
              <w:rPr>
                <w:sz w:val="18"/>
                <w:szCs w:val="18"/>
              </w:rPr>
              <w:t>Madrasah</w:t>
            </w:r>
            <w:r>
              <w:rPr>
                <w:sz w:val="18"/>
                <w:szCs w:val="18"/>
              </w:rPr>
              <w:t xml:space="preserve"> who improve their overall score by at least one level against accreditation criteria</w:t>
            </w:r>
          </w:p>
        </w:tc>
        <w:tc>
          <w:tcPr>
            <w:tcW w:w="1418" w:type="dxa"/>
            <w:tcBorders>
              <w:top w:val="single" w:sz="4" w:space="0" w:color="auto"/>
              <w:left w:val="single" w:sz="4" w:space="0" w:color="auto"/>
              <w:bottom w:val="single" w:sz="4" w:space="0" w:color="auto"/>
              <w:right w:val="single" w:sz="4" w:space="0" w:color="auto"/>
            </w:tcBorders>
            <w:vAlign w:val="center"/>
            <w:hideMark/>
          </w:tcPr>
          <w:p w:rsidR="007844FE" w:rsidRDefault="007844FE" w:rsidP="007436CF">
            <w:pPr>
              <w:spacing w:before="0" w:after="0" w:line="240" w:lineRule="auto"/>
              <w:jc w:val="center"/>
              <w:rPr>
                <w:sz w:val="18"/>
                <w:szCs w:val="18"/>
              </w:rPr>
            </w:pPr>
            <w:r>
              <w:rPr>
                <w:sz w:val="18"/>
                <w:szCs w:val="18"/>
              </w:rPr>
              <w:t>1,350</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44FE" w:rsidRDefault="007844FE" w:rsidP="007436CF">
            <w:pPr>
              <w:spacing w:before="0" w:after="0" w:line="240" w:lineRule="auto"/>
              <w:jc w:val="center"/>
              <w:rPr>
                <w:sz w:val="18"/>
                <w:szCs w:val="18"/>
              </w:rPr>
            </w:pPr>
            <w:r>
              <w:rPr>
                <w:sz w:val="18"/>
                <w:szCs w:val="18"/>
              </w:rPr>
              <w:t>1,442 (107%)</w:t>
            </w:r>
          </w:p>
        </w:tc>
      </w:tr>
    </w:tbl>
    <w:p w:rsidR="007844FE" w:rsidRDefault="007844FE" w:rsidP="001D2009">
      <w:pPr>
        <w:pStyle w:val="SourceNotes"/>
      </w:pPr>
      <w:r>
        <w:t>Source: SSQ Managing Contractor</w:t>
      </w:r>
    </w:p>
    <w:p w:rsidR="00994307" w:rsidRDefault="00994307" w:rsidP="001D2009">
      <w:pPr>
        <w:pStyle w:val="SourceNotes"/>
      </w:pPr>
      <w:r>
        <w:t xml:space="preserve">* Indicators are for targeted </w:t>
      </w:r>
      <w:r w:rsidR="004729E4">
        <w:t>Madrasah</w:t>
      </w:r>
      <w:r>
        <w:t xml:space="preserve"> only.</w:t>
      </w:r>
    </w:p>
    <w:p w:rsidR="007844FE" w:rsidRDefault="007844FE" w:rsidP="007844FE">
      <w:r>
        <w:t>From a financial perspective, component expenditure came back on track during fiscal year 2014-2015 following an underspend in the previous fiscal year. All Phase 2 grant funds were acquitted by December 2014, and the final tranche of Phase 3 grant funding (AUD4.16 million in total) was dispersed in late October 2015</w:t>
      </w:r>
      <w:r w:rsidRPr="002510D1">
        <w:rPr>
          <w:rStyle w:val="EndnoteReference"/>
        </w:rPr>
        <w:endnoteReference w:id="52"/>
      </w:r>
      <w:r>
        <w:t xml:space="preserve">. Internal and external audits of Phase 2 spending indicated improving levels of financial management capacity in both SNIP and targeted </w:t>
      </w:r>
      <w:r w:rsidR="004729E4">
        <w:t>Madrasah</w:t>
      </w:r>
      <w:r>
        <w:t xml:space="preserve">. Internal audits of Phase 3 SNIP and a sample of targeted </w:t>
      </w:r>
      <w:r w:rsidR="004729E4">
        <w:t>Madrasah</w:t>
      </w:r>
      <w:r>
        <w:t xml:space="preserve"> produced a number of minor non-compliance issues that were subsequently resolved</w:t>
      </w:r>
      <w:r w:rsidRPr="002510D1">
        <w:rPr>
          <w:rStyle w:val="EndnoteReference"/>
        </w:rPr>
        <w:endnoteReference w:id="53"/>
      </w:r>
      <w:r>
        <w:t xml:space="preserve">. </w:t>
      </w:r>
    </w:p>
    <w:p w:rsidR="007844FE" w:rsidRDefault="007844FE" w:rsidP="007844FE">
      <w:r>
        <w:t xml:space="preserve">Phase 3 saw an improved efficiency dividend in regard to the selection of targeted </w:t>
      </w:r>
      <w:r w:rsidR="004729E4">
        <w:t>Madrasah</w:t>
      </w:r>
      <w:r>
        <w:t>.</w:t>
      </w:r>
      <w:r w:rsidR="002010DB">
        <w:t xml:space="preserve"> </w:t>
      </w:r>
      <w:r>
        <w:t xml:space="preserve">The 2013 APPR called for improved selection processes in response to the finding that it required almost four times as many resources to improve a </w:t>
      </w:r>
      <w:r w:rsidR="004729E4">
        <w:t>Madrasah</w:t>
      </w:r>
      <w:r>
        <w:t xml:space="preserve"> classified at a B level during mock </w:t>
      </w:r>
      <w:r>
        <w:lastRenderedPageBreak/>
        <w:t>assessment</w:t>
      </w:r>
      <w:r w:rsidR="00546A86">
        <w:rPr>
          <w:rStyle w:val="FootnoteReference"/>
        </w:rPr>
        <w:footnoteReference w:id="81"/>
      </w:r>
      <w:r>
        <w:t xml:space="preserve"> than what was required for a </w:t>
      </w:r>
      <w:r w:rsidR="004729E4">
        <w:t>Madrasah</w:t>
      </w:r>
      <w:r>
        <w:t xml:space="preserve"> assessed at the TT or C level</w:t>
      </w:r>
      <w:r w:rsidRPr="002510D1">
        <w:rPr>
          <w:rStyle w:val="EndnoteReference"/>
        </w:rPr>
        <w:endnoteReference w:id="54"/>
      </w:r>
      <w:r>
        <w:t xml:space="preserve">. By this measure, Phase 3 was the most efficient cycle of the program thus far, with 77% of Phase 3 </w:t>
      </w:r>
      <w:r w:rsidR="004729E4">
        <w:t>Madrasah</w:t>
      </w:r>
      <w:r>
        <w:t xml:space="preserve"> </w:t>
      </w:r>
      <w:r w:rsidR="00552DB8">
        <w:t>ranking at the</w:t>
      </w:r>
      <w:r>
        <w:t xml:space="preserve"> TT level </w:t>
      </w:r>
      <w:r w:rsidR="00552DB8">
        <w:t xml:space="preserve">during mock assessments </w:t>
      </w:r>
      <w:r>
        <w:t xml:space="preserve">and 23% at level C. </w:t>
      </w:r>
    </w:p>
    <w:p w:rsidR="007844FE" w:rsidRDefault="007844FE" w:rsidP="007844FE">
      <w:r>
        <w:t xml:space="preserve">MoRA’s expansion of its own accreditation upgrading program for 3,000 </w:t>
      </w:r>
      <w:r w:rsidR="004729E4">
        <w:t>Madrasah</w:t>
      </w:r>
      <w:r>
        <w:t xml:space="preserve"> in 2015 enhanced the VFM of C3 investments. While C3 support to targeted and non-targeted </w:t>
      </w:r>
      <w:r w:rsidR="004729E4">
        <w:t>Madrasah</w:t>
      </w:r>
      <w:r>
        <w:t xml:space="preserve"> has produced clear quality improvements,</w:t>
      </w:r>
      <w:r w:rsidR="00546A86">
        <w:t xml:space="preserve"> the</w:t>
      </w:r>
      <w:r>
        <w:t xml:space="preserve"> high unit costs </w:t>
      </w:r>
      <w:r w:rsidR="00546A86">
        <w:t xml:space="preserve">of the C3 model </w:t>
      </w:r>
      <w:r>
        <w:t>have limited the extent of sectoral impact</w:t>
      </w:r>
      <w:r w:rsidR="00546A86">
        <w:t xml:space="preserve">, as neither C3 </w:t>
      </w:r>
      <w:r w:rsidR="000878B0">
        <w:t>n</w:t>
      </w:r>
      <w:r w:rsidR="00546A86">
        <w:t>or MoRA could afford to roll it out to all madrasah in the sector</w:t>
      </w:r>
      <w:r>
        <w:t xml:space="preserve">. This could raise questions about the VFM of the Component. While the </w:t>
      </w:r>
      <w:r w:rsidR="00206953">
        <w:rPr>
          <w:i/>
        </w:rPr>
        <w:t xml:space="preserve">Madrasah </w:t>
      </w:r>
      <w:r w:rsidRPr="00206953">
        <w:rPr>
          <w:i/>
        </w:rPr>
        <w:t>Upgrading program</w:t>
      </w:r>
      <w:r>
        <w:t xml:space="preserve"> will not reproduce the depth of quality realised from C3 interventions</w:t>
      </w:r>
      <w:r w:rsidRPr="002510D1">
        <w:rPr>
          <w:rStyle w:val="EndnoteReference"/>
        </w:rPr>
        <w:endnoteReference w:id="55"/>
      </w:r>
      <w:r>
        <w:t xml:space="preserve">, the program does carry some of the benefits of the C3 approach to a much larger number of beneficiaries. </w:t>
      </w:r>
    </w:p>
    <w:p w:rsidR="007844FE" w:rsidRDefault="007844FE" w:rsidP="007844FE">
      <w:pPr>
        <w:rPr>
          <w:rFonts w:asciiTheme="minorHAnsi" w:eastAsiaTheme="minorHAnsi" w:hAnsiTheme="minorHAnsi" w:cstheme="minorBidi"/>
          <w:lang w:val="en-GB"/>
        </w:rPr>
      </w:pPr>
      <w:r>
        <w:t xml:space="preserve">Concerns regarding the efficiency of uniform block grants for targeted </w:t>
      </w:r>
      <w:r w:rsidR="004729E4">
        <w:t>Madrasah</w:t>
      </w:r>
      <w:r>
        <w:t xml:space="preserve"> and uniform management fees for SNIP did not result in changes to program support models in 2015</w:t>
      </w:r>
      <w:r>
        <w:rPr>
          <w:rStyle w:val="FootnoteReference"/>
          <w:bCs/>
        </w:rPr>
        <w:footnoteReference w:id="82"/>
      </w:r>
      <w:r>
        <w:t>, though POM acknowledges that opportunities for modifications to existing practices for the final phase of the program were limited</w:t>
      </w:r>
      <w:r>
        <w:rPr>
          <w:rStyle w:val="FootnoteReference"/>
          <w:bCs/>
        </w:rPr>
        <w:footnoteReference w:id="83"/>
      </w:r>
      <w:r>
        <w:t xml:space="preserve">. POM is pleased, however, to see that recommendations for a differentiated block grant model were included in the Grand Design. This is a positive step away from a standardised model in which </w:t>
      </w:r>
      <w:r w:rsidR="004729E4">
        <w:t>Madrasah</w:t>
      </w:r>
      <w:r>
        <w:t xml:space="preserve"> receive the same level of funding support regardless of their current capacity and needs. The Grand Design calls for a proposal-based block grant system with an emphasis on community and district government cost-sharing arrangements</w:t>
      </w:r>
      <w:r>
        <w:rPr>
          <w:rStyle w:val="FootnoteReference"/>
          <w:rFonts w:cstheme="minorBidi"/>
        </w:rPr>
        <w:footnoteReference w:id="84"/>
      </w:r>
      <w:r>
        <w:t xml:space="preserve">. This should result in a more equitable and efficient means of allocating limited budgetary resources. However, the effectiveness of proposal-based models relies heavily on the quality and capacity of verification mechanisms. The Grand Design proposes that this role should be assigned to MDCs. The capacity of MDCs to conduct this critical function is both uneven and untested. </w:t>
      </w:r>
    </w:p>
    <w:p w:rsidR="007844FE" w:rsidRDefault="007844FE" w:rsidP="007844FE">
      <w:pPr>
        <w:rPr>
          <w:rFonts w:eastAsiaTheme="minorEastAsia"/>
        </w:rPr>
      </w:pPr>
      <w:r>
        <w:rPr>
          <w:rFonts w:eastAsiaTheme="minorEastAsia"/>
        </w:rPr>
        <w:t xml:space="preserve">Just as block grants were standardised in C3 the SSQ support model delivered a standardised suite of training modules to </w:t>
      </w:r>
      <w:r w:rsidR="004729E4">
        <w:rPr>
          <w:rFonts w:eastAsiaTheme="minorEastAsia"/>
        </w:rPr>
        <w:t>Madrasah</w:t>
      </w:r>
      <w:r>
        <w:rPr>
          <w:rFonts w:eastAsiaTheme="minorEastAsia"/>
        </w:rPr>
        <w:t xml:space="preserve">. Considerable efficiencies in program delivery could have been attained by allowing targeted </w:t>
      </w:r>
      <w:r w:rsidR="004729E4">
        <w:rPr>
          <w:rFonts w:eastAsiaTheme="minorEastAsia"/>
        </w:rPr>
        <w:t>Madrasah</w:t>
      </w:r>
      <w:r>
        <w:rPr>
          <w:rFonts w:eastAsiaTheme="minorEastAsia"/>
        </w:rPr>
        <w:t xml:space="preserve"> to select preferred training modules from a suite of options. MoRA-funded accreditation programs and examples of SNIP service delivery in non-targeted districts suggest that </w:t>
      </w:r>
      <w:r w:rsidR="004729E4">
        <w:rPr>
          <w:rFonts w:eastAsiaTheme="minorEastAsia"/>
        </w:rPr>
        <w:t>Madrasah</w:t>
      </w:r>
      <w:r>
        <w:rPr>
          <w:rFonts w:eastAsiaTheme="minorEastAsia"/>
        </w:rPr>
        <w:t xml:space="preserve"> do not always require or desire comprehensive training packages</w:t>
      </w:r>
      <w:r>
        <w:rPr>
          <w:rStyle w:val="FootnoteReference"/>
          <w:rFonts w:eastAsiaTheme="minorEastAsia" w:cstheme="minorBidi"/>
          <w:color w:val="000000" w:themeColor="text1"/>
          <w:kern w:val="24"/>
        </w:rPr>
        <w:footnoteReference w:id="85"/>
      </w:r>
      <w:r>
        <w:rPr>
          <w:rFonts w:eastAsiaTheme="minorEastAsia"/>
        </w:rPr>
        <w:t xml:space="preserve">. Survey </w:t>
      </w:r>
      <w:r>
        <w:rPr>
          <w:rFonts w:eastAsiaTheme="minorEastAsia"/>
        </w:rPr>
        <w:lastRenderedPageBreak/>
        <w:t xml:space="preserve">data collected for the </w:t>
      </w:r>
      <w:r>
        <w:rPr>
          <w:rFonts w:eastAsiaTheme="minorEastAsia"/>
          <w:i/>
        </w:rPr>
        <w:t>EOPO 3 Evaluation Study</w:t>
      </w:r>
      <w:r>
        <w:rPr>
          <w:rFonts w:eastAsiaTheme="minorEastAsia"/>
        </w:rPr>
        <w:t xml:space="preserve"> (2015) indicated that elements of the C3 training package were not always aligned well with real conditions within supported </w:t>
      </w:r>
      <w:r w:rsidR="004729E4">
        <w:rPr>
          <w:rFonts w:eastAsiaTheme="minorEastAsia"/>
        </w:rPr>
        <w:t>Madrasah</w:t>
      </w:r>
      <w:r>
        <w:rPr>
          <w:rFonts w:eastAsiaTheme="minorEastAsia"/>
        </w:rPr>
        <w:t>.</w:t>
      </w:r>
    </w:p>
    <w:p w:rsidR="007844FE" w:rsidRDefault="007844FE" w:rsidP="007844FE">
      <w:r>
        <w:t>The efficiency of EOCO 3.2 delivery improved in 2015. All Phase 3 SNIPs were MDCs. Evidence of improved SNIP competency in the management of grants and evidence of improved levels of networking capital speak strongly to the future viability of MDCs as a national network of quality assurance agencies. It is anticipated that experienced SNIP actors will transition to various roles of influence within a future MoRA quality assurance and training framework</w:t>
      </w:r>
      <w:r>
        <w:rPr>
          <w:rStyle w:val="FootnoteReference"/>
          <w:bCs/>
        </w:rPr>
        <w:footnoteReference w:id="86"/>
      </w:r>
      <w:r>
        <w:t>.</w:t>
      </w:r>
      <w:r w:rsidR="002010DB">
        <w:t xml:space="preserve"> </w:t>
      </w:r>
    </w:p>
    <w:p w:rsidR="007844FE" w:rsidRDefault="007844FE" w:rsidP="007844FE">
      <w:r>
        <w:rPr>
          <w:bCs/>
        </w:rPr>
        <w:t xml:space="preserve">C3 success in generating external funding for </w:t>
      </w:r>
      <w:r w:rsidR="004729E4">
        <w:rPr>
          <w:bCs/>
        </w:rPr>
        <w:t>Madrasah</w:t>
      </w:r>
      <w:r>
        <w:rPr>
          <w:bCs/>
        </w:rPr>
        <w:t xml:space="preserve"> quality improvement must also be recognised as a valuable form of system strengthening at the community and district level. Madrasah community and foundation contributions during Phase 3 totalled IDR 4.3 billion, with an additional IDR 2.3 billion in MoRA, district government, private sector, and CSO contributions</w:t>
      </w:r>
      <w:r>
        <w:rPr>
          <w:rStyle w:val="FootnoteReference"/>
          <w:bCs/>
        </w:rPr>
        <w:footnoteReference w:id="87"/>
      </w:r>
      <w:r>
        <w:rPr>
          <w:bCs/>
        </w:rPr>
        <w:t xml:space="preserve">. </w:t>
      </w:r>
      <w:r w:rsidR="00B631D5">
        <w:rPr>
          <w:bCs/>
        </w:rPr>
        <w:t xml:space="preserve">(At the time of writing this equated to about AUD 450,000 and AUD 235,000 respectively). </w:t>
      </w:r>
      <w:r>
        <w:rPr>
          <w:bCs/>
        </w:rPr>
        <w:t xml:space="preserve">As a proportion of the Phase 3 budget, the value of these external contributions was modest: equal to 20% of the grant funds dispersed to the 416 targeted </w:t>
      </w:r>
      <w:r w:rsidR="004729E4">
        <w:rPr>
          <w:bCs/>
        </w:rPr>
        <w:t>Madrasah</w:t>
      </w:r>
      <w:r>
        <w:rPr>
          <w:bCs/>
        </w:rPr>
        <w:t xml:space="preserve">. However, the real value of external funding initiatives resides in the setting </w:t>
      </w:r>
      <w:r w:rsidR="004450C1">
        <w:rPr>
          <w:bCs/>
        </w:rPr>
        <w:t xml:space="preserve">of </w:t>
      </w:r>
      <w:r>
        <w:rPr>
          <w:bCs/>
        </w:rPr>
        <w:t xml:space="preserve">a precedent and in establishing practices. In this respect, C3 has made significant progress in empowering </w:t>
      </w:r>
      <w:r w:rsidR="004729E4">
        <w:rPr>
          <w:bCs/>
        </w:rPr>
        <w:t>Madrasah</w:t>
      </w:r>
      <w:r>
        <w:rPr>
          <w:bCs/>
        </w:rPr>
        <w:t xml:space="preserve"> to generate external revenue for years to come.</w:t>
      </w:r>
    </w:p>
    <w:p w:rsidR="003F2A50" w:rsidRDefault="003F2A50" w:rsidP="003F2A50">
      <w:pPr>
        <w:pStyle w:val="Heading3"/>
      </w:pPr>
      <w:r w:rsidRPr="00851EC7">
        <w:t>Effectiveness</w:t>
      </w:r>
    </w:p>
    <w:p w:rsidR="007844FE" w:rsidRDefault="007844FE" w:rsidP="007844FE">
      <w:r>
        <w:t xml:space="preserve">When considering the effectiveness of C3, POM seeks to answer the following question: </w:t>
      </w:r>
      <w:r>
        <w:rPr>
          <w:i/>
        </w:rPr>
        <w:t xml:space="preserve">to what extent and how has EP support improved the quality of </w:t>
      </w:r>
      <w:r w:rsidR="004729E4">
        <w:rPr>
          <w:i/>
        </w:rPr>
        <w:t>Madrasah</w:t>
      </w:r>
      <w:r>
        <w:rPr>
          <w:i/>
        </w:rPr>
        <w:t xml:space="preserve"> service provision in targeted districts?</w:t>
      </w:r>
      <w:r>
        <w:t xml:space="preserve"> The EP logic architecture indicates that improved quality of </w:t>
      </w:r>
      <w:r w:rsidR="004729E4">
        <w:t>Madrasah</w:t>
      </w:r>
      <w:r>
        <w:t xml:space="preserve"> service provision in targeted districts (EOPO 3) will be achieved by preparing </w:t>
      </w:r>
      <w:r w:rsidR="004729E4">
        <w:t>Madrasah</w:t>
      </w:r>
      <w:r>
        <w:t xml:space="preserve"> for accreditation (EOCO 3.1) and by strengthening the system for </w:t>
      </w:r>
      <w:r w:rsidR="004729E4">
        <w:t>Madrasah</w:t>
      </w:r>
      <w:r>
        <w:t xml:space="preserve"> quality improvement in targeted districts (EOCO 3.2). </w:t>
      </w:r>
    </w:p>
    <w:p w:rsidR="007844FE" w:rsidRDefault="007844FE" w:rsidP="007844FE">
      <w:r>
        <w:t xml:space="preserve">Prior to 2015, the effectiveness of C3 was unbalanced. The efficiency of the program as a vehicle for accreditation preparation was unquestionable, but the sectoral footprint of such activities was small: </w:t>
      </w:r>
      <w:r w:rsidR="00994307">
        <w:t>approximately</w:t>
      </w:r>
      <w:r>
        <w:t xml:space="preserve"> 1,500 out of an estimated </w:t>
      </w:r>
      <w:r>
        <w:rPr>
          <w:rFonts w:eastAsia="Calibri" w:cstheme="minorHAnsi"/>
          <w:bCs/>
          <w:iCs/>
        </w:rPr>
        <w:t xml:space="preserve">38,315 </w:t>
      </w:r>
      <w:r>
        <w:t>private</w:t>
      </w:r>
      <w:r w:rsidR="004450C1">
        <w:t>,</w:t>
      </w:r>
      <w:r>
        <w:t xml:space="preserve"> primary and junior secondary </w:t>
      </w:r>
      <w:r w:rsidR="004729E4">
        <w:t>Madrasah</w:t>
      </w:r>
      <w:r>
        <w:t xml:space="preserve">. While the addition of non-targeted </w:t>
      </w:r>
      <w:r w:rsidR="004729E4">
        <w:t>Madrasah</w:t>
      </w:r>
      <w:r>
        <w:t xml:space="preserve"> to the work plan was a positive boost to the ‘reach’ of C3 activities, systems that might serve to overcome the design limitation of EOCO 3.1 (limited sectoral impact at the district level) were considered to be ‘uncoordinated’ and too focused on accreditation-related tasks</w:t>
      </w:r>
      <w:r w:rsidRPr="002510D1">
        <w:rPr>
          <w:rStyle w:val="EndnoteReference"/>
        </w:rPr>
        <w:endnoteReference w:id="56"/>
      </w:r>
      <w:r>
        <w:t>.</w:t>
      </w:r>
    </w:p>
    <w:p w:rsidR="007844FE" w:rsidRDefault="007844FE" w:rsidP="007844FE">
      <w:r>
        <w:lastRenderedPageBreak/>
        <w:t xml:space="preserve">The story of C3 effectiveness at the conclusion of 2015 is a more balanced one. A variety of C3 strategies matured during 2015 with the result that a key element of the C3 approach – the SNIP-Madrasah-Mentor model – was recognised by MoRA and provincial offices as a proven means of improving the quality of service delivery at the district level. </w:t>
      </w:r>
    </w:p>
    <w:p w:rsidR="007844FE" w:rsidRDefault="007844FE" w:rsidP="007844FE">
      <w:pPr>
        <w:rPr>
          <w:b/>
          <w:bCs/>
          <w:i/>
          <w:iCs/>
          <w:color w:val="4F81BD" w:themeColor="accent1"/>
        </w:rPr>
      </w:pPr>
      <w:r>
        <w:rPr>
          <w:b/>
          <w:bCs/>
          <w:i/>
          <w:iCs/>
          <w:color w:val="4F81BD" w:themeColor="accent1"/>
        </w:rPr>
        <w:t>Attainment of EOCO 3.1</w:t>
      </w:r>
    </w:p>
    <w:p w:rsidR="007844FE" w:rsidRDefault="007844FE" w:rsidP="007844FE">
      <w:pPr>
        <w:rPr>
          <w:bCs/>
        </w:rPr>
      </w:pPr>
      <w:r>
        <w:t xml:space="preserve">C3 accreditation preparation mechanisms were highly </w:t>
      </w:r>
      <w:r w:rsidR="004450C1">
        <w:t>organised</w:t>
      </w:r>
      <w:r>
        <w:t xml:space="preserve"> by Phase 3 of the program. Four of the seven SNIP/provinces engaged in Phase 3 had participated in previous phases of the program. In these provinces, the implementation of activities followed established patterns. As with previous years, significant energies were committed to ensuring the entry of targeted </w:t>
      </w:r>
      <w:r w:rsidR="004729E4">
        <w:t>Madrasah</w:t>
      </w:r>
      <w:r>
        <w:t xml:space="preserve"> on BAP-S/M assessment quotas. While this activity technically exceeded the mandate to merely </w:t>
      </w:r>
      <w:r>
        <w:rPr>
          <w:i/>
        </w:rPr>
        <w:t>prepare</w:t>
      </w:r>
      <w:r>
        <w:t xml:space="preserve"> </w:t>
      </w:r>
      <w:r w:rsidR="004729E4">
        <w:t>Madrasah</w:t>
      </w:r>
      <w:r>
        <w:t xml:space="preserve"> for accreditation (i.e. the listing and financing of prepared </w:t>
      </w:r>
      <w:r w:rsidR="004729E4">
        <w:t>Madrasah</w:t>
      </w:r>
      <w:r>
        <w:t xml:space="preserve"> was designed to be a MoRA responsibility), the value-add</w:t>
      </w:r>
      <w:r w:rsidR="004450C1">
        <w:t>ition</w:t>
      </w:r>
      <w:r>
        <w:t xml:space="preserve"> gained by ensuring that targeted </w:t>
      </w:r>
      <w:r w:rsidR="004729E4">
        <w:t>Madrasah</w:t>
      </w:r>
      <w:r>
        <w:t xml:space="preserve"> were placed on annual assessment quotas outweighed the costs of additional managing contractor inputs.</w:t>
      </w:r>
    </w:p>
    <w:p w:rsidR="007844FE" w:rsidRDefault="007844FE" w:rsidP="007844FE">
      <w:pPr>
        <w:rPr>
          <w:bCs/>
        </w:rPr>
      </w:pPr>
      <w:r>
        <w:rPr>
          <w:bCs/>
        </w:rPr>
        <w:t xml:space="preserve">Nonetheless, POM considers that successful interventions in approximately 1,500 targeted and untargeted </w:t>
      </w:r>
      <w:r w:rsidR="004729E4">
        <w:rPr>
          <w:bCs/>
        </w:rPr>
        <w:t>Madrasah</w:t>
      </w:r>
      <w:r>
        <w:rPr>
          <w:bCs/>
        </w:rPr>
        <w:t xml:space="preserve"> are unlikely to stimulate broad improvements in service provision </w:t>
      </w:r>
      <w:r>
        <w:rPr>
          <w:bCs/>
          <w:i/>
        </w:rPr>
        <w:t>at the district level (see the EOPO 3 statement).</w:t>
      </w:r>
      <w:r>
        <w:rPr>
          <w:bCs/>
        </w:rPr>
        <w:t xml:space="preserve"> Private </w:t>
      </w:r>
      <w:r w:rsidR="004729E4">
        <w:rPr>
          <w:bCs/>
        </w:rPr>
        <w:t>Madrasah</w:t>
      </w:r>
      <w:r>
        <w:rPr>
          <w:bCs/>
        </w:rPr>
        <w:t xml:space="preserve"> are often ‘islands’ within education jurisdictions</w:t>
      </w:r>
      <w:r>
        <w:rPr>
          <w:rStyle w:val="FootnoteReference"/>
          <w:bCs/>
        </w:rPr>
        <w:footnoteReference w:id="88"/>
      </w:r>
      <w:r>
        <w:rPr>
          <w:bCs/>
        </w:rPr>
        <w:t xml:space="preserve">. Findings from the </w:t>
      </w:r>
      <w:r>
        <w:rPr>
          <w:bCs/>
          <w:i/>
        </w:rPr>
        <w:t>EOPO 3 Evaluation Study</w:t>
      </w:r>
      <w:r>
        <w:rPr>
          <w:bCs/>
        </w:rPr>
        <w:t xml:space="preserve"> (2015) showed that they do not possess strong horizontal linkages with other </w:t>
      </w:r>
      <w:r w:rsidR="004729E4">
        <w:rPr>
          <w:bCs/>
        </w:rPr>
        <w:t>Madrasah</w:t>
      </w:r>
      <w:r>
        <w:rPr>
          <w:bCs/>
        </w:rPr>
        <w:t xml:space="preserve"> (both private and state) or district-level professional associations</w:t>
      </w:r>
      <w:r>
        <w:rPr>
          <w:rStyle w:val="FootnoteReference"/>
          <w:bCs/>
        </w:rPr>
        <w:footnoteReference w:id="89"/>
      </w:r>
      <w:r>
        <w:rPr>
          <w:bCs/>
        </w:rPr>
        <w:t xml:space="preserve">. The </w:t>
      </w:r>
      <w:r w:rsidR="004450C1">
        <w:rPr>
          <w:bCs/>
        </w:rPr>
        <w:t>C3 team</w:t>
      </w:r>
      <w:r>
        <w:rPr>
          <w:bCs/>
        </w:rPr>
        <w:t xml:space="preserve"> responded well to this concern by intensifying</w:t>
      </w:r>
      <w:r>
        <w:t xml:space="preserve"> networking strategies during Phase 3 and boosting training activities for cluster-level Madrasah Principal Working Groups or KKM</w:t>
      </w:r>
      <w:r>
        <w:rPr>
          <w:rStyle w:val="FootnoteReference"/>
        </w:rPr>
        <w:footnoteReference w:id="90"/>
      </w:r>
      <w:r>
        <w:t>.</w:t>
      </w:r>
      <w:r>
        <w:rPr>
          <w:bCs/>
        </w:rPr>
        <w:t xml:space="preserve"> While it is anticipated that these activities may generate district-level effects in certain instances, it is typically the case that participation in voluntary mechanisms dissipates rapidly upon the cessation of program support or the absence of incentives.</w:t>
      </w:r>
    </w:p>
    <w:p w:rsidR="007844FE" w:rsidRDefault="007844FE" w:rsidP="007844FE">
      <w:pPr>
        <w:rPr>
          <w:b/>
          <w:bCs/>
          <w:i/>
          <w:iCs/>
          <w:color w:val="4F81BD" w:themeColor="accent1"/>
        </w:rPr>
      </w:pPr>
      <w:r>
        <w:rPr>
          <w:b/>
          <w:bCs/>
          <w:i/>
          <w:iCs/>
          <w:color w:val="4F81BD" w:themeColor="accent1"/>
        </w:rPr>
        <w:t>Attainment of EOCO 3.2</w:t>
      </w:r>
    </w:p>
    <w:p w:rsidR="007844FE" w:rsidRDefault="007844FE" w:rsidP="007844FE">
      <w:r>
        <w:t>POM’s view of the EOCO 3.2 work stream twelve months ago was that ‘it is unlikely that the EOCO 3.2 work stream has, as of now, made much contribution to the achievement of EOPO 3</w:t>
      </w:r>
      <w:r w:rsidRPr="002510D1">
        <w:rPr>
          <w:rStyle w:val="EndnoteReference"/>
        </w:rPr>
        <w:endnoteReference w:id="57"/>
      </w:r>
      <w:r>
        <w:t>’. The situation at the conclusion of 2015 is quite the reverse. What were previously ‘signs of progress’ have garnered sufficient momentum to be regarded as important contributions to the achievement of the EOPO.</w:t>
      </w:r>
      <w:r w:rsidR="002010DB">
        <w:t xml:space="preserve"> </w:t>
      </w:r>
      <w:r>
        <w:t xml:space="preserve">They include: </w:t>
      </w:r>
    </w:p>
    <w:p w:rsidR="007844FE" w:rsidRPr="007844FE" w:rsidRDefault="007844FE" w:rsidP="00B14021">
      <w:pPr>
        <w:pStyle w:val="ListParagraph"/>
        <w:numPr>
          <w:ilvl w:val="0"/>
          <w:numId w:val="24"/>
        </w:numPr>
        <w:rPr>
          <w:bCs/>
        </w:rPr>
      </w:pPr>
      <w:r>
        <w:t>Targeted technical assistance to MoRA for the design of MoRA replication initiatives.</w:t>
      </w:r>
    </w:p>
    <w:p w:rsidR="007844FE" w:rsidRPr="007844FE" w:rsidRDefault="007844FE" w:rsidP="00B14021">
      <w:pPr>
        <w:pStyle w:val="ListParagraph"/>
        <w:numPr>
          <w:ilvl w:val="0"/>
          <w:numId w:val="24"/>
        </w:numPr>
        <w:rPr>
          <w:bCs/>
        </w:rPr>
      </w:pPr>
      <w:r>
        <w:t>The development of the MDC regulation.</w:t>
      </w:r>
    </w:p>
    <w:p w:rsidR="007844FE" w:rsidRPr="007844FE" w:rsidRDefault="007844FE" w:rsidP="00B14021">
      <w:pPr>
        <w:pStyle w:val="ListParagraph"/>
        <w:numPr>
          <w:ilvl w:val="0"/>
          <w:numId w:val="24"/>
        </w:numPr>
        <w:rPr>
          <w:bCs/>
        </w:rPr>
      </w:pPr>
      <w:r>
        <w:t>The adoption or adaptation of C3 practices as components of the MoRA Grand Design.</w:t>
      </w:r>
    </w:p>
    <w:p w:rsidR="00B631D5" w:rsidRDefault="00B631D5" w:rsidP="007844FE">
      <w:pPr>
        <w:rPr>
          <w:b/>
          <w:bCs/>
          <w:i/>
          <w:iCs/>
          <w:color w:val="4F81BD" w:themeColor="accent1"/>
        </w:rPr>
      </w:pPr>
    </w:p>
    <w:p w:rsidR="007844FE" w:rsidRDefault="007844FE" w:rsidP="007844FE">
      <w:pPr>
        <w:rPr>
          <w:b/>
          <w:bCs/>
          <w:i/>
          <w:iCs/>
          <w:color w:val="4F81BD" w:themeColor="accent1"/>
        </w:rPr>
      </w:pPr>
      <w:r>
        <w:rPr>
          <w:b/>
          <w:bCs/>
          <w:i/>
          <w:iCs/>
          <w:color w:val="4F81BD" w:themeColor="accent1"/>
        </w:rPr>
        <w:lastRenderedPageBreak/>
        <w:t>Attainment of EOPO 3</w:t>
      </w:r>
    </w:p>
    <w:p w:rsidR="007844FE" w:rsidRDefault="007844FE" w:rsidP="007844FE">
      <w:r>
        <w:t xml:space="preserve">The EP logic assumes that the attainment of the EOCOs is necessary for the achievement of EOPO 3. The position POM adopted in the 2014 APPR was that insufficient progress towards the development of </w:t>
      </w:r>
      <w:r w:rsidR="004729E4">
        <w:t>Madrasah</w:t>
      </w:r>
      <w:r>
        <w:t xml:space="preserve"> quality support systems (EOCO 3.2) compromised the likelihood that EOPO 3 would be attained. </w:t>
      </w:r>
    </w:p>
    <w:p w:rsidR="007844FE" w:rsidRDefault="007844FE" w:rsidP="007844FE">
      <w:r>
        <w:t>POM’s assessment in 2015 is that improvements in systemic strengthening have led to the attainment of EOPO 3. This verdict has been made on the basis of the following factors:</w:t>
      </w:r>
    </w:p>
    <w:p w:rsidR="007844FE" w:rsidRDefault="007844FE" w:rsidP="00B14021">
      <w:pPr>
        <w:pStyle w:val="ListParagraph"/>
        <w:numPr>
          <w:ilvl w:val="0"/>
          <w:numId w:val="23"/>
        </w:numPr>
      </w:pPr>
      <w:r>
        <w:t>The expansion of MoRA-funded accreditation activities increased the critical mass of C3-related quality improvement activities in targeted districts.</w:t>
      </w:r>
    </w:p>
    <w:p w:rsidR="007844FE" w:rsidRDefault="007844FE" w:rsidP="00B14021">
      <w:pPr>
        <w:pStyle w:val="ListParagraph"/>
        <w:numPr>
          <w:ilvl w:val="0"/>
          <w:numId w:val="23"/>
        </w:numPr>
      </w:pPr>
      <w:r>
        <w:t xml:space="preserve">The formalisation of MDCs as state-funded entities created a mechanism by which quality improvement services were no longer </w:t>
      </w:r>
      <w:r w:rsidRPr="007844FE">
        <w:rPr>
          <w:i/>
        </w:rPr>
        <w:t>ad hoc</w:t>
      </w:r>
      <w:r>
        <w:t xml:space="preserve"> in nature.</w:t>
      </w:r>
    </w:p>
    <w:p w:rsidR="007844FE" w:rsidRDefault="007844FE" w:rsidP="00B14021">
      <w:pPr>
        <w:pStyle w:val="ListParagraph"/>
        <w:numPr>
          <w:ilvl w:val="0"/>
          <w:numId w:val="23"/>
        </w:numPr>
      </w:pPr>
      <w:r>
        <w:t>Local financing initiatives expanded the impact of C3 quality improvement activities at the district-level.</w:t>
      </w:r>
    </w:p>
    <w:p w:rsidR="007844FE" w:rsidRDefault="007844FE" w:rsidP="007844FE">
      <w:r>
        <w:t>POM’s assessment of performance against EOPO 3 was additionally shaped by an awareness that ‘district-level impact’ within the non-decentralised MoRA system is a derivative of provincial level influence. C3 actors successfully cultivated strong working relationships with a range of provincial level entities such as MoRA provincial offices, MDCs, and provincial offices of the National Assessment Agency. These relationships generated possibilities for systematic impacts at the district level, as provincial entities set the agenda for the implementation of activities at the district level in the MoRA system. By contrast, one of C3’s main initiatives to generate district level impact from the bottom up – the promotion of district government financing options – produced highly uneven outcomes. Part of the reason for this was the lack of capacity and authority within MoRA district offices</w:t>
      </w:r>
      <w:r>
        <w:rPr>
          <w:rStyle w:val="FootnoteReference"/>
        </w:rPr>
        <w:footnoteReference w:id="91"/>
      </w:r>
      <w:r>
        <w:t>. In hindsight, the design of C3 assessment framework would have benefitted from a more acute awareness of the relative points of strength within the MoRA system.</w:t>
      </w:r>
    </w:p>
    <w:p w:rsidR="003F2A50" w:rsidRDefault="003F2A50" w:rsidP="003F2A50">
      <w:pPr>
        <w:pStyle w:val="Heading3"/>
      </w:pPr>
      <w:r w:rsidRPr="00851EC7">
        <w:t>Impact</w:t>
      </w:r>
    </w:p>
    <w:p w:rsidR="007844FE" w:rsidRDefault="007844FE" w:rsidP="007844FE">
      <w:r>
        <w:rPr>
          <w:bCs/>
        </w:rPr>
        <w:t xml:space="preserve">By the conclusion of Phase 3 in December 2015, the long-term sectoral impact of C3 had grown substantially. The initial 1,500 </w:t>
      </w:r>
      <w:r w:rsidR="004729E4">
        <w:rPr>
          <w:bCs/>
        </w:rPr>
        <w:t>Madrasah</w:t>
      </w:r>
      <w:r>
        <w:rPr>
          <w:bCs/>
        </w:rPr>
        <w:t xml:space="preserve"> targeted for accreditation preparation only represented 4% of an estimated </w:t>
      </w:r>
      <w:r>
        <w:rPr>
          <w:rFonts w:eastAsia="Calibri" w:cstheme="minorHAnsi"/>
          <w:bCs/>
          <w:iCs/>
        </w:rPr>
        <w:t xml:space="preserve">38,315 </w:t>
      </w:r>
      <w:r>
        <w:rPr>
          <w:bCs/>
        </w:rPr>
        <w:t>private MI and MTs</w:t>
      </w:r>
      <w:r w:rsidRPr="002510D1">
        <w:rPr>
          <w:rStyle w:val="EndnoteReference"/>
        </w:rPr>
        <w:endnoteReference w:id="58"/>
      </w:r>
      <w:r>
        <w:rPr>
          <w:bCs/>
        </w:rPr>
        <w:t xml:space="preserve">. However, in 2015, MoRA supported 153 </w:t>
      </w:r>
      <w:r w:rsidR="004729E4">
        <w:rPr>
          <w:bCs/>
        </w:rPr>
        <w:t>Madrasah</w:t>
      </w:r>
      <w:r>
        <w:rPr>
          <w:bCs/>
        </w:rPr>
        <w:t xml:space="preserve"> for track one of the </w:t>
      </w:r>
      <w:r w:rsidRPr="0079566A">
        <w:rPr>
          <w:bCs/>
          <w:i/>
        </w:rPr>
        <w:t>Madrasah Up-Grading Program</w:t>
      </w:r>
      <w:r>
        <w:rPr>
          <w:bCs/>
        </w:rPr>
        <w:t xml:space="preserve">, and 3,000 </w:t>
      </w:r>
      <w:r w:rsidR="004729E4">
        <w:rPr>
          <w:bCs/>
        </w:rPr>
        <w:t>Madrasah</w:t>
      </w:r>
      <w:r>
        <w:rPr>
          <w:bCs/>
        </w:rPr>
        <w:t xml:space="preserve"> for the trimmed-down track two variant. Both strategies were supported by C3 with technical assistance and training. Budget commitments were signed-off in 2015 to extend track two support to a further 3,000 </w:t>
      </w:r>
      <w:r w:rsidR="004729E4">
        <w:rPr>
          <w:bCs/>
        </w:rPr>
        <w:t>Madrasah</w:t>
      </w:r>
      <w:r>
        <w:rPr>
          <w:bCs/>
        </w:rPr>
        <w:t xml:space="preserve"> in 2016. Combined, these figures show that the total number of </w:t>
      </w:r>
      <w:r w:rsidR="004729E4">
        <w:rPr>
          <w:bCs/>
        </w:rPr>
        <w:t>Madrasah</w:t>
      </w:r>
      <w:r>
        <w:rPr>
          <w:bCs/>
        </w:rPr>
        <w:t xml:space="preserve"> that may be said to have felt the imprint of C3 amount to one-fifth of the estimated number of private </w:t>
      </w:r>
      <w:r w:rsidR="004729E4">
        <w:rPr>
          <w:bCs/>
        </w:rPr>
        <w:t>Madrasah</w:t>
      </w:r>
      <w:r>
        <w:rPr>
          <w:bCs/>
        </w:rPr>
        <w:t xml:space="preserve"> nationally</w:t>
      </w:r>
      <w:r>
        <w:rPr>
          <w:rStyle w:val="FootnoteReference"/>
          <w:bCs/>
        </w:rPr>
        <w:footnoteReference w:id="92"/>
      </w:r>
      <w:r>
        <w:rPr>
          <w:bCs/>
        </w:rPr>
        <w:t>. C3 modules and best practices were additionally disseminated to the Directorate for</w:t>
      </w:r>
      <w:r>
        <w:t xml:space="preserve"> Religious Teaching in Public Schools (PAIS) for the development of active learning modules for religious teachers</w:t>
      </w:r>
      <w:r w:rsidRPr="002510D1">
        <w:rPr>
          <w:rStyle w:val="EndnoteReference"/>
        </w:rPr>
        <w:endnoteReference w:id="59"/>
      </w:r>
      <w:r>
        <w:t>.</w:t>
      </w:r>
      <w:r>
        <w:rPr>
          <w:color w:val="FF0000"/>
        </w:rPr>
        <w:t xml:space="preserve"> </w:t>
      </w:r>
      <w:r>
        <w:rPr>
          <w:bCs/>
        </w:rPr>
        <w:t xml:space="preserve">The </w:t>
      </w:r>
      <w:r>
        <w:rPr>
          <w:bCs/>
        </w:rPr>
        <w:lastRenderedPageBreak/>
        <w:t>manner in which the program has, contrary to design, contributed to programs that have generated significant critical mass is highly commendable.</w:t>
      </w:r>
      <w:r>
        <w:t xml:space="preserve"> </w:t>
      </w:r>
    </w:p>
    <w:p w:rsidR="007844FE" w:rsidRDefault="007844FE" w:rsidP="007844FE">
      <w:pPr>
        <w:rPr>
          <w:bCs/>
        </w:rPr>
      </w:pPr>
      <w:r>
        <w:rPr>
          <w:bCs/>
        </w:rPr>
        <w:t xml:space="preserve">It is anticipated that the impact of C3 interventions upon the administrative competency of targeted and non-targeted </w:t>
      </w:r>
      <w:r w:rsidR="004729E4">
        <w:rPr>
          <w:bCs/>
        </w:rPr>
        <w:t>Madrasah</w:t>
      </w:r>
      <w:r>
        <w:rPr>
          <w:bCs/>
        </w:rPr>
        <w:t xml:space="preserve"> will hold. This is important, as accreditation status must be renewed every five years. Competitive pressures (i.e. competition for students) provide an incentive for institutions to maintain, if not increase</w:t>
      </w:r>
      <w:r w:rsidR="003A6692">
        <w:rPr>
          <w:bCs/>
        </w:rPr>
        <w:t>,</w:t>
      </w:r>
      <w:r>
        <w:rPr>
          <w:bCs/>
        </w:rPr>
        <w:t xml:space="preserve"> their accreditation ranking. </w:t>
      </w:r>
    </w:p>
    <w:p w:rsidR="007844FE" w:rsidRDefault="007844FE" w:rsidP="007844FE">
      <w:pPr>
        <w:rPr>
          <w:bCs/>
        </w:rPr>
      </w:pPr>
      <w:r>
        <w:rPr>
          <w:bCs/>
        </w:rPr>
        <w:t xml:space="preserve">Interventions designed to build the capacity of targeted and non-participating </w:t>
      </w:r>
      <w:r w:rsidR="004729E4">
        <w:rPr>
          <w:bCs/>
        </w:rPr>
        <w:t>Madrasah</w:t>
      </w:r>
      <w:r>
        <w:rPr>
          <w:bCs/>
        </w:rPr>
        <w:t xml:space="preserve"> in soliciting external funding (e.g. from district governments) are also likely to have a long-term impact. Here again, there are clear incentives to tap opportunities for additional funding. C3 efforts to clarify the legal avenues available to district governments for the support of private </w:t>
      </w:r>
      <w:r w:rsidR="004729E4">
        <w:rPr>
          <w:bCs/>
        </w:rPr>
        <w:t>Madrasah</w:t>
      </w:r>
      <w:r>
        <w:rPr>
          <w:bCs/>
        </w:rPr>
        <w:t xml:space="preserve"> should produce long-term outcomes. However, it should be noted that the incentives that drive district government funding are contingent upon the prevailing political context. As such, long term impacts are likely to be uneven and irregular.</w:t>
      </w:r>
    </w:p>
    <w:p w:rsidR="007844FE" w:rsidRDefault="007844FE" w:rsidP="007844FE">
      <w:pPr>
        <w:rPr>
          <w:bCs/>
        </w:rPr>
      </w:pPr>
      <w:r>
        <w:rPr>
          <w:bCs/>
        </w:rPr>
        <w:t xml:space="preserve">It is less likely that training investments in teaching and pedagogy will have a long term impact. Over the course of C3, teachers have generally stood out as the most eager recipients of program support. </w:t>
      </w:r>
      <w:r>
        <w:rPr>
          <w:bCs/>
          <w:i/>
        </w:rPr>
        <w:t>EOPO 3 Evaluation Study</w:t>
      </w:r>
      <w:r>
        <w:rPr>
          <w:bCs/>
        </w:rPr>
        <w:t xml:space="preserve"> (2015) data indicate that PAIKEM</w:t>
      </w:r>
      <w:r>
        <w:rPr>
          <w:rStyle w:val="FootnoteReference"/>
          <w:bCs/>
        </w:rPr>
        <w:footnoteReference w:id="93"/>
      </w:r>
      <w:r>
        <w:rPr>
          <w:bCs/>
        </w:rPr>
        <w:t xml:space="preserve"> training was frequently cited by recipients as a breakthrough in the improvement of classroom practices</w:t>
      </w:r>
      <w:r>
        <w:rPr>
          <w:rStyle w:val="FootnoteReference"/>
          <w:bCs/>
        </w:rPr>
        <w:footnoteReference w:id="94"/>
      </w:r>
      <w:r>
        <w:rPr>
          <w:bCs/>
        </w:rPr>
        <w:t xml:space="preserve">. However, survey data indicated that </w:t>
      </w:r>
      <w:r w:rsidR="004729E4">
        <w:rPr>
          <w:bCs/>
        </w:rPr>
        <w:t>Madrasah</w:t>
      </w:r>
      <w:r>
        <w:rPr>
          <w:bCs/>
        </w:rPr>
        <w:t xml:space="preserve"> did not commit funds – including block grant funds – to professional development activities. Most teachers had never experienced any form of professional training prior to C3. Participation in professional cluster associations (e.g. KKM, MGMP or KKG) was minimal. In the absence of any pre-existing appetite from </w:t>
      </w:r>
      <w:r w:rsidR="004729E4">
        <w:rPr>
          <w:bCs/>
        </w:rPr>
        <w:t>Madrasah</w:t>
      </w:r>
      <w:r>
        <w:rPr>
          <w:bCs/>
        </w:rPr>
        <w:t xml:space="preserve"> to support and prioritise teacher training, and the poor integration of private </w:t>
      </w:r>
      <w:r w:rsidR="004729E4">
        <w:rPr>
          <w:bCs/>
        </w:rPr>
        <w:t>Madrasah</w:t>
      </w:r>
      <w:r>
        <w:rPr>
          <w:bCs/>
        </w:rPr>
        <w:t xml:space="preserve"> teachers into cluster associations, it is unlikely that C3 investments in this area will be sustained.</w:t>
      </w:r>
    </w:p>
    <w:p w:rsidR="007844FE" w:rsidRDefault="007844FE" w:rsidP="00F2582D">
      <w:pPr>
        <w:rPr>
          <w:rFonts w:ascii="Times New Roman" w:eastAsiaTheme="minorHAnsi" w:hAnsi="Times New Roman" w:cs="Times New Roman"/>
          <w:sz w:val="24"/>
          <w:szCs w:val="24"/>
          <w:lang w:eastAsia="en-AU"/>
        </w:rPr>
      </w:pPr>
      <w:r>
        <w:t>The long-term impact of ‘locking-in’ MDCs as vehicles for the development of a quality assurance framework for the Islamic education sector has come at the price of excluding proven</w:t>
      </w:r>
      <w:r w:rsidR="003A6692">
        <w:t>,</w:t>
      </w:r>
      <w:r>
        <w:t xml:space="preserve"> effective non-government partners. On a number of key indicators, Al-Maarif, the educational arm of the Islamic organisation Nahdlatul Ulama (NU) was one of the most effective SNIPs for C3</w:t>
      </w:r>
      <w:r>
        <w:rPr>
          <w:rStyle w:val="FootnoteReference"/>
          <w:bCs/>
        </w:rPr>
        <w:footnoteReference w:id="95"/>
      </w:r>
      <w:r>
        <w:t>. The group independently rolled-out Madrasah-Based Management (MBM)</w:t>
      </w:r>
      <w:r>
        <w:rPr>
          <w:rStyle w:val="FootnoteReference"/>
          <w:bCs/>
        </w:rPr>
        <w:footnoteReference w:id="96"/>
      </w:r>
      <w:r>
        <w:t xml:space="preserve"> training to an additional 1,000 </w:t>
      </w:r>
      <w:r w:rsidR="004729E4">
        <w:t>Madrasah</w:t>
      </w:r>
      <w:r>
        <w:t xml:space="preserve"> within its </w:t>
      </w:r>
      <w:r w:rsidR="004729E4">
        <w:t>Madrasah</w:t>
      </w:r>
      <w:r>
        <w:t xml:space="preserve"> network and was responsible for successfully lobbying a number of district governments to commit funding to the private </w:t>
      </w:r>
      <w:r w:rsidR="004729E4">
        <w:t>Madrasah</w:t>
      </w:r>
      <w:r>
        <w:t xml:space="preserve"> sector (C3 support being instrumental to this process). Al-Maarif and other large Islamic organisations (Muhammadiyah, </w:t>
      </w:r>
      <w:r>
        <w:rPr>
          <w:i/>
        </w:rPr>
        <w:t>Dewan Da’wah Indonesia</w:t>
      </w:r>
      <w:r>
        <w:t xml:space="preserve"> or DDI) have a significant presence and status in the private </w:t>
      </w:r>
      <w:r w:rsidR="004729E4">
        <w:t>Madrasah</w:t>
      </w:r>
      <w:r>
        <w:t xml:space="preserve"> </w:t>
      </w:r>
      <w:r>
        <w:lastRenderedPageBreak/>
        <w:t xml:space="preserve">sector. </w:t>
      </w:r>
      <w:r w:rsidR="003A6692">
        <w:t>However, t</w:t>
      </w:r>
      <w:r>
        <w:t xml:space="preserve">he lack of stakeholder status accorded to such organisations in </w:t>
      </w:r>
      <w:r w:rsidR="0079566A">
        <w:t>the future</w:t>
      </w:r>
      <w:r>
        <w:t xml:space="preserve"> may serve to undermine the impact of state-driven initiatives. </w:t>
      </w:r>
    </w:p>
    <w:p w:rsidR="003F2A50" w:rsidRDefault="003F2A50" w:rsidP="003F2A50">
      <w:pPr>
        <w:pStyle w:val="Heading3"/>
      </w:pPr>
      <w:r w:rsidRPr="00851EC7">
        <w:t>Sustainability</w:t>
      </w:r>
    </w:p>
    <w:p w:rsidR="007844FE" w:rsidRDefault="007844FE" w:rsidP="00F2582D">
      <w:r>
        <w:t xml:space="preserve">C3 contributions to the development of MoRA’s </w:t>
      </w:r>
      <w:r>
        <w:rPr>
          <w:i/>
        </w:rPr>
        <w:t>Education Management Information System</w:t>
      </w:r>
      <w:r>
        <w:t xml:space="preserve"> </w:t>
      </w:r>
      <w:r w:rsidR="003A6692">
        <w:t>(</w:t>
      </w:r>
      <w:r>
        <w:t>EMIS</w:t>
      </w:r>
      <w:r w:rsidR="003A6692">
        <w:t>)</w:t>
      </w:r>
      <w:r>
        <w:t xml:space="preserve"> database have been of sufficient weight to provide a sustained benefit to the Ministry’s capacity to accurately map the private </w:t>
      </w:r>
      <w:r w:rsidR="004729E4">
        <w:t>Madrasah</w:t>
      </w:r>
      <w:r>
        <w:t xml:space="preserve"> sector. C3 strengthened the system by supporting the implementation of the Director</w:t>
      </w:r>
      <w:r w:rsidR="003A6692">
        <w:t>-</w:t>
      </w:r>
      <w:r>
        <w:t>General Decree concerning Technical Guideline</w:t>
      </w:r>
      <w:r w:rsidR="003A6692">
        <w:t>s</w:t>
      </w:r>
      <w:r>
        <w:t xml:space="preserve"> for Madrasah Establishment</w:t>
      </w:r>
      <w:r>
        <w:rPr>
          <w:rStyle w:val="FootnoteReference"/>
        </w:rPr>
        <w:footnoteReference w:id="97"/>
      </w:r>
      <w:r w:rsidR="000878B0">
        <w:t>. This</w:t>
      </w:r>
      <w:r>
        <w:t xml:space="preserve"> included the development of a software application for the online registration of </w:t>
      </w:r>
      <w:r w:rsidR="004729E4">
        <w:t>Madrasah</w:t>
      </w:r>
      <w:r>
        <w:t xml:space="preserve"> and supporting operation</w:t>
      </w:r>
      <w:r w:rsidR="003A6692">
        <w:t>s</w:t>
      </w:r>
      <w:r>
        <w:t xml:space="preserve"> manuals, and training in the application’s use for MoRA staff. The data produced from the application will be synchronised with EMIS. </w:t>
      </w:r>
    </w:p>
    <w:p w:rsidR="007844FE" w:rsidRDefault="007844FE" w:rsidP="00F2582D">
      <w:r>
        <w:t xml:space="preserve">The speed with which the </w:t>
      </w:r>
      <w:r w:rsidR="004729E4">
        <w:t>Madrasah</w:t>
      </w:r>
      <w:r>
        <w:t xml:space="preserve"> sector is expanding (which will most likely increase with the introduction of 12 years of universal education</w:t>
      </w:r>
      <w:r>
        <w:rPr>
          <w:rStyle w:val="FootnoteReference"/>
        </w:rPr>
        <w:footnoteReference w:id="98"/>
      </w:r>
      <w:r>
        <w:t xml:space="preserve">) creates a strong imperative for an accurate registration system. The net effect should be the enhancement of MoRA’s capacity to fashion evidence-based policy. C3 initiatives for the synchronisation </w:t>
      </w:r>
      <w:r w:rsidR="003A6692">
        <w:t xml:space="preserve">of </w:t>
      </w:r>
      <w:r>
        <w:t>EMIS with BAN S/M systems should add value to this process.</w:t>
      </w:r>
    </w:p>
    <w:p w:rsidR="007844FE" w:rsidRDefault="007844FE" w:rsidP="00F2582D">
      <w:r>
        <w:t>The production of a regulation whereby MDCs have been established as quality assurance entities with routine funding is the most visible sustainable outcome of C3. Research conducted in 2015 for POM’s</w:t>
      </w:r>
      <w:r>
        <w:rPr>
          <w:i/>
        </w:rPr>
        <w:t xml:space="preserve"> Comparative Study</w:t>
      </w:r>
      <w:r>
        <w:t xml:space="preserve"> of </w:t>
      </w:r>
      <w:r>
        <w:rPr>
          <w:i/>
        </w:rPr>
        <w:t>Madrasah Development Centres</w:t>
      </w:r>
      <w:r>
        <w:t xml:space="preserve"> (2015) showed that the absence of routine funding to MDCs had resulted in a ‘project mentality’ whereby levels of activity were solely determined by the availability of </w:t>
      </w:r>
      <w:r>
        <w:rPr>
          <w:i/>
        </w:rPr>
        <w:t>ad hoc</w:t>
      </w:r>
      <w:r>
        <w:t xml:space="preserve"> funding</w:t>
      </w:r>
      <w:r>
        <w:rPr>
          <w:rStyle w:val="FootnoteReference"/>
        </w:rPr>
        <w:footnoteReference w:id="99"/>
      </w:r>
      <w:r>
        <w:t xml:space="preserve">. As a result, MDC activities were unable to address systemic weaknesses within the </w:t>
      </w:r>
      <w:r w:rsidR="004729E4">
        <w:t>Madrasah</w:t>
      </w:r>
      <w:r>
        <w:t xml:space="preserve"> sector. The provision of routine funding should provide a starting point for more structured and coordinated interventions.</w:t>
      </w:r>
    </w:p>
    <w:p w:rsidR="007844FE" w:rsidRDefault="007844FE" w:rsidP="007844FE">
      <w:r>
        <w:t xml:space="preserve">The successful institutionalisation of MDCs is, however, only the first step in a process. POM has a number of concerns about how effectively these institutions can pick up from where SNIPs have left off. </w:t>
      </w:r>
    </w:p>
    <w:p w:rsidR="007844FE" w:rsidRDefault="007844FE" w:rsidP="00B14021">
      <w:pPr>
        <w:pStyle w:val="ListParagraph"/>
        <w:numPr>
          <w:ilvl w:val="0"/>
          <w:numId w:val="25"/>
        </w:numPr>
      </w:pPr>
      <w:r>
        <w:t xml:space="preserve">Closer integration into the MoRA bureaucracy carries the risk that the centres will lose the budgetary autonomy and flexibility that characterised the most successful SNIP under C3. </w:t>
      </w:r>
    </w:p>
    <w:p w:rsidR="007844FE" w:rsidRDefault="007844FE" w:rsidP="00B14021">
      <w:pPr>
        <w:pStyle w:val="ListParagraph"/>
        <w:numPr>
          <w:ilvl w:val="0"/>
          <w:numId w:val="25"/>
        </w:numPr>
      </w:pPr>
      <w:r>
        <w:t>There is also no indication of how MoRA will address the uneven capacity of MDCs across the archipelago</w:t>
      </w:r>
      <w:r>
        <w:rPr>
          <w:rStyle w:val="FootnoteReference"/>
          <w:rFonts w:eastAsia="Times New Roman"/>
        </w:rPr>
        <w:footnoteReference w:id="100"/>
      </w:r>
      <w:r>
        <w:t>. The flat rate of grant support to SNIP during Phase 3, for example, resulted in a lower standard of service delivery in areas where the money simply did not go as far</w:t>
      </w:r>
      <w:r>
        <w:rPr>
          <w:rStyle w:val="FootnoteReference"/>
          <w:rFonts w:cstheme="minorBidi"/>
        </w:rPr>
        <w:footnoteReference w:id="101"/>
      </w:r>
      <w:r>
        <w:t xml:space="preserve">. </w:t>
      </w:r>
    </w:p>
    <w:p w:rsidR="007844FE" w:rsidRDefault="007844FE" w:rsidP="00B14021">
      <w:pPr>
        <w:pStyle w:val="ListParagraph"/>
        <w:numPr>
          <w:ilvl w:val="0"/>
          <w:numId w:val="25"/>
        </w:numPr>
      </w:pPr>
      <w:r>
        <w:lastRenderedPageBreak/>
        <w:t>Investments in MDC strengthening at the central and provincial levels ha</w:t>
      </w:r>
      <w:r w:rsidR="003A6692">
        <w:t>ve</w:t>
      </w:r>
      <w:r>
        <w:t xml:space="preserve"> not been matched at the point of service delivery to individual </w:t>
      </w:r>
      <w:r w:rsidR="004729E4">
        <w:t>Madrasah</w:t>
      </w:r>
      <w:r>
        <w:t xml:space="preserve">. Under C3, individually appointed and trained mentors occupied a pivotal position at the point of service delivery in </w:t>
      </w:r>
      <w:r w:rsidR="004729E4">
        <w:t>Madrasah</w:t>
      </w:r>
      <w:r>
        <w:rPr>
          <w:rStyle w:val="FootnoteReference"/>
          <w:rFonts w:eastAsia="Times New Roman"/>
        </w:rPr>
        <w:footnoteReference w:id="102"/>
      </w:r>
      <w:r>
        <w:t>. Under proposed schemes, cluster associations such as KKM are s</w:t>
      </w:r>
      <w:r w:rsidR="003A6692">
        <w:t>cheduled</w:t>
      </w:r>
      <w:r>
        <w:t xml:space="preserve"> to perform this role</w:t>
      </w:r>
      <w:r>
        <w:rPr>
          <w:rStyle w:val="FootnoteReference"/>
          <w:rFonts w:eastAsia="Times New Roman"/>
        </w:rPr>
        <w:footnoteReference w:id="103"/>
      </w:r>
      <w:r>
        <w:t xml:space="preserve">. The capacity and willingness of these associations to engage with private </w:t>
      </w:r>
      <w:r w:rsidR="004729E4">
        <w:t>Madrasah</w:t>
      </w:r>
      <w:r>
        <w:t xml:space="preserve"> is untested. Anecdotal evidence suggests that they are generally not fit for purpose.</w:t>
      </w:r>
    </w:p>
    <w:p w:rsidR="007844FE" w:rsidRDefault="007844FE" w:rsidP="007844FE">
      <w:pPr>
        <w:rPr>
          <w:bCs/>
        </w:rPr>
      </w:pPr>
      <w:r>
        <w:rPr>
          <w:bCs/>
        </w:rPr>
        <w:t>POM’s final concern regarding the sustainability of C3 outcomes relates to the current status of the Grand Design. Various proposals contained within this document advocate for the adoption or adaptation of C3 techniques as core elements of a quality improvement framework. However, the Grand Design appears to have lost momentum. The formation of a steering committee in September 2015 was a positive signal. However, at the time of writing</w:t>
      </w:r>
      <w:r w:rsidR="003A6692">
        <w:rPr>
          <w:bCs/>
        </w:rPr>
        <w:t>,</w:t>
      </w:r>
      <w:r>
        <w:rPr>
          <w:bCs/>
        </w:rPr>
        <w:t xml:space="preserve"> a meeting of the committee </w:t>
      </w:r>
      <w:r w:rsidR="003A6692">
        <w:rPr>
          <w:bCs/>
        </w:rPr>
        <w:t>h</w:t>
      </w:r>
      <w:r>
        <w:rPr>
          <w:bCs/>
        </w:rPr>
        <w:t>as yet to be convened and no funding commitments ha</w:t>
      </w:r>
      <w:r w:rsidR="003A6692">
        <w:rPr>
          <w:bCs/>
        </w:rPr>
        <w:t>ve</w:t>
      </w:r>
      <w:r>
        <w:rPr>
          <w:bCs/>
        </w:rPr>
        <w:t xml:space="preserve"> been announced. </w:t>
      </w:r>
    </w:p>
    <w:p w:rsidR="003F2A50" w:rsidRPr="00851EC7" w:rsidRDefault="003F2A50" w:rsidP="003F2A50">
      <w:pPr>
        <w:pStyle w:val="Heading2"/>
      </w:pPr>
      <w:r>
        <w:t>Summary and recommendations</w:t>
      </w:r>
      <w:r w:rsidRPr="00851EC7">
        <w:t xml:space="preserve"> </w:t>
      </w:r>
    </w:p>
    <w:p w:rsidR="00D20962" w:rsidRDefault="00D20962" w:rsidP="00775568">
      <w:r w:rsidRPr="00D20962">
        <w:t>A summary table of component performance by DAC c</w:t>
      </w:r>
      <w:r w:rsidR="00F56EE4">
        <w:t xml:space="preserve">riteria is presented in </w:t>
      </w:r>
      <w:r w:rsidR="008C7BE3">
        <w:fldChar w:fldCharType="begin"/>
      </w:r>
      <w:r w:rsidR="008C7BE3">
        <w:instrText xml:space="preserve"> REF _Ref447781991 \h </w:instrText>
      </w:r>
      <w:r w:rsidR="008C7BE3">
        <w:fldChar w:fldCharType="separate"/>
      </w:r>
      <w:r w:rsidR="00EC36D2" w:rsidRPr="00D20962">
        <w:t xml:space="preserve">Table </w:t>
      </w:r>
      <w:r w:rsidR="00EC36D2">
        <w:rPr>
          <w:noProof/>
        </w:rPr>
        <w:t>15</w:t>
      </w:r>
      <w:r w:rsidR="008C7BE3">
        <w:fldChar w:fldCharType="end"/>
      </w:r>
      <w:r w:rsidRPr="00D20962">
        <w:t xml:space="preserve">, below. </w:t>
      </w:r>
      <w:r w:rsidR="00994307" w:rsidRPr="00851EC7">
        <w:t xml:space="preserve">The rating scale </w:t>
      </w:r>
      <w:r w:rsidR="00994307">
        <w:t>reflects the requirements of GoA’s Investment Quality Reporting (IQR) and the associated Aid Quality Checks (AQCs), and it is consistent with that used in earlier APPRs</w:t>
      </w:r>
      <w:r w:rsidR="00994307" w:rsidRPr="00851EC7">
        <w:t>.</w:t>
      </w:r>
      <w:r w:rsidR="00994307">
        <w:t xml:space="preserve"> </w:t>
      </w:r>
      <w:r w:rsidRPr="00D20962">
        <w:t xml:space="preserve">Recommendations for improvement and, in particular, what measures are needed to increase the likelihood of achieving EOPO 3 are provided in </w:t>
      </w:r>
      <w:r w:rsidR="008C7BE3">
        <w:fldChar w:fldCharType="begin"/>
      </w:r>
      <w:r w:rsidR="008C7BE3">
        <w:instrText xml:space="preserve"> REF _Ref447782011 \h </w:instrText>
      </w:r>
      <w:r w:rsidR="008C7BE3">
        <w:fldChar w:fldCharType="separate"/>
      </w:r>
      <w:r w:rsidR="00EC36D2" w:rsidRPr="00D20962">
        <w:t xml:space="preserve">Table </w:t>
      </w:r>
      <w:r w:rsidR="00EC36D2">
        <w:rPr>
          <w:noProof/>
        </w:rPr>
        <w:t>16</w:t>
      </w:r>
      <w:r w:rsidR="008C7BE3">
        <w:fldChar w:fldCharType="end"/>
      </w:r>
      <w:r w:rsidR="00BE4367">
        <w:t>. I</w:t>
      </w:r>
      <w:r w:rsidR="00BE4367" w:rsidRPr="001A284F">
        <w:t>t is recognised that some recommendations relate to ongoing work and that considerable progress in actioning some of the recommendations</w:t>
      </w:r>
      <w:r w:rsidR="00BE4367">
        <w:t xml:space="preserve"> may already have been made.</w:t>
      </w:r>
    </w:p>
    <w:p w:rsidR="00BE4367" w:rsidRPr="00D20962" w:rsidRDefault="00BE4367" w:rsidP="00775568">
      <w:pPr>
        <w:sectPr w:rsidR="00BE4367" w:rsidRPr="00D20962" w:rsidSect="00493CE3">
          <w:pgSz w:w="11909" w:h="16834" w:code="9"/>
          <w:pgMar w:top="1440" w:right="1440" w:bottom="1440" w:left="1440" w:header="432" w:footer="720" w:gutter="0"/>
          <w:cols w:space="720"/>
          <w:noEndnote/>
          <w:docGrid w:linePitch="360"/>
        </w:sectPr>
      </w:pPr>
    </w:p>
    <w:p w:rsidR="00D20962" w:rsidRDefault="00D20962" w:rsidP="003F2A50">
      <w:pPr>
        <w:pStyle w:val="Caption-Table"/>
        <w:rPr>
          <w:bCs/>
          <w:iCs/>
        </w:rPr>
      </w:pPr>
      <w:bookmarkStart w:id="71" w:name="_Ref447781991"/>
      <w:bookmarkStart w:id="72" w:name="_Toc447623973"/>
      <w:bookmarkStart w:id="73" w:name="_Toc450131636"/>
      <w:r w:rsidRPr="00D20962">
        <w:lastRenderedPageBreak/>
        <w:t xml:space="preserve">Table </w:t>
      </w:r>
      <w:r w:rsidRPr="00D20962">
        <w:fldChar w:fldCharType="begin"/>
      </w:r>
      <w:r w:rsidRPr="00D20962">
        <w:instrText xml:space="preserve"> SEQ Table \* ARABIC </w:instrText>
      </w:r>
      <w:r w:rsidRPr="00D20962">
        <w:fldChar w:fldCharType="separate"/>
      </w:r>
      <w:r w:rsidR="00EC36D2">
        <w:rPr>
          <w:noProof/>
        </w:rPr>
        <w:t>15</w:t>
      </w:r>
      <w:r w:rsidRPr="00D20962">
        <w:fldChar w:fldCharType="end"/>
      </w:r>
      <w:bookmarkEnd w:id="71"/>
      <w:r w:rsidRPr="00D20962">
        <w:rPr>
          <w:bCs/>
        </w:rPr>
        <w:t xml:space="preserve">: </w:t>
      </w:r>
      <w:r w:rsidRPr="00D20962">
        <w:rPr>
          <w:bCs/>
          <w:iCs/>
        </w:rPr>
        <w:t>Component 3 scorecard</w:t>
      </w:r>
      <w:bookmarkEnd w:id="72"/>
      <w:bookmarkEnd w:id="73"/>
    </w:p>
    <w:tbl>
      <w:tblPr>
        <w:tblStyle w:val="TableGrid15"/>
        <w:tblW w:w="0" w:type="auto"/>
        <w:jc w:val="center"/>
        <w:tblLook w:val="04A0" w:firstRow="1" w:lastRow="0" w:firstColumn="1" w:lastColumn="0" w:noHBand="0" w:noVBand="1"/>
      </w:tblPr>
      <w:tblGrid>
        <w:gridCol w:w="1486"/>
        <w:gridCol w:w="969"/>
        <w:gridCol w:w="969"/>
        <w:gridCol w:w="969"/>
        <w:gridCol w:w="5120"/>
        <w:gridCol w:w="4470"/>
      </w:tblGrid>
      <w:tr w:rsidR="003F2A50" w:rsidRPr="0077380B" w:rsidTr="00F2582D">
        <w:trPr>
          <w:trHeight w:val="434"/>
          <w:jc w:val="center"/>
        </w:trPr>
        <w:tc>
          <w:tcPr>
            <w:tcW w:w="1486" w:type="dxa"/>
            <w:shd w:val="clear" w:color="auto" w:fill="244061" w:themeFill="accent1" w:themeFillShade="80"/>
            <w:vAlign w:val="center"/>
          </w:tcPr>
          <w:p w:rsidR="003F2A50" w:rsidRPr="0069023F" w:rsidRDefault="003F2A50" w:rsidP="001D3402">
            <w:pPr>
              <w:jc w:val="center"/>
              <w:rPr>
                <w:b/>
                <w:sz w:val="20"/>
                <w:szCs w:val="20"/>
              </w:rPr>
            </w:pPr>
            <w:r w:rsidRPr="0069023F">
              <w:rPr>
                <w:b/>
                <w:sz w:val="20"/>
                <w:szCs w:val="20"/>
              </w:rPr>
              <w:t>DAC Criterion</w:t>
            </w:r>
          </w:p>
        </w:tc>
        <w:tc>
          <w:tcPr>
            <w:tcW w:w="969" w:type="dxa"/>
            <w:shd w:val="clear" w:color="auto" w:fill="244061" w:themeFill="accent1" w:themeFillShade="80"/>
            <w:vAlign w:val="center"/>
          </w:tcPr>
          <w:p w:rsidR="003F2A50" w:rsidRPr="0069023F" w:rsidRDefault="003F2A50" w:rsidP="001D3402">
            <w:pPr>
              <w:jc w:val="center"/>
              <w:rPr>
                <w:b/>
                <w:sz w:val="20"/>
                <w:szCs w:val="20"/>
              </w:rPr>
            </w:pPr>
            <w:r w:rsidRPr="0069023F">
              <w:rPr>
                <w:b/>
                <w:sz w:val="20"/>
                <w:szCs w:val="20"/>
              </w:rPr>
              <w:t>Score 2013</w:t>
            </w:r>
          </w:p>
        </w:tc>
        <w:tc>
          <w:tcPr>
            <w:tcW w:w="969" w:type="dxa"/>
            <w:shd w:val="clear" w:color="auto" w:fill="244061" w:themeFill="accent1" w:themeFillShade="80"/>
            <w:vAlign w:val="center"/>
          </w:tcPr>
          <w:p w:rsidR="003F2A50" w:rsidRPr="0069023F" w:rsidRDefault="003F2A50" w:rsidP="001D3402">
            <w:pPr>
              <w:jc w:val="center"/>
              <w:rPr>
                <w:b/>
                <w:sz w:val="20"/>
                <w:szCs w:val="20"/>
              </w:rPr>
            </w:pPr>
            <w:r w:rsidRPr="0069023F">
              <w:rPr>
                <w:b/>
                <w:sz w:val="20"/>
                <w:szCs w:val="20"/>
              </w:rPr>
              <w:t>Score 2014</w:t>
            </w:r>
          </w:p>
        </w:tc>
        <w:tc>
          <w:tcPr>
            <w:tcW w:w="969" w:type="dxa"/>
            <w:tcBorders>
              <w:bottom w:val="single" w:sz="4" w:space="0" w:color="auto"/>
            </w:tcBorders>
            <w:shd w:val="clear" w:color="auto" w:fill="244061" w:themeFill="accent1" w:themeFillShade="80"/>
            <w:vAlign w:val="center"/>
          </w:tcPr>
          <w:p w:rsidR="003F2A50" w:rsidRPr="0069023F" w:rsidRDefault="003F2A50" w:rsidP="001D3402">
            <w:pPr>
              <w:jc w:val="center"/>
              <w:rPr>
                <w:b/>
                <w:sz w:val="20"/>
                <w:szCs w:val="20"/>
              </w:rPr>
            </w:pPr>
            <w:r w:rsidRPr="0069023F">
              <w:rPr>
                <w:b/>
                <w:sz w:val="20"/>
                <w:szCs w:val="20"/>
              </w:rPr>
              <w:t>Score 2015</w:t>
            </w:r>
          </w:p>
        </w:tc>
        <w:tc>
          <w:tcPr>
            <w:tcW w:w="5120" w:type="dxa"/>
            <w:shd w:val="clear" w:color="auto" w:fill="244061" w:themeFill="accent1" w:themeFillShade="80"/>
            <w:vAlign w:val="center"/>
          </w:tcPr>
          <w:p w:rsidR="003F2A50" w:rsidRPr="0069023F" w:rsidRDefault="003F2A50" w:rsidP="001D3402">
            <w:pPr>
              <w:jc w:val="center"/>
              <w:rPr>
                <w:b/>
                <w:sz w:val="20"/>
                <w:szCs w:val="20"/>
              </w:rPr>
            </w:pPr>
            <w:r w:rsidRPr="0069023F">
              <w:rPr>
                <w:b/>
                <w:sz w:val="20"/>
                <w:szCs w:val="20"/>
              </w:rPr>
              <w:t>Justification</w:t>
            </w:r>
          </w:p>
        </w:tc>
        <w:tc>
          <w:tcPr>
            <w:tcW w:w="4470" w:type="dxa"/>
            <w:shd w:val="clear" w:color="auto" w:fill="244061" w:themeFill="accent1" w:themeFillShade="80"/>
            <w:vAlign w:val="center"/>
          </w:tcPr>
          <w:p w:rsidR="003F2A50" w:rsidRPr="0069023F" w:rsidRDefault="003F2A50" w:rsidP="001D3402">
            <w:pPr>
              <w:jc w:val="center"/>
              <w:rPr>
                <w:b/>
                <w:sz w:val="20"/>
                <w:szCs w:val="20"/>
              </w:rPr>
            </w:pPr>
            <w:r w:rsidRPr="0069023F">
              <w:rPr>
                <w:b/>
                <w:sz w:val="20"/>
                <w:szCs w:val="20"/>
              </w:rPr>
              <w:t>Comments</w:t>
            </w:r>
          </w:p>
        </w:tc>
      </w:tr>
      <w:tr w:rsidR="00F2582D" w:rsidRPr="0077380B" w:rsidTr="00F2582D">
        <w:trPr>
          <w:trHeight w:val="681"/>
          <w:jc w:val="center"/>
        </w:trPr>
        <w:tc>
          <w:tcPr>
            <w:tcW w:w="1486" w:type="dxa"/>
            <w:vAlign w:val="center"/>
          </w:tcPr>
          <w:p w:rsidR="00F2582D" w:rsidRPr="0069023F" w:rsidRDefault="00F2582D" w:rsidP="001D3402">
            <w:pPr>
              <w:rPr>
                <w:sz w:val="20"/>
                <w:szCs w:val="20"/>
              </w:rPr>
            </w:pPr>
            <w:r w:rsidRPr="0069023F">
              <w:rPr>
                <w:sz w:val="20"/>
                <w:szCs w:val="20"/>
              </w:rPr>
              <w:t>Relevance</w:t>
            </w:r>
          </w:p>
        </w:tc>
        <w:tc>
          <w:tcPr>
            <w:tcW w:w="969" w:type="dxa"/>
            <w:tcBorders>
              <w:bottom w:val="single" w:sz="4" w:space="0" w:color="auto"/>
            </w:tcBorders>
            <w:shd w:val="clear" w:color="auto" w:fill="FFFF00"/>
            <w:vAlign w:val="center"/>
          </w:tcPr>
          <w:p w:rsidR="00F2582D" w:rsidRPr="0069023F" w:rsidRDefault="00F2582D" w:rsidP="00307CE9">
            <w:pPr>
              <w:jc w:val="center"/>
              <w:rPr>
                <w:sz w:val="20"/>
                <w:szCs w:val="20"/>
              </w:rPr>
            </w:pPr>
            <w:r w:rsidRPr="0069023F">
              <w:rPr>
                <w:sz w:val="20"/>
                <w:szCs w:val="20"/>
              </w:rPr>
              <w:t>4</w:t>
            </w:r>
          </w:p>
        </w:tc>
        <w:tc>
          <w:tcPr>
            <w:tcW w:w="969" w:type="dxa"/>
            <w:tcBorders>
              <w:bottom w:val="single" w:sz="4" w:space="0" w:color="auto"/>
            </w:tcBorders>
            <w:shd w:val="clear" w:color="auto" w:fill="92D050"/>
            <w:vAlign w:val="center"/>
          </w:tcPr>
          <w:p w:rsidR="00F2582D" w:rsidRPr="0069023F" w:rsidRDefault="00F2582D" w:rsidP="001D3402">
            <w:pPr>
              <w:jc w:val="center"/>
              <w:rPr>
                <w:sz w:val="20"/>
                <w:szCs w:val="20"/>
              </w:rPr>
            </w:pPr>
            <w:r w:rsidRPr="0069023F">
              <w:rPr>
                <w:sz w:val="20"/>
                <w:szCs w:val="20"/>
              </w:rPr>
              <w:t>5</w:t>
            </w:r>
          </w:p>
        </w:tc>
        <w:tc>
          <w:tcPr>
            <w:tcW w:w="969" w:type="dxa"/>
            <w:tcBorders>
              <w:bottom w:val="single" w:sz="4" w:space="0" w:color="auto"/>
            </w:tcBorders>
            <w:shd w:val="clear" w:color="auto" w:fill="00B050"/>
            <w:vAlign w:val="center"/>
          </w:tcPr>
          <w:p w:rsidR="00F2582D" w:rsidRPr="0069023F" w:rsidRDefault="00F2582D" w:rsidP="001D3402">
            <w:pPr>
              <w:jc w:val="center"/>
              <w:rPr>
                <w:sz w:val="20"/>
                <w:szCs w:val="20"/>
              </w:rPr>
            </w:pPr>
            <w:r w:rsidRPr="0069023F">
              <w:rPr>
                <w:sz w:val="20"/>
                <w:szCs w:val="20"/>
              </w:rPr>
              <w:t>6</w:t>
            </w:r>
          </w:p>
        </w:tc>
        <w:tc>
          <w:tcPr>
            <w:tcW w:w="5120" w:type="dxa"/>
            <w:shd w:val="clear" w:color="auto" w:fill="FFFFFF" w:themeFill="background1"/>
            <w:vAlign w:val="center"/>
          </w:tcPr>
          <w:p w:rsidR="00F2582D" w:rsidRPr="0069023F" w:rsidRDefault="00F2582D" w:rsidP="00F2582D">
            <w:pPr>
              <w:pStyle w:val="ScoreParagraph"/>
              <w:rPr>
                <w:rFonts w:eastAsia="Calibri"/>
                <w:sz w:val="20"/>
                <w:szCs w:val="20"/>
              </w:rPr>
            </w:pPr>
            <w:r w:rsidRPr="0069023F">
              <w:rPr>
                <w:rFonts w:eastAsia="Calibri"/>
                <w:sz w:val="20"/>
                <w:szCs w:val="20"/>
              </w:rPr>
              <w:t xml:space="preserve">MoRA significantly expanded its </w:t>
            </w:r>
            <w:r w:rsidRPr="0069023F">
              <w:rPr>
                <w:rFonts w:eastAsia="Calibri"/>
                <w:i/>
                <w:sz w:val="20"/>
                <w:szCs w:val="20"/>
              </w:rPr>
              <w:t>Madrasah Up-Grading Program</w:t>
            </w:r>
            <w:r w:rsidRPr="0069023F">
              <w:rPr>
                <w:rFonts w:eastAsia="Calibri"/>
                <w:sz w:val="20"/>
                <w:szCs w:val="20"/>
              </w:rPr>
              <w:t xml:space="preserve"> and was active in the development of key C3 system strengthening initiatives (e.g. MDC regulation).</w:t>
            </w:r>
          </w:p>
          <w:p w:rsidR="00F2582D" w:rsidRPr="0069023F" w:rsidRDefault="00F2582D" w:rsidP="00F2582D">
            <w:pPr>
              <w:pStyle w:val="ScoreParagraph"/>
              <w:rPr>
                <w:rFonts w:eastAsia="Calibri"/>
                <w:sz w:val="20"/>
                <w:szCs w:val="20"/>
              </w:rPr>
            </w:pPr>
            <w:r w:rsidRPr="0069023F">
              <w:rPr>
                <w:rFonts w:eastAsia="Calibri"/>
                <w:sz w:val="20"/>
                <w:szCs w:val="20"/>
              </w:rPr>
              <w:t>External relevance for GoA was, in some ways, a result of C3’s fortuitous ‘fit’ with the ‘</w:t>
            </w:r>
            <w:r w:rsidR="00FA506D">
              <w:rPr>
                <w:rFonts w:eastAsia="Calibri"/>
                <w:sz w:val="20"/>
                <w:szCs w:val="20"/>
              </w:rPr>
              <w:t>n</w:t>
            </w:r>
            <w:r w:rsidRPr="0069023F">
              <w:rPr>
                <w:rFonts w:eastAsia="Calibri"/>
                <w:sz w:val="20"/>
                <w:szCs w:val="20"/>
              </w:rPr>
              <w:t xml:space="preserve">ew </w:t>
            </w:r>
            <w:r w:rsidR="00FA506D">
              <w:rPr>
                <w:rFonts w:eastAsia="Calibri"/>
                <w:sz w:val="20"/>
                <w:szCs w:val="20"/>
              </w:rPr>
              <w:t>a</w:t>
            </w:r>
            <w:r w:rsidRPr="0069023F">
              <w:rPr>
                <w:rFonts w:eastAsia="Calibri"/>
                <w:sz w:val="20"/>
                <w:szCs w:val="20"/>
              </w:rPr>
              <w:t xml:space="preserve">id </w:t>
            </w:r>
            <w:r w:rsidR="00FA506D">
              <w:rPr>
                <w:rFonts w:eastAsia="Calibri"/>
                <w:sz w:val="20"/>
                <w:szCs w:val="20"/>
              </w:rPr>
              <w:t>p</w:t>
            </w:r>
            <w:r w:rsidRPr="0069023F">
              <w:rPr>
                <w:rFonts w:eastAsia="Calibri"/>
                <w:sz w:val="20"/>
                <w:szCs w:val="20"/>
              </w:rPr>
              <w:t>aradigm’. This scenario was effectively leveraged.</w:t>
            </w:r>
          </w:p>
          <w:p w:rsidR="00F2582D" w:rsidRPr="0069023F" w:rsidRDefault="00F2582D" w:rsidP="003A6692">
            <w:pPr>
              <w:pStyle w:val="ScoreParagraph"/>
              <w:rPr>
                <w:sz w:val="20"/>
                <w:szCs w:val="20"/>
              </w:rPr>
            </w:pPr>
            <w:r w:rsidRPr="0069023F">
              <w:rPr>
                <w:rFonts w:eastAsia="Calibri"/>
                <w:sz w:val="20"/>
                <w:szCs w:val="20"/>
              </w:rPr>
              <w:t xml:space="preserve">Internal relevance improved as the two internal components of C3 – accreditation activities and system strengthening – </w:t>
            </w:r>
            <w:r w:rsidR="003A6692">
              <w:rPr>
                <w:rFonts w:eastAsia="Calibri"/>
                <w:sz w:val="20"/>
                <w:szCs w:val="20"/>
              </w:rPr>
              <w:t>achieved</w:t>
            </w:r>
            <w:r w:rsidR="003A6692" w:rsidRPr="0069023F">
              <w:rPr>
                <w:rFonts w:eastAsia="Calibri"/>
                <w:sz w:val="20"/>
                <w:szCs w:val="20"/>
              </w:rPr>
              <w:t xml:space="preserve"> </w:t>
            </w:r>
            <w:r w:rsidRPr="0069023F">
              <w:rPr>
                <w:rFonts w:eastAsia="Calibri"/>
                <w:sz w:val="20"/>
                <w:szCs w:val="20"/>
              </w:rPr>
              <w:t>greater synergy.</w:t>
            </w:r>
          </w:p>
        </w:tc>
        <w:tc>
          <w:tcPr>
            <w:tcW w:w="4470" w:type="dxa"/>
            <w:shd w:val="clear" w:color="auto" w:fill="FFFFFF" w:themeFill="background1"/>
            <w:vAlign w:val="center"/>
          </w:tcPr>
          <w:p w:rsidR="00F2582D" w:rsidRPr="0069023F" w:rsidRDefault="00F2582D" w:rsidP="00F2582D">
            <w:pPr>
              <w:pStyle w:val="ScoreParagraph"/>
              <w:rPr>
                <w:rFonts w:eastAsia="Calibri"/>
                <w:sz w:val="20"/>
                <w:szCs w:val="20"/>
              </w:rPr>
            </w:pPr>
            <w:r w:rsidRPr="0069023F">
              <w:rPr>
                <w:rFonts w:eastAsia="Calibri"/>
                <w:sz w:val="20"/>
                <w:szCs w:val="20"/>
              </w:rPr>
              <w:t>The high score for relevance is warranted on the basis that weaknesses identified in the internal relevance of the program were addressed in 2015. This action encouraged greater MoRA buy-in for C3 initiatives.</w:t>
            </w:r>
          </w:p>
        </w:tc>
      </w:tr>
      <w:tr w:rsidR="00F2582D" w:rsidRPr="0077380B" w:rsidTr="00F2582D">
        <w:trPr>
          <w:trHeight w:val="681"/>
          <w:jc w:val="center"/>
        </w:trPr>
        <w:tc>
          <w:tcPr>
            <w:tcW w:w="1486" w:type="dxa"/>
            <w:vAlign w:val="center"/>
          </w:tcPr>
          <w:p w:rsidR="00F2582D" w:rsidRPr="0069023F" w:rsidRDefault="00F2582D" w:rsidP="001D3402">
            <w:pPr>
              <w:rPr>
                <w:sz w:val="20"/>
                <w:szCs w:val="20"/>
              </w:rPr>
            </w:pPr>
            <w:r w:rsidRPr="0069023F">
              <w:rPr>
                <w:sz w:val="20"/>
                <w:szCs w:val="20"/>
              </w:rPr>
              <w:t>Efficiency</w:t>
            </w:r>
          </w:p>
        </w:tc>
        <w:tc>
          <w:tcPr>
            <w:tcW w:w="969" w:type="dxa"/>
            <w:shd w:val="clear" w:color="auto" w:fill="92D050"/>
            <w:vAlign w:val="center"/>
          </w:tcPr>
          <w:p w:rsidR="00F2582D" w:rsidRPr="0069023F" w:rsidRDefault="00F2582D" w:rsidP="001D3402">
            <w:pPr>
              <w:jc w:val="center"/>
              <w:rPr>
                <w:sz w:val="20"/>
                <w:szCs w:val="20"/>
              </w:rPr>
            </w:pPr>
            <w:r w:rsidRPr="0069023F">
              <w:rPr>
                <w:sz w:val="20"/>
                <w:szCs w:val="20"/>
              </w:rPr>
              <w:t>5</w:t>
            </w:r>
          </w:p>
        </w:tc>
        <w:tc>
          <w:tcPr>
            <w:tcW w:w="969" w:type="dxa"/>
            <w:shd w:val="clear" w:color="auto" w:fill="FFFF00"/>
            <w:vAlign w:val="center"/>
          </w:tcPr>
          <w:p w:rsidR="00F2582D" w:rsidRPr="0069023F" w:rsidRDefault="00F2582D" w:rsidP="001D3402">
            <w:pPr>
              <w:jc w:val="center"/>
              <w:rPr>
                <w:sz w:val="20"/>
                <w:szCs w:val="20"/>
              </w:rPr>
            </w:pPr>
            <w:r w:rsidRPr="0069023F">
              <w:rPr>
                <w:sz w:val="20"/>
                <w:szCs w:val="20"/>
              </w:rPr>
              <w:t>4</w:t>
            </w:r>
          </w:p>
        </w:tc>
        <w:tc>
          <w:tcPr>
            <w:tcW w:w="969" w:type="dxa"/>
            <w:tcBorders>
              <w:bottom w:val="single" w:sz="4" w:space="0" w:color="auto"/>
            </w:tcBorders>
            <w:shd w:val="clear" w:color="auto" w:fill="92D050"/>
            <w:vAlign w:val="center"/>
          </w:tcPr>
          <w:p w:rsidR="00F2582D" w:rsidRPr="0069023F" w:rsidRDefault="00F2582D" w:rsidP="001D3402">
            <w:pPr>
              <w:jc w:val="center"/>
              <w:rPr>
                <w:sz w:val="20"/>
                <w:szCs w:val="20"/>
              </w:rPr>
            </w:pPr>
            <w:r w:rsidRPr="0069023F">
              <w:rPr>
                <w:sz w:val="20"/>
                <w:szCs w:val="20"/>
              </w:rPr>
              <w:t>5</w:t>
            </w:r>
          </w:p>
        </w:tc>
        <w:tc>
          <w:tcPr>
            <w:tcW w:w="5120" w:type="dxa"/>
            <w:tcBorders>
              <w:bottom w:val="single" w:sz="4" w:space="0" w:color="auto"/>
            </w:tcBorders>
            <w:shd w:val="clear" w:color="auto" w:fill="FFFFFF" w:themeFill="background1"/>
            <w:vAlign w:val="center"/>
          </w:tcPr>
          <w:p w:rsidR="00F2582D" w:rsidRPr="0069023F" w:rsidRDefault="00F2582D" w:rsidP="00F2582D">
            <w:pPr>
              <w:pStyle w:val="ScoreParagraph"/>
              <w:rPr>
                <w:rFonts w:eastAsia="Calibri"/>
                <w:sz w:val="20"/>
                <w:szCs w:val="20"/>
              </w:rPr>
            </w:pPr>
            <w:r w:rsidRPr="0069023F">
              <w:rPr>
                <w:rFonts w:eastAsia="Calibri"/>
                <w:sz w:val="20"/>
                <w:szCs w:val="20"/>
              </w:rPr>
              <w:t>Accreditation preparation activities showed increased efficiency in terms of targeting and the component responded well to unexpected changes in the BAN-S/M assessment schedule.</w:t>
            </w:r>
          </w:p>
          <w:p w:rsidR="00F2582D" w:rsidRPr="0069023F" w:rsidRDefault="00F2582D" w:rsidP="00F2582D">
            <w:pPr>
              <w:pStyle w:val="ScoreParagraph"/>
              <w:rPr>
                <w:rFonts w:eastAsia="Calibri"/>
                <w:sz w:val="20"/>
                <w:szCs w:val="20"/>
              </w:rPr>
            </w:pPr>
            <w:r w:rsidRPr="0069023F">
              <w:rPr>
                <w:rFonts w:eastAsia="Calibri"/>
                <w:sz w:val="20"/>
                <w:szCs w:val="20"/>
              </w:rPr>
              <w:t>Expenditure was placed back on track and audits indicated improvements in SNIP financial management capacity.</w:t>
            </w:r>
          </w:p>
          <w:p w:rsidR="00F2582D" w:rsidRPr="0069023F" w:rsidRDefault="00F2582D" w:rsidP="00F2582D">
            <w:pPr>
              <w:pStyle w:val="ScoreParagraph"/>
              <w:rPr>
                <w:rFonts w:eastAsia="Calibri"/>
                <w:sz w:val="20"/>
                <w:szCs w:val="20"/>
              </w:rPr>
            </w:pPr>
            <w:r w:rsidRPr="0069023F">
              <w:rPr>
                <w:rFonts w:eastAsia="Calibri"/>
                <w:sz w:val="20"/>
                <w:szCs w:val="20"/>
              </w:rPr>
              <w:t xml:space="preserve">Inefficiencies produced by standardised block grants and training packages persisted. </w:t>
            </w:r>
          </w:p>
          <w:p w:rsidR="00F2582D" w:rsidRPr="0069023F" w:rsidRDefault="00F2582D" w:rsidP="00F2582D">
            <w:pPr>
              <w:pStyle w:val="ScoreParagraph"/>
              <w:rPr>
                <w:rFonts w:eastAsia="Calibri"/>
                <w:sz w:val="20"/>
                <w:szCs w:val="20"/>
              </w:rPr>
            </w:pPr>
            <w:r w:rsidRPr="0069023F">
              <w:rPr>
                <w:rFonts w:eastAsia="Calibri"/>
                <w:sz w:val="20"/>
                <w:szCs w:val="20"/>
              </w:rPr>
              <w:t>Tangible results stemmed from EOCO 3.2 activities.</w:t>
            </w:r>
          </w:p>
        </w:tc>
        <w:tc>
          <w:tcPr>
            <w:tcW w:w="4470" w:type="dxa"/>
            <w:tcBorders>
              <w:bottom w:val="single" w:sz="4" w:space="0" w:color="auto"/>
            </w:tcBorders>
            <w:shd w:val="clear" w:color="auto" w:fill="FFFFFF" w:themeFill="background1"/>
            <w:vAlign w:val="center"/>
          </w:tcPr>
          <w:p w:rsidR="00F2582D" w:rsidRPr="0069023F" w:rsidRDefault="00F2582D" w:rsidP="00F2582D">
            <w:pPr>
              <w:pStyle w:val="ScoreParagraph"/>
              <w:rPr>
                <w:sz w:val="20"/>
                <w:szCs w:val="20"/>
              </w:rPr>
            </w:pPr>
            <w:r w:rsidRPr="0069023F">
              <w:rPr>
                <w:rFonts w:eastAsia="Calibri"/>
                <w:sz w:val="20"/>
                <w:szCs w:val="20"/>
              </w:rPr>
              <w:t>Previous assessment for this category was held back by a lack of tangible progress in regard to EOCO 3.2. The strong results recorded for EOCO 3.2 in 2015 warrant the improved score.</w:t>
            </w:r>
          </w:p>
        </w:tc>
      </w:tr>
      <w:tr w:rsidR="00F2582D" w:rsidRPr="0077380B" w:rsidTr="00F2582D">
        <w:trPr>
          <w:cantSplit/>
          <w:trHeight w:val="681"/>
          <w:jc w:val="center"/>
        </w:trPr>
        <w:tc>
          <w:tcPr>
            <w:tcW w:w="1486" w:type="dxa"/>
            <w:vAlign w:val="center"/>
          </w:tcPr>
          <w:p w:rsidR="00F2582D" w:rsidRPr="0069023F" w:rsidRDefault="00F2582D" w:rsidP="001D3402">
            <w:pPr>
              <w:rPr>
                <w:sz w:val="20"/>
                <w:szCs w:val="20"/>
              </w:rPr>
            </w:pPr>
            <w:r w:rsidRPr="0069023F">
              <w:rPr>
                <w:sz w:val="20"/>
                <w:szCs w:val="20"/>
              </w:rPr>
              <w:lastRenderedPageBreak/>
              <w:t>Effectiveness</w:t>
            </w:r>
          </w:p>
        </w:tc>
        <w:tc>
          <w:tcPr>
            <w:tcW w:w="969" w:type="dxa"/>
            <w:shd w:val="clear" w:color="auto" w:fill="FFFF00"/>
            <w:vAlign w:val="center"/>
          </w:tcPr>
          <w:p w:rsidR="00F2582D" w:rsidRPr="0069023F" w:rsidRDefault="00F2582D" w:rsidP="001D3402">
            <w:pPr>
              <w:jc w:val="center"/>
              <w:rPr>
                <w:sz w:val="20"/>
                <w:szCs w:val="20"/>
              </w:rPr>
            </w:pPr>
            <w:r w:rsidRPr="0069023F">
              <w:rPr>
                <w:sz w:val="20"/>
                <w:szCs w:val="20"/>
              </w:rPr>
              <w:t>4</w:t>
            </w:r>
          </w:p>
        </w:tc>
        <w:tc>
          <w:tcPr>
            <w:tcW w:w="969" w:type="dxa"/>
            <w:shd w:val="clear" w:color="auto" w:fill="FFFF00"/>
            <w:vAlign w:val="center"/>
          </w:tcPr>
          <w:p w:rsidR="00F2582D" w:rsidRPr="0069023F" w:rsidRDefault="00F2582D" w:rsidP="001D3402">
            <w:pPr>
              <w:jc w:val="center"/>
              <w:rPr>
                <w:sz w:val="20"/>
                <w:szCs w:val="20"/>
              </w:rPr>
            </w:pPr>
            <w:r w:rsidRPr="0069023F">
              <w:rPr>
                <w:sz w:val="20"/>
                <w:szCs w:val="20"/>
              </w:rPr>
              <w:t>4</w:t>
            </w:r>
          </w:p>
        </w:tc>
        <w:tc>
          <w:tcPr>
            <w:tcW w:w="969" w:type="dxa"/>
            <w:tcBorders>
              <w:bottom w:val="single" w:sz="4" w:space="0" w:color="auto"/>
            </w:tcBorders>
            <w:shd w:val="clear" w:color="auto" w:fill="92D050"/>
            <w:vAlign w:val="center"/>
          </w:tcPr>
          <w:p w:rsidR="00F2582D" w:rsidRPr="0069023F" w:rsidRDefault="00F2582D" w:rsidP="001D3402">
            <w:pPr>
              <w:jc w:val="center"/>
              <w:rPr>
                <w:sz w:val="20"/>
                <w:szCs w:val="20"/>
              </w:rPr>
            </w:pPr>
            <w:r w:rsidRPr="0069023F">
              <w:rPr>
                <w:sz w:val="20"/>
                <w:szCs w:val="20"/>
              </w:rPr>
              <w:t>5</w:t>
            </w:r>
          </w:p>
        </w:tc>
        <w:tc>
          <w:tcPr>
            <w:tcW w:w="5120" w:type="dxa"/>
            <w:shd w:val="clear" w:color="auto" w:fill="FFFFFF" w:themeFill="background1"/>
            <w:vAlign w:val="center"/>
          </w:tcPr>
          <w:p w:rsidR="00F2582D" w:rsidRPr="0069023F" w:rsidRDefault="00F2582D" w:rsidP="00F2582D">
            <w:pPr>
              <w:pStyle w:val="ScoreParagraph"/>
              <w:rPr>
                <w:rFonts w:eastAsia="Calibri"/>
                <w:sz w:val="20"/>
                <w:szCs w:val="20"/>
              </w:rPr>
            </w:pPr>
            <w:r w:rsidRPr="0069023F">
              <w:rPr>
                <w:rFonts w:eastAsia="Calibri"/>
                <w:sz w:val="20"/>
                <w:szCs w:val="20"/>
              </w:rPr>
              <w:t>The design limitations of EOCO 3.1 in producing district-level results were partially alleviated by C3 support for a scaled-up MoRA accreditation program.</w:t>
            </w:r>
          </w:p>
          <w:p w:rsidR="00F2582D" w:rsidRPr="0069023F" w:rsidRDefault="00F2582D" w:rsidP="00F2582D">
            <w:pPr>
              <w:pStyle w:val="ScoreParagraph"/>
              <w:rPr>
                <w:rFonts w:eastAsia="Calibri"/>
                <w:sz w:val="20"/>
                <w:szCs w:val="20"/>
              </w:rPr>
            </w:pPr>
            <w:r w:rsidRPr="0069023F">
              <w:rPr>
                <w:rFonts w:eastAsia="Calibri"/>
                <w:sz w:val="20"/>
                <w:szCs w:val="20"/>
              </w:rPr>
              <w:t>Limited district-level results were ameliorated in part by strong impact in targeted provinces.</w:t>
            </w:r>
          </w:p>
          <w:p w:rsidR="00F2582D" w:rsidRPr="0069023F" w:rsidRDefault="00F2582D" w:rsidP="00F2582D">
            <w:pPr>
              <w:pStyle w:val="ScoreParagraph"/>
              <w:rPr>
                <w:rFonts w:eastAsia="Calibri"/>
                <w:sz w:val="20"/>
                <w:szCs w:val="20"/>
              </w:rPr>
            </w:pPr>
            <w:r w:rsidRPr="0069023F">
              <w:rPr>
                <w:rFonts w:eastAsia="Calibri"/>
                <w:sz w:val="20"/>
                <w:szCs w:val="20"/>
              </w:rPr>
              <w:t>The institutionalisat</w:t>
            </w:r>
            <w:r w:rsidR="003A6692">
              <w:rPr>
                <w:rFonts w:eastAsia="Calibri"/>
                <w:sz w:val="20"/>
                <w:szCs w:val="20"/>
              </w:rPr>
              <w:t>i</w:t>
            </w:r>
            <w:r w:rsidRPr="0069023F">
              <w:rPr>
                <w:rFonts w:eastAsia="Calibri"/>
                <w:sz w:val="20"/>
                <w:szCs w:val="20"/>
              </w:rPr>
              <w:t xml:space="preserve">on of MDCs as quality assurance bodies speaks to the EOPO that the quality of </w:t>
            </w:r>
            <w:r w:rsidR="004729E4">
              <w:rPr>
                <w:rFonts w:eastAsia="Calibri"/>
                <w:sz w:val="20"/>
                <w:szCs w:val="20"/>
              </w:rPr>
              <w:t>Madrasah</w:t>
            </w:r>
            <w:r w:rsidRPr="0069023F">
              <w:rPr>
                <w:rFonts w:eastAsia="Calibri"/>
                <w:sz w:val="20"/>
                <w:szCs w:val="20"/>
              </w:rPr>
              <w:t xml:space="preserve"> service provision improves.</w:t>
            </w:r>
          </w:p>
        </w:tc>
        <w:tc>
          <w:tcPr>
            <w:tcW w:w="4470" w:type="dxa"/>
            <w:shd w:val="clear" w:color="auto" w:fill="FFFFFF" w:themeFill="background1"/>
            <w:vAlign w:val="center"/>
          </w:tcPr>
          <w:p w:rsidR="00F2582D" w:rsidRPr="0069023F" w:rsidRDefault="00F2582D" w:rsidP="00F2582D">
            <w:pPr>
              <w:pStyle w:val="ScoreParagraph"/>
              <w:rPr>
                <w:sz w:val="20"/>
                <w:szCs w:val="20"/>
              </w:rPr>
            </w:pPr>
            <w:r w:rsidRPr="0069023F">
              <w:rPr>
                <w:rFonts w:eastAsia="Calibri"/>
                <w:sz w:val="20"/>
                <w:szCs w:val="20"/>
              </w:rPr>
              <w:t xml:space="preserve">The increase in the score reflects the shift from C3 primarily operating as a good ‘mechanism’ for preparing </w:t>
            </w:r>
            <w:r w:rsidR="004729E4">
              <w:rPr>
                <w:rFonts w:eastAsia="Calibri"/>
                <w:sz w:val="20"/>
                <w:szCs w:val="20"/>
              </w:rPr>
              <w:t>Madrasah</w:t>
            </w:r>
            <w:r w:rsidRPr="0069023F">
              <w:rPr>
                <w:rFonts w:eastAsia="Calibri"/>
                <w:sz w:val="20"/>
                <w:szCs w:val="20"/>
              </w:rPr>
              <w:t xml:space="preserve"> for accreditation, to one where various other elements of the assistance package were tied together to form ‘an integrated approach’.</w:t>
            </w:r>
          </w:p>
        </w:tc>
      </w:tr>
      <w:tr w:rsidR="00F2582D" w:rsidRPr="0077380B" w:rsidTr="00F2582D">
        <w:trPr>
          <w:trHeight w:val="681"/>
          <w:jc w:val="center"/>
        </w:trPr>
        <w:tc>
          <w:tcPr>
            <w:tcW w:w="1486" w:type="dxa"/>
            <w:vAlign w:val="center"/>
          </w:tcPr>
          <w:p w:rsidR="00F2582D" w:rsidRPr="0069023F" w:rsidRDefault="00F2582D" w:rsidP="001D3402">
            <w:pPr>
              <w:rPr>
                <w:sz w:val="20"/>
                <w:szCs w:val="20"/>
              </w:rPr>
            </w:pPr>
            <w:r w:rsidRPr="0069023F">
              <w:rPr>
                <w:sz w:val="20"/>
                <w:szCs w:val="20"/>
              </w:rPr>
              <w:t>Impact</w:t>
            </w:r>
          </w:p>
        </w:tc>
        <w:tc>
          <w:tcPr>
            <w:tcW w:w="969" w:type="dxa"/>
            <w:vAlign w:val="center"/>
          </w:tcPr>
          <w:p w:rsidR="00F2582D" w:rsidRPr="0069023F" w:rsidRDefault="00F2582D" w:rsidP="001D3402">
            <w:pPr>
              <w:jc w:val="center"/>
              <w:rPr>
                <w:sz w:val="20"/>
                <w:szCs w:val="20"/>
              </w:rPr>
            </w:pPr>
            <w:r w:rsidRPr="0069023F">
              <w:rPr>
                <w:sz w:val="20"/>
                <w:szCs w:val="20"/>
              </w:rPr>
              <w:t>TE</w:t>
            </w:r>
          </w:p>
        </w:tc>
        <w:tc>
          <w:tcPr>
            <w:tcW w:w="969" w:type="dxa"/>
            <w:shd w:val="clear" w:color="auto" w:fill="FFC000"/>
            <w:vAlign w:val="center"/>
          </w:tcPr>
          <w:p w:rsidR="00F2582D" w:rsidRPr="0069023F" w:rsidRDefault="00F2582D" w:rsidP="001D3402">
            <w:pPr>
              <w:jc w:val="center"/>
              <w:rPr>
                <w:sz w:val="20"/>
                <w:szCs w:val="20"/>
              </w:rPr>
            </w:pPr>
            <w:r w:rsidRPr="0069023F">
              <w:rPr>
                <w:sz w:val="20"/>
                <w:szCs w:val="20"/>
              </w:rPr>
              <w:t>3</w:t>
            </w:r>
          </w:p>
        </w:tc>
        <w:tc>
          <w:tcPr>
            <w:tcW w:w="969" w:type="dxa"/>
            <w:tcBorders>
              <w:bottom w:val="single" w:sz="4" w:space="0" w:color="auto"/>
            </w:tcBorders>
            <w:shd w:val="clear" w:color="auto" w:fill="FFFF00"/>
            <w:vAlign w:val="center"/>
          </w:tcPr>
          <w:p w:rsidR="00F2582D" w:rsidRPr="0069023F" w:rsidRDefault="00F2582D" w:rsidP="001D3402">
            <w:pPr>
              <w:jc w:val="center"/>
              <w:rPr>
                <w:sz w:val="20"/>
                <w:szCs w:val="20"/>
              </w:rPr>
            </w:pPr>
            <w:r w:rsidRPr="0069023F">
              <w:rPr>
                <w:sz w:val="20"/>
                <w:szCs w:val="20"/>
              </w:rPr>
              <w:t>4</w:t>
            </w:r>
          </w:p>
        </w:tc>
        <w:tc>
          <w:tcPr>
            <w:tcW w:w="5120" w:type="dxa"/>
            <w:shd w:val="clear" w:color="auto" w:fill="FFFFFF" w:themeFill="background1"/>
            <w:vAlign w:val="center"/>
          </w:tcPr>
          <w:p w:rsidR="00F2582D" w:rsidRPr="0069023F" w:rsidRDefault="00F2582D" w:rsidP="00F2582D">
            <w:pPr>
              <w:pStyle w:val="ScoreParagraph"/>
              <w:rPr>
                <w:rFonts w:eastAsia="Calibri"/>
                <w:sz w:val="20"/>
                <w:szCs w:val="20"/>
              </w:rPr>
            </w:pPr>
            <w:r w:rsidRPr="0069023F">
              <w:rPr>
                <w:rFonts w:eastAsia="Calibri"/>
                <w:sz w:val="20"/>
                <w:szCs w:val="20"/>
              </w:rPr>
              <w:t xml:space="preserve">Strong likelihood of positive long-term impacts for the administrative/managerial capacity of targeted and non-targeted </w:t>
            </w:r>
            <w:r w:rsidR="004729E4">
              <w:rPr>
                <w:rFonts w:eastAsia="Calibri"/>
                <w:sz w:val="20"/>
                <w:szCs w:val="20"/>
              </w:rPr>
              <w:t>Madrasah</w:t>
            </w:r>
            <w:r w:rsidRPr="0069023F">
              <w:rPr>
                <w:rFonts w:eastAsia="Calibri"/>
                <w:sz w:val="20"/>
                <w:szCs w:val="20"/>
              </w:rPr>
              <w:t>. Low likelihood that C3 investments in improving classroom practices will take root in the absence of ongoing CPD for teachers and principals.</w:t>
            </w:r>
          </w:p>
          <w:p w:rsidR="00F2582D" w:rsidRPr="0069023F" w:rsidRDefault="00F2582D" w:rsidP="00F2582D">
            <w:pPr>
              <w:pStyle w:val="ScoreParagraph"/>
              <w:rPr>
                <w:rFonts w:eastAsia="Calibri"/>
                <w:sz w:val="20"/>
                <w:szCs w:val="20"/>
              </w:rPr>
            </w:pPr>
            <w:r w:rsidRPr="0069023F">
              <w:rPr>
                <w:rFonts w:eastAsia="Calibri"/>
                <w:sz w:val="20"/>
                <w:szCs w:val="20"/>
              </w:rPr>
              <w:t>C3 support to MoRA-funded accreditation programs resulted in a higher degree of sectoral impact than originally anticipated.</w:t>
            </w:r>
          </w:p>
          <w:p w:rsidR="00F2582D" w:rsidRPr="0069023F" w:rsidRDefault="00F2582D" w:rsidP="00F2582D">
            <w:pPr>
              <w:pStyle w:val="ScoreParagraph"/>
              <w:rPr>
                <w:rFonts w:eastAsia="Calibri"/>
                <w:sz w:val="20"/>
                <w:szCs w:val="20"/>
              </w:rPr>
            </w:pPr>
            <w:r w:rsidRPr="0069023F">
              <w:rPr>
                <w:rFonts w:eastAsia="Calibri"/>
                <w:sz w:val="20"/>
                <w:szCs w:val="20"/>
              </w:rPr>
              <w:t>The long-term value of C3 investments</w:t>
            </w:r>
            <w:r w:rsidR="001D1B9F">
              <w:rPr>
                <w:rFonts w:eastAsia="Calibri"/>
                <w:sz w:val="20"/>
                <w:szCs w:val="20"/>
              </w:rPr>
              <w:t>’</w:t>
            </w:r>
            <w:r w:rsidRPr="0069023F">
              <w:rPr>
                <w:rFonts w:eastAsia="Calibri"/>
                <w:sz w:val="20"/>
                <w:szCs w:val="20"/>
              </w:rPr>
              <w:t xml:space="preserve"> district financing and </w:t>
            </w:r>
            <w:r w:rsidR="004729E4">
              <w:rPr>
                <w:rFonts w:eastAsia="Calibri"/>
                <w:sz w:val="20"/>
                <w:szCs w:val="20"/>
              </w:rPr>
              <w:t>Madrasah</w:t>
            </w:r>
            <w:r w:rsidRPr="0069023F">
              <w:rPr>
                <w:rFonts w:eastAsia="Calibri"/>
                <w:sz w:val="20"/>
                <w:szCs w:val="20"/>
              </w:rPr>
              <w:t xml:space="preserve"> self-financing is a positive story but the impact is highly uneven.</w:t>
            </w:r>
          </w:p>
          <w:p w:rsidR="00F2582D" w:rsidRPr="0069023F" w:rsidRDefault="00F2582D" w:rsidP="00F2582D">
            <w:pPr>
              <w:pStyle w:val="ScoreParagraph"/>
              <w:rPr>
                <w:rFonts w:eastAsia="Calibri"/>
                <w:sz w:val="20"/>
                <w:szCs w:val="20"/>
              </w:rPr>
            </w:pPr>
            <w:r w:rsidRPr="0069023F">
              <w:rPr>
                <w:rFonts w:eastAsia="Calibri"/>
                <w:sz w:val="20"/>
                <w:szCs w:val="20"/>
              </w:rPr>
              <w:t xml:space="preserve">The lack of stakeholder status accorded to mass Islamic organisations with a significant presence in the private </w:t>
            </w:r>
            <w:r w:rsidR="004729E4">
              <w:rPr>
                <w:rFonts w:eastAsia="Calibri"/>
                <w:sz w:val="20"/>
                <w:szCs w:val="20"/>
              </w:rPr>
              <w:t>Madrasah</w:t>
            </w:r>
            <w:r w:rsidRPr="0069023F">
              <w:rPr>
                <w:rFonts w:eastAsia="Calibri"/>
                <w:sz w:val="20"/>
                <w:szCs w:val="20"/>
              </w:rPr>
              <w:t xml:space="preserve"> sector limits the potential impact of quality improvement initiatives and excludes a potentially valuable pool of expertise.</w:t>
            </w:r>
          </w:p>
        </w:tc>
        <w:tc>
          <w:tcPr>
            <w:tcW w:w="4470" w:type="dxa"/>
            <w:shd w:val="clear" w:color="auto" w:fill="FFFFFF" w:themeFill="background1"/>
            <w:vAlign w:val="center"/>
          </w:tcPr>
          <w:p w:rsidR="00F2582D" w:rsidRPr="0069023F" w:rsidRDefault="00F2582D" w:rsidP="00F2582D">
            <w:pPr>
              <w:pStyle w:val="ScoreParagraph"/>
              <w:rPr>
                <w:rFonts w:eastAsia="Calibri"/>
                <w:sz w:val="20"/>
                <w:szCs w:val="20"/>
              </w:rPr>
            </w:pPr>
            <w:r w:rsidRPr="0069023F">
              <w:rPr>
                <w:rFonts w:eastAsia="Calibri"/>
                <w:sz w:val="20"/>
                <w:szCs w:val="20"/>
              </w:rPr>
              <w:t xml:space="preserve">A large part of the increased effectiveness of C3 was related to system strengthening initiatives. By definition, such activities have enhanced the long-term impact of the program. </w:t>
            </w:r>
          </w:p>
          <w:p w:rsidR="00F2582D" w:rsidRPr="0069023F" w:rsidRDefault="00F2582D" w:rsidP="00E748FF">
            <w:pPr>
              <w:pStyle w:val="ScoreParagraph"/>
              <w:rPr>
                <w:sz w:val="20"/>
                <w:szCs w:val="20"/>
              </w:rPr>
            </w:pPr>
            <w:r w:rsidRPr="0069023F">
              <w:rPr>
                <w:rFonts w:eastAsia="Calibri"/>
                <w:sz w:val="20"/>
                <w:szCs w:val="20"/>
              </w:rPr>
              <w:t xml:space="preserve">A score of 4 reflects the sizeable challenge that remains in improving teacher competency and in establishing productive relationships between newly-empowered MoRA agencies and key stakeholders in the private </w:t>
            </w:r>
            <w:r w:rsidR="004729E4">
              <w:rPr>
                <w:rFonts w:eastAsia="Calibri"/>
                <w:sz w:val="20"/>
                <w:szCs w:val="20"/>
              </w:rPr>
              <w:t>Madrasah</w:t>
            </w:r>
            <w:r w:rsidRPr="0069023F">
              <w:rPr>
                <w:rFonts w:eastAsia="Calibri"/>
                <w:sz w:val="20"/>
                <w:szCs w:val="20"/>
              </w:rPr>
              <w:t xml:space="preserve"> sector (e.g. NU/</w:t>
            </w:r>
            <w:r w:rsidR="00E748FF">
              <w:rPr>
                <w:rFonts w:eastAsia="Calibri"/>
                <w:sz w:val="20"/>
                <w:szCs w:val="20"/>
              </w:rPr>
              <w:t>A</w:t>
            </w:r>
            <w:r w:rsidR="00E748FF" w:rsidRPr="0069023F">
              <w:rPr>
                <w:rFonts w:eastAsia="Calibri"/>
                <w:sz w:val="20"/>
                <w:szCs w:val="20"/>
              </w:rPr>
              <w:t>l</w:t>
            </w:r>
            <w:r w:rsidRPr="0069023F">
              <w:rPr>
                <w:rFonts w:eastAsia="Calibri"/>
                <w:sz w:val="20"/>
                <w:szCs w:val="20"/>
              </w:rPr>
              <w:t>-Maarif).</w:t>
            </w:r>
          </w:p>
        </w:tc>
      </w:tr>
      <w:tr w:rsidR="00F2582D" w:rsidRPr="0077380B" w:rsidTr="00F2582D">
        <w:trPr>
          <w:cantSplit/>
          <w:trHeight w:val="681"/>
          <w:jc w:val="center"/>
        </w:trPr>
        <w:tc>
          <w:tcPr>
            <w:tcW w:w="1486" w:type="dxa"/>
            <w:vAlign w:val="center"/>
          </w:tcPr>
          <w:p w:rsidR="00F2582D" w:rsidRPr="0069023F" w:rsidRDefault="00F2582D" w:rsidP="001D3402">
            <w:pPr>
              <w:rPr>
                <w:sz w:val="20"/>
                <w:szCs w:val="20"/>
              </w:rPr>
            </w:pPr>
            <w:r w:rsidRPr="0069023F">
              <w:rPr>
                <w:sz w:val="20"/>
                <w:szCs w:val="20"/>
              </w:rPr>
              <w:lastRenderedPageBreak/>
              <w:t>Sustainability</w:t>
            </w:r>
          </w:p>
        </w:tc>
        <w:tc>
          <w:tcPr>
            <w:tcW w:w="969" w:type="dxa"/>
            <w:shd w:val="clear" w:color="auto" w:fill="FF0000"/>
            <w:vAlign w:val="center"/>
          </w:tcPr>
          <w:p w:rsidR="00F2582D" w:rsidRPr="0069023F" w:rsidRDefault="00F2582D" w:rsidP="001D3402">
            <w:pPr>
              <w:jc w:val="center"/>
              <w:rPr>
                <w:sz w:val="20"/>
                <w:szCs w:val="20"/>
              </w:rPr>
            </w:pPr>
            <w:r w:rsidRPr="0069023F">
              <w:rPr>
                <w:sz w:val="20"/>
                <w:szCs w:val="20"/>
              </w:rPr>
              <w:t>2</w:t>
            </w:r>
          </w:p>
        </w:tc>
        <w:tc>
          <w:tcPr>
            <w:tcW w:w="969" w:type="dxa"/>
            <w:shd w:val="clear" w:color="auto" w:fill="FFC000"/>
            <w:vAlign w:val="center"/>
          </w:tcPr>
          <w:p w:rsidR="00F2582D" w:rsidRPr="0069023F" w:rsidRDefault="00F2582D" w:rsidP="001D3402">
            <w:pPr>
              <w:jc w:val="center"/>
              <w:rPr>
                <w:sz w:val="20"/>
                <w:szCs w:val="20"/>
              </w:rPr>
            </w:pPr>
            <w:r w:rsidRPr="0069023F">
              <w:rPr>
                <w:sz w:val="20"/>
                <w:szCs w:val="20"/>
              </w:rPr>
              <w:t>3</w:t>
            </w:r>
          </w:p>
        </w:tc>
        <w:tc>
          <w:tcPr>
            <w:tcW w:w="969" w:type="dxa"/>
            <w:shd w:val="clear" w:color="auto" w:fill="FFFF00"/>
            <w:vAlign w:val="center"/>
          </w:tcPr>
          <w:p w:rsidR="00F2582D" w:rsidRPr="0069023F" w:rsidRDefault="00F2582D" w:rsidP="001D3402">
            <w:pPr>
              <w:jc w:val="center"/>
              <w:rPr>
                <w:sz w:val="20"/>
                <w:szCs w:val="20"/>
              </w:rPr>
            </w:pPr>
            <w:r w:rsidRPr="0069023F">
              <w:rPr>
                <w:sz w:val="20"/>
                <w:szCs w:val="20"/>
              </w:rPr>
              <w:t>4</w:t>
            </w:r>
          </w:p>
        </w:tc>
        <w:tc>
          <w:tcPr>
            <w:tcW w:w="5120" w:type="dxa"/>
            <w:shd w:val="clear" w:color="auto" w:fill="FFFFFF" w:themeFill="background1"/>
            <w:vAlign w:val="center"/>
          </w:tcPr>
          <w:p w:rsidR="00F2582D" w:rsidRPr="0069023F" w:rsidRDefault="00F2582D" w:rsidP="00F2582D">
            <w:pPr>
              <w:pStyle w:val="ScoreParagraph"/>
              <w:rPr>
                <w:rFonts w:eastAsia="Calibri"/>
                <w:sz w:val="20"/>
                <w:szCs w:val="20"/>
              </w:rPr>
            </w:pPr>
            <w:r w:rsidRPr="0069023F">
              <w:rPr>
                <w:rFonts w:eastAsia="Calibri"/>
                <w:sz w:val="20"/>
                <w:szCs w:val="20"/>
              </w:rPr>
              <w:t>Investments in the strengthening of MoRA information systems improve future capacity for evidence-based decision making.</w:t>
            </w:r>
          </w:p>
          <w:p w:rsidR="00F2582D" w:rsidRPr="0069023F" w:rsidRDefault="00F2582D" w:rsidP="00F2582D">
            <w:pPr>
              <w:pStyle w:val="ScoreParagraph"/>
              <w:rPr>
                <w:rFonts w:eastAsia="Calibri"/>
                <w:sz w:val="20"/>
                <w:szCs w:val="20"/>
              </w:rPr>
            </w:pPr>
            <w:r w:rsidRPr="0069023F">
              <w:rPr>
                <w:rFonts w:eastAsia="Calibri"/>
                <w:sz w:val="20"/>
                <w:szCs w:val="20"/>
              </w:rPr>
              <w:t xml:space="preserve">Successful strategies to boost external funding for the private </w:t>
            </w:r>
            <w:r w:rsidR="004729E4">
              <w:rPr>
                <w:rFonts w:eastAsia="Calibri"/>
                <w:sz w:val="20"/>
                <w:szCs w:val="20"/>
              </w:rPr>
              <w:t>Madrasah</w:t>
            </w:r>
            <w:r w:rsidRPr="0069023F">
              <w:rPr>
                <w:rFonts w:eastAsia="Calibri"/>
                <w:sz w:val="20"/>
                <w:szCs w:val="20"/>
              </w:rPr>
              <w:t xml:space="preserve"> sector speak strongly to improved sustainability.</w:t>
            </w:r>
          </w:p>
          <w:p w:rsidR="00F2582D" w:rsidRPr="0069023F" w:rsidRDefault="00F2582D" w:rsidP="00F2582D">
            <w:pPr>
              <w:pStyle w:val="ScoreParagraph"/>
              <w:rPr>
                <w:rFonts w:eastAsia="Calibri"/>
                <w:sz w:val="20"/>
                <w:szCs w:val="20"/>
              </w:rPr>
            </w:pPr>
            <w:r w:rsidRPr="0069023F">
              <w:rPr>
                <w:rFonts w:eastAsia="Calibri"/>
                <w:sz w:val="20"/>
                <w:szCs w:val="20"/>
              </w:rPr>
              <w:t>C3 investments in SNIP/MDC capacity are sustained by the new MDC regulation. However, benefits are likely to be unevenly distributed as there are no clear mechanisms to provide added support to poorly resourced MDCs.</w:t>
            </w:r>
          </w:p>
          <w:p w:rsidR="00F2582D" w:rsidRPr="0069023F" w:rsidRDefault="00F2582D" w:rsidP="00F2582D">
            <w:pPr>
              <w:pStyle w:val="ScoreParagraph"/>
              <w:rPr>
                <w:rFonts w:eastAsia="Calibri"/>
                <w:sz w:val="20"/>
                <w:szCs w:val="20"/>
              </w:rPr>
            </w:pPr>
            <w:r w:rsidRPr="0069023F">
              <w:rPr>
                <w:rFonts w:eastAsia="Calibri"/>
                <w:sz w:val="20"/>
                <w:szCs w:val="20"/>
              </w:rPr>
              <w:t xml:space="preserve">The capacity and willingness of professional associations at the cluster level to act as agents for service delivery to individual </w:t>
            </w:r>
            <w:r w:rsidR="004729E4">
              <w:rPr>
                <w:rFonts w:eastAsia="Calibri"/>
                <w:sz w:val="20"/>
                <w:szCs w:val="20"/>
              </w:rPr>
              <w:t>Madrasah</w:t>
            </w:r>
            <w:r w:rsidRPr="0069023F">
              <w:rPr>
                <w:rFonts w:eastAsia="Calibri"/>
                <w:sz w:val="20"/>
                <w:szCs w:val="20"/>
              </w:rPr>
              <w:t xml:space="preserve"> is untested. </w:t>
            </w:r>
          </w:p>
          <w:p w:rsidR="00F2582D" w:rsidRPr="0069023F" w:rsidRDefault="00F2582D" w:rsidP="00F2582D">
            <w:pPr>
              <w:pStyle w:val="ScoreParagraph"/>
              <w:rPr>
                <w:sz w:val="20"/>
                <w:szCs w:val="20"/>
              </w:rPr>
            </w:pPr>
            <w:r w:rsidRPr="0069023F">
              <w:rPr>
                <w:rFonts w:eastAsia="Calibri"/>
                <w:sz w:val="20"/>
                <w:szCs w:val="20"/>
              </w:rPr>
              <w:t>The extent to which the “Grand Design” will inform MoRA’s strategic priorities over the next five years is unclear.</w:t>
            </w:r>
          </w:p>
        </w:tc>
        <w:tc>
          <w:tcPr>
            <w:tcW w:w="4470" w:type="dxa"/>
            <w:shd w:val="clear" w:color="auto" w:fill="FFFFFF" w:themeFill="background1"/>
            <w:vAlign w:val="center"/>
          </w:tcPr>
          <w:p w:rsidR="00F2582D" w:rsidRPr="0069023F" w:rsidRDefault="00F2582D" w:rsidP="00F2582D">
            <w:pPr>
              <w:pStyle w:val="ScoreParagraph"/>
              <w:rPr>
                <w:rFonts w:eastAsia="Calibri"/>
                <w:sz w:val="20"/>
                <w:szCs w:val="20"/>
              </w:rPr>
            </w:pPr>
            <w:r w:rsidRPr="0069023F">
              <w:rPr>
                <w:rFonts w:eastAsia="Calibri"/>
                <w:sz w:val="20"/>
                <w:szCs w:val="20"/>
              </w:rPr>
              <w:t xml:space="preserve">An increase in the score for sustainability reflects C3 success in ‘locking-in’ investments in MDCs via the production of a new regulation. C3 assistance in the production of other regulatory products (e.g. technical guidelines) for MoRA programs also sustains technical input investments. </w:t>
            </w:r>
          </w:p>
          <w:p w:rsidR="00F2582D" w:rsidRPr="0069023F" w:rsidRDefault="00F2582D" w:rsidP="00F2582D">
            <w:pPr>
              <w:pStyle w:val="ScoreParagraph"/>
              <w:rPr>
                <w:rFonts w:eastAsia="Calibri"/>
                <w:sz w:val="20"/>
                <w:szCs w:val="20"/>
              </w:rPr>
            </w:pPr>
            <w:r w:rsidRPr="0069023F">
              <w:rPr>
                <w:rFonts w:eastAsia="Calibri"/>
                <w:sz w:val="20"/>
                <w:szCs w:val="20"/>
              </w:rPr>
              <w:t>Whilst sustainability outcomes are now viewed as satisfactory, building greater equity into those outcomes requires ongoing work.</w:t>
            </w:r>
          </w:p>
        </w:tc>
      </w:tr>
    </w:tbl>
    <w:p w:rsidR="00D20962" w:rsidRPr="00D20962" w:rsidRDefault="00D20962" w:rsidP="00775568">
      <w:r w:rsidRPr="00D20962">
        <w:br w:type="page"/>
      </w:r>
    </w:p>
    <w:p w:rsidR="00D20962" w:rsidRPr="00D20962" w:rsidRDefault="00D20962" w:rsidP="00307CE9">
      <w:pPr>
        <w:pStyle w:val="Caption-Table"/>
        <w:rPr>
          <w:iCs/>
        </w:rPr>
      </w:pPr>
      <w:bookmarkStart w:id="74" w:name="_Ref447782011"/>
      <w:bookmarkStart w:id="75" w:name="_Toc447623974"/>
      <w:bookmarkStart w:id="76" w:name="_Toc450131637"/>
      <w:r w:rsidRPr="00D20962">
        <w:lastRenderedPageBreak/>
        <w:t xml:space="preserve">Table </w:t>
      </w:r>
      <w:r w:rsidRPr="00D20962">
        <w:fldChar w:fldCharType="begin"/>
      </w:r>
      <w:r w:rsidRPr="00D20962">
        <w:instrText xml:space="preserve"> SEQ Table \* ARABIC </w:instrText>
      </w:r>
      <w:r w:rsidRPr="00D20962">
        <w:fldChar w:fldCharType="separate"/>
      </w:r>
      <w:r w:rsidR="00EC36D2">
        <w:rPr>
          <w:noProof/>
        </w:rPr>
        <w:t>16</w:t>
      </w:r>
      <w:r w:rsidRPr="00D20962">
        <w:fldChar w:fldCharType="end"/>
      </w:r>
      <w:bookmarkEnd w:id="74"/>
      <w:r w:rsidRPr="00D20962">
        <w:t>: Component 3 k</w:t>
      </w:r>
      <w:r w:rsidRPr="00D20962">
        <w:rPr>
          <w:iCs/>
        </w:rPr>
        <w:t>ey findings and recommendations</w:t>
      </w:r>
      <w:bookmarkEnd w:id="75"/>
      <w:bookmarkEnd w:id="76"/>
    </w:p>
    <w:tbl>
      <w:tblPr>
        <w:tblStyle w:val="TableGrid31"/>
        <w:tblW w:w="5000" w:type="pct"/>
        <w:tblCellMar>
          <w:top w:w="108" w:type="dxa"/>
          <w:bottom w:w="108" w:type="dxa"/>
        </w:tblCellMar>
        <w:tblLook w:val="04A0" w:firstRow="1" w:lastRow="0" w:firstColumn="1" w:lastColumn="0" w:noHBand="0" w:noVBand="1"/>
      </w:tblPr>
      <w:tblGrid>
        <w:gridCol w:w="5353"/>
        <w:gridCol w:w="5813"/>
        <w:gridCol w:w="1134"/>
        <w:gridCol w:w="1870"/>
      </w:tblGrid>
      <w:tr w:rsidR="00307CE9" w:rsidRPr="0077380B" w:rsidTr="00D67CC7">
        <w:trPr>
          <w:trHeight w:val="567"/>
          <w:tblHeader/>
        </w:trPr>
        <w:tc>
          <w:tcPr>
            <w:tcW w:w="1889" w:type="pct"/>
            <w:tcBorders>
              <w:bottom w:val="single" w:sz="4" w:space="0" w:color="auto"/>
            </w:tcBorders>
            <w:shd w:val="clear" w:color="auto" w:fill="244061" w:themeFill="accent1" w:themeFillShade="80"/>
            <w:vAlign w:val="center"/>
          </w:tcPr>
          <w:p w:rsidR="00307CE9" w:rsidRPr="0069023F" w:rsidRDefault="00307CE9" w:rsidP="001D3402">
            <w:pPr>
              <w:jc w:val="center"/>
              <w:rPr>
                <w:b/>
                <w:sz w:val="20"/>
                <w:szCs w:val="20"/>
              </w:rPr>
            </w:pPr>
            <w:r w:rsidRPr="0069023F">
              <w:rPr>
                <w:b/>
                <w:sz w:val="20"/>
                <w:szCs w:val="20"/>
              </w:rPr>
              <w:t>Findings</w:t>
            </w:r>
          </w:p>
        </w:tc>
        <w:tc>
          <w:tcPr>
            <w:tcW w:w="2051" w:type="pct"/>
            <w:tcBorders>
              <w:bottom w:val="single" w:sz="4" w:space="0" w:color="auto"/>
            </w:tcBorders>
            <w:shd w:val="clear" w:color="auto" w:fill="244061" w:themeFill="accent1" w:themeFillShade="80"/>
            <w:vAlign w:val="center"/>
          </w:tcPr>
          <w:p w:rsidR="00307CE9" w:rsidRPr="0069023F" w:rsidRDefault="00307CE9" w:rsidP="001D3402">
            <w:pPr>
              <w:jc w:val="center"/>
              <w:rPr>
                <w:b/>
                <w:sz w:val="20"/>
                <w:szCs w:val="20"/>
              </w:rPr>
            </w:pPr>
            <w:r w:rsidRPr="0069023F">
              <w:rPr>
                <w:b/>
                <w:sz w:val="20"/>
                <w:szCs w:val="20"/>
              </w:rPr>
              <w:t>Recommendations</w:t>
            </w:r>
          </w:p>
        </w:tc>
        <w:tc>
          <w:tcPr>
            <w:tcW w:w="400" w:type="pct"/>
            <w:tcBorders>
              <w:bottom w:val="single" w:sz="4" w:space="0" w:color="auto"/>
            </w:tcBorders>
            <w:shd w:val="clear" w:color="auto" w:fill="244061" w:themeFill="accent1" w:themeFillShade="80"/>
            <w:vAlign w:val="center"/>
          </w:tcPr>
          <w:p w:rsidR="00307CE9" w:rsidRPr="0069023F" w:rsidRDefault="00307CE9" w:rsidP="001D3402">
            <w:pPr>
              <w:jc w:val="center"/>
              <w:rPr>
                <w:b/>
                <w:sz w:val="20"/>
                <w:szCs w:val="20"/>
              </w:rPr>
            </w:pPr>
            <w:r w:rsidRPr="0069023F">
              <w:rPr>
                <w:b/>
                <w:sz w:val="20"/>
                <w:szCs w:val="20"/>
              </w:rPr>
              <w:t>Level of urgency</w:t>
            </w:r>
          </w:p>
        </w:tc>
        <w:tc>
          <w:tcPr>
            <w:tcW w:w="660" w:type="pct"/>
            <w:tcBorders>
              <w:bottom w:val="single" w:sz="4" w:space="0" w:color="auto"/>
            </w:tcBorders>
            <w:shd w:val="clear" w:color="auto" w:fill="244061" w:themeFill="accent1" w:themeFillShade="80"/>
            <w:vAlign w:val="center"/>
          </w:tcPr>
          <w:p w:rsidR="00307CE9" w:rsidRPr="0069023F" w:rsidRDefault="00307CE9" w:rsidP="001D3402">
            <w:pPr>
              <w:jc w:val="center"/>
              <w:rPr>
                <w:b/>
                <w:sz w:val="20"/>
                <w:szCs w:val="20"/>
              </w:rPr>
            </w:pPr>
            <w:r w:rsidRPr="0069023F">
              <w:rPr>
                <w:b/>
                <w:sz w:val="20"/>
                <w:szCs w:val="20"/>
              </w:rPr>
              <w:t>Prime Responsibility</w:t>
            </w:r>
          </w:p>
        </w:tc>
      </w:tr>
      <w:tr w:rsidR="00D67CC7" w:rsidRPr="0077380B" w:rsidTr="00D67CC7">
        <w:trPr>
          <w:trHeight w:val="839"/>
        </w:trPr>
        <w:tc>
          <w:tcPr>
            <w:tcW w:w="1889" w:type="pct"/>
            <w:shd w:val="clear" w:color="auto" w:fill="FFFFFF" w:themeFill="background1"/>
            <w:vAlign w:val="center"/>
          </w:tcPr>
          <w:p w:rsidR="00D67CC7" w:rsidRPr="0069023F" w:rsidRDefault="00D67CC7" w:rsidP="00ED753A">
            <w:pPr>
              <w:rPr>
                <w:sz w:val="20"/>
                <w:szCs w:val="20"/>
              </w:rPr>
            </w:pPr>
            <w:r w:rsidRPr="0069023F">
              <w:rPr>
                <w:sz w:val="20"/>
                <w:szCs w:val="20"/>
              </w:rPr>
              <w:t xml:space="preserve">Various forms of </w:t>
            </w:r>
            <w:r w:rsidR="00ED753A">
              <w:rPr>
                <w:sz w:val="20"/>
                <w:szCs w:val="20"/>
              </w:rPr>
              <w:t>external</w:t>
            </w:r>
            <w:r w:rsidRPr="0069023F">
              <w:rPr>
                <w:sz w:val="20"/>
                <w:szCs w:val="20"/>
              </w:rPr>
              <w:t xml:space="preserve"> funding </w:t>
            </w:r>
            <w:r w:rsidR="00ED753A">
              <w:rPr>
                <w:sz w:val="20"/>
                <w:szCs w:val="20"/>
              </w:rPr>
              <w:t xml:space="preserve">(i.e. local communities, local government, CSR) </w:t>
            </w:r>
            <w:r w:rsidRPr="0069023F">
              <w:rPr>
                <w:sz w:val="20"/>
                <w:szCs w:val="20"/>
              </w:rPr>
              <w:t xml:space="preserve">are available to support quality improvements in private </w:t>
            </w:r>
            <w:r>
              <w:rPr>
                <w:sz w:val="20"/>
                <w:szCs w:val="20"/>
              </w:rPr>
              <w:t>Madrasah (see §4.4.2)</w:t>
            </w:r>
            <w:r w:rsidRPr="00E44179">
              <w:rPr>
                <w:sz w:val="20"/>
                <w:szCs w:val="20"/>
              </w:rPr>
              <w:t>.</w:t>
            </w:r>
          </w:p>
        </w:tc>
        <w:tc>
          <w:tcPr>
            <w:tcW w:w="2051" w:type="pct"/>
            <w:shd w:val="clear" w:color="auto" w:fill="FFFFFF" w:themeFill="background1"/>
            <w:vAlign w:val="center"/>
          </w:tcPr>
          <w:p w:rsidR="00D67CC7" w:rsidRPr="0069023F" w:rsidRDefault="00D67CC7" w:rsidP="00463BB3">
            <w:pPr>
              <w:ind w:left="458" w:hanging="458"/>
              <w:rPr>
                <w:sz w:val="20"/>
                <w:szCs w:val="20"/>
              </w:rPr>
            </w:pPr>
            <w:r w:rsidRPr="0069023F">
              <w:rPr>
                <w:sz w:val="20"/>
                <w:szCs w:val="20"/>
              </w:rPr>
              <w:t>R</w:t>
            </w:r>
            <w:r w:rsidR="003E2F36">
              <w:rPr>
                <w:sz w:val="20"/>
                <w:szCs w:val="20"/>
              </w:rPr>
              <w:t>8</w:t>
            </w:r>
            <w:r w:rsidRPr="0069023F">
              <w:rPr>
                <w:sz w:val="20"/>
                <w:szCs w:val="20"/>
              </w:rPr>
              <w:t>:</w:t>
            </w:r>
            <w:r w:rsidRPr="0069023F">
              <w:rPr>
                <w:sz w:val="20"/>
                <w:szCs w:val="20"/>
              </w:rPr>
              <w:tab/>
              <w:t xml:space="preserve">Lessons </w:t>
            </w:r>
            <w:r w:rsidR="001E6E15">
              <w:rPr>
                <w:sz w:val="20"/>
                <w:szCs w:val="20"/>
              </w:rPr>
              <w:t xml:space="preserve">should </w:t>
            </w:r>
            <w:r w:rsidRPr="0069023F">
              <w:rPr>
                <w:sz w:val="20"/>
                <w:szCs w:val="20"/>
              </w:rPr>
              <w:t xml:space="preserve">be captured about how </w:t>
            </w:r>
            <w:r>
              <w:rPr>
                <w:sz w:val="20"/>
                <w:szCs w:val="20"/>
              </w:rPr>
              <w:t xml:space="preserve">external funding has been secured </w:t>
            </w:r>
            <w:r w:rsidRPr="0069023F">
              <w:rPr>
                <w:sz w:val="20"/>
                <w:szCs w:val="20"/>
              </w:rPr>
              <w:t>for</w:t>
            </w:r>
            <w:r>
              <w:rPr>
                <w:sz w:val="20"/>
                <w:szCs w:val="20"/>
              </w:rPr>
              <w:t xml:space="preserve"> Madrasah</w:t>
            </w:r>
            <w:r w:rsidRPr="0069023F">
              <w:rPr>
                <w:sz w:val="20"/>
                <w:szCs w:val="20"/>
              </w:rPr>
              <w:t xml:space="preserve"> quality improvement measures</w:t>
            </w:r>
            <w:r>
              <w:rPr>
                <w:sz w:val="20"/>
                <w:szCs w:val="20"/>
              </w:rPr>
              <w:t>.</w:t>
            </w:r>
          </w:p>
        </w:tc>
        <w:tc>
          <w:tcPr>
            <w:tcW w:w="400" w:type="pct"/>
            <w:tcBorders>
              <w:bottom w:val="single" w:sz="4" w:space="0" w:color="auto"/>
            </w:tcBorders>
            <w:shd w:val="clear" w:color="auto" w:fill="FF0000"/>
            <w:vAlign w:val="center"/>
          </w:tcPr>
          <w:p w:rsidR="00D67CC7" w:rsidRPr="0069023F" w:rsidRDefault="00D67CC7" w:rsidP="00F2582D">
            <w:pPr>
              <w:jc w:val="center"/>
              <w:rPr>
                <w:sz w:val="20"/>
                <w:szCs w:val="20"/>
              </w:rPr>
            </w:pPr>
            <w:r w:rsidRPr="0077380B">
              <w:rPr>
                <w:sz w:val="20"/>
                <w:szCs w:val="20"/>
              </w:rPr>
              <w:t>***</w:t>
            </w:r>
          </w:p>
        </w:tc>
        <w:tc>
          <w:tcPr>
            <w:tcW w:w="660" w:type="pct"/>
            <w:vAlign w:val="center"/>
          </w:tcPr>
          <w:p w:rsidR="00D67CC7" w:rsidRPr="0069023F" w:rsidRDefault="00D67CC7" w:rsidP="001D3402">
            <w:pPr>
              <w:rPr>
                <w:sz w:val="20"/>
                <w:szCs w:val="20"/>
              </w:rPr>
            </w:pPr>
            <w:r w:rsidRPr="0077380B">
              <w:rPr>
                <w:sz w:val="20"/>
                <w:szCs w:val="20"/>
              </w:rPr>
              <w:t xml:space="preserve"> MoRA</w:t>
            </w:r>
          </w:p>
        </w:tc>
      </w:tr>
      <w:tr w:rsidR="00D67CC7" w:rsidRPr="0077380B" w:rsidTr="006721CD">
        <w:trPr>
          <w:trHeight w:val="839"/>
        </w:trPr>
        <w:tc>
          <w:tcPr>
            <w:tcW w:w="1889" w:type="pct"/>
            <w:shd w:val="clear" w:color="auto" w:fill="FFFFFF" w:themeFill="background1"/>
            <w:vAlign w:val="center"/>
          </w:tcPr>
          <w:p w:rsidR="00D67CC7" w:rsidRPr="0069023F" w:rsidRDefault="00D67CC7" w:rsidP="00FA506D">
            <w:pPr>
              <w:rPr>
                <w:sz w:val="20"/>
                <w:szCs w:val="20"/>
              </w:rPr>
            </w:pPr>
            <w:r w:rsidRPr="0069023F">
              <w:rPr>
                <w:sz w:val="20"/>
                <w:szCs w:val="20"/>
              </w:rPr>
              <w:t xml:space="preserve">The extent to which the Grand Design will be adopted as a road map for the </w:t>
            </w:r>
            <w:r w:rsidRPr="00B01055">
              <w:rPr>
                <w:sz w:val="20"/>
                <w:szCs w:val="20"/>
              </w:rPr>
              <w:t xml:space="preserve">implementation </w:t>
            </w:r>
            <w:r>
              <w:rPr>
                <w:sz w:val="20"/>
                <w:szCs w:val="20"/>
              </w:rPr>
              <w:t xml:space="preserve">of the </w:t>
            </w:r>
            <w:r w:rsidRPr="0069023F">
              <w:rPr>
                <w:sz w:val="20"/>
                <w:szCs w:val="20"/>
              </w:rPr>
              <w:t>2015-2019 is unknown</w:t>
            </w:r>
            <w:r>
              <w:rPr>
                <w:sz w:val="20"/>
                <w:szCs w:val="20"/>
              </w:rPr>
              <w:t xml:space="preserve"> (see §4.4.5)</w:t>
            </w:r>
            <w:r w:rsidRPr="00E44179">
              <w:rPr>
                <w:sz w:val="20"/>
                <w:szCs w:val="20"/>
              </w:rPr>
              <w:t>.</w:t>
            </w:r>
          </w:p>
        </w:tc>
        <w:tc>
          <w:tcPr>
            <w:tcW w:w="2051" w:type="pct"/>
            <w:shd w:val="clear" w:color="auto" w:fill="FFFFFF" w:themeFill="background1"/>
            <w:vAlign w:val="center"/>
          </w:tcPr>
          <w:p w:rsidR="00D67CC7" w:rsidRPr="0069023F" w:rsidRDefault="00D67CC7" w:rsidP="006721CD">
            <w:pPr>
              <w:ind w:left="458" w:hanging="458"/>
              <w:rPr>
                <w:sz w:val="20"/>
                <w:szCs w:val="20"/>
              </w:rPr>
            </w:pPr>
            <w:r w:rsidRPr="0069023F">
              <w:rPr>
                <w:sz w:val="20"/>
                <w:szCs w:val="20"/>
              </w:rPr>
              <w:t>R</w:t>
            </w:r>
            <w:r w:rsidR="003E2F36">
              <w:rPr>
                <w:sz w:val="20"/>
                <w:szCs w:val="20"/>
              </w:rPr>
              <w:t>9</w:t>
            </w:r>
            <w:r w:rsidRPr="0069023F">
              <w:rPr>
                <w:sz w:val="20"/>
                <w:szCs w:val="20"/>
              </w:rPr>
              <w:t>:</w:t>
            </w:r>
            <w:r w:rsidRPr="0069023F">
              <w:rPr>
                <w:sz w:val="20"/>
                <w:szCs w:val="20"/>
              </w:rPr>
              <w:tab/>
              <w:t>The first meeting of the steering committee for the Grand Design should be convened at the earliest convenience to identify priorities and forms of further technical assist</w:t>
            </w:r>
            <w:r>
              <w:rPr>
                <w:sz w:val="20"/>
                <w:szCs w:val="20"/>
              </w:rPr>
              <w:t>ance that may accelerate implementation of the Grand Design</w:t>
            </w:r>
            <w:r w:rsidRPr="0069023F">
              <w:rPr>
                <w:sz w:val="20"/>
                <w:szCs w:val="20"/>
              </w:rPr>
              <w:t>.</w:t>
            </w:r>
          </w:p>
        </w:tc>
        <w:tc>
          <w:tcPr>
            <w:tcW w:w="400" w:type="pct"/>
            <w:tcBorders>
              <w:bottom w:val="single" w:sz="4" w:space="0" w:color="auto"/>
            </w:tcBorders>
            <w:shd w:val="clear" w:color="auto" w:fill="FF0000"/>
            <w:vAlign w:val="center"/>
          </w:tcPr>
          <w:p w:rsidR="00D67CC7" w:rsidRPr="0069023F" w:rsidRDefault="00D67CC7" w:rsidP="00F2582D">
            <w:pPr>
              <w:jc w:val="center"/>
              <w:rPr>
                <w:sz w:val="20"/>
                <w:szCs w:val="20"/>
              </w:rPr>
            </w:pPr>
            <w:r w:rsidRPr="0077380B">
              <w:rPr>
                <w:sz w:val="20"/>
                <w:szCs w:val="20"/>
              </w:rPr>
              <w:t>***</w:t>
            </w:r>
          </w:p>
        </w:tc>
        <w:tc>
          <w:tcPr>
            <w:tcW w:w="660" w:type="pct"/>
            <w:vAlign w:val="center"/>
          </w:tcPr>
          <w:p w:rsidR="00D67CC7" w:rsidRPr="0069023F" w:rsidRDefault="00D67CC7" w:rsidP="001D3402">
            <w:pPr>
              <w:rPr>
                <w:sz w:val="20"/>
                <w:szCs w:val="20"/>
              </w:rPr>
            </w:pPr>
            <w:r w:rsidRPr="0077380B">
              <w:rPr>
                <w:sz w:val="20"/>
                <w:szCs w:val="20"/>
              </w:rPr>
              <w:t>MoRA</w:t>
            </w:r>
            <w:r w:rsidR="002010DB">
              <w:rPr>
                <w:sz w:val="20"/>
                <w:szCs w:val="20"/>
              </w:rPr>
              <w:t xml:space="preserve"> </w:t>
            </w:r>
          </w:p>
        </w:tc>
      </w:tr>
      <w:tr w:rsidR="00D67CC7" w:rsidRPr="0077380B" w:rsidTr="006721CD">
        <w:trPr>
          <w:trHeight w:val="839"/>
        </w:trPr>
        <w:tc>
          <w:tcPr>
            <w:tcW w:w="1889" w:type="pct"/>
            <w:shd w:val="clear" w:color="auto" w:fill="FFFFFF" w:themeFill="background1"/>
            <w:vAlign w:val="center"/>
          </w:tcPr>
          <w:p w:rsidR="00D67CC7" w:rsidRPr="0069023F" w:rsidRDefault="00D67CC7" w:rsidP="00F2582D">
            <w:pPr>
              <w:rPr>
                <w:sz w:val="20"/>
                <w:szCs w:val="20"/>
              </w:rPr>
            </w:pPr>
            <w:r w:rsidRPr="0069023F">
              <w:rPr>
                <w:sz w:val="20"/>
                <w:szCs w:val="20"/>
              </w:rPr>
              <w:t xml:space="preserve">MDC development strategies lack an equity component. The capacity of MDCs varies significantly between provinces, as does the cost of providing support to </w:t>
            </w:r>
            <w:r>
              <w:rPr>
                <w:sz w:val="20"/>
                <w:szCs w:val="20"/>
              </w:rPr>
              <w:t>Madrasah (see §4.4.5)</w:t>
            </w:r>
            <w:r w:rsidRPr="0069023F">
              <w:rPr>
                <w:sz w:val="20"/>
                <w:szCs w:val="20"/>
              </w:rPr>
              <w:t>.</w:t>
            </w:r>
          </w:p>
        </w:tc>
        <w:tc>
          <w:tcPr>
            <w:tcW w:w="2051" w:type="pct"/>
            <w:shd w:val="clear" w:color="auto" w:fill="FFFFFF" w:themeFill="background1"/>
            <w:vAlign w:val="center"/>
          </w:tcPr>
          <w:p w:rsidR="00D67CC7" w:rsidRPr="0069023F" w:rsidRDefault="00D67CC7" w:rsidP="003549F8">
            <w:pPr>
              <w:ind w:left="458" w:hanging="458"/>
              <w:rPr>
                <w:sz w:val="20"/>
                <w:szCs w:val="20"/>
              </w:rPr>
            </w:pPr>
            <w:r w:rsidRPr="0069023F">
              <w:rPr>
                <w:sz w:val="20"/>
                <w:szCs w:val="20"/>
              </w:rPr>
              <w:t>R</w:t>
            </w:r>
            <w:r w:rsidR="003E2F36">
              <w:rPr>
                <w:sz w:val="20"/>
                <w:szCs w:val="20"/>
              </w:rPr>
              <w:t>10</w:t>
            </w:r>
            <w:r w:rsidRPr="0069023F">
              <w:rPr>
                <w:sz w:val="20"/>
                <w:szCs w:val="20"/>
              </w:rPr>
              <w:t>:</w:t>
            </w:r>
            <w:r w:rsidRPr="0069023F">
              <w:rPr>
                <w:sz w:val="20"/>
                <w:szCs w:val="20"/>
              </w:rPr>
              <w:tab/>
            </w:r>
            <w:r>
              <w:rPr>
                <w:sz w:val="20"/>
                <w:szCs w:val="20"/>
              </w:rPr>
              <w:t>The</w:t>
            </w:r>
            <w:r w:rsidRPr="0069023F">
              <w:rPr>
                <w:sz w:val="20"/>
                <w:szCs w:val="20"/>
              </w:rPr>
              <w:t xml:space="preserve"> merits of introducing a</w:t>
            </w:r>
            <w:r>
              <w:rPr>
                <w:sz w:val="20"/>
                <w:szCs w:val="20"/>
              </w:rPr>
              <w:t xml:space="preserve"> variable-funding mechanism to improve </w:t>
            </w:r>
            <w:r w:rsidRPr="0069023F">
              <w:rPr>
                <w:sz w:val="20"/>
                <w:szCs w:val="20"/>
              </w:rPr>
              <w:t>MDC capacity</w:t>
            </w:r>
            <w:r>
              <w:rPr>
                <w:sz w:val="20"/>
                <w:szCs w:val="20"/>
              </w:rPr>
              <w:t xml:space="preserve"> should be considered under existing financing plans for MDCs</w:t>
            </w:r>
            <w:r w:rsidRPr="0069023F">
              <w:rPr>
                <w:sz w:val="20"/>
                <w:szCs w:val="20"/>
              </w:rPr>
              <w:t>.</w:t>
            </w:r>
          </w:p>
        </w:tc>
        <w:tc>
          <w:tcPr>
            <w:tcW w:w="400" w:type="pct"/>
            <w:shd w:val="clear" w:color="auto" w:fill="FFC000"/>
            <w:vAlign w:val="center"/>
          </w:tcPr>
          <w:p w:rsidR="00D67CC7" w:rsidRPr="0069023F" w:rsidRDefault="00D67CC7" w:rsidP="00F2582D">
            <w:pPr>
              <w:jc w:val="center"/>
              <w:rPr>
                <w:sz w:val="20"/>
                <w:szCs w:val="20"/>
              </w:rPr>
            </w:pPr>
            <w:r w:rsidRPr="0069023F">
              <w:rPr>
                <w:sz w:val="20"/>
                <w:szCs w:val="20"/>
              </w:rPr>
              <w:t>**</w:t>
            </w:r>
          </w:p>
        </w:tc>
        <w:tc>
          <w:tcPr>
            <w:tcW w:w="660" w:type="pct"/>
            <w:vAlign w:val="center"/>
          </w:tcPr>
          <w:p w:rsidR="00D67CC7" w:rsidRPr="0069023F" w:rsidRDefault="00D67CC7" w:rsidP="001D3402">
            <w:pPr>
              <w:rPr>
                <w:sz w:val="20"/>
                <w:szCs w:val="20"/>
              </w:rPr>
            </w:pPr>
            <w:r w:rsidRPr="0077380B">
              <w:rPr>
                <w:sz w:val="20"/>
                <w:szCs w:val="20"/>
              </w:rPr>
              <w:t>MoRA</w:t>
            </w:r>
          </w:p>
        </w:tc>
      </w:tr>
      <w:tr w:rsidR="00D67CC7" w:rsidRPr="0077380B" w:rsidTr="00D67CC7">
        <w:trPr>
          <w:cantSplit/>
          <w:trHeight w:val="839"/>
        </w:trPr>
        <w:tc>
          <w:tcPr>
            <w:tcW w:w="1889" w:type="pct"/>
            <w:shd w:val="clear" w:color="auto" w:fill="FFFFFF" w:themeFill="background1"/>
            <w:vAlign w:val="center"/>
          </w:tcPr>
          <w:p w:rsidR="00D67CC7" w:rsidRPr="0069023F" w:rsidRDefault="00D67CC7" w:rsidP="00F2582D">
            <w:pPr>
              <w:rPr>
                <w:sz w:val="20"/>
                <w:szCs w:val="20"/>
              </w:rPr>
            </w:pPr>
            <w:r w:rsidRPr="0069023F">
              <w:rPr>
                <w:sz w:val="20"/>
                <w:szCs w:val="20"/>
              </w:rPr>
              <w:t>EOPO 3 evaluation indicated an inconclusive relationship between block grants and quality improvement</w:t>
            </w:r>
            <w:r w:rsidR="00546A86">
              <w:rPr>
                <w:sz w:val="20"/>
                <w:szCs w:val="20"/>
              </w:rPr>
              <w:t>, but a more conclusive relationship between training and quality improvement</w:t>
            </w:r>
            <w:r>
              <w:rPr>
                <w:sz w:val="20"/>
                <w:szCs w:val="20"/>
              </w:rPr>
              <w:t xml:space="preserve"> (see §4.4.2)</w:t>
            </w:r>
            <w:r w:rsidRPr="00E44179">
              <w:rPr>
                <w:sz w:val="20"/>
                <w:szCs w:val="20"/>
              </w:rPr>
              <w:t>.</w:t>
            </w:r>
          </w:p>
        </w:tc>
        <w:tc>
          <w:tcPr>
            <w:tcW w:w="2051" w:type="pct"/>
            <w:shd w:val="clear" w:color="auto" w:fill="FFFFFF" w:themeFill="background1"/>
            <w:vAlign w:val="center"/>
          </w:tcPr>
          <w:p w:rsidR="00D67CC7" w:rsidRPr="0069023F" w:rsidRDefault="00D67CC7" w:rsidP="00ED753A">
            <w:pPr>
              <w:ind w:left="458" w:hanging="458"/>
              <w:rPr>
                <w:sz w:val="20"/>
                <w:szCs w:val="20"/>
              </w:rPr>
            </w:pPr>
            <w:r w:rsidRPr="0069023F">
              <w:rPr>
                <w:sz w:val="20"/>
                <w:szCs w:val="20"/>
              </w:rPr>
              <w:t>R</w:t>
            </w:r>
            <w:r w:rsidR="003E2F36">
              <w:rPr>
                <w:sz w:val="20"/>
                <w:szCs w:val="20"/>
              </w:rPr>
              <w:t>11</w:t>
            </w:r>
            <w:r w:rsidRPr="0069023F">
              <w:rPr>
                <w:sz w:val="20"/>
                <w:szCs w:val="20"/>
              </w:rPr>
              <w:t>:</w:t>
            </w:r>
            <w:r w:rsidRPr="0069023F">
              <w:rPr>
                <w:sz w:val="20"/>
                <w:szCs w:val="20"/>
              </w:rPr>
              <w:tab/>
              <w:t>The efficacy and size of block grants as a stimulus for quality improveme</w:t>
            </w:r>
            <w:r>
              <w:rPr>
                <w:sz w:val="20"/>
                <w:szCs w:val="20"/>
              </w:rPr>
              <w:t xml:space="preserve">nt should be </w:t>
            </w:r>
            <w:r w:rsidR="00546A86">
              <w:rPr>
                <w:sz w:val="20"/>
                <w:szCs w:val="20"/>
              </w:rPr>
              <w:t xml:space="preserve">assessed. Block grants </w:t>
            </w:r>
            <w:r w:rsidR="00ED753A">
              <w:rPr>
                <w:sz w:val="20"/>
                <w:szCs w:val="20"/>
              </w:rPr>
              <w:t xml:space="preserve">earmarked for </w:t>
            </w:r>
            <w:r w:rsidR="00546A86">
              <w:rPr>
                <w:sz w:val="20"/>
                <w:szCs w:val="20"/>
              </w:rPr>
              <w:t xml:space="preserve">training programs </w:t>
            </w:r>
            <w:r w:rsidR="00ED753A">
              <w:rPr>
                <w:sz w:val="20"/>
                <w:szCs w:val="20"/>
              </w:rPr>
              <w:t>are an option that should be investigated.</w:t>
            </w:r>
          </w:p>
        </w:tc>
        <w:tc>
          <w:tcPr>
            <w:tcW w:w="400" w:type="pct"/>
            <w:shd w:val="clear" w:color="auto" w:fill="FFC000"/>
            <w:vAlign w:val="center"/>
          </w:tcPr>
          <w:p w:rsidR="00D67CC7" w:rsidRPr="0069023F" w:rsidRDefault="00D67CC7" w:rsidP="00F2582D">
            <w:pPr>
              <w:jc w:val="center"/>
              <w:rPr>
                <w:sz w:val="20"/>
                <w:szCs w:val="20"/>
              </w:rPr>
            </w:pPr>
            <w:r w:rsidRPr="0069023F">
              <w:rPr>
                <w:sz w:val="20"/>
                <w:szCs w:val="20"/>
              </w:rPr>
              <w:t>**</w:t>
            </w:r>
          </w:p>
        </w:tc>
        <w:tc>
          <w:tcPr>
            <w:tcW w:w="660" w:type="pct"/>
            <w:shd w:val="clear" w:color="auto" w:fill="FFFFFF" w:themeFill="background1"/>
            <w:vAlign w:val="center"/>
          </w:tcPr>
          <w:p w:rsidR="00D67CC7" w:rsidRPr="0069023F" w:rsidRDefault="00D67CC7" w:rsidP="001D3402">
            <w:pPr>
              <w:rPr>
                <w:sz w:val="20"/>
                <w:szCs w:val="20"/>
              </w:rPr>
            </w:pPr>
            <w:r w:rsidRPr="0077380B">
              <w:rPr>
                <w:sz w:val="20"/>
                <w:szCs w:val="20"/>
              </w:rPr>
              <w:t>MoRA</w:t>
            </w:r>
          </w:p>
        </w:tc>
      </w:tr>
      <w:tr w:rsidR="00D67CC7" w:rsidRPr="0077380B" w:rsidTr="006721CD">
        <w:trPr>
          <w:trHeight w:val="266"/>
        </w:trPr>
        <w:tc>
          <w:tcPr>
            <w:tcW w:w="1889" w:type="pct"/>
            <w:shd w:val="clear" w:color="auto" w:fill="FFFFFF" w:themeFill="background1"/>
            <w:vAlign w:val="center"/>
          </w:tcPr>
          <w:p w:rsidR="00D67CC7" w:rsidRPr="0069023F" w:rsidRDefault="00D67CC7" w:rsidP="006721CD">
            <w:pPr>
              <w:rPr>
                <w:sz w:val="20"/>
                <w:szCs w:val="20"/>
              </w:rPr>
            </w:pPr>
            <w:r w:rsidRPr="0069023F">
              <w:rPr>
                <w:sz w:val="20"/>
                <w:szCs w:val="20"/>
              </w:rPr>
              <w:t xml:space="preserve">Service delivery mechanisms for private </w:t>
            </w:r>
            <w:r>
              <w:rPr>
                <w:sz w:val="20"/>
                <w:szCs w:val="20"/>
              </w:rPr>
              <w:t>Madrasah</w:t>
            </w:r>
            <w:r w:rsidRPr="0069023F">
              <w:rPr>
                <w:sz w:val="20"/>
                <w:szCs w:val="20"/>
              </w:rPr>
              <w:t xml:space="preserve"> have an impact when they are fit for the purpose (i.e. mentors). </w:t>
            </w:r>
            <w:r w:rsidR="006721CD">
              <w:rPr>
                <w:sz w:val="20"/>
                <w:szCs w:val="20"/>
              </w:rPr>
              <w:t>There are co</w:t>
            </w:r>
            <w:r w:rsidRPr="0069023F">
              <w:rPr>
                <w:sz w:val="20"/>
                <w:szCs w:val="20"/>
              </w:rPr>
              <w:t>ncerns that cluster-based professional organisations (e.g. KKM) do not meet this description</w:t>
            </w:r>
            <w:r>
              <w:rPr>
                <w:sz w:val="20"/>
                <w:szCs w:val="20"/>
              </w:rPr>
              <w:t xml:space="preserve"> (see §4.4.3)</w:t>
            </w:r>
            <w:r w:rsidRPr="0069023F">
              <w:rPr>
                <w:sz w:val="20"/>
                <w:szCs w:val="20"/>
              </w:rPr>
              <w:t>.</w:t>
            </w:r>
          </w:p>
        </w:tc>
        <w:tc>
          <w:tcPr>
            <w:tcW w:w="2051" w:type="pct"/>
            <w:shd w:val="clear" w:color="auto" w:fill="FFFFFF" w:themeFill="background1"/>
            <w:vAlign w:val="center"/>
          </w:tcPr>
          <w:p w:rsidR="00D67CC7" w:rsidRPr="0069023F" w:rsidRDefault="00D67CC7" w:rsidP="00CB585E">
            <w:pPr>
              <w:ind w:left="458" w:hanging="458"/>
              <w:rPr>
                <w:sz w:val="20"/>
                <w:szCs w:val="20"/>
              </w:rPr>
            </w:pPr>
            <w:r w:rsidRPr="0069023F">
              <w:rPr>
                <w:sz w:val="20"/>
                <w:szCs w:val="20"/>
              </w:rPr>
              <w:t>R</w:t>
            </w:r>
            <w:r w:rsidR="003E2F36">
              <w:rPr>
                <w:sz w:val="20"/>
                <w:szCs w:val="20"/>
              </w:rPr>
              <w:t>12</w:t>
            </w:r>
            <w:r w:rsidRPr="0069023F">
              <w:rPr>
                <w:sz w:val="20"/>
                <w:szCs w:val="20"/>
              </w:rPr>
              <w:t>:</w:t>
            </w:r>
            <w:r w:rsidRPr="0069023F">
              <w:rPr>
                <w:sz w:val="20"/>
                <w:szCs w:val="20"/>
              </w:rPr>
              <w:tab/>
              <w:t xml:space="preserve">The </w:t>
            </w:r>
            <w:r>
              <w:rPr>
                <w:sz w:val="20"/>
                <w:szCs w:val="20"/>
              </w:rPr>
              <w:t xml:space="preserve">suitability and </w:t>
            </w:r>
            <w:r w:rsidRPr="0069023F">
              <w:rPr>
                <w:sz w:val="20"/>
                <w:szCs w:val="20"/>
              </w:rPr>
              <w:t>performanc</w:t>
            </w:r>
            <w:r>
              <w:rPr>
                <w:sz w:val="20"/>
                <w:szCs w:val="20"/>
              </w:rPr>
              <w:t xml:space="preserve">e of Madrasah Working Groups (KKM) in facilitating </w:t>
            </w:r>
            <w:r w:rsidRPr="0069023F">
              <w:rPr>
                <w:sz w:val="20"/>
                <w:szCs w:val="20"/>
              </w:rPr>
              <w:t>MoRA</w:t>
            </w:r>
            <w:r>
              <w:rPr>
                <w:sz w:val="20"/>
                <w:szCs w:val="20"/>
              </w:rPr>
              <w:t>’s</w:t>
            </w:r>
            <w:r w:rsidRPr="0069023F">
              <w:rPr>
                <w:sz w:val="20"/>
                <w:szCs w:val="20"/>
              </w:rPr>
              <w:t xml:space="preserve"> </w:t>
            </w:r>
            <w:r w:rsidRPr="003E1475">
              <w:rPr>
                <w:sz w:val="20"/>
                <w:szCs w:val="20"/>
              </w:rPr>
              <w:t>Madrasah Upgrading Program</w:t>
            </w:r>
            <w:r>
              <w:rPr>
                <w:sz w:val="20"/>
                <w:szCs w:val="20"/>
              </w:rPr>
              <w:t xml:space="preserve"> should</w:t>
            </w:r>
            <w:r w:rsidRPr="0069023F">
              <w:rPr>
                <w:sz w:val="20"/>
                <w:szCs w:val="20"/>
              </w:rPr>
              <w:t xml:space="preserve"> be evaluated. </w:t>
            </w:r>
          </w:p>
        </w:tc>
        <w:tc>
          <w:tcPr>
            <w:tcW w:w="400" w:type="pct"/>
            <w:tcBorders>
              <w:bottom w:val="single" w:sz="4" w:space="0" w:color="auto"/>
            </w:tcBorders>
            <w:shd w:val="clear" w:color="auto" w:fill="FFC000"/>
            <w:vAlign w:val="center"/>
          </w:tcPr>
          <w:p w:rsidR="00D67CC7" w:rsidRPr="0069023F" w:rsidRDefault="00D67CC7" w:rsidP="00F2582D">
            <w:pPr>
              <w:jc w:val="center"/>
              <w:rPr>
                <w:sz w:val="20"/>
                <w:szCs w:val="20"/>
              </w:rPr>
            </w:pPr>
            <w:r w:rsidRPr="0077380B">
              <w:rPr>
                <w:sz w:val="20"/>
                <w:szCs w:val="20"/>
              </w:rPr>
              <w:t>**</w:t>
            </w:r>
          </w:p>
        </w:tc>
        <w:tc>
          <w:tcPr>
            <w:tcW w:w="660" w:type="pct"/>
            <w:vAlign w:val="center"/>
          </w:tcPr>
          <w:p w:rsidR="00D67CC7" w:rsidRPr="0069023F" w:rsidRDefault="00D67CC7" w:rsidP="001D3402">
            <w:pPr>
              <w:rPr>
                <w:sz w:val="20"/>
                <w:szCs w:val="20"/>
              </w:rPr>
            </w:pPr>
            <w:r w:rsidRPr="0077380B">
              <w:rPr>
                <w:sz w:val="20"/>
                <w:szCs w:val="20"/>
              </w:rPr>
              <w:t>MoRA</w:t>
            </w:r>
          </w:p>
        </w:tc>
      </w:tr>
      <w:tr w:rsidR="00ED753A" w:rsidRPr="0077380B" w:rsidTr="006721CD">
        <w:trPr>
          <w:trHeight w:val="839"/>
        </w:trPr>
        <w:tc>
          <w:tcPr>
            <w:tcW w:w="1889" w:type="pct"/>
            <w:shd w:val="clear" w:color="auto" w:fill="FFFFFF" w:themeFill="background1"/>
            <w:vAlign w:val="center"/>
          </w:tcPr>
          <w:p w:rsidR="00ED753A" w:rsidRPr="0069023F" w:rsidRDefault="00ED753A" w:rsidP="00F2582D">
            <w:pPr>
              <w:rPr>
                <w:sz w:val="20"/>
                <w:szCs w:val="20"/>
              </w:rPr>
            </w:pPr>
            <w:r>
              <w:rPr>
                <w:sz w:val="20"/>
                <w:szCs w:val="20"/>
              </w:rPr>
              <w:lastRenderedPageBreak/>
              <w:t>The madrasah sector appears to be amenable to the incorporation of social inclusion strategies in education policy and programs.</w:t>
            </w:r>
          </w:p>
        </w:tc>
        <w:tc>
          <w:tcPr>
            <w:tcW w:w="2051" w:type="pct"/>
            <w:shd w:val="clear" w:color="auto" w:fill="FFFFFF" w:themeFill="background1"/>
            <w:vAlign w:val="center"/>
          </w:tcPr>
          <w:p w:rsidR="00ED753A" w:rsidRPr="0069023F" w:rsidRDefault="006721CD" w:rsidP="003549F8">
            <w:pPr>
              <w:ind w:left="458" w:hanging="458"/>
              <w:rPr>
                <w:sz w:val="20"/>
                <w:szCs w:val="20"/>
              </w:rPr>
            </w:pPr>
            <w:r>
              <w:rPr>
                <w:sz w:val="20"/>
                <w:szCs w:val="20"/>
              </w:rPr>
              <w:t>R13:</w:t>
            </w:r>
            <w:r>
              <w:rPr>
                <w:sz w:val="20"/>
                <w:szCs w:val="20"/>
              </w:rPr>
              <w:tab/>
            </w:r>
            <w:r w:rsidR="00ED753A">
              <w:rPr>
                <w:sz w:val="20"/>
                <w:szCs w:val="20"/>
              </w:rPr>
              <w:t>The findings of the social inclusion pilot program should be assessed in order to better understand how the Islamic education section</w:t>
            </w:r>
            <w:r w:rsidR="00CB585E">
              <w:rPr>
                <w:sz w:val="20"/>
                <w:szCs w:val="20"/>
              </w:rPr>
              <w:t xml:space="preserve"> might take a lead in social inclusion strategies.</w:t>
            </w:r>
          </w:p>
        </w:tc>
        <w:tc>
          <w:tcPr>
            <w:tcW w:w="400" w:type="pct"/>
            <w:shd w:val="clear" w:color="auto" w:fill="92D050"/>
            <w:vAlign w:val="center"/>
          </w:tcPr>
          <w:p w:rsidR="00ED753A" w:rsidRPr="0077380B" w:rsidRDefault="006721CD" w:rsidP="00F2582D">
            <w:pPr>
              <w:jc w:val="center"/>
              <w:rPr>
                <w:sz w:val="20"/>
                <w:szCs w:val="20"/>
              </w:rPr>
            </w:pPr>
            <w:r>
              <w:rPr>
                <w:sz w:val="20"/>
                <w:szCs w:val="20"/>
              </w:rPr>
              <w:t>*</w:t>
            </w:r>
          </w:p>
        </w:tc>
        <w:tc>
          <w:tcPr>
            <w:tcW w:w="660" w:type="pct"/>
            <w:vAlign w:val="center"/>
          </w:tcPr>
          <w:p w:rsidR="00ED753A" w:rsidRPr="0077380B" w:rsidRDefault="006721CD" w:rsidP="001D3402">
            <w:pPr>
              <w:rPr>
                <w:sz w:val="20"/>
                <w:szCs w:val="20"/>
              </w:rPr>
            </w:pPr>
            <w:r>
              <w:rPr>
                <w:sz w:val="20"/>
                <w:szCs w:val="20"/>
              </w:rPr>
              <w:t>MoRA</w:t>
            </w:r>
          </w:p>
        </w:tc>
      </w:tr>
      <w:tr w:rsidR="00D67CC7" w:rsidRPr="0077380B" w:rsidTr="006721CD">
        <w:trPr>
          <w:trHeight w:val="839"/>
        </w:trPr>
        <w:tc>
          <w:tcPr>
            <w:tcW w:w="1889" w:type="pct"/>
            <w:shd w:val="clear" w:color="auto" w:fill="FFFFFF" w:themeFill="background1"/>
            <w:vAlign w:val="center"/>
          </w:tcPr>
          <w:p w:rsidR="00D67CC7" w:rsidRPr="0069023F" w:rsidRDefault="00D67CC7" w:rsidP="00F2582D">
            <w:pPr>
              <w:rPr>
                <w:sz w:val="20"/>
                <w:szCs w:val="20"/>
              </w:rPr>
            </w:pPr>
            <w:r w:rsidRPr="0069023F">
              <w:rPr>
                <w:sz w:val="20"/>
                <w:szCs w:val="20"/>
              </w:rPr>
              <w:t xml:space="preserve">MoRA’s uptake of C3 initiatives has sought to bring private </w:t>
            </w:r>
            <w:r>
              <w:rPr>
                <w:sz w:val="20"/>
                <w:szCs w:val="20"/>
              </w:rPr>
              <w:t>Madrasah</w:t>
            </w:r>
            <w:r w:rsidRPr="0069023F">
              <w:rPr>
                <w:sz w:val="20"/>
                <w:szCs w:val="20"/>
              </w:rPr>
              <w:t xml:space="preserve"> under the closer supervision of MoRA. Potential exists for resistance from a sector that is defined by its independence from state oversight</w:t>
            </w:r>
            <w:r>
              <w:rPr>
                <w:sz w:val="20"/>
                <w:szCs w:val="20"/>
              </w:rPr>
              <w:t xml:space="preserve"> (see §4.4.4)</w:t>
            </w:r>
            <w:r w:rsidRPr="0069023F">
              <w:rPr>
                <w:sz w:val="20"/>
                <w:szCs w:val="20"/>
              </w:rPr>
              <w:t>.</w:t>
            </w:r>
          </w:p>
        </w:tc>
        <w:tc>
          <w:tcPr>
            <w:tcW w:w="2051" w:type="pct"/>
            <w:shd w:val="clear" w:color="auto" w:fill="FFFFFF" w:themeFill="background1"/>
            <w:vAlign w:val="center"/>
          </w:tcPr>
          <w:p w:rsidR="00D67CC7" w:rsidRPr="0069023F" w:rsidRDefault="00D67CC7" w:rsidP="006721CD">
            <w:pPr>
              <w:ind w:left="458" w:hanging="458"/>
              <w:rPr>
                <w:sz w:val="20"/>
                <w:szCs w:val="20"/>
              </w:rPr>
            </w:pPr>
            <w:r w:rsidRPr="0069023F">
              <w:rPr>
                <w:sz w:val="20"/>
                <w:szCs w:val="20"/>
              </w:rPr>
              <w:t>R1</w:t>
            </w:r>
            <w:r w:rsidR="006721CD">
              <w:rPr>
                <w:sz w:val="20"/>
                <w:szCs w:val="20"/>
              </w:rPr>
              <w:t>4</w:t>
            </w:r>
            <w:r w:rsidRPr="0069023F">
              <w:rPr>
                <w:sz w:val="20"/>
                <w:szCs w:val="20"/>
              </w:rPr>
              <w:t>:</w:t>
            </w:r>
            <w:r w:rsidRPr="0069023F">
              <w:rPr>
                <w:sz w:val="20"/>
                <w:szCs w:val="20"/>
              </w:rPr>
              <w:tab/>
            </w:r>
            <w:r>
              <w:rPr>
                <w:sz w:val="20"/>
                <w:szCs w:val="20"/>
              </w:rPr>
              <w:t>C</w:t>
            </w:r>
            <w:r w:rsidRPr="0069023F">
              <w:rPr>
                <w:sz w:val="20"/>
                <w:szCs w:val="20"/>
              </w:rPr>
              <w:t>onsideration</w:t>
            </w:r>
            <w:r>
              <w:rPr>
                <w:sz w:val="20"/>
                <w:szCs w:val="20"/>
              </w:rPr>
              <w:t xml:space="preserve"> should be given</w:t>
            </w:r>
            <w:r w:rsidRPr="0069023F">
              <w:rPr>
                <w:sz w:val="20"/>
                <w:szCs w:val="20"/>
              </w:rPr>
              <w:t xml:space="preserve"> to </w:t>
            </w:r>
            <w:r>
              <w:rPr>
                <w:sz w:val="20"/>
                <w:szCs w:val="20"/>
              </w:rPr>
              <w:t>involving represe</w:t>
            </w:r>
            <w:r w:rsidRPr="0069023F">
              <w:rPr>
                <w:sz w:val="20"/>
                <w:szCs w:val="20"/>
              </w:rPr>
              <w:t>ntatives of non-state organisations (e.g</w:t>
            </w:r>
            <w:r>
              <w:rPr>
                <w:sz w:val="20"/>
                <w:szCs w:val="20"/>
              </w:rPr>
              <w:t xml:space="preserve">. Al Ma’arif) in decision-making </w:t>
            </w:r>
            <w:r w:rsidRPr="0069023F">
              <w:rPr>
                <w:sz w:val="20"/>
                <w:szCs w:val="20"/>
              </w:rPr>
              <w:t xml:space="preserve">about private </w:t>
            </w:r>
            <w:r>
              <w:rPr>
                <w:sz w:val="20"/>
                <w:szCs w:val="20"/>
              </w:rPr>
              <w:t>Madrasah</w:t>
            </w:r>
            <w:r w:rsidRPr="0069023F">
              <w:rPr>
                <w:sz w:val="20"/>
                <w:szCs w:val="20"/>
              </w:rPr>
              <w:t xml:space="preserve"> quality improvement.</w:t>
            </w:r>
          </w:p>
        </w:tc>
        <w:tc>
          <w:tcPr>
            <w:tcW w:w="400" w:type="pct"/>
            <w:shd w:val="clear" w:color="auto" w:fill="92D050"/>
            <w:vAlign w:val="center"/>
          </w:tcPr>
          <w:p w:rsidR="00D67CC7" w:rsidRPr="0069023F" w:rsidRDefault="00D67CC7" w:rsidP="00F2582D">
            <w:pPr>
              <w:jc w:val="center"/>
              <w:rPr>
                <w:sz w:val="20"/>
                <w:szCs w:val="20"/>
              </w:rPr>
            </w:pPr>
            <w:r w:rsidRPr="0069023F">
              <w:rPr>
                <w:sz w:val="20"/>
                <w:szCs w:val="20"/>
              </w:rPr>
              <w:t>*</w:t>
            </w:r>
          </w:p>
        </w:tc>
        <w:tc>
          <w:tcPr>
            <w:tcW w:w="660" w:type="pct"/>
            <w:vAlign w:val="center"/>
          </w:tcPr>
          <w:p w:rsidR="00D67CC7" w:rsidRPr="0069023F" w:rsidRDefault="00D67CC7" w:rsidP="001D3402">
            <w:pPr>
              <w:rPr>
                <w:sz w:val="20"/>
                <w:szCs w:val="20"/>
              </w:rPr>
            </w:pPr>
            <w:r w:rsidRPr="0077380B">
              <w:rPr>
                <w:sz w:val="20"/>
                <w:szCs w:val="20"/>
              </w:rPr>
              <w:t>MoRA</w:t>
            </w:r>
          </w:p>
        </w:tc>
      </w:tr>
    </w:tbl>
    <w:p w:rsidR="004B1032" w:rsidRPr="004B1032" w:rsidRDefault="00D20962" w:rsidP="00775568">
      <w:r w:rsidRPr="00D20962">
        <w:t>Legend: Red (***) - high urgency; orange (**) - medium urgency; green (*) - low urgency</w:t>
      </w:r>
    </w:p>
    <w:p w:rsidR="0024400F" w:rsidRPr="00851EC7" w:rsidRDefault="0024400F" w:rsidP="00775568">
      <w:pPr>
        <w:sectPr w:rsidR="0024400F" w:rsidRPr="00851EC7" w:rsidSect="00B7224C">
          <w:headerReference w:type="default" r:id="rId37"/>
          <w:pgSz w:w="16834" w:h="11909" w:orient="landscape" w:code="9"/>
          <w:pgMar w:top="1440" w:right="1440" w:bottom="1440" w:left="1440" w:header="432" w:footer="720" w:gutter="0"/>
          <w:cols w:space="720"/>
          <w:noEndnote/>
          <w:docGrid w:linePitch="360"/>
        </w:sectPr>
      </w:pPr>
    </w:p>
    <w:p w:rsidR="00D1143C" w:rsidRPr="00851EC7" w:rsidRDefault="00D1143C" w:rsidP="00D1143C">
      <w:pPr>
        <w:pStyle w:val="Heading1"/>
      </w:pPr>
      <w:bookmarkStart w:id="77" w:name="_Toc448156328"/>
      <w:r w:rsidRPr="00851EC7">
        <w:lastRenderedPageBreak/>
        <w:t xml:space="preserve">Component </w:t>
      </w:r>
      <w:r>
        <w:t>4</w:t>
      </w:r>
      <w:r w:rsidRPr="00851EC7">
        <w:t xml:space="preserve">: </w:t>
      </w:r>
      <w:r w:rsidRPr="00D1143C">
        <w:t>Analytical and Capacity Development Partnership</w:t>
      </w:r>
      <w:bookmarkEnd w:id="77"/>
    </w:p>
    <w:p w:rsidR="00D1143C" w:rsidRPr="00851EC7" w:rsidRDefault="00D1143C" w:rsidP="00D1143C">
      <w:pPr>
        <w:pStyle w:val="Heading2"/>
      </w:pPr>
      <w:r w:rsidRPr="00851EC7">
        <w:t xml:space="preserve">Introduction </w:t>
      </w:r>
    </w:p>
    <w:p w:rsidR="00D1143C" w:rsidRDefault="00D1143C" w:rsidP="00D1143C">
      <w:pPr>
        <w:pStyle w:val="Heading3"/>
      </w:pPr>
      <w:r w:rsidRPr="00851EC7">
        <w:t xml:space="preserve">The EP investment </w:t>
      </w:r>
    </w:p>
    <w:p w:rsidR="00181F57" w:rsidRDefault="00181F57" w:rsidP="00181F57">
      <w:r>
        <w:t xml:space="preserve">Component 4 of the EP seeks to </w:t>
      </w:r>
      <w:r>
        <w:rPr>
          <w:bCs/>
          <w:iCs/>
        </w:rPr>
        <w:t xml:space="preserve">promote the use of evidence in </w:t>
      </w:r>
      <w:r>
        <w:t>the development and implementation of education sector policies, plans and budgets</w:t>
      </w:r>
      <w:r>
        <w:rPr>
          <w:bCs/>
          <w:iCs/>
        </w:rPr>
        <w:t>.</w:t>
      </w:r>
      <w:r>
        <w:t xml:space="preserve"> It does so through the activities of the Analytical and Capacity Development Partnership (ACDP): a facility that seeks to “promote education sector-wide policy research and dialogue”</w:t>
      </w:r>
      <w:r>
        <w:rPr>
          <w:vertAlign w:val="superscript"/>
        </w:rPr>
        <w:endnoteReference w:id="60"/>
      </w:r>
      <w:r>
        <w:t xml:space="preserve">. </w:t>
      </w:r>
      <w:r>
        <w:rPr>
          <w:bCs/>
          <w:iCs/>
        </w:rPr>
        <w:t xml:space="preserve">The ACDP responds to requests made by relevant GoI ministries, most notably Bappenas, MoEC and MoRA. It does so </w:t>
      </w:r>
      <w:r w:rsidR="006C2110">
        <w:rPr>
          <w:bCs/>
          <w:iCs/>
        </w:rPr>
        <w:t>through</w:t>
      </w:r>
      <w:r>
        <w:t xml:space="preserve"> two types of activities</w:t>
      </w:r>
      <w:r>
        <w:rPr>
          <w:vertAlign w:val="superscript"/>
        </w:rPr>
        <w:endnoteReference w:id="61"/>
      </w:r>
      <w:r>
        <w:t>:</w:t>
      </w:r>
    </w:p>
    <w:p w:rsidR="00181F57" w:rsidRPr="006D3CFD" w:rsidRDefault="00181F57" w:rsidP="00181F57">
      <w:pPr>
        <w:pStyle w:val="ListParagraph"/>
        <w:numPr>
          <w:ilvl w:val="0"/>
          <w:numId w:val="40"/>
        </w:numPr>
      </w:pPr>
      <w:r w:rsidRPr="006D3CFD">
        <w:t>The delivery of demand-driven research and technical support, e.g. technical studies, reviews and assessments</w:t>
      </w:r>
      <w:r>
        <w:rPr>
          <w:rFonts w:ascii="Times New Roman" w:hAnsi="Times New Roman"/>
          <w:vertAlign w:val="superscript"/>
        </w:rPr>
        <w:footnoteReference w:id="104"/>
      </w:r>
      <w:r w:rsidRPr="006D3CFD">
        <w:t>; technical papers</w:t>
      </w:r>
      <w:r w:rsidR="00EC4A53">
        <w:t xml:space="preserve"> and briefs</w:t>
      </w:r>
      <w:r>
        <w:rPr>
          <w:rFonts w:ascii="Times New Roman" w:hAnsi="Times New Roman"/>
          <w:vertAlign w:val="superscript"/>
        </w:rPr>
        <w:footnoteReference w:id="105"/>
      </w:r>
      <w:r w:rsidRPr="006D3CFD">
        <w:t>; and, training</w:t>
      </w:r>
      <w:r>
        <w:rPr>
          <w:rFonts w:ascii="Times New Roman" w:hAnsi="Times New Roman"/>
          <w:vertAlign w:val="superscript"/>
        </w:rPr>
        <w:footnoteReference w:id="106"/>
      </w:r>
      <w:r w:rsidRPr="006D3CFD">
        <w:t>.</w:t>
      </w:r>
    </w:p>
    <w:p w:rsidR="00181F57" w:rsidRPr="006D3CFD" w:rsidRDefault="00181F57" w:rsidP="00181F57">
      <w:pPr>
        <w:pStyle w:val="ListParagraph"/>
        <w:numPr>
          <w:ilvl w:val="0"/>
          <w:numId w:val="40"/>
        </w:numPr>
      </w:pPr>
      <w:r w:rsidRPr="006D3CFD">
        <w:t>The organisation of technical meetings, focus group discussions and workshops at the request of GoI stakeholders</w:t>
      </w:r>
      <w:r>
        <w:rPr>
          <w:rFonts w:ascii="Times New Roman" w:hAnsi="Times New Roman"/>
          <w:vertAlign w:val="superscript"/>
        </w:rPr>
        <w:footnoteReference w:id="107"/>
      </w:r>
      <w:r w:rsidRPr="006D3CFD">
        <w:t>.</w:t>
      </w:r>
    </w:p>
    <w:p w:rsidR="00181F57" w:rsidRDefault="00181F57" w:rsidP="00181F57">
      <w:r>
        <w:t>These are delivered within three output areas, namely:</w:t>
      </w:r>
    </w:p>
    <w:p w:rsidR="00181F57" w:rsidRPr="006D3CFD" w:rsidRDefault="00181F57" w:rsidP="00181F57">
      <w:pPr>
        <w:pStyle w:val="ListParagraph"/>
        <w:numPr>
          <w:ilvl w:val="0"/>
          <w:numId w:val="41"/>
        </w:numPr>
      </w:pPr>
      <w:r w:rsidRPr="006D3CFD">
        <w:t>Legislative and regulatory reforms.</w:t>
      </w:r>
    </w:p>
    <w:p w:rsidR="00181F57" w:rsidRPr="006D3CFD" w:rsidRDefault="00181F57" w:rsidP="00181F57">
      <w:pPr>
        <w:pStyle w:val="ListParagraph"/>
        <w:numPr>
          <w:ilvl w:val="0"/>
          <w:numId w:val="41"/>
        </w:numPr>
      </w:pPr>
      <w:r w:rsidRPr="006D3CFD">
        <w:t>Capacity development and organisational change.</w:t>
      </w:r>
    </w:p>
    <w:p w:rsidR="00181F57" w:rsidRPr="006D3CFD" w:rsidRDefault="00181F57" w:rsidP="00181F57">
      <w:pPr>
        <w:pStyle w:val="ListParagraph"/>
        <w:numPr>
          <w:ilvl w:val="0"/>
          <w:numId w:val="41"/>
        </w:numPr>
      </w:pPr>
      <w:r w:rsidRPr="006D3CFD">
        <w:t>Information and communication systems.</w:t>
      </w:r>
    </w:p>
    <w:p w:rsidR="00181F57" w:rsidRDefault="00181F57" w:rsidP="00181F57">
      <w:pPr>
        <w:rPr>
          <w:rFonts w:asciiTheme="minorHAnsi" w:hAnsiTheme="minorHAnsi" w:cstheme="minorHAnsi"/>
        </w:rPr>
      </w:pPr>
      <w:r>
        <w:rPr>
          <w:rFonts w:asciiTheme="minorHAnsi" w:hAnsiTheme="minorHAnsi" w:cstheme="minorHAnsi"/>
        </w:rPr>
        <w:t xml:space="preserve">Participating decision-makers are expected to utilise ACDP analytical work in relevant policy, planning and budgeting processes (the End of Component Outcome) and then incorporate ACDP evidence in relevant education sector policies, regulation, plans and budgets (the End of Partnership Outcome 4). This, in turn, is expected to make a contribution to the three goals of the EP, most notably </w:t>
      </w:r>
      <w:r>
        <w:rPr>
          <w:rFonts w:asciiTheme="minorHAnsi" w:hAnsiTheme="minorHAnsi" w:cstheme="minorHAnsi"/>
          <w:i/>
        </w:rPr>
        <w:t>Goal 3: Education sector governance improves</w:t>
      </w:r>
      <w:r>
        <w:rPr>
          <w:rFonts w:asciiTheme="minorHAnsi" w:hAnsiTheme="minorHAnsi" w:cstheme="minorHAnsi"/>
        </w:rPr>
        <w:t>.</w:t>
      </w:r>
    </w:p>
    <w:p w:rsidR="00D1143C" w:rsidRDefault="00D1143C" w:rsidP="00D1143C">
      <w:pPr>
        <w:pStyle w:val="Heading3"/>
      </w:pPr>
      <w:r w:rsidRPr="00851EC7">
        <w:t>The delivery mechanisms and support provided by the EP</w:t>
      </w:r>
    </w:p>
    <w:p w:rsidR="00181F57" w:rsidRPr="00600654" w:rsidRDefault="00181F57" w:rsidP="00181F57">
      <w:pPr>
        <w:rPr>
          <w:rFonts w:asciiTheme="minorHAnsi" w:hAnsiTheme="minorHAnsi" w:cstheme="minorHAnsi"/>
        </w:rPr>
      </w:pPr>
      <w:r w:rsidRPr="00600654">
        <w:rPr>
          <w:rFonts w:asciiTheme="minorHAnsi" w:hAnsiTheme="minorHAnsi" w:cstheme="minorHAnsi"/>
        </w:rPr>
        <w:t>The Government of Australia and the European Union (EU) provide a total of</w:t>
      </w:r>
      <w:r>
        <w:rPr>
          <w:rFonts w:asciiTheme="minorHAnsi" w:hAnsiTheme="minorHAnsi" w:cstheme="minorHAnsi"/>
        </w:rPr>
        <w:t xml:space="preserve"> €34.6 million</w:t>
      </w:r>
      <w:r w:rsidRPr="001541EE">
        <w:rPr>
          <w:rFonts w:ascii="Times New Roman" w:hAnsi="Times New Roman" w:cstheme="minorHAnsi"/>
          <w:color w:val="000000" w:themeColor="text1"/>
          <w:vertAlign w:val="superscript"/>
        </w:rPr>
        <w:footnoteReference w:id="108"/>
      </w:r>
      <w:r w:rsidRPr="001541EE">
        <w:rPr>
          <w:rFonts w:asciiTheme="minorHAnsi" w:hAnsiTheme="minorHAnsi" w:cstheme="minorHAnsi"/>
          <w:color w:val="000000" w:themeColor="text1"/>
        </w:rPr>
        <w:t xml:space="preserve"> to support implementation of the ACDP. The Government of Indonesia </w:t>
      </w:r>
      <w:r w:rsidRPr="00600654">
        <w:rPr>
          <w:rFonts w:asciiTheme="minorHAnsi" w:hAnsiTheme="minorHAnsi" w:cstheme="minorHAnsi"/>
        </w:rPr>
        <w:t>provides further contribution</w:t>
      </w:r>
      <w:r w:rsidR="006C2110">
        <w:rPr>
          <w:rFonts w:asciiTheme="minorHAnsi" w:hAnsiTheme="minorHAnsi" w:cstheme="minorHAnsi"/>
        </w:rPr>
        <w:t>s</w:t>
      </w:r>
      <w:r w:rsidRPr="00600654">
        <w:rPr>
          <w:rFonts w:asciiTheme="minorHAnsi" w:hAnsiTheme="minorHAnsi" w:cstheme="minorHAnsi"/>
        </w:rPr>
        <w:t xml:space="preserve"> to the value of USD 5m in the form of office accommodation, transport, and remuneration and </w:t>
      </w:r>
      <w:r w:rsidRPr="004B4C85">
        <w:rPr>
          <w:rFonts w:asciiTheme="minorHAnsi" w:hAnsiTheme="minorHAnsi" w:cstheme="minorHAnsi"/>
          <w:i/>
        </w:rPr>
        <w:t>per diems</w:t>
      </w:r>
      <w:r w:rsidRPr="00600654">
        <w:rPr>
          <w:rFonts w:asciiTheme="minorHAnsi" w:hAnsiTheme="minorHAnsi" w:cstheme="minorHAnsi"/>
        </w:rPr>
        <w:t xml:space="preserve"> for counterpart staff.</w:t>
      </w:r>
    </w:p>
    <w:p w:rsidR="00181F57" w:rsidRPr="00600654" w:rsidRDefault="00181F57" w:rsidP="00181F57">
      <w:r w:rsidRPr="00600654">
        <w:lastRenderedPageBreak/>
        <w:t xml:space="preserve">The ACDP </w:t>
      </w:r>
      <w:r w:rsidR="006C2110">
        <w:t>T</w:t>
      </w:r>
      <w:r w:rsidRPr="00600654">
        <w:t xml:space="preserve">echnical </w:t>
      </w:r>
      <w:r w:rsidR="006C2110">
        <w:t>O</w:t>
      </w:r>
      <w:r w:rsidRPr="00600654">
        <w:t xml:space="preserve">versight </w:t>
      </w:r>
      <w:r w:rsidR="006C2110">
        <w:t>G</w:t>
      </w:r>
      <w:r w:rsidRPr="00600654">
        <w:t xml:space="preserve">roup (ATOG) is co-chaired by the Deputy Minister of Human Resources and Culture in Bappenas, the Head of Balitbang (MoEC), and the Director General of Islamic Education (MoRA). The ATOG is scheduled to meet quarterly and is responsible for, </w:t>
      </w:r>
      <w:r w:rsidRPr="00600654">
        <w:rPr>
          <w:i/>
        </w:rPr>
        <w:t>inter alia</w:t>
      </w:r>
      <w:r w:rsidRPr="00600654">
        <w:t>, reviewing and approving ACDP’s annual work plan, approving reports, and organizing technical dialogue between GoI, DFAT and the EU. ATOG membership includes senior officials from MoEC, MoRA, Bappenas, MoF, MoHA, DFAT and the EU.</w:t>
      </w:r>
    </w:p>
    <w:p w:rsidR="00181F57" w:rsidRPr="00600654" w:rsidRDefault="00181F57" w:rsidP="00181F57">
      <w:r w:rsidRPr="00600654">
        <w:t xml:space="preserve">ACDP’s executing agency is MoEC’s National Office for Research and Development (Balitbang), with its Head acting as Director of the ACDP. The ACDP Program Manager, who is the Head of the Centre for Research and Policy </w:t>
      </w:r>
      <w:r>
        <w:t>(</w:t>
      </w:r>
      <w:r w:rsidRPr="004B4C85">
        <w:rPr>
          <w:i/>
        </w:rPr>
        <w:t>Pusli</w:t>
      </w:r>
      <w:r w:rsidR="006C2110">
        <w:rPr>
          <w:i/>
        </w:rPr>
        <w:t>t</w:t>
      </w:r>
      <w:r w:rsidRPr="004B4C85">
        <w:rPr>
          <w:i/>
        </w:rPr>
        <w:t>jak</w:t>
      </w:r>
      <w:r>
        <w:rPr>
          <w:i/>
        </w:rPr>
        <w:t>)</w:t>
      </w:r>
      <w:r w:rsidRPr="00B34657">
        <w:t xml:space="preserve"> </w:t>
      </w:r>
      <w:r w:rsidRPr="00600654">
        <w:t xml:space="preserve">at the </w:t>
      </w:r>
      <w:r w:rsidRPr="004B4C85">
        <w:rPr>
          <w:i/>
        </w:rPr>
        <w:t>Balitbang</w:t>
      </w:r>
      <w:r w:rsidRPr="00600654">
        <w:t>, is responsible for day-t</w:t>
      </w:r>
      <w:r>
        <w:t>o-day management of the program. T</w:t>
      </w:r>
      <w:r w:rsidRPr="00600654">
        <w:t xml:space="preserve">his includes preparing the annual work plans and budgets and coordinating dissemination and publication of ACDP reports. </w:t>
      </w:r>
    </w:p>
    <w:p w:rsidR="00181F57" w:rsidRDefault="00181F57" w:rsidP="00181F57">
      <w:r w:rsidRPr="00600654">
        <w:t xml:space="preserve">The Asian Development Bank (ADB) is responsible for managing and administering the ACDP on behalf of </w:t>
      </w:r>
      <w:r w:rsidRPr="001541EE">
        <w:t xml:space="preserve">the </w:t>
      </w:r>
      <w:r w:rsidRPr="0079566A">
        <w:rPr>
          <w:i/>
        </w:rPr>
        <w:t>Balitbang</w:t>
      </w:r>
      <w:r w:rsidRPr="001541EE">
        <w:t>. From 2011 to 2014</w:t>
      </w:r>
      <w:r w:rsidR="006C2110">
        <w:t>,</w:t>
      </w:r>
      <w:r w:rsidRPr="001541EE">
        <w:t xml:space="preserve"> the </w:t>
      </w:r>
      <w:r w:rsidR="00E748FF">
        <w:t xml:space="preserve">ACDP </w:t>
      </w:r>
      <w:r w:rsidRPr="001541EE">
        <w:t xml:space="preserve">Secretariat was comprised of an Operational Management Team (OMT) and a Core Advisory Team (CAT). The OMT provided administrative and management support services such that the agreed activities and outputs </w:t>
      </w:r>
      <w:r>
        <w:t>could be</w:t>
      </w:r>
      <w:r w:rsidRPr="001541EE">
        <w:t xml:space="preserve"> delivered in a timely and professional manner, while the CAT supported the ACDP Program Director and Program Manager with the preparation and implementation of ACDP activities. </w:t>
      </w:r>
    </w:p>
    <w:p w:rsidR="00181F57" w:rsidRPr="00181F57" w:rsidRDefault="00181F57" w:rsidP="00181F57">
      <w:r w:rsidRPr="00181F57">
        <w:t>Following the Mid-Term Review of October 2014 the ADB restructured the ACDP Secretariat in early 2015 with the aim of improving its efficiency and effectiveness. While the new structure retains the operational and technical streams, the technical function now comprises two teams: a core advisory team and a knowledge management team</w:t>
      </w:r>
      <w:r w:rsidRPr="00181F57">
        <w:rPr>
          <w:rStyle w:val="EndnoteReference"/>
        </w:rPr>
        <w:endnoteReference w:id="62"/>
      </w:r>
      <w:r w:rsidRPr="00181F57">
        <w:t>. Until the end of 2015 the Secretariat maintained its earlier leadership structure, i.e. a Team Leader for the technical team and a further Team Leader for its operational team</w:t>
      </w:r>
      <w:r w:rsidRPr="00181F57">
        <w:rPr>
          <w:rStyle w:val="FootnoteReference"/>
          <w:rFonts w:cstheme="minorHAnsi"/>
        </w:rPr>
        <w:footnoteReference w:id="109"/>
      </w:r>
      <w:r w:rsidRPr="00181F57">
        <w:t>.</w:t>
      </w:r>
    </w:p>
    <w:p w:rsidR="00181F57" w:rsidRPr="00181F57" w:rsidRDefault="00181F57" w:rsidP="00181F57">
      <w:r w:rsidRPr="00181F57">
        <w:t>All contract activities are procured through a competitive bidding process either among prequalified Indefinite Delivery Contracts (IDC) consortia or individually recruited consultants.</w:t>
      </w:r>
    </w:p>
    <w:p w:rsidR="00D1143C" w:rsidRDefault="00D1143C" w:rsidP="00D1143C">
      <w:pPr>
        <w:pStyle w:val="Heading2"/>
      </w:pPr>
      <w:bookmarkStart w:id="78" w:name="_Ref448145433"/>
      <w:r w:rsidRPr="00851EC7">
        <w:t>Context</w:t>
      </w:r>
      <w:bookmarkEnd w:id="78"/>
    </w:p>
    <w:p w:rsidR="00181F57" w:rsidRDefault="00181F57" w:rsidP="00181F57">
      <w:pPr>
        <w:rPr>
          <w:rFonts w:eastAsia="Calibri"/>
          <w:color w:val="000000" w:themeColor="text1"/>
        </w:rPr>
      </w:pPr>
      <w:r w:rsidRPr="00F724CB">
        <w:rPr>
          <w:rFonts w:eastAsia="Calibri"/>
          <w:color w:val="000000" w:themeColor="text1"/>
        </w:rPr>
        <w:t>The ACDP started in January 2011 and</w:t>
      </w:r>
      <w:r>
        <w:rPr>
          <w:rFonts w:eastAsia="Calibri"/>
          <w:color w:val="000000" w:themeColor="text1"/>
        </w:rPr>
        <w:t xml:space="preserve"> </w:t>
      </w:r>
      <w:r w:rsidRPr="00F724CB">
        <w:rPr>
          <w:rFonts w:eastAsia="Calibri"/>
          <w:color w:val="000000" w:themeColor="text1"/>
        </w:rPr>
        <w:t>was scheduled to end on 31 December 2015. The Government</w:t>
      </w:r>
      <w:r>
        <w:rPr>
          <w:rFonts w:eastAsia="Calibri"/>
          <w:color w:val="000000" w:themeColor="text1"/>
        </w:rPr>
        <w:t xml:space="preserve"> of Indonesia</w:t>
      </w:r>
      <w:r w:rsidRPr="00F724CB">
        <w:rPr>
          <w:rFonts w:eastAsia="Calibri"/>
          <w:color w:val="000000" w:themeColor="text1"/>
        </w:rPr>
        <w:t xml:space="preserve"> requested an extension of ACDP at the A</w:t>
      </w:r>
      <w:r>
        <w:rPr>
          <w:rFonts w:eastAsia="Calibri"/>
          <w:color w:val="000000" w:themeColor="text1"/>
        </w:rPr>
        <w:t xml:space="preserve">TOG meeting held in July 2014. This was </w:t>
      </w:r>
      <w:r w:rsidRPr="00F724CB">
        <w:rPr>
          <w:rFonts w:eastAsia="Calibri"/>
          <w:color w:val="000000" w:themeColor="text1"/>
        </w:rPr>
        <w:t xml:space="preserve">followed up with a formal written request to DFAT and </w:t>
      </w:r>
      <w:r>
        <w:rPr>
          <w:rFonts w:eastAsia="Calibri"/>
          <w:color w:val="000000" w:themeColor="text1"/>
        </w:rPr>
        <w:t xml:space="preserve">the </w:t>
      </w:r>
      <w:r w:rsidRPr="00F724CB">
        <w:rPr>
          <w:rFonts w:eastAsia="Calibri"/>
          <w:color w:val="000000" w:themeColor="text1"/>
        </w:rPr>
        <w:t>EU in December 2014. At the ATOG in December</w:t>
      </w:r>
      <w:r>
        <w:rPr>
          <w:rFonts w:eastAsia="Calibri"/>
          <w:color w:val="000000" w:themeColor="text1"/>
        </w:rPr>
        <w:t xml:space="preserve"> 2014</w:t>
      </w:r>
      <w:r w:rsidR="006C2110">
        <w:rPr>
          <w:rFonts w:eastAsia="Calibri"/>
          <w:color w:val="000000" w:themeColor="text1"/>
        </w:rPr>
        <w:t>,</w:t>
      </w:r>
      <w:r w:rsidRPr="00F724CB">
        <w:rPr>
          <w:rFonts w:eastAsia="Calibri"/>
          <w:color w:val="000000" w:themeColor="text1"/>
        </w:rPr>
        <w:t xml:space="preserve"> the EU and DFAT confirmed their </w:t>
      </w:r>
      <w:r>
        <w:rPr>
          <w:rFonts w:eastAsia="Calibri"/>
          <w:color w:val="000000" w:themeColor="text1"/>
        </w:rPr>
        <w:t>‘</w:t>
      </w:r>
      <w:r w:rsidRPr="00F724CB">
        <w:rPr>
          <w:rFonts w:eastAsia="Calibri"/>
          <w:color w:val="000000" w:themeColor="text1"/>
        </w:rPr>
        <w:t>in-principle support</w:t>
      </w:r>
      <w:r>
        <w:rPr>
          <w:rFonts w:eastAsia="Calibri"/>
          <w:color w:val="000000" w:themeColor="text1"/>
        </w:rPr>
        <w:t>’</w:t>
      </w:r>
      <w:r w:rsidRPr="00F724CB">
        <w:rPr>
          <w:rFonts w:eastAsia="Calibri"/>
          <w:color w:val="000000" w:themeColor="text1"/>
        </w:rPr>
        <w:t xml:space="preserve"> for a no-cost extension</w:t>
      </w:r>
      <w:r w:rsidRPr="002510D1">
        <w:rPr>
          <w:rStyle w:val="EndnoteReference"/>
          <w:rFonts w:eastAsia="Calibri"/>
        </w:rPr>
        <w:endnoteReference w:id="63"/>
      </w:r>
      <w:r w:rsidRPr="00F724CB">
        <w:rPr>
          <w:rFonts w:eastAsia="Calibri"/>
          <w:color w:val="000000" w:themeColor="text1"/>
        </w:rPr>
        <w:t xml:space="preserve">. </w:t>
      </w:r>
      <w:r>
        <w:rPr>
          <w:rFonts w:eastAsia="Calibri"/>
          <w:color w:val="000000" w:themeColor="text1"/>
        </w:rPr>
        <w:t>However</w:t>
      </w:r>
      <w:r w:rsidRPr="00F724CB">
        <w:rPr>
          <w:rFonts w:eastAsia="Calibri"/>
          <w:color w:val="000000" w:themeColor="text1"/>
        </w:rPr>
        <w:t>, at the ATOG meeting held on 18 March 2015</w:t>
      </w:r>
      <w:r w:rsidR="006C2110">
        <w:rPr>
          <w:rFonts w:eastAsia="Calibri"/>
          <w:color w:val="000000" w:themeColor="text1"/>
        </w:rPr>
        <w:t>,</w:t>
      </w:r>
      <w:r w:rsidRPr="00F724CB">
        <w:rPr>
          <w:rFonts w:eastAsia="Calibri"/>
          <w:color w:val="000000" w:themeColor="text1"/>
        </w:rPr>
        <w:t xml:space="preserve"> DFAT stated that it would not </w:t>
      </w:r>
      <w:r w:rsidR="006C2110">
        <w:rPr>
          <w:rFonts w:eastAsia="Calibri"/>
          <w:color w:val="000000" w:themeColor="text1"/>
        </w:rPr>
        <w:t xml:space="preserve">be </w:t>
      </w:r>
      <w:r w:rsidRPr="00F724CB">
        <w:rPr>
          <w:rFonts w:eastAsia="Calibri"/>
          <w:color w:val="000000" w:themeColor="text1"/>
        </w:rPr>
        <w:t>extend</w:t>
      </w:r>
      <w:r w:rsidR="006C2110">
        <w:rPr>
          <w:rFonts w:eastAsia="Calibri"/>
          <w:color w:val="000000" w:themeColor="text1"/>
        </w:rPr>
        <w:t>ing</w:t>
      </w:r>
      <w:r w:rsidRPr="00F724CB">
        <w:rPr>
          <w:rFonts w:eastAsia="Calibri"/>
          <w:color w:val="000000" w:themeColor="text1"/>
        </w:rPr>
        <w:t xml:space="preserve"> its support beyond December 2015</w:t>
      </w:r>
      <w:r>
        <w:rPr>
          <w:rFonts w:eastAsia="Calibri"/>
          <w:color w:val="000000" w:themeColor="text1"/>
        </w:rPr>
        <w:t xml:space="preserve"> because “the</w:t>
      </w:r>
      <w:r w:rsidRPr="00F724CB">
        <w:rPr>
          <w:rFonts w:eastAsia="Calibri"/>
          <w:color w:val="000000" w:themeColor="text1"/>
        </w:rPr>
        <w:t xml:space="preserve"> foreign minister </w:t>
      </w:r>
      <w:r>
        <w:rPr>
          <w:rFonts w:eastAsia="Calibri"/>
          <w:color w:val="000000" w:themeColor="text1"/>
        </w:rPr>
        <w:t>[had]</w:t>
      </w:r>
      <w:r w:rsidRPr="00F724CB">
        <w:rPr>
          <w:rFonts w:eastAsia="Calibri"/>
          <w:color w:val="000000" w:themeColor="text1"/>
        </w:rPr>
        <w:t xml:space="preserve"> not decided on the forward budget</w:t>
      </w:r>
      <w:r>
        <w:rPr>
          <w:rFonts w:eastAsia="Calibri"/>
          <w:color w:val="000000" w:themeColor="text1"/>
        </w:rPr>
        <w:t xml:space="preserve"> or ways of supporting Indonesia”</w:t>
      </w:r>
      <w:r w:rsidRPr="002510D1">
        <w:rPr>
          <w:rStyle w:val="EndnoteReference"/>
          <w:rFonts w:eastAsia="Calibri"/>
        </w:rPr>
        <w:endnoteReference w:id="64"/>
      </w:r>
      <w:r w:rsidRPr="00F724CB">
        <w:rPr>
          <w:rFonts w:eastAsia="Calibri"/>
          <w:color w:val="000000" w:themeColor="text1"/>
        </w:rPr>
        <w:t xml:space="preserve">. The EU </w:t>
      </w:r>
      <w:r>
        <w:rPr>
          <w:rFonts w:eastAsia="Calibri"/>
          <w:color w:val="000000" w:themeColor="text1"/>
        </w:rPr>
        <w:t>conveyed its continued</w:t>
      </w:r>
      <w:r w:rsidRPr="00F724CB">
        <w:rPr>
          <w:rFonts w:eastAsia="Calibri"/>
          <w:color w:val="000000" w:themeColor="text1"/>
        </w:rPr>
        <w:t xml:space="preserve"> commitment to a no-cost extension </w:t>
      </w:r>
      <w:r>
        <w:rPr>
          <w:rFonts w:eastAsia="Calibri"/>
          <w:color w:val="000000" w:themeColor="text1"/>
        </w:rPr>
        <w:t xml:space="preserve">and until such a point that the funds would be </w:t>
      </w:r>
      <w:r w:rsidRPr="00F724CB">
        <w:rPr>
          <w:rFonts w:eastAsia="Calibri"/>
          <w:color w:val="000000" w:themeColor="text1"/>
        </w:rPr>
        <w:t>exhausted</w:t>
      </w:r>
      <w:r>
        <w:rPr>
          <w:rFonts w:eastAsia="Calibri"/>
          <w:color w:val="000000" w:themeColor="text1"/>
        </w:rPr>
        <w:t xml:space="preserve"> (assumed to be by the </w:t>
      </w:r>
      <w:r w:rsidRPr="00F724CB">
        <w:rPr>
          <w:rFonts w:eastAsia="Calibri"/>
          <w:color w:val="000000" w:themeColor="text1"/>
        </w:rPr>
        <w:t xml:space="preserve">end of 2016 or </w:t>
      </w:r>
      <w:r>
        <w:rPr>
          <w:rFonts w:eastAsia="Calibri"/>
          <w:color w:val="000000" w:themeColor="text1"/>
        </w:rPr>
        <w:t>June 2</w:t>
      </w:r>
      <w:r w:rsidRPr="00F724CB">
        <w:rPr>
          <w:rFonts w:eastAsia="Calibri"/>
          <w:color w:val="000000" w:themeColor="text1"/>
        </w:rPr>
        <w:t>017</w:t>
      </w:r>
      <w:r>
        <w:rPr>
          <w:rFonts w:eastAsia="Calibri"/>
          <w:color w:val="000000" w:themeColor="text1"/>
        </w:rPr>
        <w:t>)</w:t>
      </w:r>
      <w:r w:rsidRPr="002510D1">
        <w:rPr>
          <w:rStyle w:val="EndnoteReference"/>
          <w:rFonts w:eastAsia="Calibri"/>
        </w:rPr>
        <w:endnoteReference w:id="65"/>
      </w:r>
      <w:r w:rsidRPr="00F724CB">
        <w:rPr>
          <w:rFonts w:eastAsia="Calibri"/>
          <w:color w:val="000000" w:themeColor="text1"/>
        </w:rPr>
        <w:t>.</w:t>
      </w:r>
      <w:r>
        <w:rPr>
          <w:rFonts w:eastAsia="Calibri"/>
          <w:color w:val="000000" w:themeColor="text1"/>
        </w:rPr>
        <w:t xml:space="preserve"> </w:t>
      </w:r>
      <w:r w:rsidRPr="00F724CB">
        <w:rPr>
          <w:rFonts w:eastAsia="Calibri"/>
          <w:color w:val="000000" w:themeColor="text1"/>
        </w:rPr>
        <w:t>The no-cost extension of EU support to ACDP required an amendment to the GoI-EU Financing Agreement followed by an amendment to the EU-ADB Contribution Agreement</w:t>
      </w:r>
      <w:r w:rsidRPr="002510D1">
        <w:rPr>
          <w:rStyle w:val="EndnoteReference"/>
          <w:rFonts w:eastAsia="Calibri"/>
        </w:rPr>
        <w:endnoteReference w:id="66"/>
      </w:r>
      <w:r w:rsidRPr="00F724CB">
        <w:rPr>
          <w:rFonts w:eastAsia="Calibri"/>
          <w:color w:val="000000" w:themeColor="text1"/>
        </w:rPr>
        <w:t xml:space="preserve">. A formal request was made by the Ministry of Finance to the EU in September 2015. </w:t>
      </w:r>
    </w:p>
    <w:p w:rsidR="00181F57" w:rsidRDefault="00181F57" w:rsidP="00181F57">
      <w:pPr>
        <w:rPr>
          <w:rFonts w:eastAsia="Calibri"/>
          <w:color w:val="000000" w:themeColor="text1"/>
        </w:rPr>
      </w:pPr>
      <w:r>
        <w:rPr>
          <w:rFonts w:eastAsia="Calibri"/>
          <w:color w:val="000000" w:themeColor="text1"/>
        </w:rPr>
        <w:lastRenderedPageBreak/>
        <w:t>In November 2015 DFAT opted to support the extension in 2016-17, specifically by not recouping unspent or uncommitted money from its earlier AUD 20m disbursement to the ADB</w:t>
      </w:r>
      <w:r w:rsidRPr="002510D1">
        <w:rPr>
          <w:rStyle w:val="EndnoteReference"/>
          <w:rFonts w:eastAsia="Calibri"/>
        </w:rPr>
        <w:endnoteReference w:id="67"/>
      </w:r>
      <w:r>
        <w:rPr>
          <w:rFonts w:eastAsia="Calibri"/>
          <w:color w:val="000000" w:themeColor="text1"/>
        </w:rPr>
        <w:t>. However, it opted not to release its final tranche of AUD 5m, thereby reducing its overall commitment from AUD 25m to AUD 20m. DFAT opted to remain committed to ACDP on the basis that it felt that the performance of both the ADB and the Secretariat had improved during the course of 2015, that the ADB had increased its managerial oversight of the ACDP, that actual and potential results were showing greater promise, and in light of the ‘political upside’ offered by continued involvement</w:t>
      </w:r>
      <w:r w:rsidRPr="002510D1">
        <w:rPr>
          <w:rStyle w:val="EndnoteReference"/>
          <w:rFonts w:eastAsia="Calibri"/>
        </w:rPr>
        <w:endnoteReference w:id="68"/>
      </w:r>
      <w:r>
        <w:rPr>
          <w:rFonts w:eastAsia="Calibri"/>
          <w:color w:val="000000" w:themeColor="text1"/>
        </w:rPr>
        <w:t xml:space="preserve">. There is also a suggestion that in </w:t>
      </w:r>
      <w:r w:rsidR="003549F8">
        <w:rPr>
          <w:rFonts w:eastAsia="Calibri"/>
          <w:color w:val="000000" w:themeColor="text1"/>
        </w:rPr>
        <w:t xml:space="preserve">mid-November </w:t>
      </w:r>
      <w:r>
        <w:rPr>
          <w:rFonts w:eastAsia="Calibri"/>
          <w:color w:val="000000" w:themeColor="text1"/>
        </w:rPr>
        <w:t xml:space="preserve">2015 the Indonesian Minister of Education and Culture requested </w:t>
      </w:r>
      <w:r w:rsidR="0092059B">
        <w:rPr>
          <w:rFonts w:eastAsia="Calibri"/>
          <w:color w:val="000000" w:themeColor="text1"/>
        </w:rPr>
        <w:t>a continuation of</w:t>
      </w:r>
      <w:r>
        <w:rPr>
          <w:rFonts w:eastAsia="Calibri"/>
          <w:color w:val="000000" w:themeColor="text1"/>
        </w:rPr>
        <w:t xml:space="preserve"> Australian support to the ACDP</w:t>
      </w:r>
      <w:r w:rsidRPr="002510D1">
        <w:rPr>
          <w:rStyle w:val="EndnoteReference"/>
          <w:rFonts w:eastAsia="Calibri"/>
        </w:rPr>
        <w:endnoteReference w:id="69"/>
      </w:r>
      <w:r>
        <w:rPr>
          <w:rFonts w:eastAsia="Calibri"/>
          <w:color w:val="000000" w:themeColor="text1"/>
        </w:rPr>
        <w:t xml:space="preserve">. </w:t>
      </w:r>
    </w:p>
    <w:p w:rsidR="00181F57" w:rsidRPr="00F724CB" w:rsidRDefault="00181F57" w:rsidP="00181F57">
      <w:pPr>
        <w:rPr>
          <w:rFonts w:eastAsia="Calibri"/>
          <w:color w:val="000000" w:themeColor="text1"/>
        </w:rPr>
      </w:pPr>
      <w:r>
        <w:rPr>
          <w:rFonts w:eastAsia="Calibri"/>
          <w:color w:val="000000" w:themeColor="text1"/>
        </w:rPr>
        <w:t>The EU-ADB Contribution Agreement was revised in December 2015, formally signalling the extension to ACDP. DFAT’s support to the 18-month extension was formalised in February 2016</w:t>
      </w:r>
      <w:r>
        <w:rPr>
          <w:rStyle w:val="FootnoteReference"/>
          <w:rFonts w:eastAsia="Calibri"/>
          <w:color w:val="000000" w:themeColor="text1"/>
        </w:rPr>
        <w:footnoteReference w:id="110"/>
      </w:r>
      <w:r>
        <w:rPr>
          <w:rFonts w:eastAsia="Calibri"/>
          <w:color w:val="000000" w:themeColor="text1"/>
        </w:rPr>
        <w:t xml:space="preserve">. </w:t>
      </w:r>
    </w:p>
    <w:p w:rsidR="00D1143C" w:rsidRDefault="00D1143C" w:rsidP="00D1143C">
      <w:pPr>
        <w:pStyle w:val="Heading2"/>
      </w:pPr>
      <w:r w:rsidRPr="00851EC7">
        <w:t>Achievements</w:t>
      </w:r>
    </w:p>
    <w:p w:rsidR="00181F57" w:rsidRPr="001D2E80" w:rsidRDefault="00181F57" w:rsidP="00181F57">
      <w:pPr>
        <w:rPr>
          <w:rFonts w:asciiTheme="minorHAnsi" w:hAnsiTheme="minorHAnsi" w:cstheme="minorHAnsi"/>
          <w:color w:val="000000" w:themeColor="text1"/>
        </w:rPr>
      </w:pPr>
      <w:bookmarkStart w:id="79" w:name="_Ref447777138"/>
      <w:r w:rsidRPr="001D2E80">
        <w:rPr>
          <w:rFonts w:asciiTheme="minorHAnsi" w:hAnsiTheme="minorHAnsi" w:cstheme="minorHAnsi"/>
          <w:color w:val="000000" w:themeColor="text1"/>
        </w:rPr>
        <w:t xml:space="preserve">At the end of December 2015 </w:t>
      </w:r>
      <w:r>
        <w:rPr>
          <w:rFonts w:asciiTheme="minorHAnsi" w:hAnsiTheme="minorHAnsi" w:cstheme="minorHAnsi"/>
          <w:color w:val="000000" w:themeColor="text1"/>
        </w:rPr>
        <w:t>ACDP</w:t>
      </w:r>
      <w:r w:rsidRPr="001D2E80">
        <w:rPr>
          <w:rFonts w:asciiTheme="minorHAnsi" w:hAnsiTheme="minorHAnsi" w:cstheme="minorHAnsi"/>
          <w:color w:val="000000" w:themeColor="text1"/>
        </w:rPr>
        <w:t xml:space="preserve"> had completed </w:t>
      </w:r>
      <w:r>
        <w:rPr>
          <w:rFonts w:asciiTheme="minorHAnsi" w:hAnsiTheme="minorHAnsi" w:cstheme="minorHAnsi"/>
          <w:color w:val="000000" w:themeColor="text1"/>
        </w:rPr>
        <w:t>34</w:t>
      </w:r>
      <w:r w:rsidRPr="001D2E80">
        <w:rPr>
          <w:rFonts w:asciiTheme="minorHAnsi" w:hAnsiTheme="minorHAnsi" w:cstheme="minorHAnsi"/>
          <w:color w:val="000000" w:themeColor="text1"/>
        </w:rPr>
        <w:t xml:space="preserve"> studies. A further </w:t>
      </w:r>
      <w:r>
        <w:rPr>
          <w:rFonts w:asciiTheme="minorHAnsi" w:hAnsiTheme="minorHAnsi" w:cstheme="minorHAnsi"/>
          <w:color w:val="000000" w:themeColor="text1"/>
        </w:rPr>
        <w:t>six</w:t>
      </w:r>
      <w:r w:rsidRPr="001D2E80">
        <w:rPr>
          <w:rFonts w:asciiTheme="minorHAnsi" w:hAnsiTheme="minorHAnsi" w:cstheme="minorHAnsi"/>
          <w:color w:val="000000" w:themeColor="text1"/>
        </w:rPr>
        <w:t xml:space="preserve"> studies or activities of a similar nature were ongoing</w:t>
      </w:r>
      <w:r w:rsidRPr="001D2E80">
        <w:rPr>
          <w:rFonts w:asciiTheme="minorHAnsi" w:hAnsiTheme="minorHAnsi" w:cstheme="minorHAnsi"/>
          <w:color w:val="000000" w:themeColor="text1"/>
          <w:vertAlign w:val="superscript"/>
        </w:rPr>
        <w:endnoteReference w:id="70"/>
      </w:r>
      <w:r w:rsidRPr="001D2E80">
        <w:rPr>
          <w:rFonts w:asciiTheme="minorHAnsi" w:hAnsiTheme="minorHAnsi" w:cstheme="minorHAnsi"/>
          <w:color w:val="000000" w:themeColor="text1"/>
        </w:rPr>
        <w:t xml:space="preserve">. Together, these </w:t>
      </w:r>
      <w:r>
        <w:rPr>
          <w:rFonts w:asciiTheme="minorHAnsi" w:hAnsiTheme="minorHAnsi" w:cstheme="minorHAnsi"/>
          <w:color w:val="000000" w:themeColor="text1"/>
        </w:rPr>
        <w:t>40</w:t>
      </w:r>
      <w:r w:rsidRPr="001D2E80">
        <w:rPr>
          <w:rFonts w:asciiTheme="minorHAnsi" w:hAnsiTheme="minorHAnsi" w:cstheme="minorHAnsi"/>
          <w:color w:val="000000" w:themeColor="text1"/>
        </w:rPr>
        <w:t xml:space="preserve"> activities constitute about USD 30m of contracted commitments (</w:t>
      </w:r>
      <w:r>
        <w:rPr>
          <w:rFonts w:asciiTheme="minorHAnsi" w:hAnsiTheme="minorHAnsi" w:cstheme="minorHAnsi"/>
          <w:color w:val="000000" w:themeColor="text1"/>
        </w:rPr>
        <w:t xml:space="preserve">see </w:t>
      </w:r>
      <w:r w:rsidR="004128A2">
        <w:rPr>
          <w:rFonts w:asciiTheme="minorHAnsi" w:hAnsiTheme="minorHAnsi" w:cstheme="minorHAnsi"/>
          <w:color w:val="000000" w:themeColor="text1"/>
        </w:rPr>
        <w:fldChar w:fldCharType="begin"/>
      </w:r>
      <w:r w:rsidR="004128A2">
        <w:rPr>
          <w:rFonts w:asciiTheme="minorHAnsi" w:hAnsiTheme="minorHAnsi" w:cstheme="minorHAnsi"/>
          <w:color w:val="000000" w:themeColor="text1"/>
        </w:rPr>
        <w:instrText xml:space="preserve"> REF _Ref447917102 \h </w:instrText>
      </w:r>
      <w:r w:rsidR="004128A2">
        <w:rPr>
          <w:rFonts w:asciiTheme="minorHAnsi" w:hAnsiTheme="minorHAnsi" w:cstheme="minorHAnsi"/>
          <w:color w:val="000000" w:themeColor="text1"/>
        </w:rPr>
      </w:r>
      <w:r w:rsidR="004128A2">
        <w:rPr>
          <w:rFonts w:asciiTheme="minorHAnsi" w:hAnsiTheme="minorHAnsi" w:cstheme="minorHAnsi"/>
          <w:color w:val="000000" w:themeColor="text1"/>
        </w:rPr>
        <w:fldChar w:fldCharType="separate"/>
      </w:r>
      <w:r w:rsidR="00EC36D2" w:rsidRPr="00A13196">
        <w:t xml:space="preserve">Table </w:t>
      </w:r>
      <w:r w:rsidR="00EC36D2">
        <w:rPr>
          <w:noProof/>
        </w:rPr>
        <w:t>17</w:t>
      </w:r>
      <w:r w:rsidR="004128A2">
        <w:rPr>
          <w:rFonts w:asciiTheme="minorHAnsi" w:hAnsiTheme="minorHAnsi" w:cstheme="minorHAnsi"/>
          <w:color w:val="000000" w:themeColor="text1"/>
        </w:rPr>
        <w:fldChar w:fldCharType="end"/>
      </w:r>
      <w:r w:rsidRPr="001D2E80">
        <w:rPr>
          <w:rFonts w:asciiTheme="minorHAnsi" w:hAnsiTheme="minorHAnsi" w:cstheme="minorHAnsi"/>
          <w:color w:val="000000" w:themeColor="text1"/>
        </w:rPr>
        <w:t xml:space="preserve">). </w:t>
      </w:r>
    </w:p>
    <w:p w:rsidR="00D363F0" w:rsidRPr="00A13196" w:rsidRDefault="00D363F0" w:rsidP="00A13196">
      <w:pPr>
        <w:pStyle w:val="Caption-Table"/>
      </w:pPr>
      <w:bookmarkStart w:id="80" w:name="_Ref447917102"/>
      <w:bookmarkStart w:id="81" w:name="_Toc450131638"/>
      <w:r w:rsidRPr="00A13196">
        <w:t xml:space="preserve">Table </w:t>
      </w:r>
      <w:r w:rsidRPr="00A13196">
        <w:fldChar w:fldCharType="begin"/>
      </w:r>
      <w:r w:rsidRPr="00A13196">
        <w:instrText xml:space="preserve"> SEQ Table \* ARABIC </w:instrText>
      </w:r>
      <w:r w:rsidRPr="00A13196">
        <w:fldChar w:fldCharType="separate"/>
      </w:r>
      <w:r w:rsidR="00EC36D2">
        <w:rPr>
          <w:noProof/>
        </w:rPr>
        <w:t>17</w:t>
      </w:r>
      <w:r w:rsidRPr="00A13196">
        <w:fldChar w:fldCharType="end"/>
      </w:r>
      <w:bookmarkEnd w:id="79"/>
      <w:bookmarkEnd w:id="80"/>
      <w:r w:rsidRPr="00A13196">
        <w:t>: Status as of 31 December 2015</w:t>
      </w:r>
      <w:bookmarkEnd w:id="81"/>
    </w:p>
    <w:tbl>
      <w:tblPr>
        <w:tblStyle w:val="TableGrid20"/>
        <w:tblW w:w="5000" w:type="pct"/>
        <w:jc w:val="center"/>
        <w:tblLook w:val="04A0" w:firstRow="1" w:lastRow="0" w:firstColumn="1" w:lastColumn="0" w:noHBand="0" w:noVBand="1"/>
      </w:tblPr>
      <w:tblGrid>
        <w:gridCol w:w="2236"/>
        <w:gridCol w:w="2335"/>
        <w:gridCol w:w="2337"/>
        <w:gridCol w:w="2337"/>
      </w:tblGrid>
      <w:tr w:rsidR="00A13196" w:rsidTr="00A13196">
        <w:trPr>
          <w:trHeight w:val="846"/>
          <w:jc w:val="center"/>
        </w:trPr>
        <w:tc>
          <w:tcPr>
            <w:tcW w:w="1209"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A13196" w:rsidRDefault="00A13196" w:rsidP="00736CD3">
            <w:pPr>
              <w:spacing w:before="60" w:after="60"/>
              <w:jc w:val="center"/>
              <w:rPr>
                <w:rFonts w:asciiTheme="minorHAnsi" w:hAnsiTheme="minorHAnsi"/>
                <w:b/>
              </w:rPr>
            </w:pPr>
            <w:r>
              <w:rPr>
                <w:rFonts w:asciiTheme="minorHAnsi" w:hAnsiTheme="minorHAnsi"/>
                <w:b/>
              </w:rPr>
              <w:t>Theme</w:t>
            </w:r>
          </w:p>
        </w:tc>
        <w:tc>
          <w:tcPr>
            <w:tcW w:w="1263"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A13196" w:rsidRDefault="00A13196" w:rsidP="00736CD3">
            <w:pPr>
              <w:spacing w:before="60" w:after="60"/>
              <w:jc w:val="center"/>
              <w:rPr>
                <w:rFonts w:asciiTheme="minorHAnsi" w:hAnsiTheme="minorHAnsi"/>
                <w:b/>
              </w:rPr>
            </w:pPr>
            <w:r>
              <w:rPr>
                <w:rFonts w:asciiTheme="minorHAnsi" w:hAnsiTheme="minorHAnsi"/>
                <w:b/>
              </w:rPr>
              <w:t xml:space="preserve">Status </w:t>
            </w:r>
          </w:p>
          <w:p w:rsidR="00A13196" w:rsidRDefault="00A13196" w:rsidP="00736CD3">
            <w:pPr>
              <w:spacing w:before="60" w:after="60"/>
              <w:jc w:val="center"/>
              <w:rPr>
                <w:rFonts w:asciiTheme="minorHAnsi" w:hAnsiTheme="minorHAnsi"/>
                <w:b/>
              </w:rPr>
            </w:pPr>
            <w:r>
              <w:rPr>
                <w:rFonts w:asciiTheme="minorHAnsi" w:hAnsiTheme="minorHAnsi"/>
                <w:b/>
              </w:rPr>
              <w:t>End 2013</w:t>
            </w:r>
          </w:p>
        </w:tc>
        <w:tc>
          <w:tcPr>
            <w:tcW w:w="1264"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A13196" w:rsidRDefault="00A13196" w:rsidP="00736CD3">
            <w:pPr>
              <w:spacing w:before="60" w:after="60"/>
              <w:jc w:val="center"/>
              <w:rPr>
                <w:rFonts w:asciiTheme="minorHAnsi" w:hAnsiTheme="minorHAnsi"/>
                <w:b/>
              </w:rPr>
            </w:pPr>
            <w:r>
              <w:rPr>
                <w:rFonts w:asciiTheme="minorHAnsi" w:hAnsiTheme="minorHAnsi"/>
                <w:b/>
              </w:rPr>
              <w:t xml:space="preserve">Status </w:t>
            </w:r>
          </w:p>
          <w:p w:rsidR="00A13196" w:rsidRDefault="00A13196" w:rsidP="00736CD3">
            <w:pPr>
              <w:spacing w:before="60" w:after="60"/>
              <w:jc w:val="center"/>
              <w:rPr>
                <w:rFonts w:asciiTheme="minorHAnsi" w:hAnsiTheme="minorHAnsi"/>
                <w:b/>
              </w:rPr>
            </w:pPr>
            <w:r>
              <w:rPr>
                <w:rFonts w:asciiTheme="minorHAnsi" w:hAnsiTheme="minorHAnsi"/>
                <w:b/>
              </w:rPr>
              <w:t>End 2014</w:t>
            </w:r>
          </w:p>
        </w:tc>
        <w:tc>
          <w:tcPr>
            <w:tcW w:w="1264"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A13196" w:rsidRDefault="00A13196" w:rsidP="00736CD3">
            <w:pPr>
              <w:spacing w:before="60" w:after="60"/>
              <w:jc w:val="center"/>
              <w:rPr>
                <w:rFonts w:asciiTheme="minorHAnsi" w:hAnsiTheme="minorHAnsi"/>
                <w:b/>
              </w:rPr>
            </w:pPr>
            <w:r>
              <w:rPr>
                <w:rFonts w:asciiTheme="minorHAnsi" w:hAnsiTheme="minorHAnsi"/>
                <w:b/>
              </w:rPr>
              <w:t xml:space="preserve">Status </w:t>
            </w:r>
          </w:p>
          <w:p w:rsidR="00A13196" w:rsidRDefault="00A13196" w:rsidP="00736CD3">
            <w:pPr>
              <w:spacing w:before="60" w:after="60"/>
              <w:jc w:val="center"/>
              <w:rPr>
                <w:rFonts w:asciiTheme="minorHAnsi" w:hAnsiTheme="minorHAnsi"/>
                <w:b/>
              </w:rPr>
            </w:pPr>
            <w:r>
              <w:rPr>
                <w:rFonts w:asciiTheme="minorHAnsi" w:hAnsiTheme="minorHAnsi"/>
                <w:b/>
              </w:rPr>
              <w:t>End 2015</w:t>
            </w:r>
          </w:p>
        </w:tc>
      </w:tr>
      <w:tr w:rsidR="00A13196" w:rsidTr="00A13196">
        <w:trPr>
          <w:trHeight w:val="447"/>
          <w:jc w:val="center"/>
        </w:trPr>
        <w:tc>
          <w:tcPr>
            <w:tcW w:w="1209" w:type="pct"/>
            <w:tcBorders>
              <w:top w:val="single" w:sz="4" w:space="0" w:color="auto"/>
              <w:left w:val="single" w:sz="4" w:space="0" w:color="auto"/>
              <w:bottom w:val="single" w:sz="4" w:space="0" w:color="auto"/>
              <w:right w:val="single" w:sz="4" w:space="0" w:color="auto"/>
            </w:tcBorders>
            <w:vAlign w:val="center"/>
            <w:hideMark/>
          </w:tcPr>
          <w:p w:rsidR="00A13196" w:rsidRDefault="00A13196" w:rsidP="00736CD3">
            <w:pPr>
              <w:spacing w:before="60" w:after="60"/>
              <w:jc w:val="center"/>
              <w:rPr>
                <w:rFonts w:asciiTheme="minorHAnsi" w:hAnsiTheme="minorHAnsi"/>
                <w:b/>
              </w:rPr>
            </w:pPr>
            <w:r>
              <w:rPr>
                <w:rFonts w:asciiTheme="minorHAnsi" w:hAnsiTheme="minorHAnsi"/>
                <w:b/>
              </w:rPr>
              <w:t>Value of contracted commitments (USD)*</w:t>
            </w:r>
          </w:p>
        </w:tc>
        <w:tc>
          <w:tcPr>
            <w:tcW w:w="12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3196" w:rsidRDefault="00A13196" w:rsidP="00736CD3">
            <w:pPr>
              <w:spacing w:before="60" w:after="60"/>
              <w:jc w:val="center"/>
              <w:rPr>
                <w:rFonts w:asciiTheme="minorHAnsi" w:hAnsiTheme="minorHAnsi"/>
                <w:sz w:val="18"/>
                <w:szCs w:val="18"/>
              </w:rPr>
            </w:pPr>
            <w:r>
              <w:rPr>
                <w:rFonts w:asciiTheme="minorHAnsi" w:hAnsiTheme="minorHAnsi"/>
                <w:sz w:val="18"/>
                <w:szCs w:val="18"/>
              </w:rPr>
              <w:t>19,200,137</w:t>
            </w:r>
          </w:p>
        </w:tc>
        <w:tc>
          <w:tcPr>
            <w:tcW w:w="12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3196" w:rsidRDefault="00A13196" w:rsidP="00736CD3">
            <w:pPr>
              <w:spacing w:before="60" w:after="60"/>
              <w:jc w:val="center"/>
              <w:rPr>
                <w:rFonts w:asciiTheme="minorHAnsi" w:hAnsiTheme="minorHAnsi"/>
                <w:sz w:val="18"/>
                <w:szCs w:val="18"/>
              </w:rPr>
            </w:pPr>
            <w:r>
              <w:rPr>
                <w:rFonts w:asciiTheme="minorHAnsi" w:hAnsiTheme="minorHAnsi"/>
                <w:sz w:val="18"/>
                <w:szCs w:val="18"/>
              </w:rPr>
              <w:t>27,637,120</w:t>
            </w:r>
          </w:p>
        </w:tc>
        <w:tc>
          <w:tcPr>
            <w:tcW w:w="12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3196" w:rsidRDefault="00A13196" w:rsidP="00736CD3">
            <w:pPr>
              <w:spacing w:before="60" w:after="60"/>
              <w:jc w:val="center"/>
              <w:rPr>
                <w:rFonts w:asciiTheme="minorHAnsi" w:hAnsiTheme="minorHAnsi"/>
                <w:sz w:val="18"/>
                <w:szCs w:val="18"/>
              </w:rPr>
            </w:pPr>
            <w:r>
              <w:rPr>
                <w:rFonts w:asciiTheme="minorHAnsi" w:hAnsiTheme="minorHAnsi"/>
                <w:sz w:val="18"/>
                <w:szCs w:val="18"/>
              </w:rPr>
              <w:t>30,272,057</w:t>
            </w:r>
          </w:p>
        </w:tc>
      </w:tr>
      <w:tr w:rsidR="00A13196" w:rsidTr="00A13196">
        <w:trPr>
          <w:trHeight w:val="447"/>
          <w:jc w:val="center"/>
        </w:trPr>
        <w:tc>
          <w:tcPr>
            <w:tcW w:w="1209" w:type="pct"/>
            <w:tcBorders>
              <w:top w:val="single" w:sz="4" w:space="0" w:color="auto"/>
              <w:left w:val="single" w:sz="4" w:space="0" w:color="auto"/>
              <w:bottom w:val="single" w:sz="4" w:space="0" w:color="auto"/>
              <w:right w:val="single" w:sz="4" w:space="0" w:color="auto"/>
            </w:tcBorders>
            <w:vAlign w:val="center"/>
            <w:hideMark/>
          </w:tcPr>
          <w:p w:rsidR="00A13196" w:rsidRDefault="00A13196" w:rsidP="00B631D5">
            <w:pPr>
              <w:spacing w:before="60" w:after="60"/>
              <w:jc w:val="center"/>
              <w:rPr>
                <w:rFonts w:asciiTheme="minorHAnsi" w:hAnsiTheme="minorHAnsi"/>
                <w:b/>
              </w:rPr>
            </w:pPr>
            <w:r>
              <w:rPr>
                <w:rFonts w:asciiTheme="minorHAnsi" w:hAnsiTheme="minorHAnsi"/>
                <w:b/>
              </w:rPr>
              <w:t># of person-months consultancy procured</w:t>
            </w:r>
          </w:p>
        </w:tc>
        <w:tc>
          <w:tcPr>
            <w:tcW w:w="12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3196" w:rsidRDefault="00A13196" w:rsidP="00736CD3">
            <w:pPr>
              <w:spacing w:before="60" w:after="60"/>
              <w:jc w:val="center"/>
              <w:rPr>
                <w:rFonts w:asciiTheme="minorHAnsi" w:hAnsiTheme="minorHAnsi"/>
                <w:sz w:val="18"/>
                <w:szCs w:val="18"/>
              </w:rPr>
            </w:pPr>
            <w:r>
              <w:rPr>
                <w:rFonts w:asciiTheme="minorHAnsi" w:hAnsiTheme="minorHAnsi"/>
                <w:sz w:val="18"/>
                <w:szCs w:val="18"/>
              </w:rPr>
              <w:t>687</w:t>
            </w:r>
          </w:p>
          <w:p w:rsidR="00A13196" w:rsidRDefault="00A13196" w:rsidP="00736CD3">
            <w:pPr>
              <w:spacing w:before="60" w:after="60"/>
              <w:jc w:val="center"/>
              <w:rPr>
                <w:rFonts w:asciiTheme="minorHAnsi" w:hAnsiTheme="minorHAnsi"/>
                <w:sz w:val="18"/>
                <w:szCs w:val="18"/>
              </w:rPr>
            </w:pPr>
            <w:r>
              <w:rPr>
                <w:rFonts w:asciiTheme="minorHAnsi" w:hAnsiTheme="minorHAnsi"/>
                <w:sz w:val="18"/>
                <w:szCs w:val="18"/>
              </w:rPr>
              <w:t>of which 140 person months (20%) are for international TA and 547 person months (80%) are for national TA</w:t>
            </w:r>
          </w:p>
        </w:tc>
        <w:tc>
          <w:tcPr>
            <w:tcW w:w="12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3196" w:rsidRDefault="00A13196" w:rsidP="00736CD3">
            <w:pPr>
              <w:spacing w:before="60" w:after="60"/>
              <w:jc w:val="center"/>
              <w:rPr>
                <w:rFonts w:asciiTheme="minorHAnsi" w:hAnsiTheme="minorHAnsi"/>
                <w:sz w:val="18"/>
                <w:szCs w:val="18"/>
              </w:rPr>
            </w:pPr>
            <w:r>
              <w:rPr>
                <w:rFonts w:asciiTheme="minorHAnsi" w:hAnsiTheme="minorHAnsi"/>
                <w:sz w:val="18"/>
                <w:szCs w:val="18"/>
              </w:rPr>
              <w:t>1,090</w:t>
            </w:r>
          </w:p>
          <w:p w:rsidR="00A13196" w:rsidRDefault="00A13196" w:rsidP="00736CD3">
            <w:pPr>
              <w:spacing w:before="60" w:after="60"/>
              <w:jc w:val="center"/>
              <w:rPr>
                <w:rFonts w:asciiTheme="minorHAnsi" w:hAnsiTheme="minorHAnsi"/>
                <w:sz w:val="18"/>
                <w:szCs w:val="18"/>
              </w:rPr>
            </w:pPr>
            <w:r>
              <w:rPr>
                <w:rFonts w:asciiTheme="minorHAnsi" w:hAnsiTheme="minorHAnsi"/>
                <w:sz w:val="18"/>
                <w:szCs w:val="18"/>
              </w:rPr>
              <w:t>of which 223 person months (21%) are for international TA and 867 person months (79%) are for national TA</w:t>
            </w:r>
          </w:p>
        </w:tc>
        <w:tc>
          <w:tcPr>
            <w:tcW w:w="12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3196" w:rsidRDefault="00A13196" w:rsidP="00736CD3">
            <w:pPr>
              <w:spacing w:before="60" w:after="60"/>
              <w:jc w:val="center"/>
              <w:rPr>
                <w:rFonts w:asciiTheme="minorHAnsi" w:hAnsiTheme="minorHAnsi"/>
                <w:sz w:val="18"/>
                <w:szCs w:val="18"/>
              </w:rPr>
            </w:pPr>
            <w:r>
              <w:rPr>
                <w:rFonts w:asciiTheme="minorHAnsi" w:hAnsiTheme="minorHAnsi"/>
                <w:sz w:val="18"/>
                <w:szCs w:val="18"/>
              </w:rPr>
              <w:t>1,350</w:t>
            </w:r>
          </w:p>
          <w:p w:rsidR="00A13196" w:rsidRDefault="00A13196" w:rsidP="00736CD3">
            <w:pPr>
              <w:spacing w:before="60" w:after="60"/>
              <w:jc w:val="center"/>
              <w:rPr>
                <w:rFonts w:asciiTheme="minorHAnsi" w:hAnsiTheme="minorHAnsi"/>
                <w:sz w:val="18"/>
                <w:szCs w:val="18"/>
              </w:rPr>
            </w:pPr>
            <w:r>
              <w:rPr>
                <w:rFonts w:asciiTheme="minorHAnsi" w:hAnsiTheme="minorHAnsi"/>
                <w:sz w:val="18"/>
                <w:szCs w:val="18"/>
              </w:rPr>
              <w:t>of which 249 person months (18%) are for international TA and 1,101 person months (82%) are for national TA</w:t>
            </w:r>
          </w:p>
        </w:tc>
      </w:tr>
    </w:tbl>
    <w:p w:rsidR="00A13196" w:rsidRDefault="00A13196" w:rsidP="001D2009">
      <w:pPr>
        <w:pStyle w:val="SourceNotes"/>
      </w:pPr>
      <w:r w:rsidRPr="005F56AA">
        <w:t>* i.e. in those studies where one or more than one lead agency is named. As such, the totals exceeds 40 studies and 100%</w:t>
      </w:r>
    </w:p>
    <w:p w:rsidR="00606CEC" w:rsidRPr="00B34657" w:rsidRDefault="00606CEC" w:rsidP="001D2009">
      <w:pPr>
        <w:pStyle w:val="SourceNotes"/>
      </w:pPr>
      <w:r w:rsidRPr="00B34657">
        <w:t>Source: POM calculations based on ACDP’s Six-</w:t>
      </w:r>
      <w:r w:rsidRPr="00B34657">
        <w:rPr>
          <w:rFonts w:asciiTheme="minorHAnsi" w:hAnsiTheme="minorHAnsi"/>
        </w:rPr>
        <w:t xml:space="preserve">Monthly Progress Report of mid-2015 </w:t>
      </w:r>
      <w:r w:rsidRPr="00B34657">
        <w:t>and as reviewed by John Virtue (ACDP) in March 2016</w:t>
      </w:r>
    </w:p>
    <w:p w:rsidR="00181F57" w:rsidRPr="00004B39" w:rsidRDefault="00EC4A53" w:rsidP="00181F57">
      <w:pPr>
        <w:rPr>
          <w:rFonts w:asciiTheme="minorHAnsi" w:hAnsiTheme="minorHAnsi" w:cstheme="minorHAnsi"/>
        </w:rPr>
      </w:pPr>
      <w:r>
        <w:rPr>
          <w:rFonts w:asciiTheme="minorHAnsi" w:hAnsiTheme="minorHAnsi" w:cstheme="minorHAnsi"/>
        </w:rPr>
        <w:t xml:space="preserve">With regards </w:t>
      </w:r>
      <w:r w:rsidR="006C2110">
        <w:rPr>
          <w:rFonts w:asciiTheme="minorHAnsi" w:hAnsiTheme="minorHAnsi" w:cstheme="minorHAnsi"/>
        </w:rPr>
        <w:t xml:space="preserve">to </w:t>
      </w:r>
      <w:r>
        <w:rPr>
          <w:rFonts w:asciiTheme="minorHAnsi" w:hAnsiTheme="minorHAnsi" w:cstheme="minorHAnsi"/>
        </w:rPr>
        <w:t>the completion of studies, n</w:t>
      </w:r>
      <w:r w:rsidR="00181F57">
        <w:rPr>
          <w:rFonts w:asciiTheme="minorHAnsi" w:hAnsiTheme="minorHAnsi" w:cstheme="minorHAnsi"/>
        </w:rPr>
        <w:t>otable</w:t>
      </w:r>
      <w:r w:rsidR="00181F57" w:rsidRPr="00004B39">
        <w:rPr>
          <w:rFonts w:asciiTheme="minorHAnsi" w:hAnsiTheme="minorHAnsi" w:cstheme="minorHAnsi"/>
        </w:rPr>
        <w:t xml:space="preserve"> achievements in 2015 included:</w:t>
      </w:r>
    </w:p>
    <w:p w:rsidR="00181F57" w:rsidRPr="00A13196" w:rsidRDefault="00181F57" w:rsidP="00181F57">
      <w:pPr>
        <w:pStyle w:val="ListParagraph"/>
        <w:numPr>
          <w:ilvl w:val="0"/>
          <w:numId w:val="13"/>
        </w:numPr>
        <w:rPr>
          <w:rFonts w:eastAsiaTheme="minorHAnsi"/>
          <w:sz w:val="24"/>
          <w:szCs w:val="24"/>
        </w:rPr>
      </w:pPr>
      <w:r w:rsidRPr="00A13196">
        <w:rPr>
          <w:rFonts w:eastAsiaTheme="minorHAnsi"/>
        </w:rPr>
        <w:t xml:space="preserve">Submission of the final </w:t>
      </w:r>
      <w:r w:rsidRPr="00A13196">
        <w:rPr>
          <w:rFonts w:eastAsiaTheme="minorHAnsi"/>
          <w:i/>
        </w:rPr>
        <w:t>Overview of Islamic Education Sub-Sector in Indonesia</w:t>
      </w:r>
      <w:r w:rsidRPr="00A13196">
        <w:rPr>
          <w:rFonts w:eastAsiaTheme="minorHAnsi"/>
        </w:rPr>
        <w:t xml:space="preserve"> to MoRA’s Directorate General of Islamic Education in May 2015 (ACDP 021). The study offers a comprehensive overview of the Indonesian Islamic Education system, including strategic issues such as access, quality, management and financing. Study outputs have been used by MoRA to prepare the Islamic Education Strategic Plan 2015-2019. The report was launched and disseminated as a book in Q4 2015</w:t>
      </w:r>
      <w:r w:rsidRPr="002510D1">
        <w:rPr>
          <w:rStyle w:val="EndnoteReference"/>
        </w:rPr>
        <w:endnoteReference w:id="71"/>
      </w:r>
      <w:r w:rsidRPr="00A13196">
        <w:rPr>
          <w:rFonts w:eastAsiaTheme="minorHAnsi"/>
          <w:sz w:val="24"/>
          <w:szCs w:val="24"/>
        </w:rPr>
        <w:t>.</w:t>
      </w:r>
    </w:p>
    <w:p w:rsidR="00181F57" w:rsidRPr="00A13196" w:rsidRDefault="00181F57" w:rsidP="00181F57">
      <w:pPr>
        <w:pStyle w:val="ListParagraph"/>
        <w:numPr>
          <w:ilvl w:val="0"/>
          <w:numId w:val="13"/>
        </w:numPr>
        <w:rPr>
          <w:rFonts w:eastAsiaTheme="minorHAnsi"/>
        </w:rPr>
      </w:pPr>
      <w:r w:rsidRPr="00A13196">
        <w:rPr>
          <w:rFonts w:eastAsiaTheme="minorHAnsi"/>
        </w:rPr>
        <w:t>Successful conclusion of policy research on behalf of the Provincial Coordinating Team for Aceh Education Development (TK-PPA) (ACDP 036). Even though the three policy studies</w:t>
      </w:r>
      <w:r>
        <w:rPr>
          <w:rStyle w:val="FootnoteReference"/>
          <w:rFonts w:eastAsiaTheme="minorHAnsi" w:cstheme="minorBidi"/>
        </w:rPr>
        <w:footnoteReference w:id="111"/>
      </w:r>
      <w:r w:rsidRPr="00A13196">
        <w:rPr>
          <w:rFonts w:eastAsiaTheme="minorHAnsi"/>
        </w:rPr>
        <w:t xml:space="preserve"> </w:t>
      </w:r>
      <w:r w:rsidRPr="00A13196">
        <w:rPr>
          <w:rFonts w:eastAsiaTheme="minorHAnsi"/>
        </w:rPr>
        <w:lastRenderedPageBreak/>
        <w:t>had to be substantially revised and improved in 2015, Aceh Government stakeholders have demonstrated high levels of commitment to the studies and to the consultation processes</w:t>
      </w:r>
      <w:r w:rsidRPr="002510D1">
        <w:rPr>
          <w:rStyle w:val="EndnoteReference"/>
        </w:rPr>
        <w:endnoteReference w:id="72"/>
      </w:r>
      <w:r w:rsidRPr="00A13196">
        <w:rPr>
          <w:rFonts w:eastAsiaTheme="minorHAnsi"/>
        </w:rPr>
        <w:t>.</w:t>
      </w:r>
    </w:p>
    <w:p w:rsidR="00181F57" w:rsidRPr="00A13196" w:rsidRDefault="00181F57" w:rsidP="00181F57">
      <w:pPr>
        <w:pStyle w:val="ListParagraph"/>
        <w:numPr>
          <w:ilvl w:val="0"/>
          <w:numId w:val="13"/>
        </w:numPr>
        <w:rPr>
          <w:rFonts w:eastAsiaTheme="minorHAnsi"/>
        </w:rPr>
      </w:pPr>
      <w:r w:rsidRPr="00A13196">
        <w:rPr>
          <w:rFonts w:eastAsiaTheme="minorHAnsi"/>
        </w:rPr>
        <w:t xml:space="preserve">Submission of the </w:t>
      </w:r>
      <w:r w:rsidRPr="00A13196">
        <w:rPr>
          <w:rFonts w:eastAsiaTheme="minorHAnsi"/>
          <w:i/>
        </w:rPr>
        <w:t>Final Evaluation of ICT in Education in Papua</w:t>
      </w:r>
      <w:r w:rsidRPr="00A13196">
        <w:rPr>
          <w:rFonts w:eastAsiaTheme="minorHAnsi"/>
        </w:rPr>
        <w:t xml:space="preserve"> and associated Policy Briefs (ACDP 045). The report was very well received by the Office of Education, Youth and Sport in the Provincial Government of Papua. ACDP’s support has reportedly led to staff of this office demonstrating greater interest in the role ICT can play in improving access and quality of education in rural and remote areas of Papua</w:t>
      </w:r>
      <w:r w:rsidRPr="002510D1">
        <w:rPr>
          <w:rStyle w:val="EndnoteReference"/>
        </w:rPr>
        <w:endnoteReference w:id="73"/>
      </w:r>
      <w:r w:rsidRPr="00A13196">
        <w:rPr>
          <w:rFonts w:eastAsiaTheme="minorHAnsi"/>
        </w:rPr>
        <w:t>. The provincial office has since requested that ACDP provide additional support in the establishment of an improved Education Management and Information System at both provincial and district offices</w:t>
      </w:r>
      <w:r w:rsidRPr="002510D1">
        <w:rPr>
          <w:rStyle w:val="EndnoteReference"/>
        </w:rPr>
        <w:endnoteReference w:id="74"/>
      </w:r>
      <w:r w:rsidRPr="00A13196">
        <w:rPr>
          <w:rFonts w:eastAsiaTheme="minorHAnsi"/>
        </w:rPr>
        <w:t>.</w:t>
      </w:r>
    </w:p>
    <w:p w:rsidR="00181F57" w:rsidRDefault="00181F57" w:rsidP="00181F57">
      <w:pPr>
        <w:spacing w:after="200"/>
        <w:rPr>
          <w:rFonts w:asciiTheme="minorHAnsi" w:hAnsiTheme="minorHAnsi" w:cstheme="minorHAnsi"/>
        </w:rPr>
      </w:pPr>
      <w:r w:rsidRPr="00327BD2">
        <w:rPr>
          <w:rFonts w:asciiTheme="minorHAnsi" w:hAnsiTheme="minorHAnsi" w:cstheme="minorHAnsi"/>
        </w:rPr>
        <w:t xml:space="preserve">The Mid-Term Review of October 2014 highlighted the need for ACDP to </w:t>
      </w:r>
      <w:r>
        <w:rPr>
          <w:rFonts w:asciiTheme="minorHAnsi" w:hAnsiTheme="minorHAnsi" w:cstheme="minorHAnsi"/>
        </w:rPr>
        <w:t xml:space="preserve">develop a </w:t>
      </w:r>
      <w:r w:rsidRPr="00327BD2">
        <w:rPr>
          <w:rFonts w:asciiTheme="minorHAnsi" w:hAnsiTheme="minorHAnsi" w:cstheme="minorHAnsi"/>
        </w:rPr>
        <w:t>more effective communication</w:t>
      </w:r>
      <w:r>
        <w:rPr>
          <w:rFonts w:asciiTheme="minorHAnsi" w:hAnsiTheme="minorHAnsi" w:cstheme="minorHAnsi"/>
        </w:rPr>
        <w:t xml:space="preserve"> strategy</w:t>
      </w:r>
      <w:r w:rsidRPr="00327BD2">
        <w:rPr>
          <w:rFonts w:asciiTheme="minorHAnsi" w:hAnsiTheme="minorHAnsi" w:cstheme="minorHAnsi"/>
        </w:rPr>
        <w:t xml:space="preserve">; a recommendation that was consistent with POM’s commentaries in its 2013 and 2014 APPRs of the </w:t>
      </w:r>
      <w:r>
        <w:rPr>
          <w:rFonts w:asciiTheme="minorHAnsi" w:hAnsiTheme="minorHAnsi" w:cstheme="minorHAnsi"/>
        </w:rPr>
        <w:t>EP</w:t>
      </w:r>
      <w:r w:rsidRPr="00327BD2">
        <w:rPr>
          <w:rStyle w:val="FootnoteReference"/>
          <w:rFonts w:cstheme="minorHAnsi"/>
        </w:rPr>
        <w:footnoteReference w:id="112"/>
      </w:r>
      <w:r>
        <w:rPr>
          <w:rFonts w:asciiTheme="minorHAnsi" w:hAnsiTheme="minorHAnsi" w:cstheme="minorHAnsi"/>
        </w:rPr>
        <w:t>.</w:t>
      </w:r>
      <w:r w:rsidRPr="00327BD2">
        <w:rPr>
          <w:rFonts w:asciiTheme="minorHAnsi" w:hAnsiTheme="minorHAnsi" w:cstheme="minorHAnsi"/>
        </w:rPr>
        <w:t xml:space="preserve"> </w:t>
      </w:r>
      <w:r>
        <w:rPr>
          <w:rFonts w:asciiTheme="minorHAnsi" w:hAnsiTheme="minorHAnsi" w:cstheme="minorHAnsi"/>
        </w:rPr>
        <w:t>In broad terms</w:t>
      </w:r>
      <w:r w:rsidRPr="00327BD2">
        <w:rPr>
          <w:rFonts w:asciiTheme="minorHAnsi" w:hAnsiTheme="minorHAnsi" w:cstheme="minorHAnsi"/>
        </w:rPr>
        <w:t xml:space="preserve">, </w:t>
      </w:r>
      <w:r w:rsidR="00EC4A53">
        <w:rPr>
          <w:rFonts w:asciiTheme="minorHAnsi" w:hAnsiTheme="minorHAnsi" w:cstheme="minorHAnsi"/>
        </w:rPr>
        <w:t xml:space="preserve">therefore, </w:t>
      </w:r>
      <w:r>
        <w:rPr>
          <w:rFonts w:asciiTheme="minorHAnsi" w:hAnsiTheme="minorHAnsi" w:cstheme="minorHAnsi"/>
        </w:rPr>
        <w:t xml:space="preserve">one of </w:t>
      </w:r>
      <w:r w:rsidRPr="00327BD2">
        <w:rPr>
          <w:rFonts w:asciiTheme="minorHAnsi" w:hAnsiTheme="minorHAnsi" w:cstheme="minorHAnsi"/>
        </w:rPr>
        <w:t>ACDP’s biggest achievement</w:t>
      </w:r>
      <w:r>
        <w:rPr>
          <w:rFonts w:asciiTheme="minorHAnsi" w:hAnsiTheme="minorHAnsi" w:cstheme="minorHAnsi"/>
        </w:rPr>
        <w:t>s</w:t>
      </w:r>
      <w:r w:rsidRPr="00327BD2">
        <w:rPr>
          <w:rFonts w:asciiTheme="minorHAnsi" w:hAnsiTheme="minorHAnsi" w:cstheme="minorHAnsi"/>
        </w:rPr>
        <w:t xml:space="preserve"> in 2015 was the </w:t>
      </w:r>
      <w:r>
        <w:rPr>
          <w:rFonts w:asciiTheme="minorHAnsi" w:hAnsiTheme="minorHAnsi" w:cstheme="minorHAnsi"/>
        </w:rPr>
        <w:t>level of participation</w:t>
      </w:r>
      <w:r w:rsidRPr="00327BD2">
        <w:rPr>
          <w:rFonts w:asciiTheme="minorHAnsi" w:hAnsiTheme="minorHAnsi" w:cstheme="minorHAnsi"/>
        </w:rPr>
        <w:t xml:space="preserve"> it secured </w:t>
      </w:r>
      <w:r>
        <w:rPr>
          <w:rFonts w:asciiTheme="minorHAnsi" w:hAnsiTheme="minorHAnsi" w:cstheme="minorHAnsi"/>
        </w:rPr>
        <w:t xml:space="preserve">in its </w:t>
      </w:r>
      <w:r w:rsidRPr="00327BD2">
        <w:rPr>
          <w:rFonts w:asciiTheme="minorHAnsi" w:hAnsiTheme="minorHAnsi" w:cstheme="minorHAnsi"/>
        </w:rPr>
        <w:t>knowledge sharing</w:t>
      </w:r>
      <w:r>
        <w:rPr>
          <w:rFonts w:asciiTheme="minorHAnsi" w:hAnsiTheme="minorHAnsi" w:cstheme="minorHAnsi"/>
        </w:rPr>
        <w:t xml:space="preserve"> events</w:t>
      </w:r>
      <w:r w:rsidRPr="00327BD2">
        <w:rPr>
          <w:rFonts w:asciiTheme="minorHAnsi" w:hAnsiTheme="minorHAnsi" w:cstheme="minorHAnsi"/>
        </w:rPr>
        <w:t>. The Knowledge Management Team, which was created in early 2015, established regular Media</w:t>
      </w:r>
      <w:r w:rsidRPr="00246D3A">
        <w:rPr>
          <w:rFonts w:asciiTheme="minorHAnsi" w:hAnsiTheme="minorHAnsi" w:cstheme="minorHAnsi"/>
          <w:color w:val="FF0000"/>
        </w:rPr>
        <w:t xml:space="preserve"> </w:t>
      </w:r>
      <w:r w:rsidRPr="00327BD2">
        <w:rPr>
          <w:rFonts w:asciiTheme="minorHAnsi" w:hAnsiTheme="minorHAnsi" w:cstheme="minorHAnsi"/>
        </w:rPr>
        <w:t>Sessions (</w:t>
      </w:r>
      <w:r w:rsidRPr="004B4C85">
        <w:rPr>
          <w:rFonts w:asciiTheme="minorHAnsi" w:hAnsiTheme="minorHAnsi" w:cstheme="minorHAnsi"/>
          <w:i/>
        </w:rPr>
        <w:t>Kopi Darat</w:t>
      </w:r>
      <w:r w:rsidRPr="00327BD2">
        <w:rPr>
          <w:rFonts w:asciiTheme="minorHAnsi" w:hAnsiTheme="minorHAnsi" w:cstheme="minorHAnsi"/>
        </w:rPr>
        <w:t>)</w:t>
      </w:r>
      <w:r>
        <w:rPr>
          <w:rFonts w:asciiTheme="minorHAnsi" w:hAnsiTheme="minorHAnsi" w:cstheme="minorHAnsi"/>
        </w:rPr>
        <w:t>. Since May 2015</w:t>
      </w:r>
      <w:r w:rsidRPr="00327BD2">
        <w:rPr>
          <w:rFonts w:asciiTheme="minorHAnsi" w:hAnsiTheme="minorHAnsi" w:cstheme="minorHAnsi"/>
        </w:rPr>
        <w:t xml:space="preserve"> </w:t>
      </w:r>
      <w:r>
        <w:rPr>
          <w:rFonts w:asciiTheme="minorHAnsi" w:hAnsiTheme="minorHAnsi" w:cstheme="minorHAnsi"/>
        </w:rPr>
        <w:t>the Sessions have been held every two weeks. Th</w:t>
      </w:r>
      <w:r w:rsidRPr="00327BD2">
        <w:rPr>
          <w:rFonts w:asciiTheme="minorHAnsi" w:hAnsiTheme="minorHAnsi" w:cstheme="minorHAnsi"/>
        </w:rPr>
        <w:t xml:space="preserve">e fifteen sessions to date have covered a range of issues, </w:t>
      </w:r>
      <w:r w:rsidR="006C2110">
        <w:rPr>
          <w:rFonts w:asciiTheme="minorHAnsi" w:hAnsiTheme="minorHAnsi" w:cstheme="minorHAnsi"/>
        </w:rPr>
        <w:t>including</w:t>
      </w:r>
      <w:r w:rsidR="006C2110" w:rsidRPr="00327BD2">
        <w:rPr>
          <w:rFonts w:asciiTheme="minorHAnsi" w:hAnsiTheme="minorHAnsi" w:cstheme="minorHAnsi"/>
        </w:rPr>
        <w:t xml:space="preserve"> </w:t>
      </w:r>
      <w:r w:rsidRPr="004B4C85">
        <w:rPr>
          <w:rFonts w:asciiTheme="minorHAnsi" w:hAnsiTheme="minorHAnsi" w:cstheme="minorHAnsi"/>
          <w:i/>
        </w:rPr>
        <w:t>Teacher Management</w:t>
      </w:r>
      <w:r w:rsidRPr="00327BD2">
        <w:rPr>
          <w:rFonts w:asciiTheme="minorHAnsi" w:hAnsiTheme="minorHAnsi" w:cstheme="minorHAnsi"/>
        </w:rPr>
        <w:t xml:space="preserve"> (#1)</w:t>
      </w:r>
      <w:r>
        <w:rPr>
          <w:rFonts w:asciiTheme="minorHAnsi" w:hAnsiTheme="minorHAnsi" w:cstheme="minorHAnsi"/>
        </w:rPr>
        <w:t xml:space="preserve">, </w:t>
      </w:r>
      <w:r w:rsidRPr="004B4C85">
        <w:rPr>
          <w:rFonts w:asciiTheme="minorHAnsi" w:hAnsiTheme="minorHAnsi" w:cstheme="minorHAnsi"/>
          <w:i/>
        </w:rPr>
        <w:t>21st Century Teacher Skills</w:t>
      </w:r>
      <w:r w:rsidRPr="00327BD2">
        <w:rPr>
          <w:rFonts w:asciiTheme="minorHAnsi" w:hAnsiTheme="minorHAnsi" w:cstheme="minorHAnsi"/>
        </w:rPr>
        <w:t xml:space="preserve"> (#4)</w:t>
      </w:r>
      <w:r>
        <w:rPr>
          <w:rFonts w:asciiTheme="minorHAnsi" w:hAnsiTheme="minorHAnsi" w:cstheme="minorHAnsi"/>
        </w:rPr>
        <w:t xml:space="preserve"> and </w:t>
      </w:r>
      <w:r w:rsidRPr="004B4C85">
        <w:rPr>
          <w:rFonts w:asciiTheme="minorHAnsi" w:hAnsiTheme="minorHAnsi" w:cstheme="minorHAnsi"/>
          <w:i/>
        </w:rPr>
        <w:t xml:space="preserve">Realizing Excellent and Moderate Islamic Education in Indonesia </w:t>
      </w:r>
      <w:r w:rsidRPr="00327BD2">
        <w:rPr>
          <w:rFonts w:asciiTheme="minorHAnsi" w:hAnsiTheme="minorHAnsi" w:cstheme="minorHAnsi"/>
        </w:rPr>
        <w:t>(#15)</w:t>
      </w:r>
      <w:r>
        <w:rPr>
          <w:rFonts w:asciiTheme="minorHAnsi" w:hAnsiTheme="minorHAnsi" w:cstheme="minorHAnsi"/>
        </w:rPr>
        <w:t>. A total of 393 people have attended the events, with the number of participants steadily increasing over time. Additional reach has been created by related radio slots on Radio Republik Indonesia</w:t>
      </w:r>
      <w:r>
        <w:rPr>
          <w:rStyle w:val="FootnoteReference"/>
          <w:rFonts w:cstheme="minorHAnsi"/>
        </w:rPr>
        <w:footnoteReference w:id="113"/>
      </w:r>
      <w:r>
        <w:rPr>
          <w:rFonts w:asciiTheme="minorHAnsi" w:hAnsiTheme="minorHAnsi" w:cstheme="minorHAnsi"/>
        </w:rPr>
        <w:t>. In 2015, the events generated 293 media articles, again with an upwards trend from May to December</w:t>
      </w:r>
      <w:r w:rsidRPr="002510D1">
        <w:rPr>
          <w:rStyle w:val="EndnoteReference"/>
        </w:rPr>
        <w:endnoteReference w:id="75"/>
      </w:r>
      <w:r>
        <w:rPr>
          <w:rFonts w:asciiTheme="minorHAnsi" w:hAnsiTheme="minorHAnsi" w:cstheme="minorHAnsi"/>
        </w:rPr>
        <w:t xml:space="preserve">. </w:t>
      </w:r>
    </w:p>
    <w:p w:rsidR="00181F57" w:rsidRDefault="00181F57" w:rsidP="00181F57">
      <w:pPr>
        <w:rPr>
          <w:rFonts w:asciiTheme="minorHAnsi" w:hAnsiTheme="minorHAnsi" w:cstheme="minorHAnsi"/>
          <w:color w:val="FF0000"/>
        </w:rPr>
      </w:pPr>
      <w:r>
        <w:rPr>
          <w:rFonts w:asciiTheme="minorHAnsi" w:hAnsiTheme="minorHAnsi" w:cstheme="minorHAnsi"/>
        </w:rPr>
        <w:t xml:space="preserve"> A number of additional learning events have been conducted during 2015. Of particular note was the </w:t>
      </w:r>
      <w:r w:rsidRPr="00FB7560">
        <w:rPr>
          <w:rFonts w:asciiTheme="minorHAnsi" w:hAnsiTheme="minorHAnsi" w:cstheme="minorHAnsi"/>
        </w:rPr>
        <w:t xml:space="preserve">Teacher Policy Forum </w:t>
      </w:r>
      <w:r>
        <w:rPr>
          <w:rFonts w:asciiTheme="minorHAnsi" w:hAnsiTheme="minorHAnsi" w:cstheme="minorHAnsi"/>
        </w:rPr>
        <w:t>of</w:t>
      </w:r>
      <w:r w:rsidRPr="00FB7560">
        <w:rPr>
          <w:rFonts w:asciiTheme="minorHAnsi" w:hAnsiTheme="minorHAnsi" w:cstheme="minorHAnsi"/>
        </w:rPr>
        <w:t xml:space="preserve"> 5-6 August 2015, </w:t>
      </w:r>
      <w:r>
        <w:rPr>
          <w:rFonts w:asciiTheme="minorHAnsi" w:hAnsiTheme="minorHAnsi" w:cstheme="minorHAnsi"/>
        </w:rPr>
        <w:t xml:space="preserve">a major policy dialogue </w:t>
      </w:r>
      <w:r w:rsidRPr="00FB7560">
        <w:rPr>
          <w:rFonts w:asciiTheme="minorHAnsi" w:hAnsiTheme="minorHAnsi" w:cstheme="minorHAnsi"/>
        </w:rPr>
        <w:t>which was opened by the Minister of Education</w:t>
      </w:r>
      <w:r>
        <w:rPr>
          <w:rFonts w:asciiTheme="minorHAnsi" w:hAnsiTheme="minorHAnsi" w:cstheme="minorHAnsi"/>
        </w:rPr>
        <w:t xml:space="preserve"> and Culture</w:t>
      </w:r>
      <w:r w:rsidRPr="00FB7560">
        <w:rPr>
          <w:rFonts w:asciiTheme="minorHAnsi" w:hAnsiTheme="minorHAnsi" w:cstheme="minorHAnsi"/>
        </w:rPr>
        <w:t xml:space="preserve"> and at which the Minister and a number of Director-Generals </w:t>
      </w:r>
      <w:r w:rsidRPr="001C123E">
        <w:rPr>
          <w:rFonts w:asciiTheme="minorHAnsi" w:hAnsiTheme="minorHAnsi" w:cstheme="minorHAnsi"/>
        </w:rPr>
        <w:t xml:space="preserve">spoke. Approximately </w:t>
      </w:r>
      <w:r>
        <w:rPr>
          <w:rFonts w:asciiTheme="minorHAnsi" w:hAnsiTheme="minorHAnsi" w:cstheme="minorHAnsi"/>
        </w:rPr>
        <w:t>4</w:t>
      </w:r>
      <w:r w:rsidRPr="001C123E">
        <w:rPr>
          <w:rFonts w:asciiTheme="minorHAnsi" w:hAnsiTheme="minorHAnsi" w:cstheme="minorHAnsi"/>
        </w:rPr>
        <w:t xml:space="preserve">00 people attended the </w:t>
      </w:r>
      <w:r>
        <w:rPr>
          <w:rFonts w:asciiTheme="minorHAnsi" w:hAnsiTheme="minorHAnsi" w:cstheme="minorHAnsi"/>
        </w:rPr>
        <w:t xml:space="preserve">two-day </w:t>
      </w:r>
      <w:r w:rsidRPr="001C123E">
        <w:rPr>
          <w:rFonts w:asciiTheme="minorHAnsi" w:hAnsiTheme="minorHAnsi" w:cstheme="minorHAnsi"/>
        </w:rPr>
        <w:t xml:space="preserve">event. </w:t>
      </w:r>
    </w:p>
    <w:p w:rsidR="00A13196" w:rsidRPr="001C123E" w:rsidRDefault="00181F57" w:rsidP="00985389">
      <w:r>
        <w:t>I</w:t>
      </w:r>
      <w:r w:rsidRPr="001C123E">
        <w:t>ncreased investment in knowledge sharing has had a positive effect on the numbers of events held by ACDP and the numbers of stakeholders involved: a 61% and a 70% change respectively over the 13 months to December 2015 (see</w:t>
      </w:r>
      <w:r w:rsidR="00EC36D2">
        <w:t xml:space="preserve"> </w:t>
      </w:r>
      <w:r w:rsidR="00EC36D2">
        <w:fldChar w:fldCharType="begin"/>
      </w:r>
      <w:r w:rsidR="00EC36D2">
        <w:instrText xml:space="preserve"> REF _Ref450131348 \h </w:instrText>
      </w:r>
      <w:r w:rsidR="00EC36D2">
        <w:fldChar w:fldCharType="separate"/>
      </w:r>
      <w:r w:rsidR="00EC36D2" w:rsidRPr="00A13196">
        <w:t xml:space="preserve">Table </w:t>
      </w:r>
      <w:r w:rsidR="00EC36D2">
        <w:rPr>
          <w:noProof/>
        </w:rPr>
        <w:t>18</w:t>
      </w:r>
      <w:r w:rsidR="00EC36D2">
        <w:fldChar w:fldCharType="end"/>
      </w:r>
      <w:r w:rsidRPr="001C123E">
        <w:t>).</w:t>
      </w:r>
    </w:p>
    <w:p w:rsidR="006C2110" w:rsidRDefault="006C2110" w:rsidP="00A13196">
      <w:pPr>
        <w:pStyle w:val="Caption-Table"/>
      </w:pPr>
      <w:bookmarkStart w:id="82" w:name="_Ref447777523"/>
      <w:bookmarkStart w:id="83" w:name="_Toc412534591"/>
    </w:p>
    <w:p w:rsidR="006C2110" w:rsidRDefault="006C2110" w:rsidP="00A13196">
      <w:pPr>
        <w:pStyle w:val="Caption-Table"/>
      </w:pPr>
    </w:p>
    <w:p w:rsidR="00A13196" w:rsidRPr="00A13196" w:rsidRDefault="00A13196" w:rsidP="00A13196">
      <w:pPr>
        <w:pStyle w:val="Caption-Table"/>
      </w:pPr>
      <w:bookmarkStart w:id="84" w:name="_Ref450131348"/>
      <w:bookmarkStart w:id="85" w:name="_Toc450131639"/>
      <w:r w:rsidRPr="00A13196">
        <w:t xml:space="preserve">Table </w:t>
      </w:r>
      <w:r w:rsidRPr="00A13196">
        <w:fldChar w:fldCharType="begin"/>
      </w:r>
      <w:r w:rsidRPr="00A13196">
        <w:instrText xml:space="preserve"> SEQ Table \* ARABIC </w:instrText>
      </w:r>
      <w:r w:rsidRPr="00A13196">
        <w:fldChar w:fldCharType="separate"/>
      </w:r>
      <w:r w:rsidR="00EC36D2">
        <w:rPr>
          <w:noProof/>
        </w:rPr>
        <w:t>18</w:t>
      </w:r>
      <w:r w:rsidRPr="00A13196">
        <w:fldChar w:fldCharType="end"/>
      </w:r>
      <w:bookmarkEnd w:id="82"/>
      <w:bookmarkEnd w:id="84"/>
      <w:r w:rsidRPr="00A13196">
        <w:t>: Levels of participation in ACDP activities</w:t>
      </w:r>
      <w:bookmarkEnd w:id="83"/>
      <w:bookmarkEnd w:id="85"/>
    </w:p>
    <w:tbl>
      <w:tblPr>
        <w:tblW w:w="8511" w:type="dxa"/>
        <w:jc w:val="center"/>
        <w:tblCellMar>
          <w:left w:w="0" w:type="dxa"/>
          <w:right w:w="0" w:type="dxa"/>
        </w:tblCellMar>
        <w:tblLook w:val="04A0" w:firstRow="1" w:lastRow="0" w:firstColumn="1" w:lastColumn="0" w:noHBand="0" w:noVBand="1"/>
      </w:tblPr>
      <w:tblGrid>
        <w:gridCol w:w="2783"/>
        <w:gridCol w:w="1432"/>
        <w:gridCol w:w="1432"/>
        <w:gridCol w:w="1432"/>
        <w:gridCol w:w="1432"/>
      </w:tblGrid>
      <w:tr w:rsidR="00A13196" w:rsidRPr="00FB7560" w:rsidTr="00606CEC">
        <w:trPr>
          <w:trHeight w:val="326"/>
          <w:jc w:val="center"/>
        </w:trPr>
        <w:tc>
          <w:tcPr>
            <w:tcW w:w="2783" w:type="dxa"/>
            <w:tcBorders>
              <w:top w:val="nil"/>
              <w:left w:val="nil"/>
              <w:bottom w:val="nil"/>
              <w:right w:val="single" w:sz="8" w:space="0" w:color="000000"/>
            </w:tcBorders>
            <w:shd w:val="clear" w:color="auto" w:fill="auto"/>
            <w:tcMar>
              <w:top w:w="15" w:type="dxa"/>
              <w:left w:w="108" w:type="dxa"/>
              <w:bottom w:w="0" w:type="dxa"/>
              <w:right w:w="108" w:type="dxa"/>
            </w:tcMar>
            <w:vAlign w:val="center"/>
          </w:tcPr>
          <w:p w:rsidR="00A13196" w:rsidRPr="00FB7560" w:rsidRDefault="00A13196" w:rsidP="00A13196">
            <w:pPr>
              <w:rPr>
                <w:lang w:eastAsia="en-AU"/>
              </w:rPr>
            </w:pPr>
          </w:p>
        </w:tc>
        <w:tc>
          <w:tcPr>
            <w:tcW w:w="2864" w:type="dxa"/>
            <w:gridSpan w:val="2"/>
            <w:tcBorders>
              <w:top w:val="single" w:sz="8" w:space="0" w:color="000000"/>
              <w:left w:val="single" w:sz="8" w:space="0" w:color="000000"/>
              <w:bottom w:val="single" w:sz="8" w:space="0" w:color="000000"/>
              <w:right w:val="single" w:sz="8" w:space="0" w:color="000000"/>
            </w:tcBorders>
            <w:shd w:val="clear" w:color="auto" w:fill="17365D"/>
            <w:tcMar>
              <w:top w:w="15" w:type="dxa"/>
              <w:left w:w="108" w:type="dxa"/>
              <w:bottom w:w="0" w:type="dxa"/>
              <w:right w:w="108" w:type="dxa"/>
            </w:tcMar>
            <w:vAlign w:val="center"/>
            <w:hideMark/>
          </w:tcPr>
          <w:p w:rsidR="00A13196" w:rsidRPr="00FB7560" w:rsidRDefault="00A13196" w:rsidP="00736CD3">
            <w:pPr>
              <w:spacing w:before="60" w:after="60"/>
              <w:jc w:val="center"/>
              <w:rPr>
                <w:rFonts w:ascii="Arial" w:hAnsi="Arial" w:cs="Arial"/>
                <w:lang w:eastAsia="en-AU"/>
              </w:rPr>
            </w:pPr>
            <w:r>
              <w:rPr>
                <w:b/>
                <w:bCs/>
                <w:color w:val="FFFFFF" w:themeColor="background1"/>
                <w:kern w:val="24"/>
                <w:lang w:eastAsia="en-AU"/>
              </w:rPr>
              <w:t xml:space="preserve">From 2011 to </w:t>
            </w:r>
            <w:r w:rsidRPr="00FB7560">
              <w:rPr>
                <w:b/>
                <w:bCs/>
                <w:color w:val="FFFFFF" w:themeColor="background1"/>
                <w:kern w:val="24"/>
                <w:lang w:eastAsia="en-AU"/>
              </w:rPr>
              <w:t>30 Nov. 2014</w:t>
            </w:r>
          </w:p>
        </w:tc>
        <w:tc>
          <w:tcPr>
            <w:tcW w:w="2864" w:type="dxa"/>
            <w:gridSpan w:val="2"/>
            <w:tcBorders>
              <w:top w:val="single" w:sz="8" w:space="0" w:color="000000"/>
              <w:left w:val="single" w:sz="8" w:space="0" w:color="000000"/>
              <w:bottom w:val="single" w:sz="8" w:space="0" w:color="000000"/>
              <w:right w:val="single" w:sz="8" w:space="0" w:color="000000"/>
            </w:tcBorders>
            <w:shd w:val="clear" w:color="auto" w:fill="4F6228"/>
            <w:tcMar>
              <w:top w:w="15" w:type="dxa"/>
              <w:left w:w="108" w:type="dxa"/>
              <w:bottom w:w="0" w:type="dxa"/>
              <w:right w:w="108" w:type="dxa"/>
            </w:tcMar>
            <w:vAlign w:val="center"/>
            <w:hideMark/>
          </w:tcPr>
          <w:p w:rsidR="00A13196" w:rsidRPr="00FB7560" w:rsidRDefault="00A13196" w:rsidP="00736CD3">
            <w:pPr>
              <w:spacing w:before="60" w:after="60"/>
              <w:jc w:val="center"/>
              <w:rPr>
                <w:rFonts w:ascii="Arial" w:hAnsi="Arial" w:cs="Arial"/>
                <w:lang w:eastAsia="en-AU"/>
              </w:rPr>
            </w:pPr>
            <w:r>
              <w:rPr>
                <w:b/>
                <w:bCs/>
                <w:color w:val="FFFFFF"/>
                <w:kern w:val="24"/>
                <w:lang w:eastAsia="en-AU"/>
              </w:rPr>
              <w:t xml:space="preserve">From 2011 to </w:t>
            </w:r>
            <w:r w:rsidRPr="00FB7560">
              <w:rPr>
                <w:b/>
                <w:bCs/>
                <w:color w:val="FFFFFF"/>
                <w:kern w:val="24"/>
                <w:lang w:eastAsia="en-AU"/>
              </w:rPr>
              <w:t>31 Dec. 2015</w:t>
            </w:r>
          </w:p>
        </w:tc>
      </w:tr>
      <w:tr w:rsidR="00A13196" w:rsidRPr="00FB7560" w:rsidTr="00A13196">
        <w:trPr>
          <w:trHeight w:val="492"/>
          <w:jc w:val="center"/>
        </w:trPr>
        <w:tc>
          <w:tcPr>
            <w:tcW w:w="2783" w:type="dxa"/>
            <w:tcBorders>
              <w:top w:val="nil"/>
              <w:left w:val="nil"/>
              <w:bottom w:val="single" w:sz="8" w:space="0" w:color="000000"/>
              <w:right w:val="single" w:sz="8" w:space="0" w:color="000000"/>
            </w:tcBorders>
            <w:shd w:val="clear" w:color="auto" w:fill="auto"/>
            <w:tcMar>
              <w:top w:w="15" w:type="dxa"/>
              <w:left w:w="108" w:type="dxa"/>
              <w:bottom w:w="0" w:type="dxa"/>
              <w:right w:w="108" w:type="dxa"/>
            </w:tcMar>
            <w:vAlign w:val="center"/>
          </w:tcPr>
          <w:p w:rsidR="00A13196" w:rsidRPr="00FB7560" w:rsidRDefault="00A13196" w:rsidP="00606CEC">
            <w:pPr>
              <w:spacing w:before="0" w:after="0"/>
              <w:rPr>
                <w:lang w:eastAsia="en-AU"/>
              </w:rPr>
            </w:pPr>
          </w:p>
        </w:tc>
        <w:tc>
          <w:tcPr>
            <w:tcW w:w="1432"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vAlign w:val="center"/>
            <w:hideMark/>
          </w:tcPr>
          <w:p w:rsidR="00A13196" w:rsidRPr="00FB7560" w:rsidRDefault="00A13196" w:rsidP="00606CEC">
            <w:pPr>
              <w:spacing w:before="0" w:after="0"/>
              <w:jc w:val="center"/>
              <w:rPr>
                <w:rFonts w:ascii="Arial" w:hAnsi="Arial" w:cs="Arial"/>
                <w:sz w:val="20"/>
                <w:szCs w:val="20"/>
                <w:lang w:eastAsia="en-AU"/>
              </w:rPr>
            </w:pPr>
            <w:r w:rsidRPr="00FB7560">
              <w:rPr>
                <w:b/>
                <w:bCs/>
                <w:color w:val="000000" w:themeColor="text1"/>
                <w:kern w:val="24"/>
                <w:sz w:val="20"/>
                <w:szCs w:val="20"/>
                <w:lang w:eastAsia="en-AU"/>
              </w:rPr>
              <w:t>Events held</w:t>
            </w:r>
          </w:p>
        </w:tc>
        <w:tc>
          <w:tcPr>
            <w:tcW w:w="143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rsidR="00A13196" w:rsidRPr="00FB7560" w:rsidRDefault="00A13196" w:rsidP="00606CEC">
            <w:pPr>
              <w:spacing w:before="0" w:after="0"/>
              <w:jc w:val="center"/>
              <w:rPr>
                <w:rFonts w:ascii="Arial" w:hAnsi="Arial" w:cs="Arial"/>
                <w:sz w:val="20"/>
                <w:szCs w:val="20"/>
                <w:lang w:eastAsia="en-AU"/>
              </w:rPr>
            </w:pPr>
            <w:r w:rsidRPr="00FB7560">
              <w:rPr>
                <w:b/>
                <w:bCs/>
                <w:color w:val="000000" w:themeColor="text1"/>
                <w:kern w:val="24"/>
                <w:sz w:val="20"/>
                <w:szCs w:val="20"/>
                <w:lang w:eastAsia="en-AU"/>
              </w:rPr>
              <w:t>Stakeholders involved</w:t>
            </w:r>
          </w:p>
        </w:tc>
        <w:tc>
          <w:tcPr>
            <w:tcW w:w="1432" w:type="dxa"/>
            <w:tcBorders>
              <w:top w:val="single" w:sz="8" w:space="0" w:color="000000"/>
              <w:left w:val="single" w:sz="8" w:space="0" w:color="000000"/>
              <w:bottom w:val="single" w:sz="8" w:space="0" w:color="000000"/>
              <w:right w:val="single" w:sz="8" w:space="0" w:color="000000"/>
            </w:tcBorders>
            <w:shd w:val="clear" w:color="auto" w:fill="D6E3BC"/>
            <w:tcMar>
              <w:top w:w="15" w:type="dxa"/>
              <w:left w:w="108" w:type="dxa"/>
              <w:bottom w:w="0" w:type="dxa"/>
              <w:right w:w="108" w:type="dxa"/>
            </w:tcMar>
            <w:vAlign w:val="center"/>
            <w:hideMark/>
          </w:tcPr>
          <w:p w:rsidR="00A13196" w:rsidRPr="00FB7560" w:rsidRDefault="00A13196" w:rsidP="00606CEC">
            <w:pPr>
              <w:spacing w:before="0" w:after="0"/>
              <w:jc w:val="center"/>
              <w:rPr>
                <w:rFonts w:ascii="Arial" w:hAnsi="Arial" w:cs="Arial"/>
                <w:sz w:val="20"/>
                <w:szCs w:val="20"/>
                <w:lang w:eastAsia="en-AU"/>
              </w:rPr>
            </w:pPr>
            <w:r w:rsidRPr="00FB7560">
              <w:rPr>
                <w:b/>
                <w:bCs/>
                <w:color w:val="000000" w:themeColor="text1"/>
                <w:kern w:val="24"/>
                <w:sz w:val="20"/>
                <w:szCs w:val="20"/>
                <w:lang w:eastAsia="en-AU"/>
              </w:rPr>
              <w:t>Events held</w:t>
            </w:r>
          </w:p>
        </w:tc>
        <w:tc>
          <w:tcPr>
            <w:tcW w:w="1432" w:type="dxa"/>
            <w:tcBorders>
              <w:top w:val="single" w:sz="8" w:space="0" w:color="000000"/>
              <w:left w:val="single" w:sz="8" w:space="0" w:color="000000"/>
              <w:bottom w:val="single" w:sz="8" w:space="0" w:color="000000"/>
              <w:right w:val="single" w:sz="8" w:space="0" w:color="000000"/>
            </w:tcBorders>
            <w:shd w:val="clear" w:color="auto" w:fill="C2D69B"/>
            <w:tcMar>
              <w:top w:w="15" w:type="dxa"/>
              <w:left w:w="108" w:type="dxa"/>
              <w:bottom w:w="0" w:type="dxa"/>
              <w:right w:w="108" w:type="dxa"/>
            </w:tcMar>
            <w:vAlign w:val="center"/>
            <w:hideMark/>
          </w:tcPr>
          <w:p w:rsidR="00A13196" w:rsidRPr="00FB7560" w:rsidRDefault="00A13196" w:rsidP="00606CEC">
            <w:pPr>
              <w:spacing w:before="0" w:after="0"/>
              <w:jc w:val="center"/>
              <w:rPr>
                <w:rFonts w:ascii="Arial" w:hAnsi="Arial" w:cs="Arial"/>
                <w:sz w:val="20"/>
                <w:szCs w:val="20"/>
                <w:lang w:eastAsia="en-AU"/>
              </w:rPr>
            </w:pPr>
            <w:r w:rsidRPr="00FB7560">
              <w:rPr>
                <w:b/>
                <w:bCs/>
                <w:color w:val="000000" w:themeColor="text1"/>
                <w:kern w:val="24"/>
                <w:sz w:val="20"/>
                <w:szCs w:val="20"/>
                <w:lang w:eastAsia="en-AU"/>
              </w:rPr>
              <w:t>Stakeholders involved</w:t>
            </w:r>
          </w:p>
        </w:tc>
      </w:tr>
      <w:tr w:rsidR="00A13196" w:rsidRPr="00FB7560" w:rsidTr="00606CEC">
        <w:trPr>
          <w:trHeight w:val="92"/>
          <w:jc w:val="center"/>
        </w:trPr>
        <w:tc>
          <w:tcPr>
            <w:tcW w:w="27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13196" w:rsidRPr="00FB7560" w:rsidRDefault="00A13196" w:rsidP="00606CEC">
            <w:pPr>
              <w:spacing w:before="0" w:after="0"/>
              <w:jc w:val="center"/>
              <w:rPr>
                <w:rFonts w:ascii="Arial" w:hAnsi="Arial" w:cs="Arial"/>
                <w:lang w:eastAsia="en-AU"/>
              </w:rPr>
            </w:pPr>
            <w:r w:rsidRPr="00FB7560">
              <w:rPr>
                <w:b/>
                <w:bCs/>
                <w:color w:val="000000" w:themeColor="text1"/>
                <w:kern w:val="24"/>
                <w:lang w:eastAsia="en-AU"/>
              </w:rPr>
              <w:t>Activity-stream #1: Research work/studies</w:t>
            </w:r>
          </w:p>
        </w:tc>
        <w:tc>
          <w:tcPr>
            <w:tcW w:w="1432"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vAlign w:val="center"/>
            <w:hideMark/>
          </w:tcPr>
          <w:p w:rsidR="00A13196" w:rsidRPr="00FB7560" w:rsidRDefault="00A13196" w:rsidP="00606CEC">
            <w:pPr>
              <w:spacing w:before="0" w:after="0"/>
              <w:jc w:val="center"/>
              <w:rPr>
                <w:rFonts w:ascii="Arial" w:hAnsi="Arial" w:cs="Arial"/>
                <w:sz w:val="20"/>
                <w:szCs w:val="20"/>
                <w:lang w:eastAsia="en-AU"/>
              </w:rPr>
            </w:pPr>
            <w:r w:rsidRPr="00FB7560">
              <w:rPr>
                <w:color w:val="000000" w:themeColor="text1"/>
                <w:kern w:val="24"/>
                <w:sz w:val="20"/>
                <w:szCs w:val="20"/>
                <w:lang w:eastAsia="en-AU"/>
              </w:rPr>
              <w:t>79</w:t>
            </w:r>
          </w:p>
        </w:tc>
        <w:tc>
          <w:tcPr>
            <w:tcW w:w="143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rsidR="00A13196" w:rsidRPr="00FB7560" w:rsidRDefault="00A13196" w:rsidP="00606CEC">
            <w:pPr>
              <w:spacing w:before="0" w:after="0"/>
              <w:jc w:val="center"/>
              <w:rPr>
                <w:rFonts w:ascii="Arial" w:hAnsi="Arial" w:cs="Arial"/>
                <w:sz w:val="20"/>
                <w:szCs w:val="20"/>
                <w:lang w:eastAsia="en-AU"/>
              </w:rPr>
            </w:pPr>
            <w:r w:rsidRPr="00FB7560">
              <w:rPr>
                <w:color w:val="000000" w:themeColor="text1"/>
                <w:kern w:val="24"/>
                <w:sz w:val="20"/>
                <w:szCs w:val="20"/>
                <w:lang w:eastAsia="en-AU"/>
              </w:rPr>
              <w:t>2,639</w:t>
            </w:r>
          </w:p>
        </w:tc>
        <w:tc>
          <w:tcPr>
            <w:tcW w:w="1432" w:type="dxa"/>
            <w:tcBorders>
              <w:top w:val="single" w:sz="8" w:space="0" w:color="000000"/>
              <w:left w:val="single" w:sz="8" w:space="0" w:color="000000"/>
              <w:bottom w:val="single" w:sz="8" w:space="0" w:color="000000"/>
              <w:right w:val="single" w:sz="8" w:space="0" w:color="000000"/>
            </w:tcBorders>
            <w:shd w:val="clear" w:color="auto" w:fill="D6E3BC"/>
            <w:tcMar>
              <w:top w:w="15" w:type="dxa"/>
              <w:left w:w="108" w:type="dxa"/>
              <w:bottom w:w="0" w:type="dxa"/>
              <w:right w:w="108" w:type="dxa"/>
            </w:tcMar>
            <w:vAlign w:val="center"/>
            <w:hideMark/>
          </w:tcPr>
          <w:p w:rsidR="00A13196" w:rsidRPr="00FB7560" w:rsidRDefault="00A13196" w:rsidP="00606CEC">
            <w:pPr>
              <w:spacing w:before="0" w:after="0"/>
              <w:jc w:val="center"/>
              <w:rPr>
                <w:rFonts w:ascii="Arial" w:hAnsi="Arial" w:cs="Arial"/>
                <w:sz w:val="20"/>
                <w:szCs w:val="20"/>
                <w:lang w:eastAsia="en-AU"/>
              </w:rPr>
            </w:pPr>
            <w:r w:rsidRPr="00FB7560">
              <w:rPr>
                <w:color w:val="000000" w:themeColor="text1"/>
                <w:kern w:val="24"/>
                <w:sz w:val="20"/>
                <w:szCs w:val="20"/>
                <w:lang w:eastAsia="en-AU"/>
              </w:rPr>
              <w:t>122</w:t>
            </w:r>
          </w:p>
        </w:tc>
        <w:tc>
          <w:tcPr>
            <w:tcW w:w="1432" w:type="dxa"/>
            <w:tcBorders>
              <w:top w:val="single" w:sz="8" w:space="0" w:color="000000"/>
              <w:left w:val="single" w:sz="8" w:space="0" w:color="000000"/>
              <w:bottom w:val="single" w:sz="8" w:space="0" w:color="000000"/>
              <w:right w:val="single" w:sz="8" w:space="0" w:color="000000"/>
            </w:tcBorders>
            <w:shd w:val="clear" w:color="auto" w:fill="C2D69B"/>
            <w:tcMar>
              <w:top w:w="15" w:type="dxa"/>
              <w:left w:w="108" w:type="dxa"/>
              <w:bottom w:w="0" w:type="dxa"/>
              <w:right w:w="108" w:type="dxa"/>
            </w:tcMar>
            <w:vAlign w:val="center"/>
            <w:hideMark/>
          </w:tcPr>
          <w:p w:rsidR="00A13196" w:rsidRPr="00FB7560" w:rsidRDefault="00A13196" w:rsidP="00606CEC">
            <w:pPr>
              <w:spacing w:before="0" w:after="0"/>
              <w:jc w:val="center"/>
              <w:rPr>
                <w:rFonts w:ascii="Arial" w:hAnsi="Arial" w:cs="Arial"/>
                <w:sz w:val="20"/>
                <w:szCs w:val="20"/>
                <w:lang w:eastAsia="en-AU"/>
              </w:rPr>
            </w:pPr>
            <w:r w:rsidRPr="00FB7560">
              <w:rPr>
                <w:color w:val="000000" w:themeColor="text1"/>
                <w:kern w:val="24"/>
                <w:sz w:val="20"/>
                <w:szCs w:val="20"/>
                <w:lang w:eastAsia="en-AU"/>
              </w:rPr>
              <w:t xml:space="preserve">4,566 </w:t>
            </w:r>
          </w:p>
        </w:tc>
      </w:tr>
      <w:tr w:rsidR="00A13196" w:rsidRPr="00FB7560" w:rsidTr="00A13196">
        <w:trPr>
          <w:trHeight w:val="48"/>
          <w:jc w:val="center"/>
        </w:trPr>
        <w:tc>
          <w:tcPr>
            <w:tcW w:w="27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13196" w:rsidRPr="00FB7560" w:rsidRDefault="00A13196" w:rsidP="00606CEC">
            <w:pPr>
              <w:spacing w:before="0" w:after="0"/>
              <w:jc w:val="center"/>
              <w:rPr>
                <w:rFonts w:ascii="Arial" w:hAnsi="Arial" w:cs="Arial"/>
                <w:lang w:eastAsia="en-AU"/>
              </w:rPr>
            </w:pPr>
            <w:r w:rsidRPr="00FB7560">
              <w:rPr>
                <w:b/>
                <w:bCs/>
                <w:color w:val="000000" w:themeColor="text1"/>
                <w:kern w:val="24"/>
                <w:lang w:eastAsia="en-AU"/>
              </w:rPr>
              <w:t>Activity-stream #2: Meetings, FGDs, workshops</w:t>
            </w:r>
          </w:p>
        </w:tc>
        <w:tc>
          <w:tcPr>
            <w:tcW w:w="1432"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vAlign w:val="center"/>
            <w:hideMark/>
          </w:tcPr>
          <w:p w:rsidR="00A13196" w:rsidRPr="00FB7560" w:rsidRDefault="00A13196" w:rsidP="00606CEC">
            <w:pPr>
              <w:spacing w:before="0" w:after="0"/>
              <w:jc w:val="center"/>
              <w:rPr>
                <w:rFonts w:ascii="Arial" w:hAnsi="Arial" w:cs="Arial"/>
                <w:sz w:val="20"/>
                <w:szCs w:val="20"/>
                <w:lang w:eastAsia="en-AU"/>
              </w:rPr>
            </w:pPr>
            <w:r w:rsidRPr="00FB7560">
              <w:rPr>
                <w:color w:val="000000" w:themeColor="text1"/>
                <w:kern w:val="24"/>
                <w:sz w:val="20"/>
                <w:szCs w:val="20"/>
                <w:lang w:eastAsia="en-AU"/>
              </w:rPr>
              <w:t>71</w:t>
            </w:r>
          </w:p>
        </w:tc>
        <w:tc>
          <w:tcPr>
            <w:tcW w:w="143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rsidR="00A13196" w:rsidRPr="00FB7560" w:rsidRDefault="00A13196" w:rsidP="00606CEC">
            <w:pPr>
              <w:spacing w:before="0" w:after="0"/>
              <w:jc w:val="center"/>
              <w:rPr>
                <w:rFonts w:ascii="Arial" w:hAnsi="Arial" w:cs="Arial"/>
                <w:sz w:val="20"/>
                <w:szCs w:val="20"/>
                <w:lang w:eastAsia="en-AU"/>
              </w:rPr>
            </w:pPr>
            <w:r w:rsidRPr="00FB7560">
              <w:rPr>
                <w:color w:val="000000" w:themeColor="text1"/>
                <w:kern w:val="24"/>
                <w:sz w:val="20"/>
                <w:szCs w:val="20"/>
                <w:lang w:eastAsia="en-AU"/>
              </w:rPr>
              <w:t>2,887</w:t>
            </w:r>
          </w:p>
        </w:tc>
        <w:tc>
          <w:tcPr>
            <w:tcW w:w="1432" w:type="dxa"/>
            <w:tcBorders>
              <w:top w:val="single" w:sz="8" w:space="0" w:color="000000"/>
              <w:left w:val="single" w:sz="8" w:space="0" w:color="000000"/>
              <w:bottom w:val="single" w:sz="8" w:space="0" w:color="000000"/>
              <w:right w:val="single" w:sz="8" w:space="0" w:color="000000"/>
            </w:tcBorders>
            <w:shd w:val="clear" w:color="auto" w:fill="D6E3BC"/>
            <w:tcMar>
              <w:top w:w="15" w:type="dxa"/>
              <w:left w:w="108" w:type="dxa"/>
              <w:bottom w:w="0" w:type="dxa"/>
              <w:right w:w="108" w:type="dxa"/>
            </w:tcMar>
            <w:vAlign w:val="center"/>
            <w:hideMark/>
          </w:tcPr>
          <w:p w:rsidR="00A13196" w:rsidRPr="00FB7560" w:rsidRDefault="00A13196" w:rsidP="00606CEC">
            <w:pPr>
              <w:spacing w:before="0" w:after="0"/>
              <w:jc w:val="center"/>
              <w:rPr>
                <w:rFonts w:ascii="Arial" w:hAnsi="Arial" w:cs="Arial"/>
                <w:sz w:val="20"/>
                <w:szCs w:val="20"/>
                <w:lang w:eastAsia="en-AU"/>
              </w:rPr>
            </w:pPr>
            <w:r w:rsidRPr="00FB7560">
              <w:rPr>
                <w:color w:val="000000" w:themeColor="text1"/>
                <w:kern w:val="24"/>
                <w:sz w:val="20"/>
                <w:szCs w:val="20"/>
                <w:lang w:eastAsia="en-AU"/>
              </w:rPr>
              <w:t>119</w:t>
            </w:r>
          </w:p>
        </w:tc>
        <w:tc>
          <w:tcPr>
            <w:tcW w:w="1432" w:type="dxa"/>
            <w:tcBorders>
              <w:top w:val="single" w:sz="8" w:space="0" w:color="000000"/>
              <w:left w:val="single" w:sz="8" w:space="0" w:color="000000"/>
              <w:bottom w:val="single" w:sz="8" w:space="0" w:color="000000"/>
              <w:right w:val="single" w:sz="8" w:space="0" w:color="000000"/>
            </w:tcBorders>
            <w:shd w:val="clear" w:color="auto" w:fill="C2D69B"/>
            <w:tcMar>
              <w:top w:w="15" w:type="dxa"/>
              <w:left w:w="108" w:type="dxa"/>
              <w:bottom w:w="0" w:type="dxa"/>
              <w:right w:w="108" w:type="dxa"/>
            </w:tcMar>
            <w:vAlign w:val="center"/>
            <w:hideMark/>
          </w:tcPr>
          <w:p w:rsidR="00A13196" w:rsidRPr="00FB7560" w:rsidRDefault="00A13196" w:rsidP="00606CEC">
            <w:pPr>
              <w:spacing w:before="0" w:after="0"/>
              <w:jc w:val="center"/>
              <w:rPr>
                <w:rFonts w:ascii="Arial" w:hAnsi="Arial" w:cs="Arial"/>
                <w:sz w:val="20"/>
                <w:szCs w:val="20"/>
                <w:lang w:eastAsia="en-AU"/>
              </w:rPr>
            </w:pPr>
            <w:r w:rsidRPr="00FB7560">
              <w:rPr>
                <w:color w:val="000000" w:themeColor="text1"/>
                <w:kern w:val="24"/>
                <w:sz w:val="20"/>
                <w:szCs w:val="20"/>
                <w:lang w:eastAsia="en-AU"/>
              </w:rPr>
              <w:t xml:space="preserve">4,851 </w:t>
            </w:r>
          </w:p>
        </w:tc>
      </w:tr>
      <w:tr w:rsidR="00A13196" w:rsidRPr="00FB7560" w:rsidTr="00A13196">
        <w:trPr>
          <w:trHeight w:val="264"/>
          <w:jc w:val="center"/>
        </w:trPr>
        <w:tc>
          <w:tcPr>
            <w:tcW w:w="27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13196" w:rsidRPr="00FB7560" w:rsidRDefault="00A13196" w:rsidP="00736CD3">
            <w:pPr>
              <w:jc w:val="center"/>
              <w:rPr>
                <w:rFonts w:ascii="Arial" w:hAnsi="Arial" w:cs="Arial"/>
                <w:lang w:eastAsia="en-AU"/>
              </w:rPr>
            </w:pPr>
            <w:r w:rsidRPr="00FB7560">
              <w:rPr>
                <w:b/>
                <w:bCs/>
                <w:color w:val="000000" w:themeColor="text1"/>
                <w:kern w:val="24"/>
                <w:lang w:eastAsia="en-AU"/>
              </w:rPr>
              <w:t>TOTAL</w:t>
            </w:r>
          </w:p>
        </w:tc>
        <w:tc>
          <w:tcPr>
            <w:tcW w:w="1432"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vAlign w:val="center"/>
            <w:hideMark/>
          </w:tcPr>
          <w:p w:rsidR="00A13196" w:rsidRPr="00FB7560" w:rsidRDefault="00A13196" w:rsidP="00736CD3">
            <w:pPr>
              <w:jc w:val="center"/>
              <w:rPr>
                <w:rFonts w:ascii="Arial" w:hAnsi="Arial" w:cs="Arial"/>
                <w:sz w:val="20"/>
                <w:szCs w:val="20"/>
                <w:lang w:eastAsia="en-AU"/>
              </w:rPr>
            </w:pPr>
            <w:r w:rsidRPr="00FB7560">
              <w:rPr>
                <w:color w:val="000000" w:themeColor="text1"/>
                <w:kern w:val="24"/>
                <w:sz w:val="20"/>
                <w:szCs w:val="20"/>
                <w:lang w:eastAsia="en-AU"/>
              </w:rPr>
              <w:t>150</w:t>
            </w:r>
          </w:p>
        </w:tc>
        <w:tc>
          <w:tcPr>
            <w:tcW w:w="143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rsidR="00A13196" w:rsidRPr="00FB7560" w:rsidRDefault="00A13196" w:rsidP="00736CD3">
            <w:pPr>
              <w:jc w:val="center"/>
              <w:rPr>
                <w:rFonts w:ascii="Arial" w:hAnsi="Arial" w:cs="Arial"/>
                <w:sz w:val="20"/>
                <w:szCs w:val="20"/>
                <w:lang w:eastAsia="en-AU"/>
              </w:rPr>
            </w:pPr>
            <w:r w:rsidRPr="00FB7560">
              <w:rPr>
                <w:color w:val="000000" w:themeColor="text1"/>
                <w:kern w:val="24"/>
                <w:sz w:val="20"/>
                <w:szCs w:val="20"/>
                <w:lang w:eastAsia="en-AU"/>
              </w:rPr>
              <w:t>5,526</w:t>
            </w:r>
          </w:p>
        </w:tc>
        <w:tc>
          <w:tcPr>
            <w:tcW w:w="1432" w:type="dxa"/>
            <w:tcBorders>
              <w:top w:val="single" w:sz="8" w:space="0" w:color="000000"/>
              <w:left w:val="single" w:sz="8" w:space="0" w:color="000000"/>
              <w:bottom w:val="single" w:sz="8" w:space="0" w:color="000000"/>
              <w:right w:val="single" w:sz="8" w:space="0" w:color="000000"/>
            </w:tcBorders>
            <w:shd w:val="clear" w:color="auto" w:fill="D6E3BC"/>
            <w:tcMar>
              <w:top w:w="15" w:type="dxa"/>
              <w:left w:w="108" w:type="dxa"/>
              <w:bottom w:w="0" w:type="dxa"/>
              <w:right w:w="108" w:type="dxa"/>
            </w:tcMar>
            <w:vAlign w:val="center"/>
            <w:hideMark/>
          </w:tcPr>
          <w:p w:rsidR="00A13196" w:rsidRPr="00FB7560" w:rsidRDefault="00A13196" w:rsidP="00736CD3">
            <w:pPr>
              <w:jc w:val="center"/>
              <w:rPr>
                <w:rFonts w:ascii="Arial" w:hAnsi="Arial" w:cs="Arial"/>
                <w:sz w:val="20"/>
                <w:szCs w:val="20"/>
                <w:lang w:eastAsia="en-AU"/>
              </w:rPr>
            </w:pPr>
            <w:r w:rsidRPr="00FB7560">
              <w:rPr>
                <w:color w:val="000000" w:themeColor="text1"/>
                <w:kern w:val="24"/>
                <w:sz w:val="20"/>
                <w:szCs w:val="20"/>
                <w:lang w:eastAsia="en-AU"/>
              </w:rPr>
              <w:t>241</w:t>
            </w:r>
          </w:p>
        </w:tc>
        <w:tc>
          <w:tcPr>
            <w:tcW w:w="1432" w:type="dxa"/>
            <w:tcBorders>
              <w:top w:val="single" w:sz="8" w:space="0" w:color="000000"/>
              <w:left w:val="single" w:sz="8" w:space="0" w:color="000000"/>
              <w:bottom w:val="single" w:sz="8" w:space="0" w:color="000000"/>
              <w:right w:val="single" w:sz="8" w:space="0" w:color="000000"/>
            </w:tcBorders>
            <w:shd w:val="clear" w:color="auto" w:fill="C2D69B"/>
            <w:tcMar>
              <w:top w:w="15" w:type="dxa"/>
              <w:left w:w="108" w:type="dxa"/>
              <w:bottom w:w="0" w:type="dxa"/>
              <w:right w:w="108" w:type="dxa"/>
            </w:tcMar>
            <w:vAlign w:val="center"/>
            <w:hideMark/>
          </w:tcPr>
          <w:p w:rsidR="00A13196" w:rsidRPr="00FB7560" w:rsidRDefault="00A13196" w:rsidP="00736CD3">
            <w:pPr>
              <w:jc w:val="center"/>
              <w:rPr>
                <w:rFonts w:ascii="Arial" w:hAnsi="Arial" w:cs="Arial"/>
                <w:sz w:val="20"/>
                <w:szCs w:val="20"/>
                <w:lang w:eastAsia="en-AU"/>
              </w:rPr>
            </w:pPr>
            <w:r w:rsidRPr="00FB7560">
              <w:rPr>
                <w:color w:val="000000" w:themeColor="text1"/>
                <w:kern w:val="24"/>
                <w:sz w:val="20"/>
                <w:szCs w:val="20"/>
                <w:lang w:eastAsia="en-AU"/>
              </w:rPr>
              <w:t>9,417</w:t>
            </w:r>
          </w:p>
        </w:tc>
      </w:tr>
    </w:tbl>
    <w:p w:rsidR="00D363F0" w:rsidRPr="00D363F0" w:rsidRDefault="00606CEC" w:rsidP="00463BB3">
      <w:pPr>
        <w:pStyle w:val="SourceNotes"/>
      </w:pPr>
      <w:r w:rsidRPr="00606CEC">
        <w:t>Source: John Virtue (ACDP) 04 March 2016 and the 2014 APPR</w:t>
      </w:r>
    </w:p>
    <w:p w:rsidR="00D1143C" w:rsidRDefault="00D1143C" w:rsidP="00D1143C">
      <w:pPr>
        <w:pStyle w:val="Heading2"/>
      </w:pPr>
      <w:r w:rsidRPr="00851EC7">
        <w:t>Analysis</w:t>
      </w:r>
    </w:p>
    <w:p w:rsidR="00D1143C" w:rsidRDefault="00D1143C" w:rsidP="00D1143C">
      <w:pPr>
        <w:pStyle w:val="Heading3"/>
      </w:pPr>
      <w:r w:rsidRPr="00851EC7">
        <w:t>Relevance</w:t>
      </w:r>
    </w:p>
    <w:p w:rsidR="00181F57" w:rsidRPr="00D66A85" w:rsidRDefault="00181F57" w:rsidP="00181F57">
      <w:pPr>
        <w:rPr>
          <w:rFonts w:asciiTheme="minorHAnsi" w:eastAsiaTheme="minorHAnsi" w:hAnsiTheme="minorHAnsi" w:cstheme="minorBidi"/>
          <w:sz w:val="24"/>
          <w:szCs w:val="24"/>
        </w:rPr>
      </w:pPr>
      <w:r w:rsidRPr="00F14E96">
        <w:t xml:space="preserve">From an external relevance perspective, ACDP continues to perform well. Indeed, its relevance to both governments increased over the course of 2015. There is consensus that </w:t>
      </w:r>
      <w:r>
        <w:t>GoI’s</w:t>
      </w:r>
      <w:r w:rsidRPr="00F14E96">
        <w:t xml:space="preserve"> appetite for policy-relevant research and analysis remains strong. In </w:t>
      </w:r>
      <w:r>
        <w:t>the second half of</w:t>
      </w:r>
      <w:r w:rsidRPr="00F14E96">
        <w:t xml:space="preserve"> 2015, for example, the Minister of Education </w:t>
      </w:r>
      <w:r>
        <w:t xml:space="preserve">and Culture </w:t>
      </w:r>
      <w:r w:rsidRPr="00F14E96">
        <w:t xml:space="preserve">established the </w:t>
      </w:r>
      <w:r>
        <w:t xml:space="preserve">PASKA with a view to receiving timely, credible and useful evidence and analysis that might inform decision-making. The ministry actively solicited ACDP support for this initiative, with ACDP responding by, </w:t>
      </w:r>
      <w:r w:rsidRPr="00DB41BC">
        <w:rPr>
          <w:i/>
        </w:rPr>
        <w:t>inter alia</w:t>
      </w:r>
      <w:r>
        <w:t xml:space="preserve">, conducting three seminars on policy analysis for PASKA and developing a </w:t>
      </w:r>
      <w:r w:rsidRPr="00F6485E">
        <w:t>Policy Analysis Toolkit</w:t>
      </w:r>
      <w:r w:rsidRPr="00DB41BC">
        <w:t>. ACDP</w:t>
      </w:r>
      <w:r>
        <w:t xml:space="preserve"> studies drew the attention of the</w:t>
      </w:r>
      <w:r w:rsidRPr="00DB41BC">
        <w:t xml:space="preserve"> Minister of Education </w:t>
      </w:r>
      <w:r>
        <w:t xml:space="preserve">and Culture in 2015 and the value of </w:t>
      </w:r>
      <w:r w:rsidR="0092059B">
        <w:t>ACDP’s</w:t>
      </w:r>
      <w:r>
        <w:t xml:space="preserve"> role was strongly endorsed by</w:t>
      </w:r>
      <w:r w:rsidRPr="00DB41BC">
        <w:t xml:space="preserve"> </w:t>
      </w:r>
      <w:r>
        <w:t xml:space="preserve">both </w:t>
      </w:r>
      <w:r w:rsidRPr="00DB41BC">
        <w:t xml:space="preserve">his visit to the Secretariat on 23 July 2015 </w:t>
      </w:r>
      <w:r>
        <w:t xml:space="preserve">to discuss cooperation </w:t>
      </w:r>
      <w:r w:rsidRPr="00DB41BC">
        <w:t>and his presentation at the Teachers’ Policy Forum in early August 2015.</w:t>
      </w:r>
    </w:p>
    <w:p w:rsidR="00181F57" w:rsidRPr="00DB41BC" w:rsidRDefault="00181F57" w:rsidP="00181F57">
      <w:r>
        <w:t>The</w:t>
      </w:r>
      <w:r w:rsidRPr="00DB41BC">
        <w:t xml:space="preserve"> objective of ACDP remains consistent with</w:t>
      </w:r>
      <w:r>
        <w:t xml:space="preserve"> Australia’s</w:t>
      </w:r>
      <w:r w:rsidRPr="00DB41BC">
        <w:t xml:space="preserve"> policies and steering instruments, such as the </w:t>
      </w:r>
      <w:r w:rsidRPr="00D042AF">
        <w:rPr>
          <w:i/>
        </w:rPr>
        <w:t>Strategy for Australia’s Aid Investment in Education</w:t>
      </w:r>
      <w:r w:rsidRPr="00DB41BC">
        <w:t xml:space="preserve"> and the </w:t>
      </w:r>
      <w:r w:rsidRPr="00D042AF">
        <w:rPr>
          <w:i/>
        </w:rPr>
        <w:t>Aid Investment Plan for Indonesia</w:t>
      </w:r>
      <w:r>
        <w:rPr>
          <w:i/>
        </w:rPr>
        <w:t xml:space="preserve"> </w:t>
      </w:r>
      <w:r w:rsidRPr="00B34657">
        <w:t>(both of which were released in 2015).</w:t>
      </w:r>
      <w:r w:rsidRPr="00DB41BC">
        <w:t xml:space="preserve"> The former, for example, points to DFAT’s desire to support</w:t>
      </w:r>
      <w:r>
        <w:t xml:space="preserve"> </w:t>
      </w:r>
      <w:r w:rsidRPr="00DB41BC">
        <w:t>policy dialogue and reform, evidence-based decision making, and effective partnerships</w:t>
      </w:r>
      <w:r w:rsidR="003E12B1">
        <w:t xml:space="preserve">, </w:t>
      </w:r>
      <w:r w:rsidRPr="00DB41BC">
        <w:t xml:space="preserve">all very much aligned with ACDP’s mandate. </w:t>
      </w:r>
      <w:r>
        <w:t xml:space="preserve">More broadly, ACDP’s ambition to facilitate the incorporation of ACDP evidence within GoI’s policy, planning and budgeting processes is consistent with DFAT’s move towards using aid investments as a vehicle to improve political access and to generate political capital, and to support the emergence of </w:t>
      </w:r>
      <w:r w:rsidRPr="00DB41BC">
        <w:t>evidence-informed policy and programs</w:t>
      </w:r>
      <w:r>
        <w:t xml:space="preserve"> in the Indonesian education sector</w:t>
      </w:r>
      <w:r>
        <w:rPr>
          <w:rStyle w:val="FootnoteReference"/>
        </w:rPr>
        <w:footnoteReference w:id="114"/>
      </w:r>
      <w:r>
        <w:t>. As such, ACDP offers DFAT both an important outlet to pursue such ambitions and an important test case from which programing lessons can and should be learned.</w:t>
      </w:r>
    </w:p>
    <w:p w:rsidR="00181F57" w:rsidRPr="003643A2" w:rsidRDefault="00181F57" w:rsidP="00181F57">
      <w:r w:rsidRPr="003643A2">
        <w:lastRenderedPageBreak/>
        <w:t>In earlier APPRs</w:t>
      </w:r>
      <w:r w:rsidR="003E12B1">
        <w:t>,</w:t>
      </w:r>
      <w:r w:rsidRPr="003643A2">
        <w:t xml:space="preserve"> POM expressed concern that ACDP’s strong external relevance was not matched from a design perspective</w:t>
      </w:r>
      <w:r>
        <w:t>.</w:t>
      </w:r>
      <w:r w:rsidRPr="003643A2" w:rsidDel="00DA17BE">
        <w:t xml:space="preserve"> </w:t>
      </w:r>
      <w:r>
        <w:t>W</w:t>
      </w:r>
      <w:r w:rsidRPr="003643A2">
        <w:t>hile the existing deliverables provided a necessary foundation for the pursuit of evidence utilisation (i.e. the EOCO) it argued that the design and approach adopted by the Secretariat was in</w:t>
      </w:r>
      <w:r w:rsidR="003E12B1">
        <w:t>appropriate</w:t>
      </w:r>
      <w:r w:rsidRPr="003643A2">
        <w:t xml:space="preserve"> </w:t>
      </w:r>
      <w:r w:rsidR="00CF1EB2">
        <w:t xml:space="preserve">in order to facilitate </w:t>
      </w:r>
      <w:r w:rsidRPr="003643A2">
        <w:t xml:space="preserve">the attainment of the EOPO. </w:t>
      </w:r>
      <w:r>
        <w:t>While the</w:t>
      </w:r>
      <w:r w:rsidRPr="003643A2">
        <w:t xml:space="preserve"> design </w:t>
      </w:r>
      <w:r>
        <w:t>remains un</w:t>
      </w:r>
      <w:r w:rsidRPr="003643A2">
        <w:t xml:space="preserve">changed </w:t>
      </w:r>
      <w:r>
        <w:t>it has</w:t>
      </w:r>
      <w:r w:rsidRPr="003643A2">
        <w:t xml:space="preserve"> become apparent </w:t>
      </w:r>
      <w:r>
        <w:t>that</w:t>
      </w:r>
      <w:r w:rsidR="00CF1EB2">
        <w:t>,</w:t>
      </w:r>
      <w:r>
        <w:t xml:space="preserve"> </w:t>
      </w:r>
      <w:r w:rsidRPr="003643A2">
        <w:t>since 2014</w:t>
      </w:r>
      <w:r w:rsidR="00CF1EB2">
        <w:t>,</w:t>
      </w:r>
      <w:r w:rsidRPr="003643A2">
        <w:t xml:space="preserve"> the Secretariat has sought to add greater value by moving beyond </w:t>
      </w:r>
      <w:r>
        <w:t xml:space="preserve">a role centred largely on knowledge production </w:t>
      </w:r>
      <w:r w:rsidRPr="003643A2">
        <w:t xml:space="preserve">– something that is discussed at more length in the following sections (e.g. </w:t>
      </w:r>
      <w:r w:rsidR="007C296F">
        <w:t xml:space="preserve">Section </w:t>
      </w:r>
      <w:r w:rsidR="00021E52">
        <w:fldChar w:fldCharType="begin"/>
      </w:r>
      <w:r w:rsidR="00021E52">
        <w:instrText xml:space="preserve"> REF _Ref448145457 \w \h </w:instrText>
      </w:r>
      <w:r w:rsidR="00021E52">
        <w:fldChar w:fldCharType="separate"/>
      </w:r>
      <w:r w:rsidR="00693E96">
        <w:t>5.4.3</w:t>
      </w:r>
      <w:r w:rsidR="00021E52">
        <w:fldChar w:fldCharType="end"/>
      </w:r>
      <w:r w:rsidR="007C296F">
        <w:t>, below</w:t>
      </w:r>
      <w:r w:rsidRPr="003643A2">
        <w:t xml:space="preserve">). As such, </w:t>
      </w:r>
      <w:r>
        <w:t>POM believes that the</w:t>
      </w:r>
      <w:r w:rsidRPr="003643A2">
        <w:t xml:space="preserve"> internal relevance of ACDP has increased in 2015. </w:t>
      </w:r>
    </w:p>
    <w:p w:rsidR="00D1143C" w:rsidRDefault="00D1143C" w:rsidP="00D1143C">
      <w:pPr>
        <w:pStyle w:val="Heading3"/>
      </w:pPr>
      <w:r w:rsidRPr="00851EC7">
        <w:t>Efficiency</w:t>
      </w:r>
    </w:p>
    <w:p w:rsidR="00181F57" w:rsidRDefault="00181F57" w:rsidP="00181F57">
      <w:pPr>
        <w:rPr>
          <w:bCs/>
        </w:rPr>
      </w:pPr>
      <w:bookmarkStart w:id="86" w:name="_Ref447778362"/>
      <w:r w:rsidRPr="005737FF">
        <w:rPr>
          <w:bCs/>
        </w:rPr>
        <w:t>Two key tests of efficiency are the extent to which the output and EOCO-level milestones are being achieved on time and in accordance with agreed budget envelopes, and the extent to which the same quality and quantity of deliverables and the same level of change/results might have been achieved with less investment. To an extent, evidence-informed commentary is constrained by the absence of output and EOCO-level milestones and targets</w:t>
      </w:r>
      <w:r w:rsidRPr="005737FF">
        <w:rPr>
          <w:rStyle w:val="FootnoteReference"/>
          <w:bCs/>
        </w:rPr>
        <w:footnoteReference w:id="115"/>
      </w:r>
      <w:r w:rsidRPr="005737FF">
        <w:rPr>
          <w:bCs/>
        </w:rPr>
        <w:t xml:space="preserve"> and because ACDP’s six-mo</w:t>
      </w:r>
      <w:r>
        <w:rPr>
          <w:bCs/>
        </w:rPr>
        <w:t>n</w:t>
      </w:r>
      <w:r w:rsidRPr="005737FF">
        <w:rPr>
          <w:bCs/>
        </w:rPr>
        <w:t xml:space="preserve">th reports offer a rolling commentary rather than an explicit </w:t>
      </w:r>
      <w:r>
        <w:rPr>
          <w:bCs/>
        </w:rPr>
        <w:t>assessment</w:t>
      </w:r>
      <w:r w:rsidRPr="005737FF">
        <w:rPr>
          <w:bCs/>
        </w:rPr>
        <w:t xml:space="preserve"> </w:t>
      </w:r>
      <w:r>
        <w:rPr>
          <w:bCs/>
        </w:rPr>
        <w:t>of</w:t>
      </w:r>
      <w:r w:rsidRPr="005737FF">
        <w:rPr>
          <w:bCs/>
        </w:rPr>
        <w:t xml:space="preserve"> progress against the expectations set out in </w:t>
      </w:r>
      <w:r>
        <w:rPr>
          <w:bCs/>
        </w:rPr>
        <w:t>its</w:t>
      </w:r>
      <w:r w:rsidRPr="005737FF">
        <w:rPr>
          <w:bCs/>
        </w:rPr>
        <w:t xml:space="preserve"> workplan</w:t>
      </w:r>
      <w:r w:rsidR="003549F8">
        <w:rPr>
          <w:rStyle w:val="FootnoteReference"/>
          <w:bCs/>
        </w:rPr>
        <w:footnoteReference w:id="116"/>
      </w:r>
      <w:r w:rsidRPr="005737FF">
        <w:rPr>
          <w:bCs/>
        </w:rPr>
        <w:t>. Consequently, POM’s analysis focuses on several themes for which there is evidence: year-on-year trends in the number of studies commissioned and completed</w:t>
      </w:r>
      <w:r>
        <w:rPr>
          <w:bCs/>
        </w:rPr>
        <w:t xml:space="preserve">; </w:t>
      </w:r>
      <w:r w:rsidRPr="005737FF">
        <w:rPr>
          <w:bCs/>
        </w:rPr>
        <w:t>year-on-year trends in the value of commitments a</w:t>
      </w:r>
      <w:r>
        <w:rPr>
          <w:bCs/>
        </w:rPr>
        <w:t xml:space="preserve">nd disbursements; </w:t>
      </w:r>
      <w:r w:rsidRPr="005737FF">
        <w:rPr>
          <w:bCs/>
        </w:rPr>
        <w:t>variations to particular activities (e.g. in terms of bud</w:t>
      </w:r>
      <w:r>
        <w:rPr>
          <w:bCs/>
        </w:rPr>
        <w:t>get, personnel and timeliness),</w:t>
      </w:r>
      <w:r w:rsidRPr="005737FF">
        <w:rPr>
          <w:bCs/>
        </w:rPr>
        <w:t xml:space="preserve"> and</w:t>
      </w:r>
      <w:r>
        <w:rPr>
          <w:bCs/>
        </w:rPr>
        <w:t>;</w:t>
      </w:r>
      <w:r w:rsidRPr="005737FF">
        <w:rPr>
          <w:bCs/>
        </w:rPr>
        <w:t xml:space="preserve"> any key changes to the make-up of ACDP’s portfolio of work. </w:t>
      </w:r>
    </w:p>
    <w:p w:rsidR="00181F57" w:rsidRDefault="00181F57" w:rsidP="00181F57">
      <w:pPr>
        <w:rPr>
          <w:bCs/>
        </w:rPr>
      </w:pPr>
      <w:r w:rsidRPr="00262E92">
        <w:t>2015 witnessed a sharp decline in the number of new studies commissioned by ACDP, reversing a trend of year-on-year increases from 2011 to 2014 (see</w:t>
      </w:r>
      <w:r w:rsidR="00985389">
        <w:t xml:space="preserve"> </w:t>
      </w:r>
      <w:r w:rsidR="00985389">
        <w:fldChar w:fldCharType="begin"/>
      </w:r>
      <w:r w:rsidR="00985389">
        <w:instrText xml:space="preserve"> REF _Ref448156158 \h </w:instrText>
      </w:r>
      <w:r w:rsidR="00985389">
        <w:fldChar w:fldCharType="separate"/>
      </w:r>
      <w:r w:rsidR="00EC36D2" w:rsidRPr="00A13196">
        <w:t xml:space="preserve">Table </w:t>
      </w:r>
      <w:r w:rsidR="00EC36D2">
        <w:rPr>
          <w:noProof/>
        </w:rPr>
        <w:t>19</w:t>
      </w:r>
      <w:r w:rsidR="00985389">
        <w:fldChar w:fldCharType="end"/>
      </w:r>
      <w:r w:rsidRPr="00262E92">
        <w:rPr>
          <w:bCs/>
        </w:rPr>
        <w:t xml:space="preserve">). </w:t>
      </w:r>
      <w:r>
        <w:rPr>
          <w:bCs/>
        </w:rPr>
        <w:t>T</w:t>
      </w:r>
      <w:r w:rsidRPr="00262E92">
        <w:rPr>
          <w:bCs/>
        </w:rPr>
        <w:t xml:space="preserve">o an extent, </w:t>
      </w:r>
      <w:r>
        <w:rPr>
          <w:bCs/>
        </w:rPr>
        <w:t>the change</w:t>
      </w:r>
      <w:r w:rsidRPr="00262E92">
        <w:rPr>
          <w:bCs/>
        </w:rPr>
        <w:t xml:space="preserve"> could reflect a conscious effort on behalf of the ACDP</w:t>
      </w:r>
      <w:r>
        <w:rPr>
          <w:bCs/>
        </w:rPr>
        <w:t xml:space="preserve"> and its Secretariat to diversif</w:t>
      </w:r>
      <w:r w:rsidRPr="00262E92">
        <w:rPr>
          <w:bCs/>
        </w:rPr>
        <w:t xml:space="preserve">y its product offering from the reliance on large-scale studies that characterised much of its first three years of operation. </w:t>
      </w:r>
      <w:r>
        <w:rPr>
          <w:bCs/>
        </w:rPr>
        <w:t>More likely</w:t>
      </w:r>
      <w:r w:rsidRPr="00262E92">
        <w:rPr>
          <w:bCs/>
        </w:rPr>
        <w:t xml:space="preserve">, the Secretariat’s ability to discuss, finalise and tender particular studies was compromised by GoI’s turnover of key Echelon 1 and Echelon 2 staff in 2014 and 2015. Without doubt, however, the protracted extension discussions and the delays to the processing of the extension request </w:t>
      </w:r>
      <w:r>
        <w:rPr>
          <w:bCs/>
        </w:rPr>
        <w:t xml:space="preserve">(see </w:t>
      </w:r>
      <w:r w:rsidR="007C296F">
        <w:rPr>
          <w:bCs/>
        </w:rPr>
        <w:t xml:space="preserve">Section </w:t>
      </w:r>
      <w:r w:rsidR="00021E52">
        <w:rPr>
          <w:bCs/>
        </w:rPr>
        <w:fldChar w:fldCharType="begin"/>
      </w:r>
      <w:r w:rsidR="00021E52">
        <w:rPr>
          <w:bCs/>
        </w:rPr>
        <w:instrText xml:space="preserve"> REF _Ref448145433 \w \h </w:instrText>
      </w:r>
      <w:r w:rsidR="00021E52">
        <w:rPr>
          <w:bCs/>
        </w:rPr>
      </w:r>
      <w:r w:rsidR="00021E52">
        <w:rPr>
          <w:bCs/>
        </w:rPr>
        <w:fldChar w:fldCharType="separate"/>
      </w:r>
      <w:r w:rsidR="00693E96">
        <w:rPr>
          <w:bCs/>
        </w:rPr>
        <w:t>5.2</w:t>
      </w:r>
      <w:r w:rsidR="00021E52">
        <w:rPr>
          <w:bCs/>
        </w:rPr>
        <w:fldChar w:fldCharType="end"/>
      </w:r>
      <w:r w:rsidR="007C296F">
        <w:rPr>
          <w:bCs/>
        </w:rPr>
        <w:t>, above)</w:t>
      </w:r>
      <w:r>
        <w:rPr>
          <w:bCs/>
        </w:rPr>
        <w:t xml:space="preserve"> </w:t>
      </w:r>
      <w:r w:rsidRPr="00262E92">
        <w:rPr>
          <w:bCs/>
        </w:rPr>
        <w:t>had a considerable impact</w:t>
      </w:r>
      <w:r>
        <w:rPr>
          <w:bCs/>
        </w:rPr>
        <w:t>, delaying</w:t>
      </w:r>
      <w:r w:rsidRPr="00262E92">
        <w:rPr>
          <w:bCs/>
        </w:rPr>
        <w:t xml:space="preserve"> the approval of ACDP’s workplan for 2015 and </w:t>
      </w:r>
      <w:r>
        <w:rPr>
          <w:bCs/>
        </w:rPr>
        <w:t xml:space="preserve">preventing </w:t>
      </w:r>
      <w:r w:rsidRPr="00262E92">
        <w:rPr>
          <w:bCs/>
        </w:rPr>
        <w:t xml:space="preserve">the ADB from </w:t>
      </w:r>
      <w:r>
        <w:rPr>
          <w:bCs/>
        </w:rPr>
        <w:t>awarding</w:t>
      </w:r>
      <w:r w:rsidRPr="00262E92">
        <w:rPr>
          <w:bCs/>
        </w:rPr>
        <w:t xml:space="preserve"> contracts that would extend beyond 31 December 2015, i.e. its </w:t>
      </w:r>
      <w:r w:rsidR="00CF1EB2">
        <w:rPr>
          <w:bCs/>
        </w:rPr>
        <w:t xml:space="preserve">original, </w:t>
      </w:r>
      <w:r w:rsidRPr="00262E92">
        <w:rPr>
          <w:bCs/>
        </w:rPr>
        <w:t xml:space="preserve">official end </w:t>
      </w:r>
      <w:r w:rsidR="00CF1EB2">
        <w:rPr>
          <w:bCs/>
        </w:rPr>
        <w:t>date</w:t>
      </w:r>
      <w:r w:rsidRPr="00262E92">
        <w:rPr>
          <w:bCs/>
        </w:rPr>
        <w:t xml:space="preserve"> up until December 2015</w:t>
      </w:r>
      <w:r>
        <w:rPr>
          <w:bCs/>
        </w:rPr>
        <w:t>, at which point it was extended to June 2017</w:t>
      </w:r>
      <w:r w:rsidRPr="00262E92">
        <w:rPr>
          <w:bCs/>
        </w:rPr>
        <w:t>.</w:t>
      </w:r>
    </w:p>
    <w:p w:rsidR="00985389" w:rsidRDefault="00985389" w:rsidP="00181F57">
      <w:pPr>
        <w:rPr>
          <w:bCs/>
        </w:rPr>
      </w:pPr>
    </w:p>
    <w:p w:rsidR="00985389" w:rsidRDefault="00985389" w:rsidP="00181F57">
      <w:pPr>
        <w:rPr>
          <w:bCs/>
        </w:rPr>
      </w:pPr>
    </w:p>
    <w:p w:rsidR="00606CEC" w:rsidRDefault="00606CEC" w:rsidP="00606CEC">
      <w:pPr>
        <w:pStyle w:val="Caption-Table"/>
      </w:pPr>
      <w:bookmarkStart w:id="87" w:name="_Ref447914998"/>
      <w:bookmarkStart w:id="88" w:name="_Ref448156158"/>
      <w:bookmarkStart w:id="89" w:name="_Toc450131640"/>
      <w:r w:rsidRPr="00A13196">
        <w:lastRenderedPageBreak/>
        <w:t xml:space="preserve">Table </w:t>
      </w:r>
      <w:r w:rsidRPr="00A13196">
        <w:fldChar w:fldCharType="begin"/>
      </w:r>
      <w:r w:rsidRPr="00A13196">
        <w:instrText xml:space="preserve"> SEQ Table \* ARABIC </w:instrText>
      </w:r>
      <w:r w:rsidRPr="00A13196">
        <w:fldChar w:fldCharType="separate"/>
      </w:r>
      <w:r w:rsidR="00EC36D2">
        <w:rPr>
          <w:noProof/>
        </w:rPr>
        <w:t>19</w:t>
      </w:r>
      <w:r w:rsidRPr="00A13196">
        <w:fldChar w:fldCharType="end"/>
      </w:r>
      <w:bookmarkEnd w:id="86"/>
      <w:bookmarkEnd w:id="87"/>
      <w:bookmarkEnd w:id="88"/>
      <w:r w:rsidRPr="00A13196">
        <w:t xml:space="preserve">: </w:t>
      </w:r>
      <w:r>
        <w:t>Studies commissioned</w:t>
      </w:r>
      <w:r w:rsidRPr="00D20962">
        <w:t>/year</w:t>
      </w:r>
      <w:bookmarkEnd w:id="89"/>
    </w:p>
    <w:tbl>
      <w:tblPr>
        <w:tblStyle w:val="TableGrid20"/>
        <w:tblW w:w="5000" w:type="pct"/>
        <w:jc w:val="center"/>
        <w:tblLook w:val="04A0" w:firstRow="1" w:lastRow="0" w:firstColumn="1" w:lastColumn="0" w:noHBand="0" w:noVBand="1"/>
      </w:tblPr>
      <w:tblGrid>
        <w:gridCol w:w="4096"/>
        <w:gridCol w:w="1026"/>
        <w:gridCol w:w="1026"/>
        <w:gridCol w:w="1045"/>
        <w:gridCol w:w="1026"/>
        <w:gridCol w:w="1026"/>
      </w:tblGrid>
      <w:tr w:rsidR="00606CEC" w:rsidRPr="00D20962" w:rsidTr="00736CD3">
        <w:trPr>
          <w:trHeight w:val="463"/>
          <w:jc w:val="center"/>
        </w:trPr>
        <w:tc>
          <w:tcPr>
            <w:tcW w:w="2243" w:type="pct"/>
            <w:shd w:val="clear" w:color="auto" w:fill="17365D" w:themeFill="text2" w:themeFillShade="BF"/>
            <w:vAlign w:val="center"/>
          </w:tcPr>
          <w:p w:rsidR="00606CEC" w:rsidRPr="00D20962" w:rsidRDefault="00606CEC" w:rsidP="00736CD3">
            <w:pPr>
              <w:spacing w:before="60" w:after="60"/>
              <w:jc w:val="center"/>
              <w:rPr>
                <w:rFonts w:asciiTheme="minorHAnsi" w:hAnsiTheme="minorHAnsi"/>
                <w:b/>
              </w:rPr>
            </w:pPr>
          </w:p>
        </w:tc>
        <w:tc>
          <w:tcPr>
            <w:tcW w:w="547" w:type="pct"/>
            <w:shd w:val="clear" w:color="auto" w:fill="17365D" w:themeFill="text2" w:themeFillShade="BF"/>
            <w:vAlign w:val="center"/>
          </w:tcPr>
          <w:p w:rsidR="00606CEC" w:rsidRPr="00D20962" w:rsidRDefault="00606CEC" w:rsidP="00736CD3">
            <w:pPr>
              <w:spacing w:before="60" w:after="60"/>
              <w:jc w:val="center"/>
              <w:rPr>
                <w:rFonts w:asciiTheme="minorHAnsi" w:hAnsiTheme="minorHAnsi"/>
                <w:b/>
              </w:rPr>
            </w:pPr>
            <w:r w:rsidRPr="00D20962">
              <w:rPr>
                <w:rFonts w:asciiTheme="minorHAnsi" w:hAnsiTheme="minorHAnsi"/>
                <w:b/>
              </w:rPr>
              <w:t>2011</w:t>
            </w:r>
          </w:p>
        </w:tc>
        <w:tc>
          <w:tcPr>
            <w:tcW w:w="547" w:type="pct"/>
            <w:shd w:val="clear" w:color="auto" w:fill="17365D" w:themeFill="text2" w:themeFillShade="BF"/>
            <w:vAlign w:val="center"/>
          </w:tcPr>
          <w:p w:rsidR="00606CEC" w:rsidRPr="00D20962" w:rsidRDefault="00606CEC" w:rsidP="00736CD3">
            <w:pPr>
              <w:spacing w:before="60" w:after="60"/>
              <w:jc w:val="center"/>
              <w:rPr>
                <w:rFonts w:asciiTheme="minorHAnsi" w:hAnsiTheme="minorHAnsi"/>
                <w:b/>
              </w:rPr>
            </w:pPr>
            <w:r w:rsidRPr="00D20962">
              <w:rPr>
                <w:rFonts w:asciiTheme="minorHAnsi" w:hAnsiTheme="minorHAnsi"/>
                <w:b/>
              </w:rPr>
              <w:t>2012</w:t>
            </w:r>
          </w:p>
        </w:tc>
        <w:tc>
          <w:tcPr>
            <w:tcW w:w="592" w:type="pct"/>
            <w:shd w:val="clear" w:color="auto" w:fill="17365D" w:themeFill="text2" w:themeFillShade="BF"/>
            <w:vAlign w:val="center"/>
          </w:tcPr>
          <w:p w:rsidR="00606CEC" w:rsidRPr="00D20962" w:rsidRDefault="00606CEC" w:rsidP="00736CD3">
            <w:pPr>
              <w:spacing w:before="60" w:after="60"/>
              <w:jc w:val="center"/>
              <w:rPr>
                <w:rFonts w:asciiTheme="minorHAnsi" w:hAnsiTheme="minorHAnsi"/>
                <w:b/>
              </w:rPr>
            </w:pPr>
            <w:r w:rsidRPr="00D20962">
              <w:rPr>
                <w:rFonts w:asciiTheme="minorHAnsi" w:hAnsiTheme="minorHAnsi"/>
                <w:b/>
              </w:rPr>
              <w:t>2013</w:t>
            </w:r>
          </w:p>
        </w:tc>
        <w:tc>
          <w:tcPr>
            <w:tcW w:w="535" w:type="pct"/>
            <w:shd w:val="clear" w:color="auto" w:fill="17365D" w:themeFill="text2" w:themeFillShade="BF"/>
            <w:vAlign w:val="center"/>
          </w:tcPr>
          <w:p w:rsidR="00606CEC" w:rsidRPr="00D20962" w:rsidRDefault="00606CEC" w:rsidP="00736CD3">
            <w:pPr>
              <w:spacing w:before="60" w:after="60"/>
              <w:jc w:val="center"/>
              <w:rPr>
                <w:rFonts w:asciiTheme="minorHAnsi" w:hAnsiTheme="minorHAnsi"/>
                <w:b/>
              </w:rPr>
            </w:pPr>
            <w:r w:rsidRPr="00D20962">
              <w:rPr>
                <w:rFonts w:asciiTheme="minorHAnsi" w:hAnsiTheme="minorHAnsi"/>
                <w:b/>
              </w:rPr>
              <w:t>2014</w:t>
            </w:r>
          </w:p>
        </w:tc>
        <w:tc>
          <w:tcPr>
            <w:tcW w:w="535" w:type="pct"/>
            <w:shd w:val="clear" w:color="auto" w:fill="17365D" w:themeFill="text2" w:themeFillShade="BF"/>
            <w:vAlign w:val="center"/>
          </w:tcPr>
          <w:p w:rsidR="00606CEC" w:rsidRPr="00D20962" w:rsidRDefault="00606CEC" w:rsidP="00736CD3">
            <w:pPr>
              <w:spacing w:before="60" w:after="60"/>
              <w:jc w:val="center"/>
              <w:rPr>
                <w:rFonts w:asciiTheme="minorHAnsi" w:hAnsiTheme="minorHAnsi"/>
                <w:b/>
              </w:rPr>
            </w:pPr>
            <w:r>
              <w:rPr>
                <w:rFonts w:asciiTheme="minorHAnsi" w:hAnsiTheme="minorHAnsi"/>
                <w:b/>
              </w:rPr>
              <w:t>2015</w:t>
            </w:r>
          </w:p>
        </w:tc>
      </w:tr>
      <w:tr w:rsidR="00606CEC" w:rsidRPr="00A56343" w:rsidTr="00736CD3">
        <w:trPr>
          <w:trHeight w:val="434"/>
          <w:jc w:val="center"/>
        </w:trPr>
        <w:tc>
          <w:tcPr>
            <w:tcW w:w="2243" w:type="pct"/>
            <w:vAlign w:val="center"/>
          </w:tcPr>
          <w:p w:rsidR="00606CEC" w:rsidRPr="00A56343" w:rsidRDefault="00606CEC" w:rsidP="00736CD3">
            <w:pPr>
              <w:spacing w:before="60" w:after="60"/>
              <w:rPr>
                <w:rFonts w:asciiTheme="minorHAnsi" w:hAnsiTheme="minorHAnsi"/>
                <w:b/>
                <w:sz w:val="20"/>
                <w:szCs w:val="20"/>
              </w:rPr>
            </w:pPr>
            <w:r w:rsidRPr="00A56343">
              <w:rPr>
                <w:rFonts w:asciiTheme="minorHAnsi" w:hAnsiTheme="minorHAnsi"/>
                <w:b/>
                <w:sz w:val="20"/>
                <w:szCs w:val="20"/>
              </w:rPr>
              <w:t>Total number of research activities started</w:t>
            </w:r>
          </w:p>
        </w:tc>
        <w:tc>
          <w:tcPr>
            <w:tcW w:w="547" w:type="pct"/>
            <w:shd w:val="clear" w:color="auto" w:fill="FFFFFF" w:themeFill="background1"/>
            <w:vAlign w:val="center"/>
          </w:tcPr>
          <w:p w:rsidR="00606CEC" w:rsidRPr="00A56343" w:rsidRDefault="00606CEC" w:rsidP="00736CD3">
            <w:pPr>
              <w:jc w:val="center"/>
              <w:rPr>
                <w:sz w:val="20"/>
                <w:szCs w:val="20"/>
              </w:rPr>
            </w:pPr>
            <w:r w:rsidRPr="00A56343">
              <w:rPr>
                <w:sz w:val="20"/>
                <w:szCs w:val="20"/>
              </w:rPr>
              <w:t>7</w:t>
            </w:r>
          </w:p>
        </w:tc>
        <w:tc>
          <w:tcPr>
            <w:tcW w:w="547" w:type="pct"/>
            <w:shd w:val="clear" w:color="auto" w:fill="FFFFFF" w:themeFill="background1"/>
            <w:vAlign w:val="center"/>
          </w:tcPr>
          <w:p w:rsidR="00606CEC" w:rsidRPr="00A56343" w:rsidRDefault="00606CEC" w:rsidP="00736CD3">
            <w:pPr>
              <w:jc w:val="center"/>
              <w:rPr>
                <w:sz w:val="20"/>
                <w:szCs w:val="20"/>
              </w:rPr>
            </w:pPr>
            <w:r w:rsidRPr="00A56343">
              <w:rPr>
                <w:sz w:val="20"/>
                <w:szCs w:val="20"/>
              </w:rPr>
              <w:t>8</w:t>
            </w:r>
          </w:p>
        </w:tc>
        <w:tc>
          <w:tcPr>
            <w:tcW w:w="592" w:type="pct"/>
            <w:shd w:val="clear" w:color="auto" w:fill="FFFFFF" w:themeFill="background1"/>
            <w:vAlign w:val="center"/>
          </w:tcPr>
          <w:p w:rsidR="00606CEC" w:rsidRPr="00A56343" w:rsidRDefault="00606CEC" w:rsidP="00736CD3">
            <w:pPr>
              <w:jc w:val="center"/>
              <w:rPr>
                <w:sz w:val="20"/>
                <w:szCs w:val="20"/>
              </w:rPr>
            </w:pPr>
            <w:r w:rsidRPr="00A56343">
              <w:rPr>
                <w:sz w:val="20"/>
                <w:szCs w:val="20"/>
              </w:rPr>
              <w:t>10</w:t>
            </w:r>
          </w:p>
        </w:tc>
        <w:tc>
          <w:tcPr>
            <w:tcW w:w="535" w:type="pct"/>
            <w:shd w:val="clear" w:color="auto" w:fill="FFFFFF" w:themeFill="background1"/>
            <w:vAlign w:val="center"/>
          </w:tcPr>
          <w:p w:rsidR="00606CEC" w:rsidRPr="00A56343" w:rsidRDefault="00606CEC" w:rsidP="00736CD3">
            <w:pPr>
              <w:jc w:val="center"/>
              <w:rPr>
                <w:sz w:val="20"/>
                <w:szCs w:val="20"/>
              </w:rPr>
            </w:pPr>
            <w:r w:rsidRPr="00A56343">
              <w:rPr>
                <w:sz w:val="20"/>
                <w:szCs w:val="20"/>
              </w:rPr>
              <w:t>12</w:t>
            </w:r>
          </w:p>
        </w:tc>
        <w:tc>
          <w:tcPr>
            <w:tcW w:w="535" w:type="pct"/>
            <w:shd w:val="clear" w:color="auto" w:fill="FFFFFF" w:themeFill="background1"/>
            <w:vAlign w:val="center"/>
          </w:tcPr>
          <w:p w:rsidR="00606CEC" w:rsidRPr="00A56343" w:rsidRDefault="00606CEC" w:rsidP="00736CD3">
            <w:pPr>
              <w:jc w:val="center"/>
              <w:rPr>
                <w:sz w:val="20"/>
                <w:szCs w:val="20"/>
              </w:rPr>
            </w:pPr>
            <w:r w:rsidRPr="00A56343">
              <w:rPr>
                <w:sz w:val="20"/>
                <w:szCs w:val="20"/>
              </w:rPr>
              <w:t>4</w:t>
            </w:r>
          </w:p>
        </w:tc>
      </w:tr>
      <w:tr w:rsidR="00606CEC" w:rsidRPr="00A56343" w:rsidTr="00736CD3">
        <w:trPr>
          <w:trHeight w:val="434"/>
          <w:jc w:val="center"/>
        </w:trPr>
        <w:tc>
          <w:tcPr>
            <w:tcW w:w="2243" w:type="pct"/>
            <w:vAlign w:val="center"/>
          </w:tcPr>
          <w:p w:rsidR="00606CEC" w:rsidRPr="00A56343" w:rsidRDefault="00606CEC" w:rsidP="00736CD3">
            <w:pPr>
              <w:spacing w:before="60" w:after="60"/>
              <w:rPr>
                <w:rFonts w:asciiTheme="minorHAnsi" w:hAnsiTheme="minorHAnsi"/>
                <w:b/>
                <w:sz w:val="20"/>
                <w:szCs w:val="20"/>
              </w:rPr>
            </w:pPr>
            <w:r w:rsidRPr="00A56343">
              <w:rPr>
                <w:rFonts w:asciiTheme="minorHAnsi" w:hAnsiTheme="minorHAnsi"/>
                <w:b/>
                <w:sz w:val="20"/>
                <w:szCs w:val="20"/>
              </w:rPr>
              <w:t>USD value of research activities started</w:t>
            </w:r>
          </w:p>
        </w:tc>
        <w:tc>
          <w:tcPr>
            <w:tcW w:w="547" w:type="pct"/>
            <w:shd w:val="clear" w:color="auto" w:fill="FFFFFF" w:themeFill="background1"/>
            <w:vAlign w:val="center"/>
          </w:tcPr>
          <w:p w:rsidR="00606CEC" w:rsidRPr="00A56343" w:rsidRDefault="00606CEC" w:rsidP="00736CD3">
            <w:pPr>
              <w:jc w:val="center"/>
              <w:rPr>
                <w:sz w:val="20"/>
                <w:szCs w:val="20"/>
              </w:rPr>
            </w:pPr>
            <w:r w:rsidRPr="00A56343">
              <w:rPr>
                <w:sz w:val="20"/>
                <w:szCs w:val="20"/>
              </w:rPr>
              <w:t>4,210,072</w:t>
            </w:r>
          </w:p>
        </w:tc>
        <w:tc>
          <w:tcPr>
            <w:tcW w:w="547" w:type="pct"/>
            <w:shd w:val="clear" w:color="auto" w:fill="FFFFFF" w:themeFill="background1"/>
            <w:vAlign w:val="center"/>
          </w:tcPr>
          <w:p w:rsidR="00606CEC" w:rsidRPr="00A56343" w:rsidRDefault="00606CEC" w:rsidP="00736CD3">
            <w:pPr>
              <w:jc w:val="center"/>
              <w:rPr>
                <w:sz w:val="20"/>
                <w:szCs w:val="20"/>
              </w:rPr>
            </w:pPr>
            <w:r w:rsidRPr="00A56343">
              <w:rPr>
                <w:sz w:val="20"/>
                <w:szCs w:val="20"/>
              </w:rPr>
              <w:t>4,480,039</w:t>
            </w:r>
          </w:p>
        </w:tc>
        <w:tc>
          <w:tcPr>
            <w:tcW w:w="592" w:type="pct"/>
            <w:shd w:val="clear" w:color="auto" w:fill="FFFFFF" w:themeFill="background1"/>
            <w:vAlign w:val="center"/>
          </w:tcPr>
          <w:p w:rsidR="00606CEC" w:rsidRPr="00A56343" w:rsidRDefault="00606CEC" w:rsidP="00736CD3">
            <w:pPr>
              <w:jc w:val="center"/>
              <w:rPr>
                <w:sz w:val="20"/>
                <w:szCs w:val="20"/>
              </w:rPr>
            </w:pPr>
            <w:r w:rsidRPr="00A56343">
              <w:rPr>
                <w:sz w:val="20"/>
                <w:szCs w:val="20"/>
              </w:rPr>
              <w:t>5,505,823</w:t>
            </w:r>
          </w:p>
        </w:tc>
        <w:tc>
          <w:tcPr>
            <w:tcW w:w="535" w:type="pct"/>
            <w:shd w:val="clear" w:color="auto" w:fill="FFFFFF" w:themeFill="background1"/>
            <w:vAlign w:val="center"/>
          </w:tcPr>
          <w:p w:rsidR="00606CEC" w:rsidRPr="00A56343" w:rsidRDefault="00606CEC" w:rsidP="00736CD3">
            <w:pPr>
              <w:jc w:val="center"/>
              <w:rPr>
                <w:sz w:val="20"/>
                <w:szCs w:val="20"/>
              </w:rPr>
            </w:pPr>
            <w:r w:rsidRPr="00A56343">
              <w:rPr>
                <w:sz w:val="20"/>
                <w:szCs w:val="20"/>
              </w:rPr>
              <w:t>6,050,438</w:t>
            </w:r>
          </w:p>
        </w:tc>
        <w:tc>
          <w:tcPr>
            <w:tcW w:w="535" w:type="pct"/>
            <w:shd w:val="clear" w:color="auto" w:fill="FFFFFF" w:themeFill="background1"/>
            <w:vAlign w:val="center"/>
          </w:tcPr>
          <w:p w:rsidR="00606CEC" w:rsidRPr="00A56343" w:rsidRDefault="00606CEC" w:rsidP="00736CD3">
            <w:pPr>
              <w:jc w:val="center"/>
              <w:rPr>
                <w:sz w:val="20"/>
                <w:szCs w:val="20"/>
              </w:rPr>
            </w:pPr>
            <w:r w:rsidRPr="00A56343">
              <w:rPr>
                <w:sz w:val="20"/>
                <w:szCs w:val="20"/>
              </w:rPr>
              <w:t>2,037,772</w:t>
            </w:r>
          </w:p>
        </w:tc>
      </w:tr>
      <w:tr w:rsidR="00606CEC" w:rsidRPr="00A56343" w:rsidTr="00736CD3">
        <w:trPr>
          <w:trHeight w:val="434"/>
          <w:jc w:val="center"/>
        </w:trPr>
        <w:tc>
          <w:tcPr>
            <w:tcW w:w="2243" w:type="pct"/>
            <w:vAlign w:val="center"/>
          </w:tcPr>
          <w:p w:rsidR="00606CEC" w:rsidRPr="00A56343" w:rsidRDefault="00606CEC" w:rsidP="00606CEC">
            <w:pPr>
              <w:spacing w:before="60" w:after="60"/>
              <w:jc w:val="left"/>
              <w:rPr>
                <w:color w:val="FF0000"/>
                <w:sz w:val="20"/>
                <w:szCs w:val="20"/>
              </w:rPr>
            </w:pPr>
            <w:r w:rsidRPr="00A56343">
              <w:rPr>
                <w:rFonts w:asciiTheme="minorHAnsi" w:hAnsiTheme="minorHAnsi"/>
                <w:b/>
                <w:sz w:val="20"/>
                <w:szCs w:val="20"/>
              </w:rPr>
              <w:t xml:space="preserve">Average USD value of the research activities </w:t>
            </w:r>
          </w:p>
        </w:tc>
        <w:tc>
          <w:tcPr>
            <w:tcW w:w="547" w:type="pct"/>
            <w:shd w:val="clear" w:color="auto" w:fill="FFFFFF" w:themeFill="background1"/>
            <w:vAlign w:val="center"/>
          </w:tcPr>
          <w:p w:rsidR="00606CEC" w:rsidRPr="00A56343" w:rsidRDefault="00606CEC" w:rsidP="00736CD3">
            <w:pPr>
              <w:jc w:val="center"/>
              <w:rPr>
                <w:sz w:val="20"/>
                <w:szCs w:val="20"/>
              </w:rPr>
            </w:pPr>
            <w:r w:rsidRPr="00A56343">
              <w:rPr>
                <w:sz w:val="20"/>
                <w:szCs w:val="20"/>
              </w:rPr>
              <w:t>601,439</w:t>
            </w:r>
          </w:p>
        </w:tc>
        <w:tc>
          <w:tcPr>
            <w:tcW w:w="547" w:type="pct"/>
            <w:shd w:val="clear" w:color="auto" w:fill="FFFFFF" w:themeFill="background1"/>
            <w:vAlign w:val="center"/>
          </w:tcPr>
          <w:p w:rsidR="00606CEC" w:rsidRPr="00A56343" w:rsidRDefault="00606CEC" w:rsidP="00736CD3">
            <w:pPr>
              <w:jc w:val="center"/>
              <w:rPr>
                <w:sz w:val="20"/>
                <w:szCs w:val="20"/>
              </w:rPr>
            </w:pPr>
            <w:r w:rsidRPr="00A56343">
              <w:rPr>
                <w:sz w:val="20"/>
                <w:szCs w:val="20"/>
              </w:rPr>
              <w:t>560,005</w:t>
            </w:r>
          </w:p>
        </w:tc>
        <w:tc>
          <w:tcPr>
            <w:tcW w:w="592" w:type="pct"/>
            <w:shd w:val="clear" w:color="auto" w:fill="FFFFFF" w:themeFill="background1"/>
            <w:vAlign w:val="center"/>
          </w:tcPr>
          <w:p w:rsidR="00606CEC" w:rsidRPr="00A56343" w:rsidRDefault="00606CEC" w:rsidP="00736CD3">
            <w:pPr>
              <w:jc w:val="center"/>
              <w:rPr>
                <w:sz w:val="20"/>
                <w:szCs w:val="20"/>
              </w:rPr>
            </w:pPr>
            <w:r w:rsidRPr="00A56343">
              <w:rPr>
                <w:sz w:val="20"/>
                <w:szCs w:val="20"/>
              </w:rPr>
              <w:t>550,582</w:t>
            </w:r>
          </w:p>
        </w:tc>
        <w:tc>
          <w:tcPr>
            <w:tcW w:w="535" w:type="pct"/>
            <w:shd w:val="clear" w:color="auto" w:fill="FFFFFF" w:themeFill="background1"/>
            <w:vAlign w:val="center"/>
          </w:tcPr>
          <w:p w:rsidR="00606CEC" w:rsidRPr="00A56343" w:rsidRDefault="00606CEC" w:rsidP="00736CD3">
            <w:pPr>
              <w:jc w:val="center"/>
              <w:rPr>
                <w:sz w:val="20"/>
                <w:szCs w:val="20"/>
              </w:rPr>
            </w:pPr>
            <w:r w:rsidRPr="00A56343">
              <w:rPr>
                <w:sz w:val="20"/>
                <w:szCs w:val="20"/>
              </w:rPr>
              <w:t>504,203</w:t>
            </w:r>
          </w:p>
        </w:tc>
        <w:tc>
          <w:tcPr>
            <w:tcW w:w="535" w:type="pct"/>
            <w:shd w:val="clear" w:color="auto" w:fill="FFFFFF" w:themeFill="background1"/>
            <w:vAlign w:val="center"/>
          </w:tcPr>
          <w:p w:rsidR="00606CEC" w:rsidRPr="00A56343" w:rsidRDefault="00606CEC" w:rsidP="00736CD3">
            <w:pPr>
              <w:jc w:val="center"/>
              <w:rPr>
                <w:sz w:val="20"/>
                <w:szCs w:val="20"/>
              </w:rPr>
            </w:pPr>
            <w:r w:rsidRPr="00A56343">
              <w:rPr>
                <w:sz w:val="20"/>
                <w:szCs w:val="20"/>
              </w:rPr>
              <w:t>509,443</w:t>
            </w:r>
          </w:p>
        </w:tc>
      </w:tr>
    </w:tbl>
    <w:p w:rsidR="00606CEC" w:rsidRDefault="00606CEC" w:rsidP="001D2009">
      <w:pPr>
        <w:pStyle w:val="SourceNotes"/>
      </w:pPr>
      <w:r w:rsidRPr="005F56AA">
        <w:t xml:space="preserve">Source: POM calculations based on ACDP’s </w:t>
      </w:r>
      <w:r w:rsidRPr="006D2FD9">
        <w:t>Six-</w:t>
      </w:r>
      <w:r w:rsidRPr="006D2FD9">
        <w:rPr>
          <w:rFonts w:asciiTheme="minorHAnsi" w:hAnsiTheme="minorHAnsi"/>
        </w:rPr>
        <w:t>Monthly Progress Report of mid-2015</w:t>
      </w:r>
      <w:r>
        <w:rPr>
          <w:rFonts w:asciiTheme="minorHAnsi" w:hAnsiTheme="minorHAnsi"/>
        </w:rPr>
        <w:t xml:space="preserve"> </w:t>
      </w:r>
      <w:r w:rsidRPr="005F56AA">
        <w:t xml:space="preserve">and as reviewed by John Virtue </w:t>
      </w:r>
      <w:r>
        <w:t xml:space="preserve">(ACDP) </w:t>
      </w:r>
      <w:r w:rsidRPr="005F56AA">
        <w:t>in March 2016</w:t>
      </w:r>
    </w:p>
    <w:p w:rsidR="00181F57" w:rsidRDefault="00181F57" w:rsidP="00181F57">
      <w:pPr>
        <w:rPr>
          <w:bCs/>
          <w:color w:val="000000" w:themeColor="text1"/>
        </w:rPr>
      </w:pPr>
      <w:r w:rsidRPr="00262E92">
        <w:rPr>
          <w:bCs/>
        </w:rPr>
        <w:t>While ACDP’s rate of commissioning declined sharply in 2015, it did bring a number of studies to a successful conclusion. In fact, it concluded more studies in 2015 than in either of the two previous years (see</w:t>
      </w:r>
      <w:r w:rsidR="00CF1EB2">
        <w:rPr>
          <w:bCs/>
        </w:rPr>
        <w:t xml:space="preserve"> </w:t>
      </w:r>
      <w:r>
        <w:rPr>
          <w:bCs/>
        </w:rPr>
        <w:fldChar w:fldCharType="begin"/>
      </w:r>
      <w:r>
        <w:rPr>
          <w:bCs/>
        </w:rPr>
        <w:instrText xml:space="preserve"> REF _Ref447778728 \h </w:instrText>
      </w:r>
      <w:r>
        <w:rPr>
          <w:bCs/>
        </w:rPr>
      </w:r>
      <w:r>
        <w:rPr>
          <w:bCs/>
        </w:rPr>
        <w:fldChar w:fldCharType="separate"/>
      </w:r>
      <w:r w:rsidR="00EC36D2" w:rsidRPr="00A13196">
        <w:t xml:space="preserve">Table </w:t>
      </w:r>
      <w:r w:rsidR="00EC36D2">
        <w:rPr>
          <w:noProof/>
        </w:rPr>
        <w:t>20</w:t>
      </w:r>
      <w:r>
        <w:rPr>
          <w:bCs/>
        </w:rPr>
        <w:fldChar w:fldCharType="end"/>
      </w:r>
      <w:r w:rsidRPr="00262E92">
        <w:rPr>
          <w:bCs/>
        </w:rPr>
        <w:t>).</w:t>
      </w:r>
      <w:r w:rsidRPr="00262E92">
        <w:rPr>
          <w:bCs/>
          <w:color w:val="000000" w:themeColor="text1"/>
        </w:rPr>
        <w:t xml:space="preserve"> </w:t>
      </w:r>
      <w:r>
        <w:rPr>
          <w:bCs/>
          <w:color w:val="000000" w:themeColor="text1"/>
        </w:rPr>
        <w:t>Moreover, no</w:t>
      </w:r>
      <w:r w:rsidRPr="007258F6">
        <w:rPr>
          <w:bCs/>
          <w:color w:val="000000" w:themeColor="text1"/>
        </w:rPr>
        <w:t xml:space="preserve"> studies experienced major delays and nor were </w:t>
      </w:r>
      <w:r>
        <w:rPr>
          <w:bCs/>
          <w:color w:val="000000" w:themeColor="text1"/>
        </w:rPr>
        <w:t>there</w:t>
      </w:r>
      <w:r w:rsidRPr="007258F6">
        <w:rPr>
          <w:bCs/>
          <w:color w:val="000000" w:themeColor="text1"/>
        </w:rPr>
        <w:t xml:space="preserve"> instances of significant under-performance. On the contrary, where contracts were extended</w:t>
      </w:r>
      <w:r w:rsidR="000878B0">
        <w:rPr>
          <w:bCs/>
          <w:color w:val="000000" w:themeColor="text1"/>
        </w:rPr>
        <w:t>,</w:t>
      </w:r>
      <w:r w:rsidRPr="007258F6">
        <w:rPr>
          <w:bCs/>
          <w:color w:val="000000" w:themeColor="text1"/>
        </w:rPr>
        <w:t xml:space="preserve"> it was ty</w:t>
      </w:r>
      <w:r>
        <w:rPr>
          <w:bCs/>
          <w:color w:val="000000" w:themeColor="text1"/>
        </w:rPr>
        <w:t xml:space="preserve">pically </w:t>
      </w:r>
      <w:r w:rsidR="00CF1EB2">
        <w:rPr>
          <w:bCs/>
          <w:color w:val="000000" w:themeColor="text1"/>
        </w:rPr>
        <w:t>at</w:t>
      </w:r>
      <w:r>
        <w:rPr>
          <w:bCs/>
          <w:color w:val="000000" w:themeColor="text1"/>
        </w:rPr>
        <w:t xml:space="preserve"> the request of GoI</w:t>
      </w:r>
      <w:r w:rsidRPr="007258F6">
        <w:rPr>
          <w:bCs/>
          <w:color w:val="000000" w:themeColor="text1"/>
        </w:rPr>
        <w:t>,</w:t>
      </w:r>
      <w:r>
        <w:rPr>
          <w:bCs/>
          <w:color w:val="000000" w:themeColor="text1"/>
        </w:rPr>
        <w:t xml:space="preserve"> for example so that ACDP </w:t>
      </w:r>
      <w:r w:rsidRPr="007258F6">
        <w:rPr>
          <w:bCs/>
          <w:color w:val="000000" w:themeColor="text1"/>
        </w:rPr>
        <w:t>could assist with the communication of findings or related documents</w:t>
      </w:r>
      <w:r w:rsidRPr="007258F6">
        <w:rPr>
          <w:rStyle w:val="FootnoteReference"/>
          <w:bCs/>
          <w:color w:val="000000" w:themeColor="text1"/>
        </w:rPr>
        <w:footnoteReference w:id="117"/>
      </w:r>
      <w:r w:rsidRPr="007258F6">
        <w:rPr>
          <w:bCs/>
          <w:color w:val="000000" w:themeColor="text1"/>
        </w:rPr>
        <w:t xml:space="preserve">, </w:t>
      </w:r>
      <w:r>
        <w:rPr>
          <w:bCs/>
          <w:color w:val="000000" w:themeColor="text1"/>
        </w:rPr>
        <w:t>prepare</w:t>
      </w:r>
      <w:r w:rsidRPr="007258F6">
        <w:rPr>
          <w:bCs/>
          <w:color w:val="000000" w:themeColor="text1"/>
        </w:rPr>
        <w:t xml:space="preserve"> additional deliverables</w:t>
      </w:r>
      <w:r w:rsidRPr="007258F6">
        <w:rPr>
          <w:rStyle w:val="FootnoteReference"/>
          <w:bCs/>
          <w:color w:val="000000" w:themeColor="text1"/>
        </w:rPr>
        <w:footnoteReference w:id="118"/>
      </w:r>
      <w:r w:rsidR="00CF1EB2">
        <w:rPr>
          <w:bCs/>
          <w:color w:val="000000" w:themeColor="text1"/>
        </w:rPr>
        <w:t>,</w:t>
      </w:r>
      <w:r>
        <w:rPr>
          <w:bCs/>
          <w:color w:val="000000" w:themeColor="text1"/>
        </w:rPr>
        <w:t xml:space="preserve"> or </w:t>
      </w:r>
      <w:r w:rsidRPr="007258F6">
        <w:rPr>
          <w:bCs/>
          <w:color w:val="000000" w:themeColor="text1"/>
        </w:rPr>
        <w:t>widen the scope of the fieldwork or the coverage of the report</w:t>
      </w:r>
      <w:r w:rsidRPr="007258F6">
        <w:rPr>
          <w:rStyle w:val="FootnoteReference"/>
          <w:bCs/>
          <w:color w:val="000000" w:themeColor="text1"/>
        </w:rPr>
        <w:footnoteReference w:id="119"/>
      </w:r>
      <w:r w:rsidRPr="007258F6">
        <w:rPr>
          <w:bCs/>
          <w:color w:val="000000" w:themeColor="text1"/>
        </w:rPr>
        <w:t xml:space="preserve">. Some studies are regarded by ACDP and/or GoI as being of particularly high quality. For example, the </w:t>
      </w:r>
      <w:r w:rsidRPr="005E432A">
        <w:rPr>
          <w:bCs/>
          <w:i/>
          <w:color w:val="000000" w:themeColor="text1"/>
        </w:rPr>
        <w:t xml:space="preserve">OECD Indonesia Education Sector Review </w:t>
      </w:r>
      <w:r w:rsidRPr="007258F6">
        <w:rPr>
          <w:bCs/>
          <w:color w:val="000000" w:themeColor="text1"/>
        </w:rPr>
        <w:t>(ACDP 017) was launched by the Minister</w:t>
      </w:r>
      <w:r>
        <w:rPr>
          <w:bCs/>
          <w:color w:val="000000" w:themeColor="text1"/>
        </w:rPr>
        <w:t xml:space="preserve"> of Education and Culture</w:t>
      </w:r>
      <w:r w:rsidRPr="007258F6">
        <w:rPr>
          <w:bCs/>
          <w:color w:val="000000" w:themeColor="text1"/>
        </w:rPr>
        <w:t xml:space="preserve"> at a special event on 26 March 2015 and it has since been used as a basic reference and as an importance resource for a number of other ACDP studies</w:t>
      </w:r>
      <w:r w:rsidRPr="002510D1">
        <w:rPr>
          <w:rStyle w:val="EndnoteReference"/>
        </w:rPr>
        <w:endnoteReference w:id="76"/>
      </w:r>
      <w:r w:rsidRPr="007258F6">
        <w:rPr>
          <w:bCs/>
          <w:color w:val="000000" w:themeColor="text1"/>
        </w:rPr>
        <w:t xml:space="preserve">. Equally, support to </w:t>
      </w:r>
      <w:r w:rsidRPr="005E432A">
        <w:rPr>
          <w:bCs/>
          <w:i/>
          <w:color w:val="000000" w:themeColor="text1"/>
        </w:rPr>
        <w:t xml:space="preserve">Early Childhood Education Quality Assurance Systems Development </w:t>
      </w:r>
      <w:r w:rsidRPr="007258F6">
        <w:rPr>
          <w:bCs/>
          <w:color w:val="000000" w:themeColor="text1"/>
        </w:rPr>
        <w:t xml:space="preserve">(ACDP 022) </w:t>
      </w:r>
      <w:r>
        <w:rPr>
          <w:bCs/>
          <w:color w:val="000000" w:themeColor="text1"/>
        </w:rPr>
        <w:t xml:space="preserve">and </w:t>
      </w:r>
      <w:r w:rsidRPr="005E432A">
        <w:rPr>
          <w:bCs/>
          <w:i/>
          <w:color w:val="000000" w:themeColor="text1"/>
        </w:rPr>
        <w:t xml:space="preserve">Support to Centre for </w:t>
      </w:r>
      <w:r>
        <w:rPr>
          <w:bCs/>
          <w:i/>
          <w:color w:val="000000" w:themeColor="text1"/>
        </w:rPr>
        <w:t xml:space="preserve">Education </w:t>
      </w:r>
      <w:r w:rsidRPr="005E432A">
        <w:rPr>
          <w:bCs/>
          <w:i/>
          <w:color w:val="000000" w:themeColor="text1"/>
        </w:rPr>
        <w:t>Assessment (Puspendik)</w:t>
      </w:r>
      <w:r w:rsidRPr="007258F6">
        <w:rPr>
          <w:bCs/>
          <w:color w:val="000000" w:themeColor="text1"/>
        </w:rPr>
        <w:t xml:space="preserve"> (ACDP 029)</w:t>
      </w:r>
      <w:r>
        <w:rPr>
          <w:bCs/>
          <w:color w:val="000000" w:themeColor="text1"/>
        </w:rPr>
        <w:t xml:space="preserve"> were</w:t>
      </w:r>
      <w:r w:rsidRPr="007258F6">
        <w:rPr>
          <w:bCs/>
          <w:color w:val="000000" w:themeColor="text1"/>
        </w:rPr>
        <w:t xml:space="preserve"> acknowledged by MoEC </w:t>
      </w:r>
      <w:r>
        <w:rPr>
          <w:bCs/>
          <w:color w:val="000000" w:themeColor="text1"/>
        </w:rPr>
        <w:t>as</w:t>
      </w:r>
      <w:r w:rsidRPr="007258F6">
        <w:rPr>
          <w:bCs/>
          <w:color w:val="000000" w:themeColor="text1"/>
        </w:rPr>
        <w:t xml:space="preserve"> having contributed new understanding</w:t>
      </w:r>
      <w:r>
        <w:rPr>
          <w:bCs/>
          <w:color w:val="000000" w:themeColor="text1"/>
        </w:rPr>
        <w:t xml:space="preserve"> and of being of particularly high quality</w:t>
      </w:r>
      <w:r w:rsidRPr="002510D1">
        <w:rPr>
          <w:rStyle w:val="EndnoteReference"/>
        </w:rPr>
        <w:endnoteReference w:id="77"/>
      </w:r>
      <w:r w:rsidRPr="007258F6">
        <w:rPr>
          <w:bCs/>
          <w:color w:val="000000" w:themeColor="text1"/>
        </w:rPr>
        <w:t>.</w:t>
      </w:r>
    </w:p>
    <w:p w:rsidR="00A626A2" w:rsidRDefault="00A626A2" w:rsidP="00A626A2">
      <w:pPr>
        <w:pStyle w:val="Caption-Table"/>
        <w:rPr>
          <w:lang w:val="en-AU"/>
        </w:rPr>
      </w:pPr>
      <w:bookmarkStart w:id="90" w:name="_Ref447778728"/>
      <w:bookmarkStart w:id="91" w:name="_Toc450131641"/>
      <w:r w:rsidRPr="00A13196">
        <w:t xml:space="preserve">Table </w:t>
      </w:r>
      <w:r w:rsidRPr="00A13196">
        <w:fldChar w:fldCharType="begin"/>
      </w:r>
      <w:r w:rsidRPr="00A13196">
        <w:instrText xml:space="preserve"> SEQ Table \* ARABIC </w:instrText>
      </w:r>
      <w:r w:rsidRPr="00A13196">
        <w:fldChar w:fldCharType="separate"/>
      </w:r>
      <w:r w:rsidR="00EC36D2">
        <w:rPr>
          <w:noProof/>
        </w:rPr>
        <w:t>20</w:t>
      </w:r>
      <w:r w:rsidRPr="00A13196">
        <w:fldChar w:fldCharType="end"/>
      </w:r>
      <w:bookmarkEnd w:id="90"/>
      <w:r w:rsidRPr="00A13196">
        <w:t xml:space="preserve">: </w:t>
      </w:r>
      <w:r>
        <w:rPr>
          <w:lang w:val="en-AU"/>
        </w:rPr>
        <w:t>Studies completed</w:t>
      </w:r>
      <w:r w:rsidRPr="00D20962">
        <w:rPr>
          <w:lang w:val="en-AU"/>
        </w:rPr>
        <w:t>/year</w:t>
      </w:r>
      <w:bookmarkEnd w:id="91"/>
    </w:p>
    <w:tbl>
      <w:tblPr>
        <w:tblStyle w:val="TableGrid20"/>
        <w:tblW w:w="5000" w:type="pct"/>
        <w:jc w:val="center"/>
        <w:tblLook w:val="04A0" w:firstRow="1" w:lastRow="0" w:firstColumn="1" w:lastColumn="0" w:noHBand="0" w:noVBand="1"/>
      </w:tblPr>
      <w:tblGrid>
        <w:gridCol w:w="4148"/>
        <w:gridCol w:w="1012"/>
        <w:gridCol w:w="1012"/>
        <w:gridCol w:w="1095"/>
        <w:gridCol w:w="989"/>
        <w:gridCol w:w="989"/>
      </w:tblGrid>
      <w:tr w:rsidR="00A626A2" w:rsidRPr="00D20962" w:rsidTr="00A626A2">
        <w:trPr>
          <w:trHeight w:val="531"/>
          <w:jc w:val="center"/>
        </w:trPr>
        <w:tc>
          <w:tcPr>
            <w:tcW w:w="2243" w:type="pct"/>
            <w:shd w:val="clear" w:color="auto" w:fill="17365D" w:themeFill="text2" w:themeFillShade="BF"/>
            <w:vAlign w:val="center"/>
          </w:tcPr>
          <w:p w:rsidR="00A626A2" w:rsidRPr="00D20962" w:rsidRDefault="00A626A2" w:rsidP="00736CD3">
            <w:pPr>
              <w:spacing w:before="60" w:after="60"/>
              <w:jc w:val="center"/>
              <w:rPr>
                <w:rFonts w:asciiTheme="minorHAnsi" w:hAnsiTheme="minorHAnsi"/>
                <w:b/>
              </w:rPr>
            </w:pPr>
          </w:p>
        </w:tc>
        <w:tc>
          <w:tcPr>
            <w:tcW w:w="547" w:type="pct"/>
            <w:shd w:val="clear" w:color="auto" w:fill="17365D" w:themeFill="text2" w:themeFillShade="BF"/>
            <w:vAlign w:val="center"/>
          </w:tcPr>
          <w:p w:rsidR="00A626A2" w:rsidRPr="00D20962" w:rsidRDefault="00A626A2" w:rsidP="00736CD3">
            <w:pPr>
              <w:spacing w:before="60" w:after="60"/>
              <w:jc w:val="center"/>
              <w:rPr>
                <w:rFonts w:asciiTheme="minorHAnsi" w:hAnsiTheme="minorHAnsi"/>
                <w:b/>
              </w:rPr>
            </w:pPr>
            <w:r w:rsidRPr="00D20962">
              <w:rPr>
                <w:rFonts w:asciiTheme="minorHAnsi" w:hAnsiTheme="minorHAnsi"/>
                <w:b/>
              </w:rPr>
              <w:t>2011</w:t>
            </w:r>
          </w:p>
        </w:tc>
        <w:tc>
          <w:tcPr>
            <w:tcW w:w="547" w:type="pct"/>
            <w:shd w:val="clear" w:color="auto" w:fill="17365D" w:themeFill="text2" w:themeFillShade="BF"/>
            <w:vAlign w:val="center"/>
          </w:tcPr>
          <w:p w:rsidR="00A626A2" w:rsidRPr="00D20962" w:rsidRDefault="00A626A2" w:rsidP="00736CD3">
            <w:pPr>
              <w:spacing w:before="60" w:after="60"/>
              <w:jc w:val="center"/>
              <w:rPr>
                <w:rFonts w:asciiTheme="minorHAnsi" w:hAnsiTheme="minorHAnsi"/>
                <w:b/>
              </w:rPr>
            </w:pPr>
            <w:r w:rsidRPr="00D20962">
              <w:rPr>
                <w:rFonts w:asciiTheme="minorHAnsi" w:hAnsiTheme="minorHAnsi"/>
                <w:b/>
              </w:rPr>
              <w:t>2012</w:t>
            </w:r>
          </w:p>
        </w:tc>
        <w:tc>
          <w:tcPr>
            <w:tcW w:w="592" w:type="pct"/>
            <w:shd w:val="clear" w:color="auto" w:fill="17365D" w:themeFill="text2" w:themeFillShade="BF"/>
            <w:vAlign w:val="center"/>
          </w:tcPr>
          <w:p w:rsidR="00A626A2" w:rsidRPr="00D20962" w:rsidRDefault="00A626A2" w:rsidP="00736CD3">
            <w:pPr>
              <w:spacing w:before="60" w:after="60"/>
              <w:jc w:val="center"/>
              <w:rPr>
                <w:rFonts w:asciiTheme="minorHAnsi" w:hAnsiTheme="minorHAnsi"/>
                <w:b/>
              </w:rPr>
            </w:pPr>
            <w:r w:rsidRPr="00D20962">
              <w:rPr>
                <w:rFonts w:asciiTheme="minorHAnsi" w:hAnsiTheme="minorHAnsi"/>
                <w:b/>
              </w:rPr>
              <w:t>2013</w:t>
            </w:r>
          </w:p>
        </w:tc>
        <w:tc>
          <w:tcPr>
            <w:tcW w:w="535" w:type="pct"/>
            <w:shd w:val="clear" w:color="auto" w:fill="17365D" w:themeFill="text2" w:themeFillShade="BF"/>
            <w:vAlign w:val="center"/>
          </w:tcPr>
          <w:p w:rsidR="00A626A2" w:rsidRPr="00D20962" w:rsidRDefault="00A626A2" w:rsidP="00736CD3">
            <w:pPr>
              <w:spacing w:before="60" w:after="60"/>
              <w:jc w:val="center"/>
              <w:rPr>
                <w:rFonts w:asciiTheme="minorHAnsi" w:hAnsiTheme="minorHAnsi"/>
                <w:b/>
              </w:rPr>
            </w:pPr>
            <w:r w:rsidRPr="00D20962">
              <w:rPr>
                <w:rFonts w:asciiTheme="minorHAnsi" w:hAnsiTheme="minorHAnsi"/>
                <w:b/>
              </w:rPr>
              <w:t>2014</w:t>
            </w:r>
          </w:p>
        </w:tc>
        <w:tc>
          <w:tcPr>
            <w:tcW w:w="535" w:type="pct"/>
            <w:shd w:val="clear" w:color="auto" w:fill="17365D" w:themeFill="text2" w:themeFillShade="BF"/>
            <w:vAlign w:val="center"/>
          </w:tcPr>
          <w:p w:rsidR="00A626A2" w:rsidRPr="00D20962" w:rsidRDefault="00A626A2" w:rsidP="00736CD3">
            <w:pPr>
              <w:spacing w:before="60" w:after="60"/>
              <w:jc w:val="center"/>
              <w:rPr>
                <w:rFonts w:asciiTheme="minorHAnsi" w:hAnsiTheme="minorHAnsi"/>
                <w:b/>
              </w:rPr>
            </w:pPr>
            <w:r>
              <w:rPr>
                <w:rFonts w:asciiTheme="minorHAnsi" w:hAnsiTheme="minorHAnsi"/>
                <w:b/>
              </w:rPr>
              <w:t>2015</w:t>
            </w:r>
          </w:p>
        </w:tc>
      </w:tr>
      <w:tr w:rsidR="00A626A2" w:rsidRPr="00D042AF" w:rsidTr="00A626A2">
        <w:trPr>
          <w:trHeight w:val="553"/>
          <w:jc w:val="center"/>
        </w:trPr>
        <w:tc>
          <w:tcPr>
            <w:tcW w:w="2243" w:type="pct"/>
            <w:vAlign w:val="center"/>
          </w:tcPr>
          <w:p w:rsidR="00A626A2" w:rsidRPr="00D042AF" w:rsidRDefault="00A626A2" w:rsidP="00A626A2">
            <w:pPr>
              <w:spacing w:before="60" w:after="60"/>
              <w:jc w:val="left"/>
              <w:rPr>
                <w:rFonts w:asciiTheme="minorHAnsi" w:hAnsiTheme="minorHAnsi"/>
                <w:b/>
                <w:color w:val="000000" w:themeColor="text1"/>
              </w:rPr>
            </w:pPr>
            <w:r w:rsidRPr="00D042AF">
              <w:rPr>
                <w:rFonts w:asciiTheme="minorHAnsi" w:hAnsiTheme="minorHAnsi"/>
                <w:b/>
                <w:color w:val="000000" w:themeColor="text1"/>
              </w:rPr>
              <w:t>Total number of research activities completed</w:t>
            </w:r>
          </w:p>
        </w:tc>
        <w:tc>
          <w:tcPr>
            <w:tcW w:w="547" w:type="pct"/>
            <w:shd w:val="clear" w:color="auto" w:fill="FFFFFF" w:themeFill="background1"/>
            <w:vAlign w:val="center"/>
          </w:tcPr>
          <w:p w:rsidR="00A626A2" w:rsidRPr="00D042AF" w:rsidRDefault="00A626A2" w:rsidP="00736CD3">
            <w:pPr>
              <w:jc w:val="center"/>
              <w:rPr>
                <w:color w:val="000000" w:themeColor="text1"/>
                <w:sz w:val="20"/>
                <w:szCs w:val="20"/>
              </w:rPr>
            </w:pPr>
            <w:r w:rsidRPr="00D042AF">
              <w:rPr>
                <w:color w:val="000000" w:themeColor="text1"/>
                <w:sz w:val="20"/>
                <w:szCs w:val="20"/>
              </w:rPr>
              <w:t>0</w:t>
            </w:r>
          </w:p>
        </w:tc>
        <w:tc>
          <w:tcPr>
            <w:tcW w:w="547" w:type="pct"/>
            <w:shd w:val="clear" w:color="auto" w:fill="FFFFFF" w:themeFill="background1"/>
            <w:vAlign w:val="center"/>
          </w:tcPr>
          <w:p w:rsidR="00A626A2" w:rsidRPr="00D042AF" w:rsidRDefault="00A626A2" w:rsidP="00736CD3">
            <w:pPr>
              <w:jc w:val="center"/>
              <w:rPr>
                <w:color w:val="000000" w:themeColor="text1"/>
                <w:sz w:val="20"/>
                <w:szCs w:val="20"/>
              </w:rPr>
            </w:pPr>
            <w:r w:rsidRPr="00D042AF">
              <w:rPr>
                <w:color w:val="000000" w:themeColor="text1"/>
                <w:sz w:val="20"/>
                <w:szCs w:val="20"/>
              </w:rPr>
              <w:t>11</w:t>
            </w:r>
          </w:p>
        </w:tc>
        <w:tc>
          <w:tcPr>
            <w:tcW w:w="592" w:type="pct"/>
            <w:shd w:val="clear" w:color="auto" w:fill="FFFFFF" w:themeFill="background1"/>
            <w:vAlign w:val="center"/>
          </w:tcPr>
          <w:p w:rsidR="00A626A2" w:rsidRPr="00D042AF" w:rsidRDefault="00A626A2" w:rsidP="00736CD3">
            <w:pPr>
              <w:jc w:val="center"/>
              <w:rPr>
                <w:color w:val="000000" w:themeColor="text1"/>
                <w:sz w:val="20"/>
                <w:szCs w:val="20"/>
              </w:rPr>
            </w:pPr>
            <w:r w:rsidRPr="00D042AF">
              <w:rPr>
                <w:color w:val="000000" w:themeColor="text1"/>
                <w:sz w:val="20"/>
                <w:szCs w:val="20"/>
              </w:rPr>
              <w:t>4</w:t>
            </w:r>
          </w:p>
        </w:tc>
        <w:tc>
          <w:tcPr>
            <w:tcW w:w="535" w:type="pct"/>
            <w:shd w:val="clear" w:color="auto" w:fill="FFFFFF" w:themeFill="background1"/>
            <w:vAlign w:val="center"/>
          </w:tcPr>
          <w:p w:rsidR="00A626A2" w:rsidRPr="00D042AF" w:rsidRDefault="00A626A2" w:rsidP="00736CD3">
            <w:pPr>
              <w:jc w:val="center"/>
              <w:rPr>
                <w:color w:val="000000" w:themeColor="text1"/>
                <w:sz w:val="20"/>
                <w:szCs w:val="20"/>
              </w:rPr>
            </w:pPr>
            <w:r w:rsidRPr="00D042AF">
              <w:rPr>
                <w:color w:val="000000" w:themeColor="text1"/>
                <w:sz w:val="20"/>
                <w:szCs w:val="20"/>
              </w:rPr>
              <w:t>9</w:t>
            </w:r>
          </w:p>
        </w:tc>
        <w:tc>
          <w:tcPr>
            <w:tcW w:w="535" w:type="pct"/>
            <w:shd w:val="clear" w:color="auto" w:fill="FFFFFF" w:themeFill="background1"/>
            <w:vAlign w:val="center"/>
          </w:tcPr>
          <w:p w:rsidR="00A626A2" w:rsidRPr="00D042AF" w:rsidRDefault="00A626A2" w:rsidP="00736CD3">
            <w:pPr>
              <w:jc w:val="center"/>
              <w:rPr>
                <w:color w:val="000000" w:themeColor="text1"/>
                <w:sz w:val="20"/>
                <w:szCs w:val="20"/>
              </w:rPr>
            </w:pPr>
            <w:r w:rsidRPr="00D042AF">
              <w:rPr>
                <w:color w:val="000000" w:themeColor="text1"/>
                <w:sz w:val="20"/>
                <w:szCs w:val="20"/>
              </w:rPr>
              <w:t>11</w:t>
            </w:r>
          </w:p>
        </w:tc>
      </w:tr>
    </w:tbl>
    <w:p w:rsidR="00A626A2" w:rsidRDefault="00A626A2" w:rsidP="001D2009">
      <w:pPr>
        <w:pStyle w:val="SourceNotes"/>
      </w:pPr>
      <w:r w:rsidRPr="005F56AA">
        <w:t xml:space="preserve">Source: POM calculations based on ACDP’s </w:t>
      </w:r>
      <w:r w:rsidRPr="006D2FD9">
        <w:t>Six-</w:t>
      </w:r>
      <w:r w:rsidRPr="006D2FD9">
        <w:rPr>
          <w:rFonts w:asciiTheme="minorHAnsi" w:hAnsiTheme="minorHAnsi"/>
        </w:rPr>
        <w:t>Monthly Progress Report of mid-2015</w:t>
      </w:r>
      <w:r>
        <w:rPr>
          <w:rFonts w:asciiTheme="minorHAnsi" w:hAnsiTheme="minorHAnsi"/>
        </w:rPr>
        <w:t xml:space="preserve"> </w:t>
      </w:r>
      <w:r w:rsidRPr="005F56AA">
        <w:t xml:space="preserve">and as reviewed by John Virtue </w:t>
      </w:r>
      <w:r>
        <w:t xml:space="preserve">(ACDP) </w:t>
      </w:r>
      <w:r w:rsidRPr="005F56AA">
        <w:t>in March 2016</w:t>
      </w:r>
    </w:p>
    <w:p w:rsidR="005E2FB8" w:rsidRPr="0043477E" w:rsidRDefault="005E2FB8" w:rsidP="005E2FB8">
      <w:pPr>
        <w:rPr>
          <w:color w:val="000000" w:themeColor="text1"/>
        </w:rPr>
      </w:pPr>
      <w:r w:rsidRPr="0043477E">
        <w:rPr>
          <w:color w:val="000000" w:themeColor="text1"/>
        </w:rPr>
        <w:t xml:space="preserve">Given comments </w:t>
      </w:r>
      <w:r>
        <w:rPr>
          <w:color w:val="000000" w:themeColor="text1"/>
        </w:rPr>
        <w:t xml:space="preserve">in previous APPRs </w:t>
      </w:r>
      <w:r w:rsidRPr="0043477E">
        <w:rPr>
          <w:color w:val="000000" w:themeColor="text1"/>
        </w:rPr>
        <w:t xml:space="preserve">about ACDP’s “mixed” record insofar as responsiveness is concerned, the flexible manner in which ACDP has sought to respond to </w:t>
      </w:r>
      <w:r>
        <w:rPr>
          <w:color w:val="000000" w:themeColor="text1"/>
        </w:rPr>
        <w:t xml:space="preserve">partner </w:t>
      </w:r>
      <w:r w:rsidRPr="0043477E">
        <w:rPr>
          <w:color w:val="000000" w:themeColor="text1"/>
        </w:rPr>
        <w:t xml:space="preserve">requests during </w:t>
      </w:r>
      <w:r>
        <w:rPr>
          <w:color w:val="000000" w:themeColor="text1"/>
        </w:rPr>
        <w:t xml:space="preserve">2015 </w:t>
      </w:r>
      <w:r w:rsidRPr="0043477E">
        <w:rPr>
          <w:color w:val="000000" w:themeColor="text1"/>
        </w:rPr>
        <w:t xml:space="preserve">is </w:t>
      </w:r>
      <w:r>
        <w:rPr>
          <w:color w:val="000000" w:themeColor="text1"/>
        </w:rPr>
        <w:t>a</w:t>
      </w:r>
      <w:r w:rsidRPr="0043477E">
        <w:rPr>
          <w:color w:val="000000" w:themeColor="text1"/>
        </w:rPr>
        <w:t xml:space="preserve"> positive</w:t>
      </w:r>
      <w:r>
        <w:rPr>
          <w:color w:val="000000" w:themeColor="text1"/>
        </w:rPr>
        <w:t xml:space="preserve"> development</w:t>
      </w:r>
      <w:r w:rsidRPr="0043477E">
        <w:rPr>
          <w:color w:val="000000" w:themeColor="text1"/>
        </w:rPr>
        <w:t xml:space="preserve">. Nevertheless, it is equally noteworthy that a range of </w:t>
      </w:r>
      <w:r>
        <w:rPr>
          <w:color w:val="000000" w:themeColor="text1"/>
        </w:rPr>
        <w:t xml:space="preserve">(senior) </w:t>
      </w:r>
      <w:r w:rsidRPr="0043477E">
        <w:rPr>
          <w:color w:val="000000" w:themeColor="text1"/>
        </w:rPr>
        <w:t xml:space="preserve">GoI stakeholders </w:t>
      </w:r>
      <w:r>
        <w:rPr>
          <w:color w:val="000000" w:themeColor="text1"/>
        </w:rPr>
        <w:t xml:space="preserve">have </w:t>
      </w:r>
      <w:r w:rsidRPr="0043477E">
        <w:rPr>
          <w:color w:val="000000" w:themeColor="text1"/>
        </w:rPr>
        <w:t>continue</w:t>
      </w:r>
      <w:r>
        <w:rPr>
          <w:color w:val="000000" w:themeColor="text1"/>
        </w:rPr>
        <w:t>d</w:t>
      </w:r>
      <w:r w:rsidRPr="0043477E">
        <w:rPr>
          <w:color w:val="000000" w:themeColor="text1"/>
        </w:rPr>
        <w:t xml:space="preserve"> to express concern</w:t>
      </w:r>
      <w:r>
        <w:rPr>
          <w:color w:val="000000" w:themeColor="text1"/>
        </w:rPr>
        <w:t>s</w:t>
      </w:r>
      <w:r w:rsidRPr="0043477E">
        <w:rPr>
          <w:color w:val="000000" w:themeColor="text1"/>
        </w:rPr>
        <w:t xml:space="preserve"> about the delays associated with procurement and mobilisation. This raise</w:t>
      </w:r>
      <w:r>
        <w:rPr>
          <w:color w:val="000000" w:themeColor="text1"/>
        </w:rPr>
        <w:t>s</w:t>
      </w:r>
      <w:r w:rsidRPr="0043477E">
        <w:rPr>
          <w:color w:val="000000" w:themeColor="text1"/>
        </w:rPr>
        <w:t xml:space="preserve"> question</w:t>
      </w:r>
      <w:r w:rsidR="00B631D5">
        <w:rPr>
          <w:color w:val="000000" w:themeColor="text1"/>
        </w:rPr>
        <w:t>s</w:t>
      </w:r>
      <w:r w:rsidRPr="0043477E">
        <w:rPr>
          <w:color w:val="000000" w:themeColor="text1"/>
        </w:rPr>
        <w:t xml:space="preserve"> about the extent to which the recommendations made in the MTR of October 2014 have been fully internalised by the Secretariat and/or the ADB. </w:t>
      </w:r>
      <w:r>
        <w:rPr>
          <w:bCs/>
        </w:rPr>
        <w:t xml:space="preserve">While the </w:t>
      </w:r>
      <w:r>
        <w:rPr>
          <w:bCs/>
        </w:rPr>
        <w:lastRenderedPageBreak/>
        <w:t xml:space="preserve">Secretariat is changing (see </w:t>
      </w:r>
      <w:r w:rsidR="007C296F">
        <w:rPr>
          <w:bCs/>
        </w:rPr>
        <w:t xml:space="preserve">Section </w:t>
      </w:r>
      <w:r w:rsidR="00021E52">
        <w:rPr>
          <w:bCs/>
        </w:rPr>
        <w:fldChar w:fldCharType="begin"/>
      </w:r>
      <w:r w:rsidR="00021E52">
        <w:rPr>
          <w:bCs/>
        </w:rPr>
        <w:instrText xml:space="preserve"> REF _Ref448145457 \w \h </w:instrText>
      </w:r>
      <w:r w:rsidR="00021E52">
        <w:rPr>
          <w:bCs/>
        </w:rPr>
      </w:r>
      <w:r w:rsidR="00021E52">
        <w:rPr>
          <w:bCs/>
        </w:rPr>
        <w:fldChar w:fldCharType="separate"/>
      </w:r>
      <w:r w:rsidR="00693E96">
        <w:rPr>
          <w:bCs/>
        </w:rPr>
        <w:t>5.4.3</w:t>
      </w:r>
      <w:r w:rsidR="00021E52">
        <w:rPr>
          <w:bCs/>
        </w:rPr>
        <w:fldChar w:fldCharType="end"/>
      </w:r>
      <w:r>
        <w:rPr>
          <w:bCs/>
        </w:rPr>
        <w:t>, below), the evolution should be regarded as the early stages of an ongoing journey rather than a wholesale shift.</w:t>
      </w:r>
    </w:p>
    <w:p w:rsidR="007C296F" w:rsidRDefault="005E2FB8" w:rsidP="00985389">
      <w:r>
        <w:t xml:space="preserve">Ultimately, a key measure of the efficiency of C4 must be its success in turning funds into products that represent a strategic and timely contribution to EOPO 4. </w:t>
      </w:r>
      <w:r>
        <w:fldChar w:fldCharType="begin"/>
      </w:r>
      <w:r>
        <w:instrText xml:space="preserve"> REF _Ref447804755 \h </w:instrText>
      </w:r>
      <w:r w:rsidR="00985389">
        <w:instrText xml:space="preserve"> \* MERGEFORMAT </w:instrText>
      </w:r>
      <w:r>
        <w:fldChar w:fldCharType="separate"/>
      </w:r>
      <w:r w:rsidR="00693E96">
        <w:t xml:space="preserve">Figure </w:t>
      </w:r>
      <w:r w:rsidR="00693E96">
        <w:rPr>
          <w:noProof/>
        </w:rPr>
        <w:t>4</w:t>
      </w:r>
      <w:r>
        <w:fldChar w:fldCharType="end"/>
      </w:r>
      <w:r>
        <w:t xml:space="preserve"> (below) contrasts the value of ACDP contracted commitments between 2011 and 2015 against the value of disbursements. The rate of funding disbursement in 2015 increased steadily in accordance with trends over the previous two years. The value of disbursements in 2015 was comparable to that of 2014 due to the high number and value of commitments contracted in 2014 (see</w:t>
      </w:r>
      <w:r w:rsidR="00985389">
        <w:t xml:space="preserve"> </w:t>
      </w:r>
      <w:r w:rsidR="00985389">
        <w:fldChar w:fldCharType="begin"/>
      </w:r>
      <w:r w:rsidR="00985389">
        <w:instrText xml:space="preserve"> REF _Ref448156158 \h </w:instrText>
      </w:r>
      <w:r w:rsidR="00985389">
        <w:fldChar w:fldCharType="separate"/>
      </w:r>
      <w:r w:rsidR="00985389" w:rsidRPr="00A13196">
        <w:t xml:space="preserve">Table </w:t>
      </w:r>
      <w:r w:rsidR="00985389">
        <w:rPr>
          <w:noProof/>
        </w:rPr>
        <w:t>18</w:t>
      </w:r>
      <w:r w:rsidR="00985389">
        <w:fldChar w:fldCharType="end"/>
      </w:r>
      <w:r>
        <w:t xml:space="preserve">, above). However, the value of contracted commitments dropped sharply in 2015. </w:t>
      </w:r>
    </w:p>
    <w:p w:rsidR="00A626A2" w:rsidRDefault="00A626A2" w:rsidP="00A626A2">
      <w:pPr>
        <w:pStyle w:val="Caption-Figure"/>
      </w:pPr>
      <w:bookmarkStart w:id="92" w:name="_Ref447804755"/>
      <w:bookmarkStart w:id="93" w:name="_Toc448145929"/>
      <w:r>
        <w:t xml:space="preserve">Figure </w:t>
      </w:r>
      <w:r>
        <w:fldChar w:fldCharType="begin"/>
      </w:r>
      <w:r>
        <w:instrText xml:space="preserve"> SEQ Figure \* ARABIC </w:instrText>
      </w:r>
      <w:r>
        <w:fldChar w:fldCharType="separate"/>
      </w:r>
      <w:r w:rsidR="00693E96">
        <w:rPr>
          <w:noProof/>
        </w:rPr>
        <w:t>4</w:t>
      </w:r>
      <w:r>
        <w:fldChar w:fldCharType="end"/>
      </w:r>
      <w:bookmarkEnd w:id="92"/>
      <w:r w:rsidR="007A73EA">
        <w:t>:</w:t>
      </w:r>
      <w:r>
        <w:t xml:space="preserve"> </w:t>
      </w:r>
      <w:r w:rsidRPr="00A626A2">
        <w:t>Value of contracted commitments and disbursements per year (USD)</w:t>
      </w:r>
      <w:bookmarkEnd w:id="93"/>
    </w:p>
    <w:p w:rsidR="00A626A2" w:rsidRDefault="006B6C5B" w:rsidP="007A73EA">
      <w:pPr>
        <w:jc w:val="center"/>
        <w:rPr>
          <w:lang w:val="en-GB"/>
        </w:rPr>
      </w:pPr>
      <w:r w:rsidRPr="006B6C5B">
        <w:rPr>
          <w:noProof/>
          <w:sz w:val="18"/>
          <w:lang w:eastAsia="en-AU"/>
        </w:rPr>
        <w:drawing>
          <wp:inline distT="0" distB="0" distL="0" distR="0" wp14:anchorId="60EE6322" wp14:editId="345E0344">
            <wp:extent cx="5733415" cy="3743871"/>
            <wp:effectExtent l="0" t="0" r="1968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A73EA" w:rsidRPr="007A73EA" w:rsidRDefault="007A73EA" w:rsidP="001D2009">
      <w:pPr>
        <w:pStyle w:val="SourceNotes"/>
      </w:pPr>
      <w:r w:rsidRPr="00AA5BEE">
        <w:t>Sourc</w:t>
      </w:r>
      <w:r>
        <w:t>e: Rooswanti ‘Ocha’ Soeharno (A</w:t>
      </w:r>
      <w:r w:rsidRPr="00AA5BEE">
        <w:t>D</w:t>
      </w:r>
      <w:r>
        <w:t>B</w:t>
      </w:r>
      <w:r w:rsidRPr="00AA5BEE">
        <w:t>), 18 March 2016</w:t>
      </w:r>
    </w:p>
    <w:p w:rsidR="007C296F" w:rsidRDefault="007C296F" w:rsidP="007C296F">
      <w:pPr>
        <w:rPr>
          <w:bCs/>
        </w:rPr>
      </w:pPr>
      <w:r w:rsidRPr="007C296F">
        <w:rPr>
          <w:bCs/>
        </w:rPr>
        <w:t>POM acknowledges that ACDP is less suited to annual performance appraisal by virtue of the fact that its core activities are typically scheduled over a longer period</w:t>
      </w:r>
      <w:r>
        <w:rPr>
          <w:bCs/>
        </w:rPr>
        <w:t xml:space="preserve"> and therefore an assessment based solely on </w:t>
      </w:r>
      <w:r w:rsidRPr="007C296F">
        <w:rPr>
          <w:bCs/>
        </w:rPr>
        <w:t xml:space="preserve">contracted commitments versus </w:t>
      </w:r>
      <w:r>
        <w:rPr>
          <w:bCs/>
        </w:rPr>
        <w:t>disbursements</w:t>
      </w:r>
      <w:r w:rsidRPr="007C296F">
        <w:rPr>
          <w:bCs/>
        </w:rPr>
        <w:t xml:space="preserve"> </w:t>
      </w:r>
      <w:r>
        <w:rPr>
          <w:bCs/>
        </w:rPr>
        <w:t>is too crude</w:t>
      </w:r>
      <w:r w:rsidRPr="007C296F">
        <w:rPr>
          <w:bCs/>
        </w:rPr>
        <w:t>.</w:t>
      </w:r>
      <w:r>
        <w:rPr>
          <w:bCs/>
        </w:rPr>
        <w:t xml:space="preserve"> Nonetheless, the picture </w:t>
      </w:r>
      <w:r w:rsidR="00CF1EB2">
        <w:rPr>
          <w:bCs/>
        </w:rPr>
        <w:t xml:space="preserve">does </w:t>
      </w:r>
      <w:r>
        <w:rPr>
          <w:bCs/>
        </w:rPr>
        <w:t>tell a story. To a limited extent, the decline in commissioning probably reflected a conscious change to the Secretariat’s approach to its work, i.e. a rebalancing of the weighting placed on studies vis-à-vis the smaller, more flexible TA-based product offerings. However, as noted above, the primary cause for the drop was the uncertain</w:t>
      </w:r>
      <w:r w:rsidR="008D073A">
        <w:rPr>
          <w:bCs/>
        </w:rPr>
        <w:t>t</w:t>
      </w:r>
      <w:r>
        <w:rPr>
          <w:bCs/>
        </w:rPr>
        <w:t xml:space="preserve">y ensuing from the turnover of GoI staff and the impact of the delayed extension process. The latter, in particular, had a significant impact and the institutional partners may have done more to manage the risk and to avoid the eventuality for ultimately this occurred at a </w:t>
      </w:r>
      <w:r w:rsidRPr="006D2FD9">
        <w:rPr>
          <w:bCs/>
        </w:rPr>
        <w:t xml:space="preserve">time when demand for facility </w:t>
      </w:r>
      <w:r>
        <w:rPr>
          <w:bCs/>
        </w:rPr>
        <w:t>outputs has reached a new high.</w:t>
      </w:r>
    </w:p>
    <w:p w:rsidR="00D1143C" w:rsidRDefault="00D1143C" w:rsidP="00D1143C">
      <w:pPr>
        <w:pStyle w:val="Heading3"/>
      </w:pPr>
      <w:bookmarkStart w:id="94" w:name="_Ref448145457"/>
      <w:r w:rsidRPr="00851EC7">
        <w:lastRenderedPageBreak/>
        <w:t>Effectiveness</w:t>
      </w:r>
      <w:bookmarkEnd w:id="94"/>
    </w:p>
    <w:p w:rsidR="007A73EA" w:rsidRPr="00562F10" w:rsidRDefault="007A73EA" w:rsidP="007A73EA">
      <w:r w:rsidRPr="00562F10">
        <w:t xml:space="preserve">ACDP’s six-monthly and annual reports only </w:t>
      </w:r>
      <w:r>
        <w:t>provide a detailed commentary on</w:t>
      </w:r>
      <w:r w:rsidRPr="00562F10">
        <w:t xml:space="preserve"> one of its two delivery arms, i.e. that of research activities</w:t>
      </w:r>
      <w:r>
        <w:t xml:space="preserve"> and studies</w:t>
      </w:r>
      <w:r w:rsidRPr="00562F10">
        <w:t xml:space="preserve">. The reports make </w:t>
      </w:r>
      <w:r>
        <w:t>comparatively little reference</w:t>
      </w:r>
      <w:r w:rsidRPr="00562F10">
        <w:t xml:space="preserve"> to the nature, role and results associated with its second activity-stream, i.e. that of facilitating meetings, focus group discussions and workshops that are not directly linked with the research activities</w:t>
      </w:r>
      <w:r w:rsidRPr="00562F10">
        <w:rPr>
          <w:rFonts w:asciiTheme="minorHAnsi" w:hAnsiTheme="minorHAnsi" w:cstheme="minorHAnsi"/>
        </w:rPr>
        <w:t xml:space="preserve">. </w:t>
      </w:r>
      <w:r w:rsidRPr="00562F10">
        <w:t xml:space="preserve">As such, it is </w:t>
      </w:r>
      <w:r>
        <w:t>difficult</w:t>
      </w:r>
      <w:r w:rsidRPr="00562F10">
        <w:t xml:space="preserve"> for POM to comment about the effectiveness of the external meetings.</w:t>
      </w:r>
      <w:r>
        <w:rPr>
          <w:rFonts w:asciiTheme="minorHAnsi" w:hAnsiTheme="minorHAnsi" w:cstheme="minorHAnsi"/>
        </w:rPr>
        <w:t xml:space="preserve"> The benefits (or otherwise) of the Teachers’ Policy Forum of August 2015 is a case in point but the same might be said about the effect of the seemingly popular and well regarded </w:t>
      </w:r>
      <w:r w:rsidRPr="000423CB">
        <w:rPr>
          <w:rFonts w:asciiTheme="minorHAnsi" w:hAnsiTheme="minorHAnsi" w:cstheme="minorHAnsi"/>
          <w:i/>
        </w:rPr>
        <w:t>Kopi Darat</w:t>
      </w:r>
      <w:r>
        <w:rPr>
          <w:rFonts w:asciiTheme="minorHAnsi" w:hAnsiTheme="minorHAnsi" w:cstheme="minorHAnsi"/>
        </w:rPr>
        <w:t xml:space="preserve"> events. </w:t>
      </w:r>
      <w:r w:rsidRPr="00562F10">
        <w:rPr>
          <w:rFonts w:asciiTheme="minorHAnsi" w:hAnsiTheme="minorHAnsi" w:cstheme="minorHAnsi"/>
        </w:rPr>
        <w:t xml:space="preserve">POM remains of the view that </w:t>
      </w:r>
      <w:r w:rsidR="005E2FB8">
        <w:rPr>
          <w:rFonts w:asciiTheme="minorHAnsi" w:hAnsiTheme="minorHAnsi" w:cstheme="minorHAnsi"/>
        </w:rPr>
        <w:t xml:space="preserve">a set of metrics by which to better track outcomes of ACDP’s </w:t>
      </w:r>
      <w:r w:rsidRPr="00562F10">
        <w:t>second activity-stream is important</w:t>
      </w:r>
      <w:r w:rsidR="005E2FB8">
        <w:t>.</w:t>
      </w:r>
      <w:r w:rsidRPr="00562F10">
        <w:t xml:space="preserve"> </w:t>
      </w:r>
      <w:r w:rsidR="005E2FB8">
        <w:t xml:space="preserve">Investments in the appropriate expertise to pursue this objective would have improved </w:t>
      </w:r>
      <w:r w:rsidRPr="00562F10">
        <w:t xml:space="preserve">ACDP’s own reporting and tracking </w:t>
      </w:r>
      <w:r w:rsidR="005E2FB8" w:rsidRPr="00562F10">
        <w:t>of results.</w:t>
      </w:r>
    </w:p>
    <w:p w:rsidR="005E2FB8" w:rsidRPr="00B31893" w:rsidRDefault="005E2FB8" w:rsidP="005E2FB8">
      <w:r>
        <w:t xml:space="preserve">By contrast, there is increasing (albeit external) evidence about the effectiveness of ACDP’s first activity-stream. </w:t>
      </w:r>
      <w:r w:rsidRPr="00B31893">
        <w:t xml:space="preserve">An evaluation of the impact of ACDP studies was undertaken by </w:t>
      </w:r>
      <w:r>
        <w:t>POM</w:t>
      </w:r>
      <w:r w:rsidRPr="00B31893">
        <w:t xml:space="preserve"> between August 2014 and December 2015. The evaluation was conducted as an iterative case study</w:t>
      </w:r>
      <w:r>
        <w:t xml:space="preserve"> comprised of five ACDP studies (see </w:t>
      </w:r>
      <w:r>
        <w:fldChar w:fldCharType="begin"/>
      </w:r>
      <w:r>
        <w:instrText xml:space="preserve"> REF _Ref447915526 \h </w:instrText>
      </w:r>
      <w:r>
        <w:fldChar w:fldCharType="separate"/>
      </w:r>
      <w:r w:rsidR="00EC36D2" w:rsidRPr="00A13196">
        <w:t xml:space="preserve">Table </w:t>
      </w:r>
      <w:r w:rsidR="00EC36D2">
        <w:rPr>
          <w:noProof/>
        </w:rPr>
        <w:t>21</w:t>
      </w:r>
      <w:r>
        <w:fldChar w:fldCharType="end"/>
      </w:r>
      <w:r>
        <w:t>).</w:t>
      </w:r>
      <w:r w:rsidRPr="00B31893">
        <w:t xml:space="preserve"> </w:t>
      </w:r>
    </w:p>
    <w:p w:rsidR="007A73EA" w:rsidRDefault="007A73EA" w:rsidP="007A73EA">
      <w:pPr>
        <w:pStyle w:val="Caption-Table"/>
        <w:rPr>
          <w:lang w:val="en-AU"/>
        </w:rPr>
      </w:pPr>
      <w:bookmarkStart w:id="95" w:name="_Ref447915526"/>
      <w:bookmarkStart w:id="96" w:name="_Toc450131642"/>
      <w:r w:rsidRPr="00A13196">
        <w:t xml:space="preserve">Table </w:t>
      </w:r>
      <w:r w:rsidRPr="00A13196">
        <w:fldChar w:fldCharType="begin"/>
      </w:r>
      <w:r w:rsidRPr="00A13196">
        <w:instrText xml:space="preserve"> SEQ Table \* ARABIC </w:instrText>
      </w:r>
      <w:r w:rsidRPr="00A13196">
        <w:fldChar w:fldCharType="separate"/>
      </w:r>
      <w:r w:rsidR="00EC36D2">
        <w:rPr>
          <w:noProof/>
        </w:rPr>
        <w:t>21</w:t>
      </w:r>
      <w:r w:rsidRPr="00A13196">
        <w:fldChar w:fldCharType="end"/>
      </w:r>
      <w:bookmarkEnd w:id="95"/>
      <w:r w:rsidRPr="00A13196">
        <w:t xml:space="preserve">: </w:t>
      </w:r>
      <w:r w:rsidRPr="007A73EA">
        <w:rPr>
          <w:lang w:val="en-AU"/>
        </w:rPr>
        <w:t>EOPO 4 Evaluation case studies</w:t>
      </w:r>
      <w:bookmarkEnd w:id="96"/>
    </w:p>
    <w:tbl>
      <w:tblPr>
        <w:tblStyle w:val="TableGrid20"/>
        <w:tblW w:w="4610" w:type="pct"/>
        <w:jc w:val="center"/>
        <w:tblLook w:val="04A0" w:firstRow="1" w:lastRow="0" w:firstColumn="1" w:lastColumn="0" w:noHBand="0" w:noVBand="1"/>
      </w:tblPr>
      <w:tblGrid>
        <w:gridCol w:w="742"/>
        <w:gridCol w:w="4252"/>
        <w:gridCol w:w="2424"/>
        <w:gridCol w:w="1106"/>
      </w:tblGrid>
      <w:tr w:rsidR="007A73EA" w:rsidRPr="00D20962" w:rsidTr="007A73EA">
        <w:trPr>
          <w:trHeight w:val="376"/>
          <w:jc w:val="center"/>
        </w:trPr>
        <w:tc>
          <w:tcPr>
            <w:tcW w:w="435" w:type="pct"/>
            <w:shd w:val="clear" w:color="auto" w:fill="17365D" w:themeFill="text2" w:themeFillShade="BF"/>
            <w:vAlign w:val="center"/>
          </w:tcPr>
          <w:p w:rsidR="007A73EA" w:rsidRPr="00D20962" w:rsidRDefault="007A73EA" w:rsidP="00736CD3">
            <w:pPr>
              <w:spacing w:before="60" w:after="60"/>
              <w:jc w:val="center"/>
              <w:rPr>
                <w:rFonts w:asciiTheme="minorHAnsi" w:hAnsiTheme="minorHAnsi"/>
                <w:b/>
              </w:rPr>
            </w:pPr>
            <w:r>
              <w:rPr>
                <w:rFonts w:asciiTheme="minorHAnsi" w:hAnsiTheme="minorHAnsi"/>
                <w:b/>
              </w:rPr>
              <w:t>Case Study</w:t>
            </w:r>
          </w:p>
        </w:tc>
        <w:tc>
          <w:tcPr>
            <w:tcW w:w="2494" w:type="pct"/>
            <w:shd w:val="clear" w:color="auto" w:fill="17365D" w:themeFill="text2" w:themeFillShade="BF"/>
            <w:vAlign w:val="center"/>
          </w:tcPr>
          <w:p w:rsidR="007A73EA" w:rsidRPr="00D20962" w:rsidRDefault="007A73EA" w:rsidP="00736CD3">
            <w:pPr>
              <w:spacing w:before="60" w:after="60"/>
              <w:jc w:val="center"/>
              <w:rPr>
                <w:rFonts w:asciiTheme="minorHAnsi" w:hAnsiTheme="minorHAnsi"/>
                <w:b/>
              </w:rPr>
            </w:pPr>
            <w:r>
              <w:rPr>
                <w:rFonts w:asciiTheme="minorHAnsi" w:hAnsiTheme="minorHAnsi"/>
                <w:b/>
              </w:rPr>
              <w:t>Name of study (and primary client)</w:t>
            </w:r>
          </w:p>
        </w:tc>
        <w:tc>
          <w:tcPr>
            <w:tcW w:w="1422" w:type="pct"/>
            <w:shd w:val="clear" w:color="auto" w:fill="17365D" w:themeFill="text2" w:themeFillShade="BF"/>
            <w:vAlign w:val="center"/>
          </w:tcPr>
          <w:p w:rsidR="007A73EA" w:rsidRPr="00D20962" w:rsidRDefault="007A73EA" w:rsidP="00736CD3">
            <w:pPr>
              <w:spacing w:before="60" w:after="60"/>
              <w:jc w:val="center"/>
              <w:rPr>
                <w:rFonts w:asciiTheme="minorHAnsi" w:hAnsiTheme="minorHAnsi"/>
                <w:b/>
              </w:rPr>
            </w:pPr>
            <w:r w:rsidRPr="00562F10">
              <w:rPr>
                <w:rFonts w:asciiTheme="minorHAnsi" w:hAnsiTheme="minorHAnsi"/>
                <w:b/>
              </w:rPr>
              <w:t>Implementation period</w:t>
            </w:r>
          </w:p>
        </w:tc>
        <w:tc>
          <w:tcPr>
            <w:tcW w:w="649" w:type="pct"/>
            <w:shd w:val="clear" w:color="auto" w:fill="17365D" w:themeFill="text2" w:themeFillShade="BF"/>
            <w:vAlign w:val="center"/>
          </w:tcPr>
          <w:p w:rsidR="007A73EA" w:rsidRDefault="007A73EA" w:rsidP="00736CD3">
            <w:pPr>
              <w:spacing w:before="60" w:after="60"/>
              <w:jc w:val="center"/>
              <w:rPr>
                <w:rFonts w:asciiTheme="minorHAnsi" w:hAnsiTheme="minorHAnsi"/>
                <w:b/>
              </w:rPr>
            </w:pPr>
            <w:r w:rsidRPr="00562F10">
              <w:rPr>
                <w:rFonts w:asciiTheme="minorHAnsi" w:hAnsiTheme="minorHAnsi"/>
                <w:b/>
              </w:rPr>
              <w:t>Budget</w:t>
            </w:r>
          </w:p>
          <w:p w:rsidR="007A73EA" w:rsidRPr="00D20962" w:rsidRDefault="007A73EA" w:rsidP="00736CD3">
            <w:pPr>
              <w:spacing w:before="60" w:after="60"/>
              <w:jc w:val="center"/>
              <w:rPr>
                <w:rFonts w:asciiTheme="minorHAnsi" w:hAnsiTheme="minorHAnsi"/>
                <w:b/>
              </w:rPr>
            </w:pPr>
            <w:r>
              <w:rPr>
                <w:rFonts w:asciiTheme="minorHAnsi" w:hAnsiTheme="minorHAnsi"/>
                <w:b/>
              </w:rPr>
              <w:t>(USD)</w:t>
            </w:r>
          </w:p>
        </w:tc>
      </w:tr>
      <w:tr w:rsidR="007A73EA" w:rsidRPr="00D20962" w:rsidTr="007A73EA">
        <w:trPr>
          <w:trHeight w:val="712"/>
          <w:jc w:val="center"/>
        </w:trPr>
        <w:tc>
          <w:tcPr>
            <w:tcW w:w="435" w:type="pct"/>
            <w:vMerge w:val="restart"/>
            <w:vAlign w:val="center"/>
          </w:tcPr>
          <w:p w:rsidR="007A73EA" w:rsidRPr="00B31893" w:rsidRDefault="007A73EA" w:rsidP="007A73EA">
            <w:pPr>
              <w:spacing w:before="100" w:beforeAutospacing="1" w:after="100" w:afterAutospacing="1"/>
              <w:rPr>
                <w:rFonts w:asciiTheme="minorHAnsi" w:hAnsiTheme="minorHAnsi"/>
                <w:sz w:val="20"/>
                <w:szCs w:val="20"/>
              </w:rPr>
            </w:pPr>
            <w:r w:rsidRPr="00B31893">
              <w:rPr>
                <w:rFonts w:asciiTheme="minorHAnsi" w:hAnsiTheme="minorHAnsi"/>
                <w:sz w:val="20"/>
                <w:szCs w:val="20"/>
              </w:rPr>
              <w:t>1</w:t>
            </w:r>
          </w:p>
        </w:tc>
        <w:tc>
          <w:tcPr>
            <w:tcW w:w="2494" w:type="pct"/>
            <w:shd w:val="clear" w:color="auto" w:fill="FFFFFF" w:themeFill="background1"/>
            <w:vAlign w:val="center"/>
          </w:tcPr>
          <w:p w:rsidR="007A73EA" w:rsidRPr="00B31893" w:rsidRDefault="007A73EA" w:rsidP="007A73EA">
            <w:pPr>
              <w:spacing w:before="100" w:beforeAutospacing="1" w:after="100" w:afterAutospacing="1"/>
              <w:rPr>
                <w:sz w:val="20"/>
                <w:szCs w:val="20"/>
              </w:rPr>
            </w:pPr>
            <w:r w:rsidRPr="00B31893">
              <w:rPr>
                <w:sz w:val="20"/>
                <w:szCs w:val="20"/>
              </w:rPr>
              <w:t>School and Madrasah Principals and Supervisors Competencies Baseline Study (MoEC)</w:t>
            </w:r>
          </w:p>
        </w:tc>
        <w:tc>
          <w:tcPr>
            <w:tcW w:w="1422" w:type="pct"/>
            <w:shd w:val="clear" w:color="auto" w:fill="FFFFFF" w:themeFill="background1"/>
            <w:vAlign w:val="center"/>
          </w:tcPr>
          <w:p w:rsidR="007A73EA" w:rsidRPr="00B31893" w:rsidRDefault="007A73EA" w:rsidP="006B6C5B">
            <w:pPr>
              <w:spacing w:before="100" w:beforeAutospacing="1" w:after="100" w:afterAutospacing="1"/>
              <w:jc w:val="center"/>
              <w:rPr>
                <w:sz w:val="20"/>
                <w:szCs w:val="20"/>
              </w:rPr>
            </w:pPr>
            <w:r w:rsidRPr="00B31893">
              <w:rPr>
                <w:sz w:val="20"/>
                <w:szCs w:val="20"/>
              </w:rPr>
              <w:t>Dec 2011 – Mar 2013</w:t>
            </w:r>
          </w:p>
        </w:tc>
        <w:tc>
          <w:tcPr>
            <w:tcW w:w="649" w:type="pct"/>
            <w:shd w:val="clear" w:color="auto" w:fill="FFFFFF" w:themeFill="background1"/>
            <w:vAlign w:val="center"/>
          </w:tcPr>
          <w:p w:rsidR="007A73EA" w:rsidRPr="00B31893" w:rsidRDefault="007A73EA" w:rsidP="007A73EA">
            <w:pPr>
              <w:spacing w:before="100" w:beforeAutospacing="1" w:after="100" w:afterAutospacing="1"/>
              <w:rPr>
                <w:sz w:val="20"/>
                <w:szCs w:val="20"/>
              </w:rPr>
            </w:pPr>
            <w:r w:rsidRPr="00B31893">
              <w:rPr>
                <w:sz w:val="20"/>
                <w:szCs w:val="20"/>
              </w:rPr>
              <w:t>1,330,000</w:t>
            </w:r>
          </w:p>
        </w:tc>
      </w:tr>
      <w:tr w:rsidR="007A73EA" w:rsidRPr="00D20962" w:rsidTr="007A73EA">
        <w:trPr>
          <w:trHeight w:val="709"/>
          <w:jc w:val="center"/>
        </w:trPr>
        <w:tc>
          <w:tcPr>
            <w:tcW w:w="435" w:type="pct"/>
            <w:vMerge/>
            <w:vAlign w:val="center"/>
          </w:tcPr>
          <w:p w:rsidR="007A73EA" w:rsidRPr="00B31893" w:rsidRDefault="007A73EA" w:rsidP="007A73EA">
            <w:pPr>
              <w:spacing w:before="100" w:beforeAutospacing="1" w:after="100" w:afterAutospacing="1"/>
              <w:rPr>
                <w:rFonts w:asciiTheme="minorHAnsi" w:hAnsiTheme="minorHAnsi"/>
                <w:sz w:val="20"/>
                <w:szCs w:val="20"/>
              </w:rPr>
            </w:pPr>
          </w:p>
        </w:tc>
        <w:tc>
          <w:tcPr>
            <w:tcW w:w="2494" w:type="pct"/>
            <w:shd w:val="clear" w:color="auto" w:fill="FFFFFF" w:themeFill="background1"/>
            <w:vAlign w:val="center"/>
          </w:tcPr>
          <w:p w:rsidR="007A73EA" w:rsidRPr="00B31893" w:rsidRDefault="007A73EA" w:rsidP="007A73EA">
            <w:pPr>
              <w:spacing w:before="100" w:beforeAutospacing="1" w:after="100" w:afterAutospacing="1"/>
              <w:rPr>
                <w:sz w:val="20"/>
                <w:szCs w:val="20"/>
              </w:rPr>
            </w:pPr>
            <w:r w:rsidRPr="00B31893">
              <w:rPr>
                <w:sz w:val="20"/>
                <w:szCs w:val="20"/>
              </w:rPr>
              <w:t>Evaluation of the Principal Preparation Program (PPP) (MoEC)</w:t>
            </w:r>
          </w:p>
        </w:tc>
        <w:tc>
          <w:tcPr>
            <w:tcW w:w="1422" w:type="pct"/>
            <w:shd w:val="clear" w:color="auto" w:fill="FFFFFF" w:themeFill="background1"/>
            <w:vAlign w:val="center"/>
          </w:tcPr>
          <w:p w:rsidR="007A73EA" w:rsidRPr="00B31893" w:rsidRDefault="007A73EA" w:rsidP="006B6C5B">
            <w:pPr>
              <w:spacing w:before="100" w:beforeAutospacing="1" w:after="100" w:afterAutospacing="1"/>
              <w:jc w:val="center"/>
              <w:rPr>
                <w:sz w:val="20"/>
                <w:szCs w:val="20"/>
              </w:rPr>
            </w:pPr>
            <w:r w:rsidRPr="00B31893">
              <w:rPr>
                <w:sz w:val="20"/>
                <w:szCs w:val="20"/>
              </w:rPr>
              <w:t>Jan 2014 – Dec 2015</w:t>
            </w:r>
          </w:p>
        </w:tc>
        <w:tc>
          <w:tcPr>
            <w:tcW w:w="649" w:type="pct"/>
            <w:shd w:val="clear" w:color="auto" w:fill="FFFFFF" w:themeFill="background1"/>
            <w:vAlign w:val="center"/>
          </w:tcPr>
          <w:p w:rsidR="007A73EA" w:rsidRPr="00B31893" w:rsidRDefault="007A73EA" w:rsidP="007A73EA">
            <w:pPr>
              <w:spacing w:before="100" w:beforeAutospacing="1" w:after="100" w:afterAutospacing="1"/>
              <w:rPr>
                <w:sz w:val="20"/>
                <w:szCs w:val="20"/>
              </w:rPr>
            </w:pPr>
            <w:r w:rsidRPr="00B31893">
              <w:rPr>
                <w:sz w:val="20"/>
                <w:szCs w:val="20"/>
              </w:rPr>
              <w:t>1,437,000</w:t>
            </w:r>
          </w:p>
        </w:tc>
      </w:tr>
      <w:tr w:rsidR="007A73EA" w:rsidRPr="00D20962" w:rsidTr="007A73EA">
        <w:trPr>
          <w:trHeight w:val="690"/>
          <w:jc w:val="center"/>
        </w:trPr>
        <w:tc>
          <w:tcPr>
            <w:tcW w:w="435" w:type="pct"/>
            <w:vAlign w:val="center"/>
          </w:tcPr>
          <w:p w:rsidR="007A73EA" w:rsidRPr="00B31893" w:rsidRDefault="007A73EA" w:rsidP="007A73EA">
            <w:pPr>
              <w:spacing w:before="100" w:beforeAutospacing="1" w:after="100" w:afterAutospacing="1"/>
              <w:rPr>
                <w:rFonts w:asciiTheme="minorHAnsi" w:hAnsiTheme="minorHAnsi"/>
                <w:sz w:val="20"/>
                <w:szCs w:val="20"/>
              </w:rPr>
            </w:pPr>
            <w:r w:rsidRPr="00B31893">
              <w:rPr>
                <w:rFonts w:asciiTheme="minorHAnsi" w:hAnsiTheme="minorHAnsi"/>
                <w:sz w:val="20"/>
                <w:szCs w:val="20"/>
              </w:rPr>
              <w:t>2</w:t>
            </w:r>
          </w:p>
        </w:tc>
        <w:tc>
          <w:tcPr>
            <w:tcW w:w="2494" w:type="pct"/>
            <w:shd w:val="clear" w:color="auto" w:fill="FFFFFF" w:themeFill="background1"/>
            <w:vAlign w:val="center"/>
          </w:tcPr>
          <w:p w:rsidR="007A73EA" w:rsidRPr="00B31893" w:rsidRDefault="007A73EA" w:rsidP="007A73EA">
            <w:pPr>
              <w:spacing w:before="100" w:beforeAutospacing="1" w:after="100" w:afterAutospacing="1"/>
              <w:rPr>
                <w:sz w:val="20"/>
                <w:szCs w:val="20"/>
              </w:rPr>
            </w:pPr>
            <w:r w:rsidRPr="00B31893">
              <w:rPr>
                <w:sz w:val="20"/>
                <w:szCs w:val="20"/>
              </w:rPr>
              <w:t>Support to the Education Sector Review (ESR) (Bappenas)</w:t>
            </w:r>
          </w:p>
        </w:tc>
        <w:tc>
          <w:tcPr>
            <w:tcW w:w="1422" w:type="pct"/>
            <w:shd w:val="clear" w:color="auto" w:fill="FFFFFF" w:themeFill="background1"/>
            <w:vAlign w:val="center"/>
          </w:tcPr>
          <w:p w:rsidR="007A73EA" w:rsidRPr="00B31893" w:rsidRDefault="007A73EA" w:rsidP="006B6C5B">
            <w:pPr>
              <w:spacing w:before="100" w:beforeAutospacing="1" w:after="100" w:afterAutospacing="1"/>
              <w:jc w:val="center"/>
              <w:rPr>
                <w:sz w:val="20"/>
                <w:szCs w:val="20"/>
              </w:rPr>
            </w:pPr>
            <w:r w:rsidRPr="00B31893">
              <w:rPr>
                <w:sz w:val="20"/>
                <w:szCs w:val="20"/>
              </w:rPr>
              <w:t>Mar 2013 – Jun 2015</w:t>
            </w:r>
          </w:p>
        </w:tc>
        <w:tc>
          <w:tcPr>
            <w:tcW w:w="649" w:type="pct"/>
            <w:shd w:val="clear" w:color="auto" w:fill="FFFFFF" w:themeFill="background1"/>
            <w:vAlign w:val="center"/>
          </w:tcPr>
          <w:p w:rsidR="007A73EA" w:rsidRPr="00B31893" w:rsidRDefault="007A73EA" w:rsidP="007A73EA">
            <w:pPr>
              <w:spacing w:before="100" w:beforeAutospacing="1" w:after="100" w:afterAutospacing="1"/>
              <w:rPr>
                <w:sz w:val="20"/>
                <w:szCs w:val="20"/>
              </w:rPr>
            </w:pPr>
            <w:r w:rsidRPr="00B31893">
              <w:rPr>
                <w:sz w:val="20"/>
                <w:szCs w:val="20"/>
              </w:rPr>
              <w:t>2,529,152</w:t>
            </w:r>
          </w:p>
        </w:tc>
      </w:tr>
      <w:tr w:rsidR="007A73EA" w:rsidRPr="00D20962" w:rsidTr="007A73EA">
        <w:trPr>
          <w:trHeight w:val="984"/>
          <w:jc w:val="center"/>
        </w:trPr>
        <w:tc>
          <w:tcPr>
            <w:tcW w:w="435" w:type="pct"/>
            <w:vAlign w:val="center"/>
          </w:tcPr>
          <w:p w:rsidR="007A73EA" w:rsidRPr="00B31893" w:rsidRDefault="007A73EA" w:rsidP="007A73EA">
            <w:pPr>
              <w:spacing w:before="100" w:beforeAutospacing="1" w:after="100" w:afterAutospacing="1"/>
              <w:rPr>
                <w:rFonts w:asciiTheme="minorHAnsi" w:hAnsiTheme="minorHAnsi"/>
                <w:sz w:val="20"/>
                <w:szCs w:val="20"/>
              </w:rPr>
            </w:pPr>
            <w:r w:rsidRPr="00B31893">
              <w:rPr>
                <w:rFonts w:asciiTheme="minorHAnsi" w:hAnsiTheme="minorHAnsi"/>
                <w:sz w:val="20"/>
                <w:szCs w:val="20"/>
              </w:rPr>
              <w:t>3</w:t>
            </w:r>
          </w:p>
        </w:tc>
        <w:tc>
          <w:tcPr>
            <w:tcW w:w="2494" w:type="pct"/>
            <w:shd w:val="clear" w:color="auto" w:fill="FFFFFF" w:themeFill="background1"/>
            <w:vAlign w:val="center"/>
          </w:tcPr>
          <w:p w:rsidR="007A73EA" w:rsidRPr="00B31893" w:rsidRDefault="007A73EA" w:rsidP="007A73EA">
            <w:pPr>
              <w:spacing w:before="100" w:beforeAutospacing="1" w:after="100" w:afterAutospacing="1"/>
              <w:rPr>
                <w:sz w:val="20"/>
                <w:szCs w:val="20"/>
              </w:rPr>
            </w:pPr>
            <w:r w:rsidRPr="00B31893">
              <w:rPr>
                <w:sz w:val="20"/>
                <w:szCs w:val="20"/>
              </w:rPr>
              <w:t>Support for strategic planning of rural and remote education in Papua (Provincial Government, Papua)</w:t>
            </w:r>
          </w:p>
        </w:tc>
        <w:tc>
          <w:tcPr>
            <w:tcW w:w="1422" w:type="pct"/>
            <w:shd w:val="clear" w:color="auto" w:fill="FFFFFF" w:themeFill="background1"/>
            <w:vAlign w:val="center"/>
          </w:tcPr>
          <w:p w:rsidR="007A73EA" w:rsidRPr="00B31893" w:rsidRDefault="007A73EA" w:rsidP="006B6C5B">
            <w:pPr>
              <w:spacing w:before="100" w:beforeAutospacing="1" w:after="100" w:afterAutospacing="1"/>
              <w:jc w:val="center"/>
              <w:rPr>
                <w:sz w:val="20"/>
                <w:szCs w:val="20"/>
              </w:rPr>
            </w:pPr>
            <w:r w:rsidRPr="00B31893">
              <w:rPr>
                <w:sz w:val="20"/>
                <w:szCs w:val="20"/>
              </w:rPr>
              <w:t>Sep 2012 – Sep 2014</w:t>
            </w:r>
          </w:p>
        </w:tc>
        <w:tc>
          <w:tcPr>
            <w:tcW w:w="649" w:type="pct"/>
            <w:shd w:val="clear" w:color="auto" w:fill="FFFFFF" w:themeFill="background1"/>
            <w:vAlign w:val="center"/>
          </w:tcPr>
          <w:p w:rsidR="007A73EA" w:rsidRPr="00B31893" w:rsidRDefault="007A73EA" w:rsidP="007A73EA">
            <w:pPr>
              <w:spacing w:before="100" w:beforeAutospacing="1" w:after="100" w:afterAutospacing="1"/>
              <w:rPr>
                <w:sz w:val="20"/>
                <w:szCs w:val="20"/>
              </w:rPr>
            </w:pPr>
            <w:r w:rsidRPr="00B31893">
              <w:rPr>
                <w:sz w:val="20"/>
                <w:szCs w:val="20"/>
              </w:rPr>
              <w:t>343,238</w:t>
            </w:r>
          </w:p>
        </w:tc>
      </w:tr>
      <w:tr w:rsidR="007A73EA" w:rsidRPr="00D20962" w:rsidTr="00736CD3">
        <w:trPr>
          <w:trHeight w:val="434"/>
          <w:jc w:val="center"/>
        </w:trPr>
        <w:tc>
          <w:tcPr>
            <w:tcW w:w="435" w:type="pct"/>
            <w:vAlign w:val="center"/>
          </w:tcPr>
          <w:p w:rsidR="007A73EA" w:rsidRPr="00B31893" w:rsidRDefault="007A73EA" w:rsidP="007A73EA">
            <w:pPr>
              <w:spacing w:before="100" w:beforeAutospacing="1" w:after="100" w:afterAutospacing="1"/>
              <w:rPr>
                <w:sz w:val="20"/>
                <w:szCs w:val="20"/>
              </w:rPr>
            </w:pPr>
            <w:r w:rsidRPr="00B31893">
              <w:rPr>
                <w:sz w:val="20"/>
                <w:szCs w:val="20"/>
              </w:rPr>
              <w:t>4</w:t>
            </w:r>
          </w:p>
        </w:tc>
        <w:tc>
          <w:tcPr>
            <w:tcW w:w="2494" w:type="pct"/>
            <w:shd w:val="clear" w:color="auto" w:fill="FFFFFF" w:themeFill="background1"/>
            <w:vAlign w:val="center"/>
          </w:tcPr>
          <w:p w:rsidR="007A73EA" w:rsidRPr="00B31893" w:rsidRDefault="007A73EA" w:rsidP="007A73EA">
            <w:pPr>
              <w:spacing w:before="100" w:beforeAutospacing="1" w:after="100" w:afterAutospacing="1"/>
              <w:rPr>
                <w:sz w:val="20"/>
                <w:szCs w:val="20"/>
              </w:rPr>
            </w:pPr>
            <w:r w:rsidRPr="00B31893">
              <w:rPr>
                <w:sz w:val="20"/>
                <w:szCs w:val="20"/>
              </w:rPr>
              <w:t>Madrasah Financing Study (MoRA)</w:t>
            </w:r>
          </w:p>
        </w:tc>
        <w:tc>
          <w:tcPr>
            <w:tcW w:w="1422" w:type="pct"/>
            <w:shd w:val="clear" w:color="auto" w:fill="FFFFFF" w:themeFill="background1"/>
            <w:vAlign w:val="center"/>
          </w:tcPr>
          <w:p w:rsidR="007A73EA" w:rsidRPr="00B31893" w:rsidRDefault="007A73EA" w:rsidP="006B6C5B">
            <w:pPr>
              <w:spacing w:before="100" w:beforeAutospacing="1" w:after="100" w:afterAutospacing="1"/>
              <w:jc w:val="center"/>
              <w:rPr>
                <w:sz w:val="20"/>
                <w:szCs w:val="20"/>
              </w:rPr>
            </w:pPr>
            <w:r w:rsidRPr="00B31893">
              <w:rPr>
                <w:sz w:val="20"/>
                <w:szCs w:val="20"/>
              </w:rPr>
              <w:t>Nov 2011 – Oct 2012</w:t>
            </w:r>
          </w:p>
        </w:tc>
        <w:tc>
          <w:tcPr>
            <w:tcW w:w="649" w:type="pct"/>
            <w:shd w:val="clear" w:color="auto" w:fill="FFFFFF" w:themeFill="background1"/>
            <w:vAlign w:val="center"/>
          </w:tcPr>
          <w:p w:rsidR="007A73EA" w:rsidRPr="00B31893" w:rsidRDefault="007A73EA" w:rsidP="007A73EA">
            <w:pPr>
              <w:spacing w:before="100" w:beforeAutospacing="1" w:after="100" w:afterAutospacing="1"/>
              <w:rPr>
                <w:sz w:val="20"/>
                <w:szCs w:val="20"/>
              </w:rPr>
            </w:pPr>
            <w:r w:rsidRPr="00B31893">
              <w:rPr>
                <w:sz w:val="20"/>
                <w:szCs w:val="20"/>
              </w:rPr>
              <w:t>181,170</w:t>
            </w:r>
          </w:p>
        </w:tc>
      </w:tr>
    </w:tbl>
    <w:p w:rsidR="005E2FB8" w:rsidRPr="00B31893" w:rsidRDefault="005E2FB8" w:rsidP="005E2FB8">
      <w:r>
        <w:t>The evaluation found that the extent to which</w:t>
      </w:r>
      <w:r w:rsidRPr="00B31893">
        <w:t xml:space="preserve"> ACDP-generated evidence has been incorporated in relevant education secto</w:t>
      </w:r>
      <w:r>
        <w:t xml:space="preserve">r policies, plans, and budgets </w:t>
      </w:r>
      <w:r w:rsidR="007C296F">
        <w:t>to be largely positive and successful</w:t>
      </w:r>
      <w:r w:rsidRPr="00B31893">
        <w:t xml:space="preserve">. While the </w:t>
      </w:r>
      <w:r w:rsidRPr="007625B5">
        <w:rPr>
          <w:i/>
        </w:rPr>
        <w:t>Evaluation of the Principal Preparation Program</w:t>
      </w:r>
      <w:r w:rsidRPr="007625B5">
        <w:t xml:space="preserve"> </w:t>
      </w:r>
      <w:r w:rsidRPr="00B31893">
        <w:t xml:space="preserve">(Case Study 1) has not had sufficient time to demonstrate outcomes, the other four have. Of these, </w:t>
      </w:r>
      <w:r>
        <w:t>there ha</w:t>
      </w:r>
      <w:r w:rsidR="007C296F">
        <w:t>ve</w:t>
      </w:r>
      <w:r>
        <w:t xml:space="preserve"> been </w:t>
      </w:r>
      <w:r w:rsidRPr="00B31893">
        <w:t xml:space="preserve">high levels of uptake and use </w:t>
      </w:r>
      <w:r>
        <w:t xml:space="preserve">on </w:t>
      </w:r>
      <w:r w:rsidRPr="00B31893">
        <w:t>two studies</w:t>
      </w:r>
      <w:r>
        <w:t xml:space="preserve">, namely </w:t>
      </w:r>
      <w:r w:rsidRPr="00B31893">
        <w:rPr>
          <w:i/>
        </w:rPr>
        <w:t xml:space="preserve">Support to </w:t>
      </w:r>
      <w:r>
        <w:rPr>
          <w:i/>
        </w:rPr>
        <w:t xml:space="preserve">the </w:t>
      </w:r>
      <w:r w:rsidRPr="00B31893">
        <w:rPr>
          <w:i/>
        </w:rPr>
        <w:t>ESR</w:t>
      </w:r>
      <w:r w:rsidRPr="00B31893">
        <w:t xml:space="preserve"> and </w:t>
      </w:r>
      <w:r w:rsidRPr="00B31893">
        <w:rPr>
          <w:i/>
        </w:rPr>
        <w:t>Support to Rural and Remote Education Papua</w:t>
      </w:r>
      <w:r w:rsidRPr="00B31893">
        <w:t>. Specifically:</w:t>
      </w:r>
    </w:p>
    <w:p w:rsidR="005E2FB8" w:rsidRPr="00B31893" w:rsidRDefault="005E2FB8" w:rsidP="005E2FB8">
      <w:pPr>
        <w:pStyle w:val="ListParagraph"/>
        <w:numPr>
          <w:ilvl w:val="0"/>
          <w:numId w:val="14"/>
        </w:numPr>
      </w:pPr>
      <w:r w:rsidRPr="007A73EA">
        <w:rPr>
          <w:rFonts w:eastAsiaTheme="minorHAnsi"/>
        </w:rPr>
        <w:t>The</w:t>
      </w:r>
      <w:r w:rsidRPr="00B31893">
        <w:t xml:space="preserve"> </w:t>
      </w:r>
      <w:r w:rsidRPr="007A73EA">
        <w:rPr>
          <w:i/>
        </w:rPr>
        <w:t>Support to Rural and Remote Education Papua</w:t>
      </w:r>
      <w:r w:rsidRPr="00B31893">
        <w:t xml:space="preserve"> led </w:t>
      </w:r>
      <w:r w:rsidRPr="007A73EA">
        <w:rPr>
          <w:rFonts w:eastAsiaTheme="minorHAnsi"/>
        </w:rPr>
        <w:t>to the province’s first evidence-based strategic plan for the use of mother tongue in teaching and learning; a financial commitment by the provincial government to implement a pilot program, and; inclusion of mother tongue into policy at the national level. The evaluation found ACDP’s contribution to be “significant”, noting the high level of additionality generated by ACDP’s investment.</w:t>
      </w:r>
    </w:p>
    <w:p w:rsidR="005E2FB8" w:rsidRPr="007A73EA" w:rsidRDefault="005E2FB8" w:rsidP="005E2FB8">
      <w:pPr>
        <w:pStyle w:val="ListParagraph"/>
        <w:numPr>
          <w:ilvl w:val="0"/>
          <w:numId w:val="14"/>
        </w:numPr>
        <w:rPr>
          <w:rFonts w:eastAsiaTheme="minorHAnsi"/>
        </w:rPr>
      </w:pPr>
      <w:r w:rsidRPr="007A73EA">
        <w:rPr>
          <w:rFonts w:eastAsiaTheme="minorHAnsi"/>
        </w:rPr>
        <w:lastRenderedPageBreak/>
        <w:t xml:space="preserve">The </w:t>
      </w:r>
      <w:r w:rsidRPr="007A73EA">
        <w:rPr>
          <w:rFonts w:eastAsiaTheme="minorHAnsi"/>
          <w:i/>
        </w:rPr>
        <w:t>Support to the ESR</w:t>
      </w:r>
      <w:r w:rsidRPr="007A73EA">
        <w:rPr>
          <w:rFonts w:eastAsiaTheme="minorHAnsi"/>
        </w:rPr>
        <w:t xml:space="preserve"> generated comprehensive evidence in 12 key policy areas that helped guide and shape: the National Mid Term Development Plan (RPJMN); the Education Strategic Plans (Renstra) of MoEC and MoRA, and; policy statements about ‘12 years of schooling’, ‘higher education’, ‘early childhood education’ and ‘examinations and graduation’. The evaluation found ACDP’s contribution to be “important”, noting the existence of other important contributory factors. </w:t>
      </w:r>
    </w:p>
    <w:p w:rsidR="005E2FB8" w:rsidRDefault="005E2FB8" w:rsidP="007C296F">
      <w:r w:rsidRPr="00B31893">
        <w:t xml:space="preserve">By contrast, the </w:t>
      </w:r>
      <w:r w:rsidRPr="00B31893">
        <w:rPr>
          <w:i/>
        </w:rPr>
        <w:t>Competency Baseline</w:t>
      </w:r>
      <w:r>
        <w:t xml:space="preserve">, which cost USD </w:t>
      </w:r>
      <w:r w:rsidRPr="00B31893">
        <w:t xml:space="preserve">1,330,000, has generated </w:t>
      </w:r>
      <w:r>
        <w:t>less</w:t>
      </w:r>
      <w:r w:rsidRPr="00B31893">
        <w:t xml:space="preserve"> uptake and use</w:t>
      </w:r>
      <w:r>
        <w:t xml:space="preserve"> (though it is important to note that the evaluation team and the ACDP Secretariat have different views on what was expected of the study and therefore have different views on the degree of success attained to date)</w:t>
      </w:r>
      <w:r w:rsidRPr="00B31893">
        <w:t xml:space="preserve">. The </w:t>
      </w:r>
      <w:r w:rsidRPr="00B31893">
        <w:rPr>
          <w:i/>
        </w:rPr>
        <w:t>Madrasah Financing Study</w:t>
      </w:r>
      <w:r w:rsidRPr="00B31893">
        <w:t xml:space="preserve"> showed no signs of uptake between 2012 and 2015. However, MoRA’s renewed interest in </w:t>
      </w:r>
      <w:r w:rsidR="004729E4">
        <w:t>Madrasah</w:t>
      </w:r>
      <w:r w:rsidRPr="00B31893">
        <w:t xml:space="preserve"> financing </w:t>
      </w:r>
      <w:r>
        <w:t xml:space="preserve">during </w:t>
      </w:r>
      <w:r w:rsidRPr="00B31893">
        <w:t xml:space="preserve">2015 has resulted in study evidence being used to inform the recently revised </w:t>
      </w:r>
      <w:r>
        <w:t>2015-19 MoRA Renstra</w:t>
      </w:r>
      <w:r w:rsidR="007C296F">
        <w:t xml:space="preserve"> and, in 2015, detailed discussions on </w:t>
      </w:r>
      <w:r w:rsidR="004729E4">
        <w:t>Madrasah</w:t>
      </w:r>
      <w:r w:rsidR="007C296F">
        <w:t xml:space="preserve"> financing between MoRA, MoHA, MoF and the national parliament. </w:t>
      </w:r>
      <w:r w:rsidRPr="00B31893">
        <w:t>Consequently, there</w:t>
      </w:r>
      <w:r w:rsidR="007C296F">
        <w:t xml:space="preserve"> is a more positive outlook now than before in terms of the necessary policy, regulation and systems development changes required.</w:t>
      </w:r>
      <w:r w:rsidRPr="00B31893">
        <w:t xml:space="preserve"> This is an example of how a seemingly ineffective study can be reinvigorated when the context changes (so long as the opportunities are identified and exploited).</w:t>
      </w:r>
    </w:p>
    <w:p w:rsidR="005E2FB8" w:rsidRPr="00B31893" w:rsidRDefault="005E2FB8" w:rsidP="005E2FB8">
      <w:r w:rsidRPr="00B31893">
        <w:t xml:space="preserve">ACDP’s contribution to the attainment of expected outcomes varied across individual studies. The strongest contribution was found in the two successful studies, particularly in the case of </w:t>
      </w:r>
      <w:r w:rsidRPr="000423CB">
        <w:rPr>
          <w:i/>
        </w:rPr>
        <w:t>Support for Rural and Remote Education Papua</w:t>
      </w:r>
      <w:r w:rsidRPr="00B31893">
        <w:t xml:space="preserve">. There ACDP provided resources, skills, and capabilities that were not otherwise available; it </w:t>
      </w:r>
      <w:r>
        <w:t xml:space="preserve">supported the development of </w:t>
      </w:r>
      <w:r w:rsidRPr="00B31893">
        <w:t xml:space="preserve">a comprehensive, integrated plan to replace previous </w:t>
      </w:r>
      <w:r w:rsidRPr="007625B5">
        <w:rPr>
          <w:i/>
        </w:rPr>
        <w:t>ad hoc</w:t>
      </w:r>
      <w:r w:rsidRPr="00B31893">
        <w:t xml:space="preserve"> approaches; it accelerated p</w:t>
      </w:r>
      <w:r>
        <w:t>olicy uptake,</w:t>
      </w:r>
      <w:r w:rsidRPr="00B31893">
        <w:t xml:space="preserve"> and</w:t>
      </w:r>
      <w:r>
        <w:t>;</w:t>
      </w:r>
      <w:r w:rsidRPr="00B31893">
        <w:t xml:space="preserve"> it led to a spillover into national policy. While not the primary contributor to the </w:t>
      </w:r>
      <w:r w:rsidRPr="000423CB">
        <w:rPr>
          <w:i/>
        </w:rPr>
        <w:t>ESR</w:t>
      </w:r>
      <w:r w:rsidRPr="00B31893">
        <w:t xml:space="preserve">, ACDP nonetheless made an important contribution </w:t>
      </w:r>
      <w:r>
        <w:t>to</w:t>
      </w:r>
      <w:r w:rsidRPr="00B31893">
        <w:t xml:space="preserve"> deepening </w:t>
      </w:r>
      <w:r>
        <w:t>policy-makers’</w:t>
      </w:r>
      <w:r w:rsidRPr="00B31893">
        <w:t xml:space="preserve"> understanding of key issues; broadening sta</w:t>
      </w:r>
      <w:r>
        <w:t xml:space="preserve">keholder engagement, </w:t>
      </w:r>
      <w:r w:rsidRPr="00B31893">
        <w:t>and</w:t>
      </w:r>
      <w:r>
        <w:t>;</w:t>
      </w:r>
      <w:r w:rsidRPr="00B31893">
        <w:t xml:space="preserve"> enhancing </w:t>
      </w:r>
      <w:r w:rsidR="008D073A">
        <w:t>K</w:t>
      </w:r>
      <w:r>
        <w:t>nowledge-to-Policy (K2P)</w:t>
      </w:r>
      <w:r w:rsidRPr="00B31893">
        <w:t xml:space="preserve"> </w:t>
      </w:r>
      <w:r>
        <w:t xml:space="preserve">processes </w:t>
      </w:r>
      <w:r w:rsidRPr="00B31893">
        <w:t xml:space="preserve">undertaken by Bappenas. </w:t>
      </w:r>
    </w:p>
    <w:p w:rsidR="005E2FB8" w:rsidRPr="00271513" w:rsidRDefault="005E2FB8" w:rsidP="005E2FB8">
      <w:pPr>
        <w:rPr>
          <w:szCs w:val="20"/>
        </w:rPr>
      </w:pPr>
      <w:r>
        <w:t xml:space="preserve">The question remains about the extent to which the findings of POM’s evaluation might be extrapolated across the larger population of ACDP studies. While the findings are consistent with what might be realistically expected from an </w:t>
      </w:r>
      <w:r w:rsidRPr="00405108">
        <w:t xml:space="preserve">investment portfolio (i.e. a mix of </w:t>
      </w:r>
      <w:r>
        <w:t xml:space="preserve">successful and less successful </w:t>
      </w:r>
      <w:r w:rsidRPr="00405108">
        <w:t>performers), it is notable that the five activities evaluated by POM were commission</w:t>
      </w:r>
      <w:r>
        <w:t>ed</w:t>
      </w:r>
      <w:r w:rsidRPr="00405108">
        <w:t xml:space="preserve"> in 2011-13, i.e. during the first half of ACDP’s five-year existence. </w:t>
      </w:r>
      <w:r w:rsidR="007C296F">
        <w:t xml:space="preserve">POM suspects </w:t>
      </w:r>
      <w:r>
        <w:t xml:space="preserve">that some of the studies ACDP has conducted since 2014 may have </w:t>
      </w:r>
      <w:r w:rsidR="007C296F">
        <w:t>greater prospects for evidence utilisation and incorporation</w:t>
      </w:r>
      <w:r>
        <w:t xml:space="preserve">, in part because the </w:t>
      </w:r>
      <w:r w:rsidRPr="00405108">
        <w:t>EOPO 4 evaluation indicate</w:t>
      </w:r>
      <w:r>
        <w:t>d</w:t>
      </w:r>
      <w:r w:rsidRPr="00405108">
        <w:t xml:space="preserve"> that ACDP is now p</w:t>
      </w:r>
      <w:r>
        <w:t>lacing an increased emphasis on</w:t>
      </w:r>
      <w:r w:rsidRPr="00271513">
        <w:rPr>
          <w:szCs w:val="20"/>
        </w:rPr>
        <w:t xml:space="preserve">: </w:t>
      </w:r>
    </w:p>
    <w:p w:rsidR="005E2FB8" w:rsidRPr="007A73EA" w:rsidRDefault="005E2FB8" w:rsidP="005E2FB8">
      <w:pPr>
        <w:pStyle w:val="ListParagraph"/>
        <w:numPr>
          <w:ilvl w:val="0"/>
          <w:numId w:val="15"/>
        </w:numPr>
        <w:rPr>
          <w:rFonts w:eastAsiaTheme="minorHAnsi"/>
        </w:rPr>
      </w:pPr>
      <w:r w:rsidRPr="007A73EA">
        <w:rPr>
          <w:rFonts w:eastAsiaTheme="minorHAnsi"/>
        </w:rPr>
        <w:t xml:space="preserve">Linking activities thematically in order to better support strategic priorities within GoI. </w:t>
      </w:r>
    </w:p>
    <w:p w:rsidR="005E2FB8" w:rsidRPr="007A73EA" w:rsidRDefault="005E2FB8" w:rsidP="005E2FB8">
      <w:pPr>
        <w:pStyle w:val="ListParagraph"/>
        <w:numPr>
          <w:ilvl w:val="0"/>
          <w:numId w:val="15"/>
        </w:numPr>
        <w:rPr>
          <w:rFonts w:eastAsiaTheme="minorHAnsi"/>
        </w:rPr>
      </w:pPr>
      <w:r w:rsidRPr="007A73EA">
        <w:rPr>
          <w:rFonts w:eastAsiaTheme="minorHAnsi"/>
        </w:rPr>
        <w:t xml:space="preserve">Conducting more rapid response-style studies that address emerging GoI needs and policy issues. </w:t>
      </w:r>
    </w:p>
    <w:p w:rsidR="005E2FB8" w:rsidRPr="007A73EA" w:rsidRDefault="005E2FB8" w:rsidP="005E2FB8">
      <w:pPr>
        <w:pStyle w:val="ListParagraph"/>
        <w:numPr>
          <w:ilvl w:val="0"/>
          <w:numId w:val="15"/>
        </w:numPr>
        <w:rPr>
          <w:szCs w:val="20"/>
        </w:rPr>
      </w:pPr>
      <w:r w:rsidRPr="007A73EA">
        <w:rPr>
          <w:rFonts w:eastAsiaTheme="minorHAnsi"/>
        </w:rPr>
        <w:t>Targeting</w:t>
      </w:r>
      <w:r w:rsidRPr="007A73EA">
        <w:rPr>
          <w:szCs w:val="20"/>
        </w:rPr>
        <w:t xml:space="preserve"> communications to particular stakeholders. </w:t>
      </w:r>
    </w:p>
    <w:p w:rsidR="005E2FB8" w:rsidRDefault="005E2FB8" w:rsidP="005E2FB8">
      <w:pPr>
        <w:contextualSpacing/>
        <w:rPr>
          <w:szCs w:val="20"/>
        </w:rPr>
      </w:pPr>
      <w:r>
        <w:rPr>
          <w:szCs w:val="20"/>
        </w:rPr>
        <w:t xml:space="preserve">The </w:t>
      </w:r>
      <w:r w:rsidRPr="00341719">
        <w:rPr>
          <w:szCs w:val="20"/>
        </w:rPr>
        <w:t xml:space="preserve">creation of the Knowledge Management Team in 2015 should make evidence more accessible to key decision-makers </w:t>
      </w:r>
      <w:r>
        <w:rPr>
          <w:szCs w:val="20"/>
        </w:rPr>
        <w:t>and external s</w:t>
      </w:r>
      <w:r w:rsidRPr="00341719">
        <w:rPr>
          <w:szCs w:val="20"/>
        </w:rPr>
        <w:t xml:space="preserve">takeholders, </w:t>
      </w:r>
      <w:r>
        <w:rPr>
          <w:szCs w:val="20"/>
        </w:rPr>
        <w:t>such as</w:t>
      </w:r>
      <w:r w:rsidRPr="00341719">
        <w:rPr>
          <w:szCs w:val="20"/>
        </w:rPr>
        <w:t xml:space="preserve"> the media. Equally, the Secretariat has demonstrated that it is seeking to respond to the evolving political and policy context by, for example, supporting the newly formed PASKA and by providing support to </w:t>
      </w:r>
      <w:r w:rsidR="007C296F">
        <w:rPr>
          <w:szCs w:val="20"/>
        </w:rPr>
        <w:t>GoI</w:t>
      </w:r>
      <w:r w:rsidR="007C296F" w:rsidRPr="00341719">
        <w:rPr>
          <w:szCs w:val="20"/>
        </w:rPr>
        <w:t xml:space="preserve"> </w:t>
      </w:r>
      <w:r w:rsidRPr="00341719">
        <w:rPr>
          <w:szCs w:val="20"/>
        </w:rPr>
        <w:t xml:space="preserve">actors working on </w:t>
      </w:r>
      <w:r w:rsidRPr="00341719">
        <w:rPr>
          <w:szCs w:val="20"/>
        </w:rPr>
        <w:lastRenderedPageBreak/>
        <w:t xml:space="preserve">‘burning issues’ such as the Indonesian </w:t>
      </w:r>
      <w:r>
        <w:rPr>
          <w:szCs w:val="20"/>
        </w:rPr>
        <w:t>Qualifications</w:t>
      </w:r>
      <w:r w:rsidRPr="00341719">
        <w:rPr>
          <w:szCs w:val="20"/>
        </w:rPr>
        <w:t xml:space="preserve"> Framework (2014-) and student assessment reform (2015-). </w:t>
      </w:r>
    </w:p>
    <w:p w:rsidR="007C296F" w:rsidRDefault="007C296F" w:rsidP="005E2FB8">
      <w:pPr>
        <w:contextualSpacing/>
        <w:rPr>
          <w:szCs w:val="20"/>
        </w:rPr>
      </w:pPr>
    </w:p>
    <w:p w:rsidR="007A73EA" w:rsidRDefault="005E2FB8" w:rsidP="005E2FB8">
      <w:pPr>
        <w:rPr>
          <w:rFonts w:asciiTheme="minorHAnsi" w:eastAsia="Calibri" w:hAnsiTheme="minorHAnsi"/>
          <w:sz w:val="20"/>
          <w:szCs w:val="20"/>
        </w:rPr>
      </w:pPr>
      <w:r w:rsidRPr="00602CEE">
        <w:t>Ultimately</w:t>
      </w:r>
      <w:r w:rsidRPr="00341719">
        <w:rPr>
          <w:szCs w:val="20"/>
        </w:rPr>
        <w:t xml:space="preserve"> </w:t>
      </w:r>
      <w:r>
        <w:rPr>
          <w:szCs w:val="20"/>
        </w:rPr>
        <w:t>the</w:t>
      </w:r>
      <w:r w:rsidRPr="00341719">
        <w:rPr>
          <w:szCs w:val="20"/>
        </w:rPr>
        <w:t xml:space="preserve"> effect of these changes is somewhat unknown but the promise is there. </w:t>
      </w:r>
      <w:r>
        <w:rPr>
          <w:szCs w:val="20"/>
        </w:rPr>
        <w:t xml:space="preserve">Nevertheless, it is noteworthy that with change and promise comes the ever-greater need to capture, assess and report the results accruing from the investment. Moreover, with improved evidence of what works, when, how and why comes the opportunity to review and revise approaches to activity design, implementation and follow-up. ACDP’s ongoing limited investment in M&amp;E continues to be a source of concern. While it did appoint </w:t>
      </w:r>
      <w:r w:rsidRPr="00405108">
        <w:rPr>
          <w:szCs w:val="20"/>
        </w:rPr>
        <w:t>an (intermittent) ACDP M&amp;E Advisor in September 2015</w:t>
      </w:r>
      <w:r>
        <w:rPr>
          <w:szCs w:val="20"/>
        </w:rPr>
        <w:t>,</w:t>
      </w:r>
      <w:r w:rsidRPr="00405108">
        <w:rPr>
          <w:szCs w:val="20"/>
        </w:rPr>
        <w:t xml:space="preserve"> t</w:t>
      </w:r>
      <w:r>
        <w:rPr>
          <w:szCs w:val="20"/>
        </w:rPr>
        <w:t>his step was taken</w:t>
      </w:r>
      <w:r w:rsidRPr="00405108">
        <w:rPr>
          <w:szCs w:val="20"/>
        </w:rPr>
        <w:t xml:space="preserve"> five years after program commencement and nearly 12 months after the MTR recommended that ACDP “invest in a core advisor with </w:t>
      </w:r>
      <w:r w:rsidRPr="00405108">
        <w:rPr>
          <w:color w:val="000000" w:themeColor="text1"/>
        </w:rPr>
        <w:t>proven</w:t>
      </w:r>
      <w:r w:rsidRPr="00405108">
        <w:rPr>
          <w:szCs w:val="20"/>
        </w:rPr>
        <w:t xml:space="preserve"> M&amp;E expertise and experience” to capture its outcomes</w:t>
      </w:r>
      <w:r w:rsidRPr="002510D1">
        <w:rPr>
          <w:rStyle w:val="EndnoteReference"/>
          <w:rFonts w:eastAsia="Calibri"/>
        </w:rPr>
        <w:endnoteReference w:id="78"/>
      </w:r>
      <w:r>
        <w:rPr>
          <w:rFonts w:asciiTheme="minorHAnsi" w:eastAsia="Calibri" w:hAnsiTheme="minorHAnsi"/>
          <w:sz w:val="20"/>
          <w:szCs w:val="20"/>
        </w:rPr>
        <w:t>.</w:t>
      </w:r>
    </w:p>
    <w:p w:rsidR="00D1143C" w:rsidRDefault="00D1143C" w:rsidP="00D1143C">
      <w:pPr>
        <w:pStyle w:val="Heading3"/>
      </w:pPr>
      <w:r w:rsidRPr="00851EC7">
        <w:t>Impact</w:t>
      </w:r>
    </w:p>
    <w:p w:rsidR="005E2FB8" w:rsidRDefault="005E2FB8" w:rsidP="005E2FB8">
      <w:pPr>
        <w:rPr>
          <w:color w:val="FF0000"/>
        </w:rPr>
      </w:pPr>
      <w:r w:rsidRPr="00A364FC">
        <w:rPr>
          <w:color w:val="000000" w:themeColor="text1"/>
        </w:rPr>
        <w:t xml:space="preserve">POM remains of the view that should evidence be provided at the right time, in the right format, and to the right people, there is tremendous potential for </w:t>
      </w:r>
      <w:r w:rsidRPr="00023BF6">
        <w:rPr>
          <w:color w:val="000000" w:themeColor="text1"/>
        </w:rPr>
        <w:t xml:space="preserve">activities to deliver long-term benefits (see the 2013 and 2014 APPRs). With </w:t>
      </w:r>
      <w:r>
        <w:rPr>
          <w:color w:val="000000" w:themeColor="text1"/>
        </w:rPr>
        <w:t xml:space="preserve">improved </w:t>
      </w:r>
      <w:r w:rsidRPr="00023BF6">
        <w:rPr>
          <w:color w:val="000000" w:themeColor="text1"/>
        </w:rPr>
        <w:t xml:space="preserve">effectiveness the prospects for greater impact </w:t>
      </w:r>
      <w:r>
        <w:rPr>
          <w:color w:val="000000" w:themeColor="text1"/>
        </w:rPr>
        <w:t xml:space="preserve">inevitably </w:t>
      </w:r>
      <w:r w:rsidRPr="00023BF6">
        <w:rPr>
          <w:color w:val="000000" w:themeColor="text1"/>
        </w:rPr>
        <w:t xml:space="preserve">grow. By way of example, critical evidence contained in </w:t>
      </w:r>
      <w:r w:rsidRPr="00EB645A">
        <w:rPr>
          <w:rFonts w:asciiTheme="minorHAnsi" w:eastAsiaTheme="minorHAnsi" w:hAnsiTheme="minorHAnsi" w:cstheme="minorBidi"/>
          <w:i/>
          <w:color w:val="000000" w:themeColor="text1"/>
        </w:rPr>
        <w:t>Overview of Islamic Education Sub-Sector in Indonesia</w:t>
      </w:r>
      <w:r w:rsidRPr="00023BF6">
        <w:rPr>
          <w:rFonts w:asciiTheme="minorHAnsi" w:eastAsiaTheme="minorHAnsi" w:hAnsiTheme="minorHAnsi" w:cstheme="minorBidi"/>
          <w:color w:val="000000" w:themeColor="text1"/>
        </w:rPr>
        <w:t xml:space="preserve"> (ACDP 021) </w:t>
      </w:r>
      <w:r>
        <w:rPr>
          <w:rFonts w:asciiTheme="minorHAnsi" w:eastAsiaTheme="minorHAnsi" w:hAnsiTheme="minorHAnsi" w:cstheme="minorBidi"/>
          <w:color w:val="000000" w:themeColor="text1"/>
        </w:rPr>
        <w:t xml:space="preserve">should </w:t>
      </w:r>
      <w:r w:rsidRPr="00023BF6">
        <w:rPr>
          <w:color w:val="000000" w:themeColor="text1"/>
        </w:rPr>
        <w:t xml:space="preserve">help </w:t>
      </w:r>
      <w:r>
        <w:rPr>
          <w:color w:val="000000" w:themeColor="text1"/>
        </w:rPr>
        <w:t xml:space="preserve">to </w:t>
      </w:r>
      <w:r w:rsidRPr="00023BF6">
        <w:rPr>
          <w:color w:val="000000" w:themeColor="text1"/>
        </w:rPr>
        <w:t xml:space="preserve">create space for a motivated and informed discussion about the need for improved </w:t>
      </w:r>
      <w:r w:rsidR="004729E4">
        <w:rPr>
          <w:color w:val="000000" w:themeColor="text1"/>
        </w:rPr>
        <w:t>Madrasah</w:t>
      </w:r>
      <w:r w:rsidRPr="00023BF6">
        <w:rPr>
          <w:color w:val="000000" w:themeColor="text1"/>
        </w:rPr>
        <w:t xml:space="preserve"> financing models. Equally the return on the USD 819,450</w:t>
      </w:r>
      <w:r>
        <w:rPr>
          <w:color w:val="000000" w:themeColor="text1"/>
        </w:rPr>
        <w:t xml:space="preserve"> invested</w:t>
      </w:r>
      <w:r w:rsidRPr="00023BF6">
        <w:rPr>
          <w:color w:val="000000" w:themeColor="text1"/>
        </w:rPr>
        <w:t xml:space="preserve"> in the </w:t>
      </w:r>
      <w:r w:rsidRPr="00023BF6">
        <w:rPr>
          <w:bCs/>
          <w:i/>
          <w:color w:val="000000" w:themeColor="text1"/>
        </w:rPr>
        <w:t>Support to Centre for Assessment (Puspendik)</w:t>
      </w:r>
      <w:r w:rsidRPr="00023BF6">
        <w:rPr>
          <w:bCs/>
          <w:color w:val="000000" w:themeColor="text1"/>
        </w:rPr>
        <w:t xml:space="preserve"> (ACDP 029) </w:t>
      </w:r>
      <w:r w:rsidRPr="00023BF6">
        <w:rPr>
          <w:color w:val="000000" w:themeColor="text1"/>
        </w:rPr>
        <w:t xml:space="preserve">could be significant should MoEC introduce improved assessment frameworks </w:t>
      </w:r>
      <w:r>
        <w:rPr>
          <w:color w:val="000000" w:themeColor="text1"/>
        </w:rPr>
        <w:t>which improve</w:t>
      </w:r>
      <w:r w:rsidRPr="00023BF6">
        <w:rPr>
          <w:color w:val="000000" w:themeColor="text1"/>
        </w:rPr>
        <w:t xml:space="preserve"> student learning outcomes.</w:t>
      </w:r>
      <w:r w:rsidR="002010DB">
        <w:rPr>
          <w:color w:val="000000" w:themeColor="text1"/>
        </w:rPr>
        <w:t xml:space="preserve"> </w:t>
      </w:r>
    </w:p>
    <w:p w:rsidR="005E2FB8" w:rsidRDefault="005E2FB8" w:rsidP="005E2FB8">
      <w:pPr>
        <w:rPr>
          <w:color w:val="000000" w:themeColor="text1"/>
        </w:rPr>
      </w:pPr>
      <w:r w:rsidRPr="00B61D4A">
        <w:rPr>
          <w:color w:val="000000" w:themeColor="text1"/>
        </w:rPr>
        <w:t>The</w:t>
      </w:r>
      <w:r>
        <w:rPr>
          <w:color w:val="000000" w:themeColor="text1"/>
        </w:rPr>
        <w:t>re</w:t>
      </w:r>
      <w:r w:rsidRPr="00B61D4A">
        <w:rPr>
          <w:color w:val="000000" w:themeColor="text1"/>
        </w:rPr>
        <w:t xml:space="preserve"> remains, however, an important caveat</w:t>
      </w:r>
      <w:r>
        <w:rPr>
          <w:color w:val="000000" w:themeColor="text1"/>
        </w:rPr>
        <w:t xml:space="preserve"> to the emerging sense of optimism</w:t>
      </w:r>
      <w:r w:rsidR="008D073A">
        <w:rPr>
          <w:color w:val="000000" w:themeColor="text1"/>
        </w:rPr>
        <w:t>,</w:t>
      </w:r>
      <w:r w:rsidRPr="00B61D4A">
        <w:rPr>
          <w:color w:val="000000" w:themeColor="text1"/>
        </w:rPr>
        <w:t xml:space="preserve"> one that should have particular resonance for DFAT as it seeks to </w:t>
      </w:r>
      <w:r>
        <w:rPr>
          <w:color w:val="000000" w:themeColor="text1"/>
        </w:rPr>
        <w:t>support</w:t>
      </w:r>
      <w:r w:rsidRPr="00B61D4A">
        <w:rPr>
          <w:color w:val="000000" w:themeColor="text1"/>
        </w:rPr>
        <w:t xml:space="preserve"> the emergence </w:t>
      </w:r>
      <w:r>
        <w:rPr>
          <w:color w:val="000000" w:themeColor="text1"/>
        </w:rPr>
        <w:t>of more</w:t>
      </w:r>
      <w:r w:rsidRPr="00B61D4A">
        <w:rPr>
          <w:color w:val="000000" w:themeColor="text1"/>
        </w:rPr>
        <w:t xml:space="preserve"> evidence-</w:t>
      </w:r>
      <w:r>
        <w:rPr>
          <w:color w:val="000000" w:themeColor="text1"/>
        </w:rPr>
        <w:t>informed policy and programs</w:t>
      </w:r>
      <w:r w:rsidRPr="00B61D4A">
        <w:rPr>
          <w:color w:val="000000" w:themeColor="text1"/>
        </w:rPr>
        <w:t>. A degree of realism is required</w:t>
      </w:r>
      <w:r>
        <w:rPr>
          <w:color w:val="000000" w:themeColor="text1"/>
        </w:rPr>
        <w:t xml:space="preserve"> about the nature and degree of change to which an aid investment can contribute</w:t>
      </w:r>
      <w:r w:rsidRPr="00B61D4A">
        <w:rPr>
          <w:color w:val="000000" w:themeColor="text1"/>
        </w:rPr>
        <w:t>. Equally, there must be a degree of clarity about what success looks like in certain occasions.</w:t>
      </w:r>
      <w:r>
        <w:rPr>
          <w:color w:val="000000" w:themeColor="text1"/>
        </w:rPr>
        <w:t xml:space="preserve"> P</w:t>
      </w:r>
      <w:r w:rsidRPr="00B61D4A">
        <w:rPr>
          <w:color w:val="000000" w:themeColor="text1"/>
        </w:rPr>
        <w:t xml:space="preserve">olicy </w:t>
      </w:r>
      <w:r>
        <w:rPr>
          <w:color w:val="000000" w:themeColor="text1"/>
        </w:rPr>
        <w:t>‘wins’ may not necessarily take the form of new legislation. In some circumstances major success may take the form of greater awareness of a policy constraint or it may take the shape of greater public and/or policy-maker engagement about specific issues. In that respect, the Secretariat’s concerted efforts in 2015 to better communicate its evidence base are laudable. And potentially impactful, not least if they help generate better understanding of ACDP’s ‘back catalogue’</w:t>
      </w:r>
      <w:r>
        <w:rPr>
          <w:rStyle w:val="FootnoteReference"/>
          <w:color w:val="000000" w:themeColor="text1"/>
        </w:rPr>
        <w:footnoteReference w:id="120"/>
      </w:r>
      <w:r>
        <w:rPr>
          <w:color w:val="000000" w:themeColor="text1"/>
        </w:rPr>
        <w:t>. However, communication alone is insufficient (as ACDP appreciates). Emphasis must also be placed on engagement</w:t>
      </w:r>
      <w:r w:rsidR="008D073A">
        <w:rPr>
          <w:color w:val="000000" w:themeColor="text1"/>
        </w:rPr>
        <w:t xml:space="preserve"> </w:t>
      </w:r>
      <w:r>
        <w:rPr>
          <w:color w:val="000000" w:themeColor="text1"/>
        </w:rPr>
        <w:t>that is tailored and tactical and which acknowledges and understands prevailing interests, incentives and motivations. Here there are valuable lessons as DFAT finalises the design of its Forward Program.</w:t>
      </w:r>
    </w:p>
    <w:p w:rsidR="00D1143C" w:rsidRDefault="00D1143C" w:rsidP="00D1143C">
      <w:pPr>
        <w:pStyle w:val="Heading3"/>
      </w:pPr>
      <w:r w:rsidRPr="00851EC7">
        <w:t>Sustainability</w:t>
      </w:r>
    </w:p>
    <w:p w:rsidR="005E2FB8" w:rsidRDefault="005E2FB8" w:rsidP="005E2FB8">
      <w:r>
        <w:t>POM remains of the view that w</w:t>
      </w:r>
      <w:r w:rsidRPr="00EF7D35">
        <w:t xml:space="preserve">hile there </w:t>
      </w:r>
      <w:r>
        <w:t>is</w:t>
      </w:r>
      <w:r w:rsidRPr="00EF7D35">
        <w:t xml:space="preserve"> potential for activities to deliver considerable impact, there is a risk that </w:t>
      </w:r>
      <w:r>
        <w:t>(some)</w:t>
      </w:r>
      <w:r w:rsidRPr="00EF7D35">
        <w:t xml:space="preserve"> benefit</w:t>
      </w:r>
      <w:r>
        <w:t>s may not be sustained</w:t>
      </w:r>
      <w:r w:rsidRPr="00EF7D35">
        <w:t xml:space="preserve"> at an institutional level</w:t>
      </w:r>
      <w:r>
        <w:rPr>
          <w:rStyle w:val="FootnoteReference"/>
        </w:rPr>
        <w:footnoteReference w:id="121"/>
      </w:r>
      <w:r w:rsidRPr="00EF7D35">
        <w:t>.</w:t>
      </w:r>
      <w:r>
        <w:t xml:space="preserve"> Disappointingly, that risk might have been mitigated in 2015. The MTR of October 2014 recommended that ACDP should “</w:t>
      </w:r>
      <w:r w:rsidRPr="00F164F4">
        <w:t>develop a sustainability strategy for what happens beyond December 2015</w:t>
      </w:r>
      <w:r>
        <w:t>”</w:t>
      </w:r>
      <w:r w:rsidRPr="002510D1">
        <w:rPr>
          <w:rStyle w:val="EndnoteReference"/>
        </w:rPr>
        <w:endnoteReference w:id="79"/>
      </w:r>
      <w:r>
        <w:t xml:space="preserve">; a view that </w:t>
      </w:r>
      <w:r>
        <w:lastRenderedPageBreak/>
        <w:t>was broadly consistent with POM’s position in the 2014 APPR, namely that legacy planning was required because, at that time, the “p</w:t>
      </w:r>
      <w:r w:rsidRPr="0079773D">
        <w:t>rospects for institutional sustainability may go unrealised so long as limited attention is paid to defining and pursuing any institutional legacy</w:t>
      </w:r>
      <w:r>
        <w:t>”</w:t>
      </w:r>
      <w:r w:rsidRPr="002510D1">
        <w:rPr>
          <w:rStyle w:val="EndnoteReference"/>
        </w:rPr>
        <w:endnoteReference w:id="80"/>
      </w:r>
      <w:r>
        <w:t>. The calls for sustainability or legacy planning appeared to secure some traction, with the subject being an item of discussion at the ATOG in March 2015</w:t>
      </w:r>
      <w:r w:rsidRPr="002510D1">
        <w:rPr>
          <w:rStyle w:val="EndnoteReference"/>
        </w:rPr>
        <w:endnoteReference w:id="81"/>
      </w:r>
      <w:r>
        <w:t xml:space="preserve">. Three months later ACDP produced a </w:t>
      </w:r>
      <w:r w:rsidRPr="0079773D">
        <w:t>Draft Sustainability Strategy</w:t>
      </w:r>
      <w:r w:rsidRPr="002510D1">
        <w:rPr>
          <w:rStyle w:val="EndnoteReference"/>
        </w:rPr>
        <w:endnoteReference w:id="82"/>
      </w:r>
      <w:r>
        <w:t xml:space="preserve">. </w:t>
      </w:r>
    </w:p>
    <w:p w:rsidR="005E2FB8" w:rsidRDefault="005E2FB8" w:rsidP="005E2FB8">
      <w:r>
        <w:t xml:space="preserve">Regrettably, interest in sustainability appeared to wane in the second half of 2015. The reasons are unclear but it is possible that the Strategy was developed partially to satisfy an EU requirement for the extension and/or that the aforementioned delays associated with the extension process hindered implementation of the Strategy. </w:t>
      </w:r>
      <w:r w:rsidR="007C296F">
        <w:t xml:space="preserve">Equally, the donors’ commitment </w:t>
      </w:r>
      <w:r w:rsidR="0092059B">
        <w:t xml:space="preserve">is </w:t>
      </w:r>
      <w:r w:rsidR="007C296F">
        <w:t xml:space="preserve">uncertain. </w:t>
      </w:r>
      <w:r>
        <w:t>To an extent, it is of greater concern to POM that there remains no r</w:t>
      </w:r>
      <w:r w:rsidRPr="00EF7D35">
        <w:t>eal consensus about</w:t>
      </w:r>
      <w:r>
        <w:t xml:space="preserve"> ACDP’s</w:t>
      </w:r>
      <w:r w:rsidRPr="00EF7D35">
        <w:t xml:space="preserve"> ex</w:t>
      </w:r>
      <w:r>
        <w:t xml:space="preserve">pected or anticipated legacy despite the consultations that underpinned the development of the Draft Sustainability Strategy in Q1-2 of 2015. Points of divergence centre on two key considerations. </w:t>
      </w:r>
      <w:r w:rsidR="004B6F67">
        <w:t>The f</w:t>
      </w:r>
      <w:r>
        <w:t>irst</w:t>
      </w:r>
      <w:r w:rsidR="004B6F67">
        <w:t xml:space="preserve"> is </w:t>
      </w:r>
      <w:r>
        <w:t>the extent to which ACDP should look to sustain</w:t>
      </w:r>
      <w:r w:rsidRPr="00593856">
        <w:t xml:space="preserve"> </w:t>
      </w:r>
      <w:r>
        <w:t>activity-related benefits over i</w:t>
      </w:r>
      <w:r w:rsidRPr="00593856">
        <w:t>nstitutional benefits</w:t>
      </w:r>
      <w:r>
        <w:t xml:space="preserve">, e.g. the </w:t>
      </w:r>
      <w:r w:rsidRPr="00593856">
        <w:t xml:space="preserve">sustained benefits </w:t>
      </w:r>
      <w:r>
        <w:t xml:space="preserve">that would accrue should </w:t>
      </w:r>
      <w:r w:rsidRPr="00593856">
        <w:t xml:space="preserve">the </w:t>
      </w:r>
      <w:r w:rsidR="004729E4">
        <w:t>Madrasah</w:t>
      </w:r>
      <w:r w:rsidRPr="00593856">
        <w:t xml:space="preserve"> financing study contribute to a real shift in financing arrangements</w:t>
      </w:r>
      <w:r>
        <w:t xml:space="preserve"> vis-à-vis the sustained institutional benefits should</w:t>
      </w:r>
      <w:r w:rsidRPr="00593856">
        <w:t xml:space="preserve"> ministries, departments or agencies</w:t>
      </w:r>
      <w:r>
        <w:t xml:space="preserve"> (MDAs)</w:t>
      </w:r>
      <w:r w:rsidRPr="00593856">
        <w:t xml:space="preserve"> </w:t>
      </w:r>
      <w:r>
        <w:t xml:space="preserve">be better able to </w:t>
      </w:r>
      <w:r w:rsidRPr="00593856">
        <w:t>deliver their mandates</w:t>
      </w:r>
      <w:r>
        <w:t xml:space="preserve">. </w:t>
      </w:r>
      <w:r w:rsidR="004B6F67">
        <w:t>The s</w:t>
      </w:r>
      <w:r>
        <w:t>econd</w:t>
      </w:r>
      <w:r w:rsidR="004B6F67">
        <w:t xml:space="preserve"> is </w:t>
      </w:r>
      <w:r>
        <w:t xml:space="preserve">the focus of capacity building efforts. While some propose that ACDP should prioritize measures that would enable MDAs to better deliver their </w:t>
      </w:r>
      <w:r w:rsidRPr="00593856">
        <w:rPr>
          <w:i/>
        </w:rPr>
        <w:t>technical</w:t>
      </w:r>
      <w:r>
        <w:t xml:space="preserve"> mandate (e.g. in respect to early childhood education or assessment), others argue that ACDP should focus on building the capacity of knowledge producers and users to commission, interpret and present policy-relevant evidence.</w:t>
      </w:r>
    </w:p>
    <w:p w:rsidR="005E2FB8" w:rsidRPr="00EF7D35" w:rsidRDefault="005E2FB8" w:rsidP="005E2FB8">
      <w:r w:rsidRPr="00593856">
        <w:t>Inevitably any uncertainty about what it is that should be sustained compr</w:t>
      </w:r>
      <w:r>
        <w:t>om</w:t>
      </w:r>
      <w:r w:rsidRPr="00593856">
        <w:t>ises clarity about how</w:t>
      </w:r>
      <w:r w:rsidR="00EC4A53">
        <w:t xml:space="preserve"> </w:t>
      </w:r>
      <w:r w:rsidRPr="00593856">
        <w:t>this might be done, why and when, and therefore what is needed to realise these intentions.</w:t>
      </w:r>
      <w:r>
        <w:t xml:space="preserve"> In reality, the choices are not mutually exclusive but ambitions must be clarified, priorities should be set and then investments be made. While momentum was seemingly lost in the second half of 2015, opportunities remain. ACDP has a new Director and Manager, and the 18-month extension has ‘bought’ the Secretariat more time. Furthermore, some ACDP stakeholders point to the emergence of PASKA as a potential outlet; not as a rival to </w:t>
      </w:r>
      <w:r w:rsidRPr="00B46A60">
        <w:rPr>
          <w:i/>
        </w:rPr>
        <w:t>Puslitjak</w:t>
      </w:r>
      <w:r>
        <w:t xml:space="preserve"> but as another institutional user and provider of policy-relevant research and analysis within MoEC. In addition to these new opportunities, earlier or ever-present opportunities remain, namely the potential for ACDP to have more frequent conversations with like-minded K2P programs such as the DFAT-funded Knowledge Sector Initiative (KSI) and the</w:t>
      </w:r>
      <w:r w:rsidRPr="00F855D3">
        <w:t xml:space="preserve"> Empowering Indonesian Wome</w:t>
      </w:r>
      <w:r>
        <w:t xml:space="preserve">n for Poverty Reduction (MAMPU): something that both POM and the ACDP MTR have spoken to in the last 18 months but which seemingly have not materialised to date. </w:t>
      </w:r>
    </w:p>
    <w:p w:rsidR="00D1143C" w:rsidRPr="00851EC7" w:rsidRDefault="00D1143C" w:rsidP="00D1143C">
      <w:pPr>
        <w:pStyle w:val="Heading2"/>
      </w:pPr>
      <w:r>
        <w:t>Summary and recommendations</w:t>
      </w:r>
      <w:r w:rsidRPr="00851EC7">
        <w:t xml:space="preserve"> </w:t>
      </w:r>
    </w:p>
    <w:p w:rsidR="00D20962" w:rsidRDefault="00D20962" w:rsidP="00775568">
      <w:r w:rsidRPr="00D20962">
        <w:t xml:space="preserve">A summary table of component performance by DAC criteria is presented in </w:t>
      </w:r>
      <w:r w:rsidR="00A13196">
        <w:fldChar w:fldCharType="begin"/>
      </w:r>
      <w:r w:rsidR="00A13196">
        <w:instrText xml:space="preserve"> REF _Ref447777162 \h </w:instrText>
      </w:r>
      <w:r w:rsidR="00994307">
        <w:instrText xml:space="preserve"> \* MERGEFORMAT </w:instrText>
      </w:r>
      <w:r w:rsidR="00A13196">
        <w:fldChar w:fldCharType="separate"/>
      </w:r>
      <w:r w:rsidR="00EC36D2" w:rsidRPr="00D20962">
        <w:t xml:space="preserve">Table </w:t>
      </w:r>
      <w:r w:rsidR="00EC36D2">
        <w:t>22</w:t>
      </w:r>
      <w:r w:rsidR="00A13196">
        <w:fldChar w:fldCharType="end"/>
      </w:r>
      <w:r w:rsidRPr="00D20962">
        <w:t xml:space="preserve">, below. </w:t>
      </w:r>
      <w:r w:rsidR="00994307" w:rsidRPr="00851EC7">
        <w:t xml:space="preserve">The rating scale </w:t>
      </w:r>
      <w:r w:rsidR="00994307">
        <w:t>reflects the requirements of GoA’s Investment Quality Reporting (IQR) and the associated Aid Quality Checks (AQCs), and it is consistent with that used in earlier APPRs</w:t>
      </w:r>
      <w:r w:rsidR="00994307" w:rsidRPr="00851EC7">
        <w:t>.</w:t>
      </w:r>
      <w:r w:rsidR="004B6F67">
        <w:t xml:space="preserve"> </w:t>
      </w:r>
      <w:r w:rsidRPr="00D20962">
        <w:t xml:space="preserve">Recommendations for improvement and, in particular, what measures are needed to increase the likelihood of achieving the EOPO 4 are provided </w:t>
      </w:r>
      <w:r w:rsidR="003E2F36">
        <w:t>in</w:t>
      </w:r>
      <w:r w:rsidR="00EC36D2">
        <w:t xml:space="preserve"> </w:t>
      </w:r>
      <w:r w:rsidR="00EC36D2">
        <w:fldChar w:fldCharType="begin"/>
      </w:r>
      <w:r w:rsidR="00EC36D2">
        <w:instrText xml:space="preserve"> REF _Ref450131483 \h </w:instrText>
      </w:r>
      <w:r w:rsidR="00EC36D2">
        <w:fldChar w:fldCharType="separate"/>
      </w:r>
      <w:r w:rsidR="00EC36D2" w:rsidRPr="00D20962">
        <w:t xml:space="preserve">Table </w:t>
      </w:r>
      <w:r w:rsidR="00EC36D2">
        <w:rPr>
          <w:noProof/>
        </w:rPr>
        <w:t>23</w:t>
      </w:r>
      <w:r w:rsidR="00EC36D2">
        <w:fldChar w:fldCharType="end"/>
      </w:r>
      <w:r w:rsidR="00EC36D2">
        <w:t xml:space="preserve"> </w:t>
      </w:r>
      <w:r w:rsidRPr="00D20962">
        <w:t>below.</w:t>
      </w:r>
      <w:r w:rsidR="00BE4367">
        <w:t xml:space="preserve"> I</w:t>
      </w:r>
      <w:r w:rsidR="00BE4367" w:rsidRPr="001A284F">
        <w:t>t is recognised that some recommendations relate to ongoing work and that considerable progress in actioning some of the recommendations</w:t>
      </w:r>
      <w:r w:rsidR="00BE4367">
        <w:t xml:space="preserve"> may already have been made.</w:t>
      </w:r>
    </w:p>
    <w:p w:rsidR="00BE4367" w:rsidRPr="00D20962" w:rsidRDefault="00BE4367" w:rsidP="00775568">
      <w:pPr>
        <w:sectPr w:rsidR="00BE4367" w:rsidRPr="00D20962" w:rsidSect="00E259CD">
          <w:headerReference w:type="default" r:id="rId39"/>
          <w:pgSz w:w="11909" w:h="16834" w:code="9"/>
          <w:pgMar w:top="1440" w:right="1440" w:bottom="1440" w:left="1440" w:header="432" w:footer="720" w:gutter="0"/>
          <w:cols w:space="720"/>
          <w:noEndnote/>
          <w:docGrid w:linePitch="360"/>
        </w:sectPr>
      </w:pPr>
    </w:p>
    <w:p w:rsidR="00D20962" w:rsidRDefault="00D20962" w:rsidP="00AD74D4">
      <w:pPr>
        <w:pStyle w:val="Caption-Table"/>
        <w:rPr>
          <w:bCs/>
          <w:iCs/>
        </w:rPr>
      </w:pPr>
      <w:bookmarkStart w:id="97" w:name="_Ref447777162"/>
      <w:bookmarkStart w:id="98" w:name="_Toc447623975"/>
      <w:bookmarkStart w:id="99" w:name="_Toc450131643"/>
      <w:r w:rsidRPr="00D20962">
        <w:lastRenderedPageBreak/>
        <w:t xml:space="preserve">Table </w:t>
      </w:r>
      <w:r w:rsidRPr="00D20962">
        <w:fldChar w:fldCharType="begin"/>
      </w:r>
      <w:r w:rsidRPr="00D20962">
        <w:instrText xml:space="preserve"> SEQ Table \* ARABIC </w:instrText>
      </w:r>
      <w:r w:rsidRPr="00D20962">
        <w:fldChar w:fldCharType="separate"/>
      </w:r>
      <w:r w:rsidR="00EC36D2">
        <w:rPr>
          <w:noProof/>
        </w:rPr>
        <w:t>22</w:t>
      </w:r>
      <w:r w:rsidRPr="00D20962">
        <w:fldChar w:fldCharType="end"/>
      </w:r>
      <w:bookmarkEnd w:id="97"/>
      <w:r w:rsidRPr="00D20962">
        <w:rPr>
          <w:bCs/>
        </w:rPr>
        <w:t xml:space="preserve">: </w:t>
      </w:r>
      <w:r w:rsidRPr="00D20962">
        <w:rPr>
          <w:bCs/>
          <w:iCs/>
        </w:rPr>
        <w:t>Component 4 scorecard</w:t>
      </w:r>
      <w:bookmarkEnd w:id="98"/>
      <w:bookmarkEnd w:id="99"/>
    </w:p>
    <w:tbl>
      <w:tblPr>
        <w:tblStyle w:val="TableGrid15"/>
        <w:tblW w:w="0" w:type="auto"/>
        <w:jc w:val="center"/>
        <w:tblLook w:val="04A0" w:firstRow="1" w:lastRow="0" w:firstColumn="1" w:lastColumn="0" w:noHBand="0" w:noVBand="1"/>
      </w:tblPr>
      <w:tblGrid>
        <w:gridCol w:w="1409"/>
        <w:gridCol w:w="860"/>
        <w:gridCol w:w="720"/>
        <w:gridCol w:w="843"/>
        <w:gridCol w:w="5485"/>
        <w:gridCol w:w="4853"/>
      </w:tblGrid>
      <w:tr w:rsidR="0077380B" w:rsidRPr="0077380B" w:rsidTr="00361D74">
        <w:trPr>
          <w:trHeight w:val="434"/>
          <w:jc w:val="center"/>
        </w:trPr>
        <w:tc>
          <w:tcPr>
            <w:tcW w:w="1410" w:type="dxa"/>
            <w:shd w:val="clear" w:color="auto" w:fill="244061" w:themeFill="accent1" w:themeFillShade="80"/>
            <w:vAlign w:val="center"/>
          </w:tcPr>
          <w:p w:rsidR="00AD74D4" w:rsidRPr="0069023F" w:rsidRDefault="00AD74D4" w:rsidP="001D3402">
            <w:pPr>
              <w:jc w:val="center"/>
              <w:rPr>
                <w:rFonts w:asciiTheme="minorHAnsi" w:hAnsiTheme="minorHAnsi"/>
                <w:b/>
                <w:sz w:val="20"/>
                <w:szCs w:val="20"/>
              </w:rPr>
            </w:pPr>
            <w:r w:rsidRPr="0069023F">
              <w:rPr>
                <w:rFonts w:asciiTheme="minorHAnsi" w:hAnsiTheme="minorHAnsi"/>
                <w:b/>
                <w:sz w:val="20"/>
                <w:szCs w:val="20"/>
              </w:rPr>
              <w:t>DAC Criterion</w:t>
            </w:r>
          </w:p>
        </w:tc>
        <w:tc>
          <w:tcPr>
            <w:tcW w:w="860" w:type="dxa"/>
            <w:shd w:val="clear" w:color="auto" w:fill="244061" w:themeFill="accent1" w:themeFillShade="80"/>
            <w:vAlign w:val="center"/>
          </w:tcPr>
          <w:p w:rsidR="00AD74D4" w:rsidRPr="0069023F" w:rsidRDefault="00AD74D4" w:rsidP="001D3402">
            <w:pPr>
              <w:jc w:val="center"/>
              <w:rPr>
                <w:rFonts w:asciiTheme="minorHAnsi" w:hAnsiTheme="minorHAnsi"/>
                <w:b/>
                <w:sz w:val="20"/>
                <w:szCs w:val="20"/>
              </w:rPr>
            </w:pPr>
            <w:r w:rsidRPr="0069023F">
              <w:rPr>
                <w:rFonts w:asciiTheme="minorHAnsi" w:hAnsiTheme="minorHAnsi"/>
                <w:b/>
                <w:sz w:val="20"/>
                <w:szCs w:val="20"/>
              </w:rPr>
              <w:t>Score 2013</w:t>
            </w:r>
          </w:p>
        </w:tc>
        <w:tc>
          <w:tcPr>
            <w:tcW w:w="720" w:type="dxa"/>
            <w:shd w:val="clear" w:color="auto" w:fill="244061" w:themeFill="accent1" w:themeFillShade="80"/>
            <w:vAlign w:val="center"/>
          </w:tcPr>
          <w:p w:rsidR="00AD74D4" w:rsidRPr="0069023F" w:rsidRDefault="00AD74D4" w:rsidP="001D3402">
            <w:pPr>
              <w:jc w:val="center"/>
              <w:rPr>
                <w:rFonts w:asciiTheme="minorHAnsi" w:hAnsiTheme="minorHAnsi"/>
                <w:b/>
                <w:sz w:val="20"/>
                <w:szCs w:val="20"/>
              </w:rPr>
            </w:pPr>
            <w:r w:rsidRPr="0069023F">
              <w:rPr>
                <w:rFonts w:asciiTheme="minorHAnsi" w:hAnsiTheme="minorHAnsi"/>
                <w:b/>
                <w:sz w:val="20"/>
                <w:szCs w:val="20"/>
              </w:rPr>
              <w:t>Score 2014</w:t>
            </w:r>
          </w:p>
        </w:tc>
        <w:tc>
          <w:tcPr>
            <w:tcW w:w="844" w:type="dxa"/>
            <w:tcBorders>
              <w:bottom w:val="single" w:sz="4" w:space="0" w:color="auto"/>
            </w:tcBorders>
            <w:shd w:val="clear" w:color="auto" w:fill="244061" w:themeFill="accent1" w:themeFillShade="80"/>
            <w:vAlign w:val="center"/>
          </w:tcPr>
          <w:p w:rsidR="00AD74D4" w:rsidRPr="0069023F" w:rsidRDefault="00AD74D4" w:rsidP="001D3402">
            <w:pPr>
              <w:jc w:val="center"/>
              <w:rPr>
                <w:rFonts w:asciiTheme="minorHAnsi" w:hAnsiTheme="minorHAnsi"/>
                <w:b/>
                <w:sz w:val="20"/>
                <w:szCs w:val="20"/>
              </w:rPr>
            </w:pPr>
            <w:r w:rsidRPr="0069023F">
              <w:rPr>
                <w:rFonts w:asciiTheme="minorHAnsi" w:hAnsiTheme="minorHAnsi"/>
                <w:b/>
                <w:sz w:val="20"/>
                <w:szCs w:val="20"/>
              </w:rPr>
              <w:t>Score 2015</w:t>
            </w:r>
          </w:p>
        </w:tc>
        <w:tc>
          <w:tcPr>
            <w:tcW w:w="5484" w:type="dxa"/>
            <w:shd w:val="clear" w:color="auto" w:fill="244061" w:themeFill="accent1" w:themeFillShade="80"/>
            <w:vAlign w:val="center"/>
          </w:tcPr>
          <w:p w:rsidR="00AD74D4" w:rsidRPr="0069023F" w:rsidRDefault="00AD74D4" w:rsidP="001D3402">
            <w:pPr>
              <w:jc w:val="center"/>
              <w:rPr>
                <w:rFonts w:asciiTheme="minorHAnsi" w:hAnsiTheme="minorHAnsi"/>
                <w:b/>
                <w:sz w:val="20"/>
                <w:szCs w:val="20"/>
              </w:rPr>
            </w:pPr>
            <w:r w:rsidRPr="0069023F">
              <w:rPr>
                <w:rFonts w:asciiTheme="minorHAnsi" w:hAnsiTheme="minorHAnsi"/>
                <w:b/>
                <w:sz w:val="20"/>
                <w:szCs w:val="20"/>
              </w:rPr>
              <w:t>Justification</w:t>
            </w:r>
          </w:p>
        </w:tc>
        <w:tc>
          <w:tcPr>
            <w:tcW w:w="4852" w:type="dxa"/>
            <w:shd w:val="clear" w:color="auto" w:fill="244061" w:themeFill="accent1" w:themeFillShade="80"/>
            <w:vAlign w:val="center"/>
          </w:tcPr>
          <w:p w:rsidR="00AD74D4" w:rsidRPr="0069023F" w:rsidRDefault="00AD74D4" w:rsidP="001D3402">
            <w:pPr>
              <w:jc w:val="center"/>
              <w:rPr>
                <w:rFonts w:asciiTheme="minorHAnsi" w:hAnsiTheme="minorHAnsi"/>
                <w:b/>
                <w:sz w:val="20"/>
                <w:szCs w:val="20"/>
              </w:rPr>
            </w:pPr>
            <w:r w:rsidRPr="0069023F">
              <w:rPr>
                <w:rFonts w:asciiTheme="minorHAnsi" w:hAnsiTheme="minorHAnsi"/>
                <w:b/>
                <w:sz w:val="20"/>
                <w:szCs w:val="20"/>
              </w:rPr>
              <w:t>Comments</w:t>
            </w:r>
          </w:p>
        </w:tc>
      </w:tr>
      <w:tr w:rsidR="0077380B" w:rsidRPr="0077380B" w:rsidTr="005B139E">
        <w:trPr>
          <w:trHeight w:val="681"/>
          <w:jc w:val="center"/>
        </w:trPr>
        <w:tc>
          <w:tcPr>
            <w:tcW w:w="1410" w:type="dxa"/>
            <w:vAlign w:val="center"/>
          </w:tcPr>
          <w:p w:rsidR="00361D74" w:rsidRPr="0069023F" w:rsidRDefault="00361D74" w:rsidP="001D3402">
            <w:pPr>
              <w:rPr>
                <w:rFonts w:asciiTheme="minorHAnsi" w:hAnsiTheme="minorHAnsi"/>
                <w:sz w:val="20"/>
                <w:szCs w:val="20"/>
              </w:rPr>
            </w:pPr>
            <w:r w:rsidRPr="0069023F">
              <w:rPr>
                <w:rFonts w:asciiTheme="minorHAnsi" w:hAnsiTheme="minorHAnsi"/>
                <w:sz w:val="20"/>
                <w:szCs w:val="20"/>
              </w:rPr>
              <w:t>Relevance</w:t>
            </w:r>
          </w:p>
        </w:tc>
        <w:tc>
          <w:tcPr>
            <w:tcW w:w="862" w:type="dxa"/>
            <w:tcBorders>
              <w:bottom w:val="single" w:sz="4" w:space="0" w:color="auto"/>
            </w:tcBorders>
            <w:shd w:val="clear" w:color="auto" w:fill="FFFF00"/>
            <w:vAlign w:val="center"/>
          </w:tcPr>
          <w:p w:rsidR="00361D74" w:rsidRPr="0069023F" w:rsidRDefault="00361D74" w:rsidP="001D3402">
            <w:pPr>
              <w:jc w:val="center"/>
              <w:rPr>
                <w:rFonts w:asciiTheme="minorHAnsi" w:hAnsiTheme="minorHAnsi"/>
                <w:sz w:val="20"/>
                <w:szCs w:val="20"/>
              </w:rPr>
            </w:pPr>
            <w:r w:rsidRPr="0069023F">
              <w:rPr>
                <w:rFonts w:asciiTheme="minorHAnsi" w:hAnsiTheme="minorHAnsi"/>
                <w:sz w:val="20"/>
                <w:szCs w:val="20"/>
              </w:rPr>
              <w:t>4</w:t>
            </w:r>
          </w:p>
        </w:tc>
        <w:tc>
          <w:tcPr>
            <w:tcW w:w="720" w:type="dxa"/>
            <w:tcBorders>
              <w:bottom w:val="single" w:sz="4" w:space="0" w:color="auto"/>
            </w:tcBorders>
            <w:shd w:val="clear" w:color="auto" w:fill="FFFF00"/>
            <w:vAlign w:val="center"/>
          </w:tcPr>
          <w:p w:rsidR="00361D74" w:rsidRPr="0069023F" w:rsidRDefault="00361D74" w:rsidP="001D3402">
            <w:pPr>
              <w:jc w:val="center"/>
              <w:rPr>
                <w:rFonts w:asciiTheme="minorHAnsi" w:hAnsiTheme="minorHAnsi"/>
                <w:sz w:val="20"/>
                <w:szCs w:val="20"/>
              </w:rPr>
            </w:pPr>
            <w:r w:rsidRPr="0069023F">
              <w:rPr>
                <w:rFonts w:asciiTheme="minorHAnsi" w:hAnsiTheme="minorHAnsi"/>
                <w:sz w:val="20"/>
                <w:szCs w:val="20"/>
              </w:rPr>
              <w:t>4</w:t>
            </w:r>
          </w:p>
        </w:tc>
        <w:tc>
          <w:tcPr>
            <w:tcW w:w="845" w:type="dxa"/>
            <w:tcBorders>
              <w:bottom w:val="single" w:sz="4" w:space="0" w:color="auto"/>
            </w:tcBorders>
            <w:shd w:val="clear" w:color="auto" w:fill="92D050"/>
            <w:vAlign w:val="center"/>
          </w:tcPr>
          <w:p w:rsidR="00361D74" w:rsidRPr="0069023F" w:rsidRDefault="00361D74" w:rsidP="001D3402">
            <w:pPr>
              <w:jc w:val="center"/>
              <w:rPr>
                <w:rFonts w:asciiTheme="minorHAnsi" w:hAnsiTheme="minorHAnsi"/>
                <w:sz w:val="20"/>
                <w:szCs w:val="20"/>
              </w:rPr>
            </w:pPr>
            <w:r w:rsidRPr="0069023F">
              <w:rPr>
                <w:rFonts w:asciiTheme="minorHAnsi" w:hAnsiTheme="minorHAnsi"/>
                <w:sz w:val="20"/>
                <w:szCs w:val="20"/>
              </w:rPr>
              <w:t>5</w:t>
            </w:r>
          </w:p>
        </w:tc>
        <w:tc>
          <w:tcPr>
            <w:tcW w:w="5528" w:type="dxa"/>
            <w:shd w:val="clear" w:color="auto" w:fill="FFFFFF" w:themeFill="background1"/>
            <w:vAlign w:val="center"/>
          </w:tcPr>
          <w:p w:rsidR="00361D74" w:rsidRPr="0069023F" w:rsidRDefault="00361D74" w:rsidP="004C2D6D">
            <w:pPr>
              <w:pStyle w:val="ScoreParagraph"/>
              <w:rPr>
                <w:rStyle w:val="PageNumber"/>
                <w:rFonts w:asciiTheme="minorHAnsi" w:eastAsia="Calibri" w:hAnsiTheme="minorHAnsi"/>
                <w:color w:val="auto"/>
                <w:sz w:val="20"/>
                <w:szCs w:val="20"/>
              </w:rPr>
            </w:pPr>
            <w:r w:rsidRPr="0069023F">
              <w:rPr>
                <w:rStyle w:val="PageNumber"/>
                <w:rFonts w:asciiTheme="minorHAnsi" w:eastAsia="Calibri" w:hAnsiTheme="minorHAnsi"/>
                <w:color w:val="auto"/>
                <w:sz w:val="20"/>
                <w:szCs w:val="20"/>
              </w:rPr>
              <w:t xml:space="preserve">Increased external relevance, not least to Australia. ACDP is consistent with DFAT’s development policies and priorities, e.g. as set out in the Strategy for Australia’s Aid Investment in Education and the Aid Investment Plan for Indonesia. </w:t>
            </w:r>
          </w:p>
          <w:p w:rsidR="00361D74" w:rsidRPr="0069023F" w:rsidRDefault="00361D74" w:rsidP="004C2D6D">
            <w:pPr>
              <w:pStyle w:val="ScoreParagraph"/>
              <w:rPr>
                <w:rStyle w:val="PageNumber"/>
                <w:rFonts w:asciiTheme="minorHAnsi" w:eastAsia="Calibri" w:hAnsiTheme="minorHAnsi"/>
                <w:color w:val="auto"/>
                <w:sz w:val="20"/>
                <w:szCs w:val="20"/>
              </w:rPr>
            </w:pPr>
            <w:r w:rsidRPr="0069023F">
              <w:rPr>
                <w:rStyle w:val="PageNumber"/>
                <w:rFonts w:asciiTheme="minorHAnsi" w:eastAsia="Calibri" w:hAnsiTheme="minorHAnsi"/>
                <w:color w:val="auto"/>
                <w:sz w:val="20"/>
                <w:szCs w:val="20"/>
              </w:rPr>
              <w:t xml:space="preserve">The external relevance of ACDP to GoI remains high, i.e. there remains appetite for policy-relevant research and analysis. This is reflected in the creation of PASKA in 2015. </w:t>
            </w:r>
          </w:p>
          <w:p w:rsidR="00361D74" w:rsidRPr="0069023F" w:rsidRDefault="00361D74" w:rsidP="007A73EA">
            <w:pPr>
              <w:pStyle w:val="ScoreParagraph"/>
              <w:rPr>
                <w:rStyle w:val="PageNumber"/>
                <w:rFonts w:asciiTheme="minorHAnsi" w:hAnsiTheme="minorHAnsi"/>
                <w:color w:val="auto"/>
                <w:sz w:val="20"/>
                <w:szCs w:val="20"/>
              </w:rPr>
            </w:pPr>
            <w:r w:rsidRPr="0069023F">
              <w:rPr>
                <w:rStyle w:val="PageNumber"/>
                <w:rFonts w:asciiTheme="minorHAnsi" w:hAnsiTheme="minorHAnsi"/>
                <w:color w:val="auto"/>
                <w:sz w:val="20"/>
                <w:szCs w:val="20"/>
              </w:rPr>
              <w:t xml:space="preserve">Changes to the Secretariat’s operation have led to </w:t>
            </w:r>
            <w:r w:rsidRPr="0069023F">
              <w:rPr>
                <w:rStyle w:val="PageNumber"/>
                <w:rFonts w:asciiTheme="minorHAnsi" w:eastAsia="Calibri" w:hAnsiTheme="minorHAnsi"/>
                <w:color w:val="auto"/>
                <w:sz w:val="20"/>
                <w:szCs w:val="20"/>
              </w:rPr>
              <w:t>improved</w:t>
            </w:r>
            <w:r w:rsidRPr="0069023F">
              <w:rPr>
                <w:rStyle w:val="PageNumber"/>
                <w:rFonts w:asciiTheme="minorHAnsi" w:hAnsiTheme="minorHAnsi"/>
                <w:color w:val="auto"/>
                <w:sz w:val="20"/>
                <w:szCs w:val="20"/>
              </w:rPr>
              <w:t xml:space="preserve"> internal relevance albeit with continued calls from GoI for rapid, flexible and more responsive support.</w:t>
            </w:r>
          </w:p>
        </w:tc>
        <w:tc>
          <w:tcPr>
            <w:tcW w:w="4891" w:type="dxa"/>
            <w:shd w:val="clear" w:color="auto" w:fill="FFFFFF" w:themeFill="background1"/>
            <w:vAlign w:val="center"/>
          </w:tcPr>
          <w:p w:rsidR="00361D74" w:rsidRPr="0069023F" w:rsidRDefault="00361D74" w:rsidP="007A73EA">
            <w:pPr>
              <w:pStyle w:val="ScoreParagraph"/>
              <w:rPr>
                <w:rStyle w:val="PageNumber"/>
                <w:rFonts w:asciiTheme="minorHAnsi" w:hAnsiTheme="minorHAnsi"/>
                <w:color w:val="auto"/>
                <w:sz w:val="20"/>
                <w:szCs w:val="20"/>
              </w:rPr>
            </w:pPr>
            <w:r w:rsidRPr="0069023F">
              <w:rPr>
                <w:rStyle w:val="PageNumber"/>
                <w:rFonts w:asciiTheme="minorHAnsi" w:eastAsia="Calibri" w:hAnsiTheme="minorHAnsi"/>
                <w:color w:val="auto"/>
                <w:sz w:val="20"/>
                <w:szCs w:val="20"/>
              </w:rPr>
              <w:t>On the basis of ACDP’s increased relevance (and the improved prospects for effectiveness) it was right for DFAT to continue its support to mid-2017 (albeit noting that no further disbursements will be made and therefore DFAT’s total financial commitment has in fact fallen from the original AUD 25m to AUD 20m. As such it is a ‘reduced-cost extension’).</w:t>
            </w:r>
          </w:p>
        </w:tc>
      </w:tr>
      <w:tr w:rsidR="0077380B" w:rsidRPr="0077380B" w:rsidTr="00361D74">
        <w:trPr>
          <w:trHeight w:val="681"/>
          <w:jc w:val="center"/>
        </w:trPr>
        <w:tc>
          <w:tcPr>
            <w:tcW w:w="1410" w:type="dxa"/>
            <w:vAlign w:val="center"/>
          </w:tcPr>
          <w:p w:rsidR="00361D74" w:rsidRPr="0069023F" w:rsidRDefault="00361D74" w:rsidP="001D3402">
            <w:pPr>
              <w:rPr>
                <w:rFonts w:asciiTheme="minorHAnsi" w:hAnsiTheme="minorHAnsi"/>
                <w:sz w:val="20"/>
                <w:szCs w:val="20"/>
              </w:rPr>
            </w:pPr>
            <w:r w:rsidRPr="0069023F">
              <w:rPr>
                <w:rFonts w:asciiTheme="minorHAnsi" w:hAnsiTheme="minorHAnsi"/>
                <w:sz w:val="20"/>
                <w:szCs w:val="20"/>
              </w:rPr>
              <w:t>Efficiency</w:t>
            </w:r>
          </w:p>
        </w:tc>
        <w:tc>
          <w:tcPr>
            <w:tcW w:w="860" w:type="dxa"/>
            <w:shd w:val="clear" w:color="auto" w:fill="FFC000"/>
            <w:vAlign w:val="center"/>
          </w:tcPr>
          <w:p w:rsidR="00361D74" w:rsidRPr="0069023F" w:rsidRDefault="00361D74" w:rsidP="001D3402">
            <w:pPr>
              <w:jc w:val="center"/>
              <w:rPr>
                <w:rFonts w:asciiTheme="minorHAnsi" w:hAnsiTheme="minorHAnsi"/>
                <w:sz w:val="20"/>
                <w:szCs w:val="20"/>
              </w:rPr>
            </w:pPr>
            <w:r w:rsidRPr="0069023F">
              <w:rPr>
                <w:rFonts w:asciiTheme="minorHAnsi" w:hAnsiTheme="minorHAnsi"/>
                <w:sz w:val="20"/>
                <w:szCs w:val="20"/>
              </w:rPr>
              <w:t>3</w:t>
            </w:r>
          </w:p>
        </w:tc>
        <w:tc>
          <w:tcPr>
            <w:tcW w:w="720" w:type="dxa"/>
            <w:shd w:val="clear" w:color="auto" w:fill="FFC000"/>
            <w:vAlign w:val="center"/>
          </w:tcPr>
          <w:p w:rsidR="00361D74" w:rsidRPr="0069023F" w:rsidRDefault="00361D74" w:rsidP="00AD74D4">
            <w:pPr>
              <w:jc w:val="center"/>
              <w:rPr>
                <w:rFonts w:asciiTheme="minorHAnsi" w:hAnsiTheme="minorHAnsi"/>
                <w:sz w:val="20"/>
                <w:szCs w:val="20"/>
              </w:rPr>
            </w:pPr>
            <w:r w:rsidRPr="0069023F">
              <w:rPr>
                <w:rFonts w:asciiTheme="minorHAnsi" w:hAnsiTheme="minorHAnsi"/>
                <w:sz w:val="20"/>
                <w:szCs w:val="20"/>
              </w:rPr>
              <w:t>3</w:t>
            </w:r>
          </w:p>
        </w:tc>
        <w:tc>
          <w:tcPr>
            <w:tcW w:w="844" w:type="dxa"/>
            <w:tcBorders>
              <w:bottom w:val="single" w:sz="4" w:space="0" w:color="auto"/>
            </w:tcBorders>
            <w:shd w:val="clear" w:color="auto" w:fill="FFC000"/>
            <w:vAlign w:val="center"/>
          </w:tcPr>
          <w:p w:rsidR="00361D74" w:rsidRPr="0069023F" w:rsidRDefault="00361D74" w:rsidP="001D3402">
            <w:pPr>
              <w:jc w:val="center"/>
              <w:rPr>
                <w:rFonts w:asciiTheme="minorHAnsi" w:hAnsiTheme="minorHAnsi"/>
                <w:sz w:val="20"/>
                <w:szCs w:val="20"/>
              </w:rPr>
            </w:pPr>
            <w:r w:rsidRPr="0069023F">
              <w:rPr>
                <w:rFonts w:asciiTheme="minorHAnsi" w:hAnsiTheme="minorHAnsi"/>
                <w:sz w:val="20"/>
                <w:szCs w:val="20"/>
              </w:rPr>
              <w:t>3</w:t>
            </w:r>
          </w:p>
        </w:tc>
        <w:tc>
          <w:tcPr>
            <w:tcW w:w="5484" w:type="dxa"/>
            <w:tcBorders>
              <w:bottom w:val="single" w:sz="4" w:space="0" w:color="auto"/>
            </w:tcBorders>
            <w:shd w:val="clear" w:color="auto" w:fill="FFFFFF" w:themeFill="background1"/>
            <w:vAlign w:val="center"/>
          </w:tcPr>
          <w:p w:rsidR="00361D74" w:rsidRPr="0069023F" w:rsidRDefault="00361D74" w:rsidP="004C2D6D">
            <w:pPr>
              <w:pStyle w:val="ScoreParagraph"/>
              <w:rPr>
                <w:rStyle w:val="PageNumber"/>
                <w:rFonts w:asciiTheme="minorHAnsi" w:eastAsia="Calibri" w:hAnsiTheme="minorHAnsi"/>
                <w:color w:val="auto"/>
                <w:sz w:val="20"/>
                <w:szCs w:val="20"/>
              </w:rPr>
            </w:pPr>
            <w:r w:rsidRPr="0069023F">
              <w:rPr>
                <w:rStyle w:val="PageNumber"/>
                <w:rFonts w:asciiTheme="minorHAnsi" w:eastAsia="Calibri" w:hAnsiTheme="minorHAnsi"/>
                <w:color w:val="auto"/>
                <w:sz w:val="20"/>
                <w:szCs w:val="20"/>
              </w:rPr>
              <w:t xml:space="preserve">A year of </w:t>
            </w:r>
            <w:r w:rsidR="00EC4A53">
              <w:rPr>
                <w:rStyle w:val="PageNumber"/>
                <w:rFonts w:asciiTheme="minorHAnsi" w:eastAsia="Calibri" w:hAnsiTheme="minorHAnsi"/>
                <w:color w:val="auto"/>
                <w:sz w:val="20"/>
                <w:szCs w:val="20"/>
              </w:rPr>
              <w:t>mixed</w:t>
            </w:r>
            <w:r w:rsidR="00EC4A53" w:rsidRPr="0069023F">
              <w:rPr>
                <w:rStyle w:val="PageNumber"/>
                <w:rFonts w:asciiTheme="minorHAnsi" w:eastAsia="Calibri" w:hAnsiTheme="minorHAnsi"/>
                <w:color w:val="auto"/>
                <w:sz w:val="20"/>
                <w:szCs w:val="20"/>
              </w:rPr>
              <w:t xml:space="preserve"> </w:t>
            </w:r>
            <w:r w:rsidRPr="0069023F">
              <w:rPr>
                <w:rStyle w:val="PageNumber"/>
                <w:rFonts w:asciiTheme="minorHAnsi" w:eastAsia="Calibri" w:hAnsiTheme="minorHAnsi"/>
                <w:color w:val="auto"/>
                <w:sz w:val="20"/>
                <w:szCs w:val="20"/>
              </w:rPr>
              <w:t>efficiency. While disbursement increased from 2014 to 2015, the number and total value of commitments in 2015 fell sharply, largely because of the protracted extension process and the operational delays associated with the turnover of key GoI personnel, e.g. within the Balitbang.</w:t>
            </w:r>
          </w:p>
          <w:p w:rsidR="00361D74" w:rsidRPr="0069023F" w:rsidRDefault="00361D74" w:rsidP="007A73EA">
            <w:pPr>
              <w:pStyle w:val="ScoreParagraph"/>
              <w:rPr>
                <w:rStyle w:val="PageNumber"/>
                <w:rFonts w:asciiTheme="minorHAnsi" w:hAnsiTheme="minorHAnsi"/>
                <w:color w:val="auto"/>
                <w:sz w:val="20"/>
                <w:szCs w:val="20"/>
              </w:rPr>
            </w:pPr>
            <w:r w:rsidRPr="0069023F">
              <w:rPr>
                <w:rStyle w:val="PageNumber"/>
                <w:rFonts w:asciiTheme="minorHAnsi" w:eastAsia="Calibri" w:hAnsiTheme="minorHAnsi"/>
                <w:color w:val="auto"/>
                <w:sz w:val="20"/>
                <w:szCs w:val="20"/>
              </w:rPr>
              <w:t>Activities conducted in 2015 were well managed, with the Secretariat demonstrating a willingness and ability to respond to GoI requests during the course of implementation.</w:t>
            </w:r>
          </w:p>
        </w:tc>
        <w:tc>
          <w:tcPr>
            <w:tcW w:w="4852" w:type="dxa"/>
            <w:tcBorders>
              <w:bottom w:val="single" w:sz="4" w:space="0" w:color="auto"/>
            </w:tcBorders>
            <w:shd w:val="clear" w:color="auto" w:fill="FFFFFF" w:themeFill="background1"/>
            <w:vAlign w:val="center"/>
          </w:tcPr>
          <w:p w:rsidR="00361D74" w:rsidRPr="0069023F" w:rsidRDefault="00361D74" w:rsidP="007A73EA">
            <w:pPr>
              <w:pStyle w:val="ScoreParagraph"/>
              <w:rPr>
                <w:rStyle w:val="PageNumber"/>
                <w:rFonts w:asciiTheme="minorHAnsi" w:hAnsiTheme="minorHAnsi"/>
                <w:color w:val="auto"/>
                <w:sz w:val="20"/>
                <w:szCs w:val="20"/>
              </w:rPr>
            </w:pPr>
            <w:r w:rsidRPr="0069023F">
              <w:rPr>
                <w:rStyle w:val="PageNumber"/>
                <w:rFonts w:asciiTheme="minorHAnsi" w:eastAsia="Calibri" w:hAnsiTheme="minorHAnsi"/>
                <w:color w:val="auto"/>
                <w:sz w:val="20"/>
                <w:szCs w:val="20"/>
              </w:rPr>
              <w:t>The institutional and implementing partners – GoI, the EU, DFAT and ADB – could and should have avoided the protracted extension process. The associated impact on the Secretariat’s ability to commence planned studies justifies a downgrade in C4’s Efficiency score from a 3 to a 2. However, the Secretariat’s successful completion of a range of studies and its timely organisation of new, relevant and potentially effective events (e.g. Kopi Darat) justify maintaining the 2014 score.</w:t>
            </w:r>
          </w:p>
        </w:tc>
      </w:tr>
      <w:tr w:rsidR="0077380B" w:rsidRPr="0077380B" w:rsidTr="00361D74">
        <w:trPr>
          <w:trHeight w:val="681"/>
          <w:jc w:val="center"/>
        </w:trPr>
        <w:tc>
          <w:tcPr>
            <w:tcW w:w="1410" w:type="dxa"/>
            <w:vAlign w:val="center"/>
          </w:tcPr>
          <w:p w:rsidR="00361D74" w:rsidRPr="0069023F" w:rsidRDefault="00361D74" w:rsidP="001D3402">
            <w:pPr>
              <w:rPr>
                <w:rFonts w:asciiTheme="minorHAnsi" w:hAnsiTheme="minorHAnsi"/>
                <w:sz w:val="20"/>
                <w:szCs w:val="20"/>
              </w:rPr>
            </w:pPr>
            <w:r w:rsidRPr="0069023F">
              <w:rPr>
                <w:rFonts w:asciiTheme="minorHAnsi" w:hAnsiTheme="minorHAnsi"/>
                <w:sz w:val="20"/>
                <w:szCs w:val="20"/>
              </w:rPr>
              <w:t>Effectiveness</w:t>
            </w:r>
          </w:p>
        </w:tc>
        <w:tc>
          <w:tcPr>
            <w:tcW w:w="860" w:type="dxa"/>
            <w:shd w:val="clear" w:color="auto" w:fill="FFFF00"/>
            <w:vAlign w:val="center"/>
          </w:tcPr>
          <w:p w:rsidR="00361D74" w:rsidRPr="0069023F" w:rsidRDefault="00361D74" w:rsidP="001D3402">
            <w:pPr>
              <w:jc w:val="center"/>
              <w:rPr>
                <w:rFonts w:asciiTheme="minorHAnsi" w:hAnsiTheme="minorHAnsi"/>
                <w:sz w:val="20"/>
                <w:szCs w:val="20"/>
              </w:rPr>
            </w:pPr>
            <w:r w:rsidRPr="0069023F">
              <w:rPr>
                <w:rFonts w:asciiTheme="minorHAnsi" w:hAnsiTheme="minorHAnsi"/>
                <w:sz w:val="20"/>
                <w:szCs w:val="20"/>
              </w:rPr>
              <w:t>4</w:t>
            </w:r>
          </w:p>
        </w:tc>
        <w:tc>
          <w:tcPr>
            <w:tcW w:w="720" w:type="dxa"/>
            <w:shd w:val="clear" w:color="auto" w:fill="FFFF00"/>
            <w:vAlign w:val="center"/>
          </w:tcPr>
          <w:p w:rsidR="00361D74" w:rsidRPr="0069023F" w:rsidRDefault="00361D74" w:rsidP="001D3402">
            <w:pPr>
              <w:jc w:val="center"/>
              <w:rPr>
                <w:rFonts w:asciiTheme="minorHAnsi" w:hAnsiTheme="minorHAnsi"/>
                <w:sz w:val="20"/>
                <w:szCs w:val="20"/>
              </w:rPr>
            </w:pPr>
            <w:r w:rsidRPr="0069023F">
              <w:rPr>
                <w:rFonts w:asciiTheme="minorHAnsi" w:hAnsiTheme="minorHAnsi"/>
                <w:sz w:val="20"/>
                <w:szCs w:val="20"/>
              </w:rPr>
              <w:t>4</w:t>
            </w:r>
          </w:p>
        </w:tc>
        <w:tc>
          <w:tcPr>
            <w:tcW w:w="844" w:type="dxa"/>
            <w:tcBorders>
              <w:bottom w:val="single" w:sz="4" w:space="0" w:color="auto"/>
            </w:tcBorders>
            <w:shd w:val="clear" w:color="auto" w:fill="92D050"/>
            <w:vAlign w:val="center"/>
          </w:tcPr>
          <w:p w:rsidR="00361D74" w:rsidRPr="0069023F" w:rsidRDefault="00361D74" w:rsidP="001D3402">
            <w:pPr>
              <w:jc w:val="center"/>
              <w:rPr>
                <w:rFonts w:asciiTheme="minorHAnsi" w:hAnsiTheme="minorHAnsi"/>
                <w:sz w:val="20"/>
                <w:szCs w:val="20"/>
              </w:rPr>
            </w:pPr>
            <w:r w:rsidRPr="0069023F">
              <w:rPr>
                <w:rFonts w:asciiTheme="minorHAnsi" w:hAnsiTheme="minorHAnsi"/>
                <w:sz w:val="20"/>
                <w:szCs w:val="20"/>
              </w:rPr>
              <w:t>5</w:t>
            </w:r>
          </w:p>
        </w:tc>
        <w:tc>
          <w:tcPr>
            <w:tcW w:w="5484" w:type="dxa"/>
            <w:shd w:val="clear" w:color="auto" w:fill="FFFFFF" w:themeFill="background1"/>
          </w:tcPr>
          <w:p w:rsidR="00361D74" w:rsidRPr="0069023F" w:rsidRDefault="00361D74" w:rsidP="004C2D6D">
            <w:pPr>
              <w:pStyle w:val="ScoreParagraph"/>
              <w:rPr>
                <w:rStyle w:val="PageNumber"/>
                <w:rFonts w:asciiTheme="minorHAnsi" w:eastAsia="Calibri" w:hAnsiTheme="minorHAnsi"/>
                <w:color w:val="auto"/>
                <w:sz w:val="20"/>
                <w:szCs w:val="20"/>
              </w:rPr>
            </w:pPr>
            <w:r w:rsidRPr="0069023F">
              <w:rPr>
                <w:rStyle w:val="PageNumber"/>
                <w:rFonts w:asciiTheme="minorHAnsi" w:eastAsia="Calibri" w:hAnsiTheme="minorHAnsi"/>
                <w:color w:val="auto"/>
                <w:sz w:val="20"/>
                <w:szCs w:val="20"/>
              </w:rPr>
              <w:t>The 2015 chapter of ACDP’s effectiveness story is the strongest so far, with operational changes in 2014-15 providing an important platform for evidence incorporation to occur.</w:t>
            </w:r>
          </w:p>
          <w:p w:rsidR="00361D74" w:rsidRPr="0069023F" w:rsidRDefault="00361D74" w:rsidP="004C2D6D">
            <w:pPr>
              <w:pStyle w:val="ScoreParagraph"/>
              <w:rPr>
                <w:rStyle w:val="PageNumber"/>
                <w:rFonts w:asciiTheme="minorHAnsi" w:eastAsia="Calibri" w:hAnsiTheme="minorHAnsi"/>
                <w:color w:val="auto"/>
                <w:sz w:val="20"/>
                <w:szCs w:val="20"/>
              </w:rPr>
            </w:pPr>
            <w:r w:rsidRPr="0069023F">
              <w:rPr>
                <w:rStyle w:val="PageNumber"/>
                <w:rFonts w:asciiTheme="minorHAnsi" w:eastAsia="Calibri" w:hAnsiTheme="minorHAnsi"/>
                <w:color w:val="auto"/>
                <w:sz w:val="20"/>
                <w:szCs w:val="20"/>
              </w:rPr>
              <w:t xml:space="preserve">The EOPO 4 Evaluation points to </w:t>
            </w:r>
            <w:r w:rsidR="00EC4A53">
              <w:rPr>
                <w:rStyle w:val="PageNumber"/>
                <w:rFonts w:asciiTheme="minorHAnsi" w:eastAsia="Calibri" w:hAnsiTheme="minorHAnsi"/>
                <w:color w:val="auto"/>
                <w:sz w:val="20"/>
                <w:szCs w:val="20"/>
              </w:rPr>
              <w:t>a broadly positive picture</w:t>
            </w:r>
            <w:r w:rsidRPr="0069023F">
              <w:rPr>
                <w:rStyle w:val="PageNumber"/>
                <w:rFonts w:asciiTheme="minorHAnsi" w:eastAsia="Calibri" w:hAnsiTheme="minorHAnsi"/>
                <w:color w:val="auto"/>
                <w:sz w:val="20"/>
                <w:szCs w:val="20"/>
              </w:rPr>
              <w:t xml:space="preserve">, with evidence of both utilisation (EOCO) and incorporation </w:t>
            </w:r>
            <w:r w:rsidRPr="0069023F">
              <w:rPr>
                <w:rStyle w:val="PageNumber"/>
                <w:rFonts w:asciiTheme="minorHAnsi" w:eastAsia="Calibri" w:hAnsiTheme="minorHAnsi"/>
                <w:color w:val="auto"/>
                <w:sz w:val="20"/>
                <w:szCs w:val="20"/>
              </w:rPr>
              <w:lastRenderedPageBreak/>
              <w:t>(EOPO), particularly in the Papua and ESR case studies.</w:t>
            </w:r>
            <w:r w:rsidR="002010DB">
              <w:rPr>
                <w:rStyle w:val="PageNumber"/>
                <w:rFonts w:asciiTheme="minorHAnsi" w:eastAsia="Calibri" w:hAnsiTheme="minorHAnsi"/>
                <w:color w:val="auto"/>
                <w:sz w:val="20"/>
                <w:szCs w:val="20"/>
              </w:rPr>
              <w:t xml:space="preserve"> </w:t>
            </w:r>
          </w:p>
          <w:p w:rsidR="00361D74" w:rsidRPr="0069023F" w:rsidRDefault="00361D74" w:rsidP="007A73EA">
            <w:pPr>
              <w:pStyle w:val="ScoreParagraph"/>
              <w:rPr>
                <w:rStyle w:val="PageNumber"/>
                <w:rFonts w:asciiTheme="minorHAnsi" w:eastAsia="Calibri" w:hAnsiTheme="minorHAnsi"/>
                <w:color w:val="auto"/>
                <w:sz w:val="20"/>
                <w:szCs w:val="20"/>
              </w:rPr>
            </w:pPr>
            <w:r w:rsidRPr="0069023F">
              <w:rPr>
                <w:rStyle w:val="PageNumber"/>
                <w:rFonts w:asciiTheme="minorHAnsi" w:eastAsia="Calibri" w:hAnsiTheme="minorHAnsi"/>
                <w:color w:val="auto"/>
                <w:sz w:val="20"/>
                <w:szCs w:val="20"/>
              </w:rPr>
              <w:t>While the effectiveness score has increased since the 2014 APPR, there is inadequate discussion of the sufficiency of ACDP’s results.</w:t>
            </w:r>
          </w:p>
        </w:tc>
        <w:tc>
          <w:tcPr>
            <w:tcW w:w="4852" w:type="dxa"/>
            <w:shd w:val="clear" w:color="auto" w:fill="FFFFFF" w:themeFill="background1"/>
          </w:tcPr>
          <w:p w:rsidR="00361D74" w:rsidRPr="0069023F" w:rsidRDefault="00361D74" w:rsidP="004C2D6D">
            <w:pPr>
              <w:pStyle w:val="ScoreParagraph"/>
              <w:rPr>
                <w:rStyle w:val="PageNumber"/>
                <w:rFonts w:asciiTheme="minorHAnsi" w:eastAsia="Calibri" w:hAnsiTheme="minorHAnsi"/>
                <w:color w:val="auto"/>
                <w:sz w:val="20"/>
                <w:szCs w:val="20"/>
              </w:rPr>
            </w:pPr>
            <w:r w:rsidRPr="0069023F">
              <w:rPr>
                <w:rStyle w:val="PageNumber"/>
                <w:rFonts w:asciiTheme="minorHAnsi" w:eastAsia="Calibri" w:hAnsiTheme="minorHAnsi"/>
                <w:color w:val="auto"/>
                <w:sz w:val="20"/>
                <w:szCs w:val="20"/>
              </w:rPr>
              <w:lastRenderedPageBreak/>
              <w:t xml:space="preserve">The scores refer to the outcome – the EOPO – statement used by the EP, not that used by the ADB. The question of expectation is central to any evaluation of ACDP’s success. POM continues to regard that framing of the ACDP outcome and the absence of suitable performance indicators and </w:t>
            </w:r>
            <w:r w:rsidRPr="0069023F">
              <w:rPr>
                <w:rStyle w:val="PageNumber"/>
                <w:rFonts w:asciiTheme="minorHAnsi" w:eastAsia="Calibri" w:hAnsiTheme="minorHAnsi"/>
                <w:color w:val="auto"/>
                <w:sz w:val="20"/>
                <w:szCs w:val="20"/>
              </w:rPr>
              <w:lastRenderedPageBreak/>
              <w:t>targets as cause for concern.</w:t>
            </w:r>
          </w:p>
          <w:p w:rsidR="00361D74" w:rsidRPr="0069023F" w:rsidRDefault="00361D74" w:rsidP="00E46DFA">
            <w:pPr>
              <w:pStyle w:val="ScoreParagraph"/>
              <w:rPr>
                <w:rStyle w:val="PageNumber"/>
                <w:rFonts w:asciiTheme="minorHAnsi" w:eastAsia="Calibri" w:hAnsiTheme="minorHAnsi"/>
                <w:color w:val="auto"/>
                <w:sz w:val="20"/>
                <w:szCs w:val="20"/>
              </w:rPr>
            </w:pPr>
            <w:r w:rsidRPr="0069023F">
              <w:rPr>
                <w:rStyle w:val="PageNumber"/>
                <w:rFonts w:asciiTheme="minorHAnsi" w:eastAsia="Calibri" w:hAnsiTheme="minorHAnsi"/>
                <w:color w:val="auto"/>
                <w:sz w:val="20"/>
                <w:szCs w:val="20"/>
              </w:rPr>
              <w:t xml:space="preserve">The upturn in ACDP’s effectiveness is welcomed because of the </w:t>
            </w:r>
            <w:r w:rsidR="00E46DFA">
              <w:rPr>
                <w:rStyle w:val="PageNumber"/>
                <w:rFonts w:asciiTheme="minorHAnsi" w:eastAsia="Calibri" w:hAnsiTheme="minorHAnsi"/>
                <w:color w:val="auto"/>
                <w:sz w:val="20"/>
                <w:szCs w:val="20"/>
              </w:rPr>
              <w:t>size and duration</w:t>
            </w:r>
            <w:r w:rsidRPr="0069023F">
              <w:rPr>
                <w:rStyle w:val="PageNumber"/>
                <w:rFonts w:asciiTheme="minorHAnsi" w:eastAsia="Calibri" w:hAnsiTheme="minorHAnsi"/>
                <w:color w:val="auto"/>
                <w:sz w:val="20"/>
                <w:szCs w:val="20"/>
              </w:rPr>
              <w:t xml:space="preserve"> of the investment.</w:t>
            </w:r>
          </w:p>
        </w:tc>
      </w:tr>
      <w:tr w:rsidR="0077380B" w:rsidRPr="0077380B" w:rsidTr="00361D74">
        <w:trPr>
          <w:trHeight w:val="681"/>
          <w:jc w:val="center"/>
        </w:trPr>
        <w:tc>
          <w:tcPr>
            <w:tcW w:w="1410" w:type="dxa"/>
            <w:vAlign w:val="center"/>
          </w:tcPr>
          <w:p w:rsidR="00361D74" w:rsidRPr="0069023F" w:rsidRDefault="00361D74" w:rsidP="001D3402">
            <w:pPr>
              <w:rPr>
                <w:rFonts w:asciiTheme="minorHAnsi" w:hAnsiTheme="minorHAnsi"/>
                <w:sz w:val="20"/>
                <w:szCs w:val="20"/>
              </w:rPr>
            </w:pPr>
            <w:r w:rsidRPr="0069023F">
              <w:rPr>
                <w:rFonts w:asciiTheme="minorHAnsi" w:hAnsiTheme="minorHAnsi"/>
                <w:sz w:val="20"/>
                <w:szCs w:val="20"/>
              </w:rPr>
              <w:lastRenderedPageBreak/>
              <w:t>Impact</w:t>
            </w:r>
          </w:p>
        </w:tc>
        <w:tc>
          <w:tcPr>
            <w:tcW w:w="860" w:type="dxa"/>
            <w:vAlign w:val="center"/>
          </w:tcPr>
          <w:p w:rsidR="00361D74" w:rsidRPr="0069023F" w:rsidRDefault="00361D74" w:rsidP="001D3402">
            <w:pPr>
              <w:jc w:val="center"/>
              <w:rPr>
                <w:rFonts w:asciiTheme="minorHAnsi" w:hAnsiTheme="minorHAnsi"/>
                <w:sz w:val="20"/>
                <w:szCs w:val="20"/>
              </w:rPr>
            </w:pPr>
            <w:r w:rsidRPr="0069023F">
              <w:rPr>
                <w:rFonts w:asciiTheme="minorHAnsi" w:hAnsiTheme="minorHAnsi"/>
                <w:sz w:val="20"/>
                <w:szCs w:val="20"/>
              </w:rPr>
              <w:t>TE</w:t>
            </w:r>
          </w:p>
        </w:tc>
        <w:tc>
          <w:tcPr>
            <w:tcW w:w="720" w:type="dxa"/>
            <w:shd w:val="clear" w:color="auto" w:fill="FFC000"/>
            <w:vAlign w:val="center"/>
          </w:tcPr>
          <w:p w:rsidR="00361D74" w:rsidRPr="0069023F" w:rsidRDefault="00361D74" w:rsidP="001D3402">
            <w:pPr>
              <w:jc w:val="center"/>
              <w:rPr>
                <w:rFonts w:asciiTheme="minorHAnsi" w:hAnsiTheme="minorHAnsi"/>
                <w:sz w:val="20"/>
                <w:szCs w:val="20"/>
              </w:rPr>
            </w:pPr>
            <w:r w:rsidRPr="0069023F">
              <w:rPr>
                <w:rFonts w:asciiTheme="minorHAnsi" w:hAnsiTheme="minorHAnsi"/>
                <w:sz w:val="20"/>
                <w:szCs w:val="20"/>
              </w:rPr>
              <w:t>3</w:t>
            </w:r>
          </w:p>
        </w:tc>
        <w:tc>
          <w:tcPr>
            <w:tcW w:w="844" w:type="dxa"/>
            <w:tcBorders>
              <w:bottom w:val="single" w:sz="4" w:space="0" w:color="auto"/>
            </w:tcBorders>
            <w:shd w:val="clear" w:color="auto" w:fill="FFFF00"/>
            <w:vAlign w:val="center"/>
          </w:tcPr>
          <w:p w:rsidR="00361D74" w:rsidRPr="0069023F" w:rsidRDefault="00361D74" w:rsidP="001D3402">
            <w:pPr>
              <w:jc w:val="center"/>
              <w:rPr>
                <w:rFonts w:asciiTheme="minorHAnsi" w:hAnsiTheme="minorHAnsi"/>
                <w:sz w:val="20"/>
                <w:szCs w:val="20"/>
              </w:rPr>
            </w:pPr>
            <w:r w:rsidRPr="0069023F">
              <w:rPr>
                <w:rFonts w:asciiTheme="minorHAnsi" w:hAnsiTheme="minorHAnsi"/>
                <w:sz w:val="20"/>
                <w:szCs w:val="20"/>
              </w:rPr>
              <w:t>4</w:t>
            </w:r>
          </w:p>
        </w:tc>
        <w:tc>
          <w:tcPr>
            <w:tcW w:w="5484" w:type="dxa"/>
            <w:shd w:val="clear" w:color="auto" w:fill="FFFFFF" w:themeFill="background1"/>
          </w:tcPr>
          <w:p w:rsidR="00361D74" w:rsidRPr="0069023F" w:rsidRDefault="00361D74" w:rsidP="004C2D6D">
            <w:pPr>
              <w:pStyle w:val="ScoreParagraph"/>
              <w:rPr>
                <w:rStyle w:val="PageNumber"/>
                <w:rFonts w:asciiTheme="minorHAnsi" w:eastAsia="Calibri" w:hAnsiTheme="minorHAnsi"/>
                <w:color w:val="auto"/>
                <w:sz w:val="20"/>
                <w:szCs w:val="20"/>
              </w:rPr>
            </w:pPr>
            <w:r w:rsidRPr="0069023F">
              <w:rPr>
                <w:rStyle w:val="PageNumber"/>
                <w:rFonts w:asciiTheme="minorHAnsi" w:eastAsia="Calibri" w:hAnsiTheme="minorHAnsi"/>
                <w:color w:val="auto"/>
                <w:sz w:val="20"/>
                <w:szCs w:val="20"/>
              </w:rPr>
              <w:t xml:space="preserve">A successful ACDP portfolio continues to offer tremendous potential for long-term change and there is evidence of potential at activity-level, e.g. in Papua and possibly through the </w:t>
            </w:r>
            <w:r w:rsidR="004729E4">
              <w:rPr>
                <w:rStyle w:val="PageNumber"/>
                <w:rFonts w:asciiTheme="minorHAnsi" w:eastAsia="Calibri" w:hAnsiTheme="minorHAnsi"/>
                <w:color w:val="auto"/>
                <w:sz w:val="20"/>
                <w:szCs w:val="20"/>
              </w:rPr>
              <w:t>Madrasah</w:t>
            </w:r>
            <w:r w:rsidRPr="0069023F">
              <w:rPr>
                <w:rStyle w:val="PageNumber"/>
                <w:rFonts w:asciiTheme="minorHAnsi" w:eastAsia="Calibri" w:hAnsiTheme="minorHAnsi"/>
                <w:color w:val="auto"/>
                <w:sz w:val="20"/>
                <w:szCs w:val="20"/>
              </w:rPr>
              <w:t xml:space="preserve"> financing study.</w:t>
            </w:r>
          </w:p>
          <w:p w:rsidR="00361D74" w:rsidRPr="0069023F" w:rsidRDefault="00361D74" w:rsidP="007A73EA">
            <w:pPr>
              <w:pStyle w:val="ScoreParagraph"/>
              <w:rPr>
                <w:rStyle w:val="PageNumber"/>
                <w:rFonts w:asciiTheme="minorHAnsi" w:eastAsia="Calibri" w:hAnsiTheme="minorHAnsi"/>
                <w:color w:val="auto"/>
                <w:sz w:val="20"/>
                <w:szCs w:val="20"/>
              </w:rPr>
            </w:pPr>
            <w:r w:rsidRPr="0069023F">
              <w:rPr>
                <w:rStyle w:val="PageNumber"/>
                <w:rFonts w:asciiTheme="minorHAnsi" w:eastAsia="Calibri" w:hAnsiTheme="minorHAnsi"/>
                <w:color w:val="auto"/>
                <w:sz w:val="20"/>
                <w:szCs w:val="20"/>
              </w:rPr>
              <w:t>That necessarily requires an agile, responsive ACDP; one that wishes and is able to respond to opportunities. In this regard, the restructuring of the Secretariat and its increased investment in knowledge sharing (e.g. the Kopi Darat events) should generate dividends.</w:t>
            </w:r>
          </w:p>
        </w:tc>
        <w:tc>
          <w:tcPr>
            <w:tcW w:w="4852" w:type="dxa"/>
            <w:shd w:val="clear" w:color="auto" w:fill="FFFFFF" w:themeFill="background1"/>
          </w:tcPr>
          <w:p w:rsidR="00361D74" w:rsidRPr="0069023F" w:rsidRDefault="00361D74" w:rsidP="004C2D6D">
            <w:pPr>
              <w:pStyle w:val="ScoreParagraph"/>
              <w:rPr>
                <w:rStyle w:val="PageNumber"/>
                <w:rFonts w:asciiTheme="minorHAnsi" w:eastAsia="Calibri" w:hAnsiTheme="minorHAnsi"/>
                <w:color w:val="auto"/>
                <w:sz w:val="20"/>
                <w:szCs w:val="20"/>
              </w:rPr>
            </w:pPr>
            <w:r w:rsidRPr="0069023F">
              <w:rPr>
                <w:rStyle w:val="PageNumber"/>
                <w:rFonts w:asciiTheme="minorHAnsi" w:eastAsia="Calibri" w:hAnsiTheme="minorHAnsi"/>
                <w:color w:val="auto"/>
                <w:sz w:val="20"/>
                <w:szCs w:val="20"/>
              </w:rPr>
              <w:t>It remains incumbent on the Secretariat to articulate the nature and sufficiency of its results.</w:t>
            </w:r>
          </w:p>
          <w:p w:rsidR="00361D74" w:rsidRPr="0069023F" w:rsidRDefault="00361D74" w:rsidP="007A73EA">
            <w:pPr>
              <w:pStyle w:val="ScoreParagraph"/>
              <w:rPr>
                <w:rStyle w:val="PageNumber"/>
                <w:rFonts w:asciiTheme="minorHAnsi" w:eastAsia="Calibri" w:hAnsiTheme="minorHAnsi"/>
                <w:color w:val="auto"/>
                <w:sz w:val="20"/>
                <w:szCs w:val="20"/>
              </w:rPr>
            </w:pPr>
            <w:r w:rsidRPr="0069023F">
              <w:rPr>
                <w:rStyle w:val="PageNumber"/>
                <w:rFonts w:asciiTheme="minorHAnsi" w:eastAsia="Calibri" w:hAnsiTheme="minorHAnsi"/>
                <w:color w:val="auto"/>
                <w:sz w:val="20"/>
                <w:szCs w:val="20"/>
              </w:rPr>
              <w:t>Detailed analysis and discussion is hindered by the poor alignment between the EP theory of change and that provided in the ACDP M&amp;E Strategy; the absence of suitable outcome-level indicators and targets in the ACDP M&amp;E Strategy; the absence of results tracking and reporting, and; untapped opportunities to share experience with other K2P programs, such as the KSI.</w:t>
            </w:r>
          </w:p>
        </w:tc>
      </w:tr>
      <w:tr w:rsidR="0077380B" w:rsidRPr="0077380B" w:rsidTr="00361D74">
        <w:trPr>
          <w:trHeight w:val="681"/>
          <w:jc w:val="center"/>
        </w:trPr>
        <w:tc>
          <w:tcPr>
            <w:tcW w:w="1410" w:type="dxa"/>
            <w:vAlign w:val="center"/>
          </w:tcPr>
          <w:p w:rsidR="00361D74" w:rsidRPr="0069023F" w:rsidRDefault="00361D74" w:rsidP="001D3402">
            <w:pPr>
              <w:rPr>
                <w:rFonts w:asciiTheme="minorHAnsi" w:hAnsiTheme="minorHAnsi"/>
                <w:sz w:val="20"/>
                <w:szCs w:val="20"/>
              </w:rPr>
            </w:pPr>
            <w:r w:rsidRPr="0069023F">
              <w:rPr>
                <w:rFonts w:asciiTheme="minorHAnsi" w:hAnsiTheme="minorHAnsi"/>
                <w:sz w:val="20"/>
                <w:szCs w:val="20"/>
              </w:rPr>
              <w:t>Sustainability</w:t>
            </w:r>
          </w:p>
        </w:tc>
        <w:tc>
          <w:tcPr>
            <w:tcW w:w="860" w:type="dxa"/>
            <w:shd w:val="clear" w:color="auto" w:fill="FFFF00"/>
            <w:vAlign w:val="center"/>
          </w:tcPr>
          <w:p w:rsidR="00361D74" w:rsidRPr="0069023F" w:rsidRDefault="00361D74" w:rsidP="001D3402">
            <w:pPr>
              <w:jc w:val="center"/>
              <w:rPr>
                <w:rFonts w:asciiTheme="minorHAnsi" w:hAnsiTheme="minorHAnsi"/>
                <w:sz w:val="20"/>
                <w:szCs w:val="20"/>
              </w:rPr>
            </w:pPr>
            <w:r w:rsidRPr="0069023F">
              <w:rPr>
                <w:rFonts w:asciiTheme="minorHAnsi" w:hAnsiTheme="minorHAnsi"/>
                <w:sz w:val="20"/>
                <w:szCs w:val="20"/>
              </w:rPr>
              <w:t>4</w:t>
            </w:r>
          </w:p>
        </w:tc>
        <w:tc>
          <w:tcPr>
            <w:tcW w:w="720" w:type="dxa"/>
            <w:shd w:val="clear" w:color="auto" w:fill="FF0000"/>
            <w:vAlign w:val="center"/>
          </w:tcPr>
          <w:p w:rsidR="00361D74" w:rsidRPr="0069023F" w:rsidRDefault="00361D74" w:rsidP="001D3402">
            <w:pPr>
              <w:jc w:val="center"/>
              <w:rPr>
                <w:rFonts w:asciiTheme="minorHAnsi" w:hAnsiTheme="minorHAnsi"/>
                <w:sz w:val="20"/>
                <w:szCs w:val="20"/>
              </w:rPr>
            </w:pPr>
            <w:r w:rsidRPr="0069023F">
              <w:rPr>
                <w:rFonts w:asciiTheme="minorHAnsi" w:hAnsiTheme="minorHAnsi"/>
                <w:sz w:val="20"/>
                <w:szCs w:val="20"/>
              </w:rPr>
              <w:t>2</w:t>
            </w:r>
          </w:p>
        </w:tc>
        <w:tc>
          <w:tcPr>
            <w:tcW w:w="844" w:type="dxa"/>
            <w:shd w:val="clear" w:color="auto" w:fill="FF0000"/>
            <w:vAlign w:val="center"/>
          </w:tcPr>
          <w:p w:rsidR="00361D74" w:rsidRPr="0069023F" w:rsidRDefault="00361D74" w:rsidP="001D3402">
            <w:pPr>
              <w:jc w:val="center"/>
              <w:rPr>
                <w:rFonts w:asciiTheme="minorHAnsi" w:hAnsiTheme="minorHAnsi"/>
                <w:sz w:val="20"/>
                <w:szCs w:val="20"/>
              </w:rPr>
            </w:pPr>
            <w:r w:rsidRPr="0069023F">
              <w:rPr>
                <w:rFonts w:asciiTheme="minorHAnsi" w:hAnsiTheme="minorHAnsi"/>
                <w:sz w:val="20"/>
                <w:szCs w:val="20"/>
              </w:rPr>
              <w:t>2</w:t>
            </w:r>
          </w:p>
        </w:tc>
        <w:tc>
          <w:tcPr>
            <w:tcW w:w="5484" w:type="dxa"/>
            <w:shd w:val="clear" w:color="auto" w:fill="FFFFFF" w:themeFill="background1"/>
          </w:tcPr>
          <w:p w:rsidR="00361D74" w:rsidRPr="0069023F" w:rsidRDefault="00361D74" w:rsidP="004C2D6D">
            <w:pPr>
              <w:pStyle w:val="ScoreParagraph"/>
              <w:rPr>
                <w:rStyle w:val="PageNumber"/>
                <w:rFonts w:asciiTheme="minorHAnsi" w:eastAsia="Calibri" w:hAnsiTheme="minorHAnsi"/>
                <w:color w:val="auto"/>
                <w:sz w:val="20"/>
                <w:szCs w:val="20"/>
              </w:rPr>
            </w:pPr>
            <w:r w:rsidRPr="0069023F">
              <w:rPr>
                <w:rStyle w:val="PageNumber"/>
                <w:rFonts w:asciiTheme="minorHAnsi" w:eastAsia="Calibri" w:hAnsiTheme="minorHAnsi"/>
                <w:color w:val="auto"/>
                <w:sz w:val="20"/>
                <w:szCs w:val="20"/>
              </w:rPr>
              <w:t xml:space="preserve">The initial enthusiasm in late 2014 and early 2015 to discuss sustainability and pursue an institutional legacy waned as the year progressed. </w:t>
            </w:r>
          </w:p>
          <w:p w:rsidR="00361D74" w:rsidRPr="0069023F" w:rsidRDefault="00361D74" w:rsidP="007A73EA">
            <w:pPr>
              <w:pStyle w:val="ScoreParagraph"/>
              <w:rPr>
                <w:rStyle w:val="PageNumber"/>
                <w:rFonts w:asciiTheme="minorHAnsi" w:eastAsia="Calibri" w:hAnsiTheme="minorHAnsi"/>
                <w:color w:val="auto"/>
                <w:sz w:val="20"/>
                <w:szCs w:val="20"/>
              </w:rPr>
            </w:pPr>
            <w:r w:rsidRPr="0069023F">
              <w:rPr>
                <w:rStyle w:val="PageNumber"/>
                <w:rFonts w:asciiTheme="minorHAnsi" w:eastAsia="Calibri" w:hAnsiTheme="minorHAnsi"/>
                <w:color w:val="auto"/>
                <w:sz w:val="20"/>
                <w:szCs w:val="20"/>
              </w:rPr>
              <w:t xml:space="preserve">There remains a lack of consensus or clarity about the expected institutional legacy. </w:t>
            </w:r>
          </w:p>
        </w:tc>
        <w:tc>
          <w:tcPr>
            <w:tcW w:w="4852" w:type="dxa"/>
            <w:shd w:val="clear" w:color="auto" w:fill="FFFFFF" w:themeFill="background1"/>
          </w:tcPr>
          <w:p w:rsidR="00361D74" w:rsidRPr="0069023F" w:rsidRDefault="00361D74" w:rsidP="007A73EA">
            <w:pPr>
              <w:pStyle w:val="ScoreParagraph"/>
              <w:rPr>
                <w:rStyle w:val="PageNumber"/>
                <w:rFonts w:asciiTheme="minorHAnsi" w:eastAsia="Calibri" w:hAnsiTheme="minorHAnsi"/>
                <w:color w:val="auto"/>
                <w:sz w:val="20"/>
                <w:szCs w:val="20"/>
              </w:rPr>
            </w:pPr>
            <w:r w:rsidRPr="0069023F">
              <w:rPr>
                <w:rStyle w:val="PageNumber"/>
                <w:rFonts w:asciiTheme="minorHAnsi" w:eastAsia="Calibri" w:hAnsiTheme="minorHAnsi"/>
                <w:color w:val="auto"/>
                <w:sz w:val="20"/>
                <w:szCs w:val="20"/>
              </w:rPr>
              <w:t>The opportunities posed by the extension must be embraced.</w:t>
            </w:r>
          </w:p>
        </w:tc>
      </w:tr>
    </w:tbl>
    <w:p w:rsidR="00361D74" w:rsidRDefault="00361D74" w:rsidP="00AD74D4">
      <w:pPr>
        <w:pStyle w:val="Caption-Table"/>
      </w:pPr>
      <w:bookmarkStart w:id="100" w:name="_Ref447777184"/>
      <w:bookmarkStart w:id="101" w:name="_Toc447623976"/>
    </w:p>
    <w:p w:rsidR="00361D74" w:rsidRDefault="00361D74">
      <w:pPr>
        <w:spacing w:before="0" w:after="0" w:line="240" w:lineRule="auto"/>
        <w:jc w:val="left"/>
        <w:rPr>
          <w:b/>
          <w:lang w:val="en-GB"/>
        </w:rPr>
      </w:pPr>
      <w:r>
        <w:br w:type="page"/>
      </w:r>
    </w:p>
    <w:p w:rsidR="00D20962" w:rsidRDefault="00D20962" w:rsidP="00AD74D4">
      <w:pPr>
        <w:pStyle w:val="Caption-Table"/>
      </w:pPr>
      <w:bookmarkStart w:id="102" w:name="_Ref450131483"/>
      <w:bookmarkStart w:id="103" w:name="_Toc450131644"/>
      <w:r w:rsidRPr="00D20962">
        <w:lastRenderedPageBreak/>
        <w:t xml:space="preserve">Table </w:t>
      </w:r>
      <w:r w:rsidRPr="00D20962">
        <w:fldChar w:fldCharType="begin"/>
      </w:r>
      <w:r w:rsidRPr="00D20962">
        <w:instrText xml:space="preserve"> SEQ Table \* ARABIC </w:instrText>
      </w:r>
      <w:r w:rsidRPr="00D20962">
        <w:fldChar w:fldCharType="separate"/>
      </w:r>
      <w:r w:rsidR="00EC36D2">
        <w:rPr>
          <w:noProof/>
        </w:rPr>
        <w:t>23</w:t>
      </w:r>
      <w:r w:rsidRPr="00D20962">
        <w:fldChar w:fldCharType="end"/>
      </w:r>
      <w:bookmarkEnd w:id="100"/>
      <w:bookmarkEnd w:id="102"/>
      <w:r w:rsidRPr="00D20962">
        <w:t>: Component 4 key findings and recommendations</w:t>
      </w:r>
      <w:bookmarkEnd w:id="101"/>
      <w:bookmarkEnd w:id="103"/>
    </w:p>
    <w:tbl>
      <w:tblPr>
        <w:tblStyle w:val="TableGrid31"/>
        <w:tblW w:w="5000" w:type="pct"/>
        <w:tblCellMar>
          <w:top w:w="108" w:type="dxa"/>
          <w:bottom w:w="108" w:type="dxa"/>
        </w:tblCellMar>
        <w:tblLook w:val="04A0" w:firstRow="1" w:lastRow="0" w:firstColumn="1" w:lastColumn="0" w:noHBand="0" w:noVBand="1"/>
      </w:tblPr>
      <w:tblGrid>
        <w:gridCol w:w="5920"/>
        <w:gridCol w:w="5246"/>
        <w:gridCol w:w="1134"/>
        <w:gridCol w:w="1870"/>
      </w:tblGrid>
      <w:tr w:rsidR="007436CF" w:rsidRPr="0077380B" w:rsidTr="0069023F">
        <w:trPr>
          <w:trHeight w:val="567"/>
          <w:tblHeader/>
        </w:trPr>
        <w:tc>
          <w:tcPr>
            <w:tcW w:w="2089" w:type="pct"/>
            <w:tcBorders>
              <w:bottom w:val="single" w:sz="4" w:space="0" w:color="auto"/>
            </w:tcBorders>
            <w:shd w:val="clear" w:color="auto" w:fill="244061" w:themeFill="accent1" w:themeFillShade="80"/>
            <w:vAlign w:val="center"/>
          </w:tcPr>
          <w:p w:rsidR="007436CF" w:rsidRPr="0069023F" w:rsidRDefault="007436CF" w:rsidP="006C7C96">
            <w:pPr>
              <w:jc w:val="center"/>
              <w:rPr>
                <w:b/>
                <w:sz w:val="20"/>
                <w:szCs w:val="20"/>
              </w:rPr>
            </w:pPr>
            <w:r w:rsidRPr="0069023F">
              <w:rPr>
                <w:b/>
                <w:sz w:val="20"/>
                <w:szCs w:val="20"/>
              </w:rPr>
              <w:t>Findings</w:t>
            </w:r>
          </w:p>
        </w:tc>
        <w:tc>
          <w:tcPr>
            <w:tcW w:w="1851" w:type="pct"/>
            <w:tcBorders>
              <w:bottom w:val="single" w:sz="4" w:space="0" w:color="auto"/>
            </w:tcBorders>
            <w:shd w:val="clear" w:color="auto" w:fill="244061" w:themeFill="accent1" w:themeFillShade="80"/>
            <w:vAlign w:val="center"/>
          </w:tcPr>
          <w:p w:rsidR="007436CF" w:rsidRPr="0069023F" w:rsidRDefault="007436CF" w:rsidP="006C7C96">
            <w:pPr>
              <w:jc w:val="center"/>
              <w:rPr>
                <w:b/>
                <w:sz w:val="20"/>
                <w:szCs w:val="20"/>
              </w:rPr>
            </w:pPr>
            <w:r w:rsidRPr="0069023F">
              <w:rPr>
                <w:b/>
                <w:sz w:val="20"/>
                <w:szCs w:val="20"/>
              </w:rPr>
              <w:t>Recommendations</w:t>
            </w:r>
          </w:p>
        </w:tc>
        <w:tc>
          <w:tcPr>
            <w:tcW w:w="400" w:type="pct"/>
            <w:tcBorders>
              <w:bottom w:val="single" w:sz="4" w:space="0" w:color="auto"/>
            </w:tcBorders>
            <w:shd w:val="clear" w:color="auto" w:fill="244061" w:themeFill="accent1" w:themeFillShade="80"/>
            <w:vAlign w:val="center"/>
          </w:tcPr>
          <w:p w:rsidR="007436CF" w:rsidRPr="0069023F" w:rsidRDefault="007436CF" w:rsidP="006C7C96">
            <w:pPr>
              <w:jc w:val="center"/>
              <w:rPr>
                <w:b/>
                <w:sz w:val="20"/>
                <w:szCs w:val="20"/>
              </w:rPr>
            </w:pPr>
            <w:r w:rsidRPr="0069023F">
              <w:rPr>
                <w:b/>
                <w:sz w:val="20"/>
                <w:szCs w:val="20"/>
              </w:rPr>
              <w:t>Level of urgency</w:t>
            </w:r>
          </w:p>
        </w:tc>
        <w:tc>
          <w:tcPr>
            <w:tcW w:w="660" w:type="pct"/>
            <w:tcBorders>
              <w:bottom w:val="single" w:sz="4" w:space="0" w:color="auto"/>
            </w:tcBorders>
            <w:shd w:val="clear" w:color="auto" w:fill="244061" w:themeFill="accent1" w:themeFillShade="80"/>
            <w:vAlign w:val="center"/>
          </w:tcPr>
          <w:p w:rsidR="007436CF" w:rsidRPr="0069023F" w:rsidRDefault="007436CF" w:rsidP="006C7C96">
            <w:pPr>
              <w:jc w:val="center"/>
              <w:rPr>
                <w:b/>
                <w:sz w:val="20"/>
                <w:szCs w:val="20"/>
              </w:rPr>
            </w:pPr>
            <w:r w:rsidRPr="0069023F">
              <w:rPr>
                <w:b/>
                <w:sz w:val="20"/>
                <w:szCs w:val="20"/>
              </w:rPr>
              <w:t>Prime Responsibility</w:t>
            </w:r>
          </w:p>
        </w:tc>
      </w:tr>
      <w:tr w:rsidR="00D67CC7" w:rsidRPr="0077380B" w:rsidTr="0069023F">
        <w:tblPrEx>
          <w:tblCellMar>
            <w:top w:w="0" w:type="dxa"/>
            <w:bottom w:w="0" w:type="dxa"/>
          </w:tblCellMar>
        </w:tblPrEx>
        <w:trPr>
          <w:trHeight w:val="839"/>
        </w:trPr>
        <w:tc>
          <w:tcPr>
            <w:tcW w:w="2089" w:type="pct"/>
          </w:tcPr>
          <w:p w:rsidR="00D67CC7" w:rsidRPr="0069023F" w:rsidRDefault="00D67CC7" w:rsidP="004C2D6D">
            <w:pPr>
              <w:rPr>
                <w:sz w:val="20"/>
                <w:szCs w:val="20"/>
              </w:rPr>
            </w:pPr>
            <w:r w:rsidRPr="0069023F">
              <w:rPr>
                <w:sz w:val="20"/>
                <w:szCs w:val="20"/>
              </w:rPr>
              <w:t>The ACDP’s tracking and reporting of high level results remains weak despite the appointment of a part-time M&amp;E advisor in September 2015</w:t>
            </w:r>
            <w:r>
              <w:rPr>
                <w:sz w:val="20"/>
                <w:szCs w:val="20"/>
              </w:rPr>
              <w:t xml:space="preserve"> (see §5.4.3)</w:t>
            </w:r>
            <w:r w:rsidRPr="0069023F">
              <w:rPr>
                <w:sz w:val="20"/>
                <w:szCs w:val="20"/>
              </w:rPr>
              <w:t>.</w:t>
            </w:r>
          </w:p>
        </w:tc>
        <w:tc>
          <w:tcPr>
            <w:tcW w:w="1851" w:type="pct"/>
          </w:tcPr>
          <w:p w:rsidR="00D67CC7" w:rsidRPr="0069023F" w:rsidRDefault="00D67CC7" w:rsidP="00BE4367">
            <w:pPr>
              <w:ind w:left="458" w:hanging="458"/>
              <w:rPr>
                <w:sz w:val="20"/>
                <w:szCs w:val="20"/>
              </w:rPr>
            </w:pPr>
            <w:r w:rsidRPr="0069023F">
              <w:rPr>
                <w:sz w:val="20"/>
                <w:szCs w:val="20"/>
              </w:rPr>
              <w:t>R1</w:t>
            </w:r>
            <w:r w:rsidR="00BE4367">
              <w:rPr>
                <w:sz w:val="20"/>
                <w:szCs w:val="20"/>
              </w:rPr>
              <w:t>5</w:t>
            </w:r>
            <w:r w:rsidRPr="0069023F">
              <w:rPr>
                <w:sz w:val="20"/>
                <w:szCs w:val="20"/>
              </w:rPr>
              <w:t>:</w:t>
            </w:r>
            <w:r w:rsidRPr="0069023F">
              <w:rPr>
                <w:sz w:val="20"/>
                <w:szCs w:val="20"/>
              </w:rPr>
              <w:tab/>
              <w:t xml:space="preserve">ACDP should invest in full-time, dedicated M&amp;E resources to improve reporting and to facilitate learning, continuous improvement and </w:t>
            </w:r>
            <w:r>
              <w:rPr>
                <w:sz w:val="20"/>
                <w:szCs w:val="20"/>
              </w:rPr>
              <w:t xml:space="preserve">the </w:t>
            </w:r>
            <w:r w:rsidRPr="0069023F">
              <w:rPr>
                <w:sz w:val="20"/>
                <w:szCs w:val="20"/>
              </w:rPr>
              <w:t xml:space="preserve">strategic management of its portfolio. </w:t>
            </w:r>
          </w:p>
        </w:tc>
        <w:tc>
          <w:tcPr>
            <w:tcW w:w="400" w:type="pct"/>
            <w:shd w:val="clear" w:color="auto" w:fill="FF0000"/>
            <w:vAlign w:val="center"/>
          </w:tcPr>
          <w:p w:rsidR="00D67CC7" w:rsidRPr="0069023F" w:rsidRDefault="00D67CC7" w:rsidP="0077380B">
            <w:pPr>
              <w:jc w:val="center"/>
              <w:rPr>
                <w:sz w:val="20"/>
                <w:szCs w:val="20"/>
              </w:rPr>
            </w:pPr>
            <w:r w:rsidRPr="0069023F">
              <w:rPr>
                <w:sz w:val="20"/>
                <w:szCs w:val="20"/>
              </w:rPr>
              <w:t>***</w:t>
            </w:r>
          </w:p>
        </w:tc>
        <w:tc>
          <w:tcPr>
            <w:tcW w:w="660" w:type="pct"/>
            <w:vAlign w:val="center"/>
          </w:tcPr>
          <w:p w:rsidR="00D67CC7" w:rsidRPr="0069023F" w:rsidRDefault="00D67CC7" w:rsidP="0069023F">
            <w:pPr>
              <w:jc w:val="left"/>
              <w:rPr>
                <w:sz w:val="20"/>
                <w:szCs w:val="20"/>
              </w:rPr>
            </w:pPr>
            <w:r w:rsidRPr="0069023F">
              <w:rPr>
                <w:sz w:val="20"/>
                <w:szCs w:val="20"/>
              </w:rPr>
              <w:t xml:space="preserve">ACDP </w:t>
            </w:r>
            <w:r>
              <w:rPr>
                <w:sz w:val="20"/>
                <w:szCs w:val="20"/>
              </w:rPr>
              <w:t>with</w:t>
            </w:r>
            <w:r w:rsidRPr="0069023F">
              <w:rPr>
                <w:sz w:val="20"/>
                <w:szCs w:val="20"/>
              </w:rPr>
              <w:t xml:space="preserve"> ADB</w:t>
            </w:r>
          </w:p>
        </w:tc>
      </w:tr>
      <w:tr w:rsidR="00D67CC7" w:rsidRPr="0077380B" w:rsidTr="0069023F">
        <w:tblPrEx>
          <w:tblCellMar>
            <w:top w:w="0" w:type="dxa"/>
            <w:bottom w:w="0" w:type="dxa"/>
          </w:tblCellMar>
        </w:tblPrEx>
        <w:trPr>
          <w:trHeight w:val="839"/>
        </w:trPr>
        <w:tc>
          <w:tcPr>
            <w:tcW w:w="2089" w:type="pct"/>
          </w:tcPr>
          <w:p w:rsidR="00D67CC7" w:rsidRPr="0069023F" w:rsidRDefault="00D67CC7" w:rsidP="00EC4A53">
            <w:pPr>
              <w:rPr>
                <w:sz w:val="20"/>
                <w:szCs w:val="20"/>
              </w:rPr>
            </w:pPr>
            <w:r w:rsidRPr="0069023F">
              <w:rPr>
                <w:sz w:val="20"/>
                <w:szCs w:val="20"/>
              </w:rPr>
              <w:t>A range of (senior) GoI stakeholders have continued to express concerns about the delays associated with procurement and mobilisation</w:t>
            </w:r>
            <w:r>
              <w:rPr>
                <w:sz w:val="20"/>
                <w:szCs w:val="20"/>
              </w:rPr>
              <w:t xml:space="preserve"> (see §5.4.2)</w:t>
            </w:r>
            <w:r w:rsidRPr="00E44179">
              <w:rPr>
                <w:sz w:val="20"/>
                <w:szCs w:val="20"/>
              </w:rPr>
              <w:t>.</w:t>
            </w:r>
          </w:p>
        </w:tc>
        <w:tc>
          <w:tcPr>
            <w:tcW w:w="1851" w:type="pct"/>
          </w:tcPr>
          <w:p w:rsidR="00D67CC7" w:rsidRPr="0069023F" w:rsidRDefault="00D67CC7" w:rsidP="00BE4367">
            <w:pPr>
              <w:ind w:left="458" w:hanging="458"/>
              <w:rPr>
                <w:sz w:val="20"/>
                <w:szCs w:val="20"/>
              </w:rPr>
            </w:pPr>
            <w:r w:rsidRPr="0069023F">
              <w:rPr>
                <w:sz w:val="20"/>
                <w:szCs w:val="20"/>
              </w:rPr>
              <w:t>R</w:t>
            </w:r>
            <w:r w:rsidR="003E2F36">
              <w:rPr>
                <w:sz w:val="20"/>
                <w:szCs w:val="20"/>
              </w:rPr>
              <w:t>1</w:t>
            </w:r>
            <w:r w:rsidR="00BE4367">
              <w:rPr>
                <w:sz w:val="20"/>
                <w:szCs w:val="20"/>
              </w:rPr>
              <w:t>6</w:t>
            </w:r>
            <w:r>
              <w:rPr>
                <w:sz w:val="20"/>
                <w:szCs w:val="20"/>
              </w:rPr>
              <w:t xml:space="preserve">: </w:t>
            </w:r>
            <w:r>
              <w:rPr>
                <w:sz w:val="20"/>
                <w:szCs w:val="20"/>
              </w:rPr>
              <w:tab/>
              <w:t>ADB’</w:t>
            </w:r>
            <w:r w:rsidRPr="0069023F">
              <w:rPr>
                <w:sz w:val="20"/>
                <w:szCs w:val="20"/>
              </w:rPr>
              <w:t>s procurement processes should be reviewed and subsequently revised to ensure that they facilitate the timely deliver</w:t>
            </w:r>
            <w:r>
              <w:rPr>
                <w:sz w:val="20"/>
                <w:szCs w:val="20"/>
              </w:rPr>
              <w:t>y of required services so</w:t>
            </w:r>
            <w:r w:rsidRPr="0069023F">
              <w:rPr>
                <w:sz w:val="20"/>
                <w:szCs w:val="20"/>
              </w:rPr>
              <w:t xml:space="preserve"> that the Secretariat can meet GoI’s</w:t>
            </w:r>
            <w:r>
              <w:rPr>
                <w:sz w:val="20"/>
                <w:szCs w:val="20"/>
              </w:rPr>
              <w:t xml:space="preserve"> expectations.</w:t>
            </w:r>
          </w:p>
        </w:tc>
        <w:tc>
          <w:tcPr>
            <w:tcW w:w="400" w:type="pct"/>
            <w:shd w:val="clear" w:color="auto" w:fill="FF0000"/>
            <w:vAlign w:val="center"/>
          </w:tcPr>
          <w:p w:rsidR="00D67CC7" w:rsidRPr="0069023F" w:rsidRDefault="00D67CC7" w:rsidP="0077380B">
            <w:pPr>
              <w:jc w:val="center"/>
              <w:rPr>
                <w:sz w:val="20"/>
                <w:szCs w:val="20"/>
              </w:rPr>
            </w:pPr>
            <w:r w:rsidRPr="0069023F">
              <w:rPr>
                <w:sz w:val="20"/>
                <w:szCs w:val="20"/>
              </w:rPr>
              <w:t>***</w:t>
            </w:r>
          </w:p>
        </w:tc>
        <w:tc>
          <w:tcPr>
            <w:tcW w:w="660" w:type="pct"/>
            <w:vAlign w:val="center"/>
          </w:tcPr>
          <w:p w:rsidR="00D67CC7" w:rsidRPr="0069023F" w:rsidRDefault="00D67CC7" w:rsidP="00AD3A37">
            <w:pPr>
              <w:jc w:val="left"/>
              <w:rPr>
                <w:sz w:val="20"/>
                <w:szCs w:val="20"/>
              </w:rPr>
            </w:pPr>
            <w:r w:rsidRPr="0069023F">
              <w:rPr>
                <w:sz w:val="20"/>
                <w:szCs w:val="20"/>
              </w:rPr>
              <w:t xml:space="preserve"> </w:t>
            </w:r>
            <w:r>
              <w:rPr>
                <w:sz w:val="20"/>
                <w:szCs w:val="20"/>
              </w:rPr>
              <w:t>ADB</w:t>
            </w:r>
            <w:r w:rsidR="00AD3A37">
              <w:rPr>
                <w:sz w:val="20"/>
                <w:szCs w:val="20"/>
              </w:rPr>
              <w:t xml:space="preserve"> with ACDP </w:t>
            </w:r>
          </w:p>
        </w:tc>
      </w:tr>
      <w:tr w:rsidR="00D67CC7" w:rsidRPr="0077380B" w:rsidTr="0069023F">
        <w:tblPrEx>
          <w:tblCellMar>
            <w:top w:w="0" w:type="dxa"/>
            <w:bottom w:w="0" w:type="dxa"/>
          </w:tblCellMar>
        </w:tblPrEx>
        <w:trPr>
          <w:trHeight w:val="839"/>
        </w:trPr>
        <w:tc>
          <w:tcPr>
            <w:tcW w:w="2089" w:type="pct"/>
          </w:tcPr>
          <w:p w:rsidR="00D67CC7" w:rsidRPr="0069023F" w:rsidRDefault="00D67CC7" w:rsidP="00EC4A53">
            <w:pPr>
              <w:rPr>
                <w:sz w:val="20"/>
                <w:szCs w:val="20"/>
              </w:rPr>
            </w:pPr>
            <w:r w:rsidRPr="0069023F">
              <w:rPr>
                <w:sz w:val="20"/>
                <w:szCs w:val="20"/>
              </w:rPr>
              <w:t>Prospects for institutional sustainability remain unclear in 2015. There continues to be limited attention being directed to the definition and pursuit of any institutional legacy</w:t>
            </w:r>
            <w:r>
              <w:rPr>
                <w:sz w:val="20"/>
                <w:szCs w:val="20"/>
              </w:rPr>
              <w:t xml:space="preserve"> (see §5.4.5)</w:t>
            </w:r>
            <w:r w:rsidRPr="0069023F">
              <w:rPr>
                <w:sz w:val="20"/>
                <w:szCs w:val="20"/>
              </w:rPr>
              <w:t>.</w:t>
            </w:r>
          </w:p>
        </w:tc>
        <w:tc>
          <w:tcPr>
            <w:tcW w:w="1851" w:type="pct"/>
          </w:tcPr>
          <w:p w:rsidR="00D67CC7" w:rsidRPr="0069023F" w:rsidRDefault="00D67CC7" w:rsidP="00BE4367">
            <w:pPr>
              <w:ind w:left="458" w:hanging="458"/>
              <w:rPr>
                <w:sz w:val="20"/>
                <w:szCs w:val="20"/>
              </w:rPr>
            </w:pPr>
            <w:r w:rsidRPr="0069023F">
              <w:rPr>
                <w:sz w:val="20"/>
                <w:szCs w:val="20"/>
              </w:rPr>
              <w:t>R</w:t>
            </w:r>
            <w:r w:rsidR="003E2F36">
              <w:rPr>
                <w:sz w:val="20"/>
                <w:szCs w:val="20"/>
              </w:rPr>
              <w:t>1</w:t>
            </w:r>
            <w:r w:rsidR="00BE4367">
              <w:rPr>
                <w:sz w:val="20"/>
                <w:szCs w:val="20"/>
              </w:rPr>
              <w:t>7</w:t>
            </w:r>
            <w:r w:rsidRPr="0069023F">
              <w:rPr>
                <w:sz w:val="20"/>
                <w:szCs w:val="20"/>
              </w:rPr>
              <w:t xml:space="preserve">: </w:t>
            </w:r>
            <w:r w:rsidRPr="0069023F">
              <w:rPr>
                <w:sz w:val="20"/>
                <w:szCs w:val="20"/>
              </w:rPr>
              <w:tab/>
              <w:t>The draft Sustainability Strategy prepared in the first half of 2015 should be reviewed, finalised, and then implemented.</w:t>
            </w:r>
          </w:p>
        </w:tc>
        <w:tc>
          <w:tcPr>
            <w:tcW w:w="400" w:type="pct"/>
            <w:shd w:val="clear" w:color="auto" w:fill="FF0000"/>
            <w:vAlign w:val="center"/>
          </w:tcPr>
          <w:p w:rsidR="00D67CC7" w:rsidRPr="0069023F" w:rsidRDefault="00D67CC7" w:rsidP="0077380B">
            <w:pPr>
              <w:jc w:val="center"/>
              <w:rPr>
                <w:sz w:val="20"/>
                <w:szCs w:val="20"/>
              </w:rPr>
            </w:pPr>
            <w:r w:rsidRPr="0069023F">
              <w:rPr>
                <w:sz w:val="20"/>
                <w:szCs w:val="20"/>
              </w:rPr>
              <w:t>***</w:t>
            </w:r>
          </w:p>
        </w:tc>
        <w:tc>
          <w:tcPr>
            <w:tcW w:w="660" w:type="pct"/>
            <w:vAlign w:val="center"/>
          </w:tcPr>
          <w:p w:rsidR="00D67CC7" w:rsidRPr="0069023F" w:rsidRDefault="00D67CC7" w:rsidP="0069023F">
            <w:pPr>
              <w:jc w:val="left"/>
              <w:rPr>
                <w:sz w:val="20"/>
                <w:szCs w:val="20"/>
              </w:rPr>
            </w:pPr>
            <w:r>
              <w:rPr>
                <w:sz w:val="20"/>
                <w:szCs w:val="20"/>
              </w:rPr>
              <w:t>ACDP</w:t>
            </w:r>
            <w:r w:rsidR="002010DB">
              <w:rPr>
                <w:sz w:val="20"/>
                <w:szCs w:val="20"/>
              </w:rPr>
              <w:t xml:space="preserve"> </w:t>
            </w:r>
          </w:p>
        </w:tc>
      </w:tr>
      <w:tr w:rsidR="00D67CC7" w:rsidRPr="0077380B" w:rsidTr="0069023F">
        <w:tblPrEx>
          <w:tblCellMar>
            <w:top w:w="0" w:type="dxa"/>
            <w:bottom w:w="0" w:type="dxa"/>
          </w:tblCellMar>
        </w:tblPrEx>
        <w:trPr>
          <w:trHeight w:val="839"/>
        </w:trPr>
        <w:tc>
          <w:tcPr>
            <w:tcW w:w="2089" w:type="pct"/>
          </w:tcPr>
          <w:p w:rsidR="00D67CC7" w:rsidRPr="0069023F" w:rsidRDefault="00D67CC7" w:rsidP="004C2D6D">
            <w:pPr>
              <w:rPr>
                <w:sz w:val="20"/>
                <w:szCs w:val="20"/>
              </w:rPr>
            </w:pPr>
            <w:r w:rsidRPr="0069023F">
              <w:rPr>
                <w:sz w:val="20"/>
                <w:szCs w:val="20"/>
              </w:rPr>
              <w:t>The impact of ACDP research upon policy and practice has been strongest when K2P activities have been an adequately resourced component of the design</w:t>
            </w:r>
            <w:r>
              <w:rPr>
                <w:sz w:val="20"/>
                <w:szCs w:val="20"/>
              </w:rPr>
              <w:t xml:space="preserve"> (see §5.4.3)</w:t>
            </w:r>
            <w:r w:rsidRPr="0069023F">
              <w:rPr>
                <w:sz w:val="20"/>
                <w:szCs w:val="20"/>
              </w:rPr>
              <w:t>.</w:t>
            </w:r>
          </w:p>
        </w:tc>
        <w:tc>
          <w:tcPr>
            <w:tcW w:w="1851" w:type="pct"/>
          </w:tcPr>
          <w:p w:rsidR="00D67CC7" w:rsidRPr="0069023F" w:rsidRDefault="00D67CC7" w:rsidP="00BE4367">
            <w:pPr>
              <w:ind w:left="458" w:hanging="458"/>
              <w:rPr>
                <w:sz w:val="20"/>
                <w:szCs w:val="20"/>
              </w:rPr>
            </w:pPr>
            <w:r w:rsidRPr="0069023F">
              <w:rPr>
                <w:sz w:val="20"/>
                <w:szCs w:val="20"/>
              </w:rPr>
              <w:t>R</w:t>
            </w:r>
            <w:r>
              <w:rPr>
                <w:sz w:val="20"/>
                <w:szCs w:val="20"/>
              </w:rPr>
              <w:t>1</w:t>
            </w:r>
            <w:r w:rsidR="00BE4367">
              <w:rPr>
                <w:sz w:val="20"/>
                <w:szCs w:val="20"/>
              </w:rPr>
              <w:t>8</w:t>
            </w:r>
            <w:r w:rsidRPr="0069023F">
              <w:rPr>
                <w:sz w:val="20"/>
                <w:szCs w:val="20"/>
              </w:rPr>
              <w:t>:</w:t>
            </w:r>
            <w:r w:rsidRPr="0069023F">
              <w:rPr>
                <w:sz w:val="20"/>
                <w:szCs w:val="20"/>
              </w:rPr>
              <w:tab/>
              <w:t xml:space="preserve">The ACDP should facilitate evidence utilisation and incorporation by ensuring that the K2P component of activities is sufficiently resourced and implemented. </w:t>
            </w:r>
          </w:p>
        </w:tc>
        <w:tc>
          <w:tcPr>
            <w:tcW w:w="400" w:type="pct"/>
            <w:shd w:val="clear" w:color="auto" w:fill="FFC000"/>
            <w:vAlign w:val="center"/>
          </w:tcPr>
          <w:p w:rsidR="00D67CC7" w:rsidRPr="0069023F" w:rsidRDefault="00D67CC7" w:rsidP="00EC4A53">
            <w:pPr>
              <w:jc w:val="center"/>
              <w:rPr>
                <w:sz w:val="20"/>
                <w:szCs w:val="20"/>
              </w:rPr>
            </w:pPr>
            <w:r w:rsidRPr="0069023F">
              <w:rPr>
                <w:sz w:val="20"/>
                <w:szCs w:val="20"/>
              </w:rPr>
              <w:t>**</w:t>
            </w:r>
          </w:p>
        </w:tc>
        <w:tc>
          <w:tcPr>
            <w:tcW w:w="660" w:type="pct"/>
            <w:vAlign w:val="center"/>
          </w:tcPr>
          <w:p w:rsidR="00D67CC7" w:rsidRPr="0069023F" w:rsidRDefault="00D67CC7" w:rsidP="0069023F">
            <w:pPr>
              <w:jc w:val="left"/>
              <w:rPr>
                <w:sz w:val="20"/>
                <w:szCs w:val="20"/>
              </w:rPr>
            </w:pPr>
            <w:r>
              <w:rPr>
                <w:sz w:val="20"/>
                <w:szCs w:val="20"/>
              </w:rPr>
              <w:t>ACDP</w:t>
            </w:r>
          </w:p>
        </w:tc>
      </w:tr>
    </w:tbl>
    <w:p w:rsidR="00123F1E" w:rsidRPr="00123F1E" w:rsidRDefault="00D20962" w:rsidP="00775568">
      <w:r w:rsidRPr="00D20962">
        <w:t>B: Red (***) - high urgency; orange (**) - medium urgency; green (*) - low urgency</w:t>
      </w:r>
    </w:p>
    <w:p w:rsidR="00123F1E" w:rsidRPr="00123F1E" w:rsidRDefault="00123F1E" w:rsidP="00775568"/>
    <w:p w:rsidR="00B7224C" w:rsidRPr="00851EC7" w:rsidRDefault="00B7224C" w:rsidP="00775568">
      <w:pPr>
        <w:sectPr w:rsidR="00B7224C" w:rsidRPr="00851EC7" w:rsidSect="00245A84">
          <w:headerReference w:type="default" r:id="rId40"/>
          <w:pgSz w:w="16834" w:h="11909" w:orient="landscape" w:code="9"/>
          <w:pgMar w:top="1440" w:right="1440" w:bottom="1440" w:left="1440" w:header="432" w:footer="720" w:gutter="0"/>
          <w:cols w:space="720"/>
          <w:noEndnote/>
          <w:docGrid w:linePitch="360"/>
        </w:sectPr>
      </w:pPr>
    </w:p>
    <w:p w:rsidR="00245A84" w:rsidRPr="00851EC7" w:rsidRDefault="00B7224C" w:rsidP="00AD74D4">
      <w:pPr>
        <w:pStyle w:val="DividerStyle"/>
      </w:pPr>
      <w:r w:rsidRPr="00851EC7">
        <w:rPr>
          <w:noProof/>
          <w:lang w:eastAsia="en-AU"/>
        </w:rPr>
        <w:lastRenderedPageBreak/>
        <w:drawing>
          <wp:anchor distT="0" distB="0" distL="114300" distR="114300" simplePos="0" relativeHeight="251689984" behindDoc="1" locked="0" layoutInCell="1" allowOverlap="1" wp14:anchorId="15B02178" wp14:editId="2100C34D">
            <wp:simplePos x="0" y="0"/>
            <wp:positionH relativeFrom="page">
              <wp:posOffset>-7620</wp:posOffset>
            </wp:positionH>
            <wp:positionV relativeFrom="page">
              <wp:posOffset>2540</wp:posOffset>
            </wp:positionV>
            <wp:extent cx="7580630" cy="10709275"/>
            <wp:effectExtent l="0" t="0" r="1270" b="0"/>
            <wp:wrapNone/>
            <wp:docPr id="33" name="Picture 33" descr="D:\WORK\EPOS AusAid\130212 FINAL\Templates 2\Reports\130228 Report Contents-Chapte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EPOS AusAid\130212 FINAL\Templates 2\Reports\130228 Report Contents-Chapter-Divid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80630" cy="1070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A84" w:rsidRPr="00851EC7">
        <w:rPr>
          <w:noProof/>
          <w:lang w:eastAsia="en-AU"/>
        </w:rPr>
        <w:drawing>
          <wp:anchor distT="0" distB="0" distL="114300" distR="114300" simplePos="0" relativeHeight="251679744" behindDoc="1" locked="0" layoutInCell="1" allowOverlap="1" wp14:anchorId="3551181F" wp14:editId="03172B1E">
            <wp:simplePos x="0" y="0"/>
            <wp:positionH relativeFrom="page">
              <wp:posOffset>-7620</wp:posOffset>
            </wp:positionH>
            <wp:positionV relativeFrom="page">
              <wp:posOffset>2540</wp:posOffset>
            </wp:positionV>
            <wp:extent cx="7580630" cy="10709275"/>
            <wp:effectExtent l="0" t="0" r="1270" b="0"/>
            <wp:wrapNone/>
            <wp:docPr id="15" name="Picture 15" descr="D:\WORK\EPOS AusAid\130212 FINAL\Templates 2\Reports\130228 Report Contents-Chapte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EPOS AusAid\130212 FINAL\Templates 2\Reports\130228 Report Contents-Chapter-Divid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80630" cy="1070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5A84" w:rsidRPr="00851EC7" w:rsidRDefault="00245A84" w:rsidP="00AD74D4">
      <w:pPr>
        <w:pStyle w:val="DividerStyle"/>
      </w:pPr>
    </w:p>
    <w:p w:rsidR="00245A84" w:rsidRPr="00851EC7" w:rsidRDefault="00245A84" w:rsidP="00AD74D4">
      <w:pPr>
        <w:pStyle w:val="DividerStyle"/>
      </w:pPr>
    </w:p>
    <w:p w:rsidR="00245A84" w:rsidRPr="00851EC7" w:rsidRDefault="00245A84" w:rsidP="00AD74D4">
      <w:pPr>
        <w:pStyle w:val="DividerStyle"/>
      </w:pPr>
    </w:p>
    <w:p w:rsidR="00245A84" w:rsidRDefault="00245A84" w:rsidP="00AD74D4">
      <w:pPr>
        <w:pStyle w:val="DividerStyle"/>
      </w:pPr>
    </w:p>
    <w:p w:rsidR="00AD74D4" w:rsidRPr="00851EC7" w:rsidRDefault="00AD74D4" w:rsidP="00AD74D4">
      <w:pPr>
        <w:pStyle w:val="DividerStyle"/>
      </w:pPr>
    </w:p>
    <w:p w:rsidR="00245A84" w:rsidRPr="00851EC7" w:rsidRDefault="00245A84" w:rsidP="00AD74D4">
      <w:pPr>
        <w:pStyle w:val="DividerStyle"/>
      </w:pPr>
    </w:p>
    <w:p w:rsidR="00245A84" w:rsidRPr="00851EC7" w:rsidRDefault="00245A84" w:rsidP="00AD74D4">
      <w:pPr>
        <w:pStyle w:val="DividerStyle"/>
      </w:pPr>
    </w:p>
    <w:p w:rsidR="00245A84" w:rsidRPr="00851EC7" w:rsidRDefault="00245A84" w:rsidP="00AD74D4">
      <w:pPr>
        <w:pStyle w:val="DividerStyle"/>
      </w:pPr>
    </w:p>
    <w:p w:rsidR="00245A84" w:rsidRPr="00AD74D4" w:rsidRDefault="002D621D" w:rsidP="00AD74D4">
      <w:pPr>
        <w:pStyle w:val="DividerStyle"/>
      </w:pPr>
      <w:r w:rsidRPr="00AD74D4">
        <w:t xml:space="preserve">Part B: </w:t>
      </w:r>
    </w:p>
    <w:p w:rsidR="00245A84" w:rsidRPr="00AD74D4" w:rsidRDefault="00537938" w:rsidP="00AD74D4">
      <w:pPr>
        <w:pStyle w:val="DividerStyle"/>
      </w:pPr>
      <w:r w:rsidRPr="00AD74D4">
        <w:t>Program Oversight</w:t>
      </w:r>
    </w:p>
    <w:p w:rsidR="00245A84" w:rsidRPr="00851EC7" w:rsidRDefault="00245A84" w:rsidP="00775568">
      <w:pPr>
        <w:sectPr w:rsidR="00245A84" w:rsidRPr="00851EC7" w:rsidSect="00693E96">
          <w:headerReference w:type="default" r:id="rId41"/>
          <w:type w:val="oddPage"/>
          <w:pgSz w:w="11909" w:h="16834" w:code="9"/>
          <w:pgMar w:top="1440" w:right="1440" w:bottom="1440" w:left="1440" w:header="431" w:footer="720" w:gutter="0"/>
          <w:cols w:space="720"/>
          <w:noEndnote/>
          <w:docGrid w:linePitch="360"/>
        </w:sectPr>
      </w:pPr>
    </w:p>
    <w:p w:rsidR="00E46DFA" w:rsidRPr="00D20962" w:rsidRDefault="00E46DFA" w:rsidP="00E46DFA">
      <w:pPr>
        <w:pStyle w:val="Heading1"/>
      </w:pPr>
      <w:bookmarkStart w:id="104" w:name="_Ref405977359"/>
      <w:bookmarkStart w:id="105" w:name="_Toc448156329"/>
      <w:bookmarkStart w:id="106" w:name="_Toc375124631"/>
      <w:r w:rsidRPr="00D20962">
        <w:lastRenderedPageBreak/>
        <w:t>Program Oversight</w:t>
      </w:r>
      <w:bookmarkEnd w:id="104"/>
      <w:bookmarkEnd w:id="105"/>
    </w:p>
    <w:bookmarkEnd w:id="106"/>
    <w:p w:rsidR="00E46DFA" w:rsidRDefault="00E46DFA" w:rsidP="00E46DFA">
      <w:pPr>
        <w:pStyle w:val="Heading2"/>
      </w:pPr>
      <w:r w:rsidRPr="00D20962">
        <w:t xml:space="preserve">An </w:t>
      </w:r>
      <w:r w:rsidRPr="00E46DFA">
        <w:t>introduction</w:t>
      </w:r>
    </w:p>
    <w:p w:rsidR="00E46DFA" w:rsidRPr="00626ACF" w:rsidRDefault="00E46DFA" w:rsidP="00E46DFA">
      <w:pPr>
        <w:rPr>
          <w:bCs/>
        </w:rPr>
      </w:pPr>
      <w:r w:rsidRPr="00626ACF">
        <w:rPr>
          <w:bCs/>
        </w:rPr>
        <w:t>Having presented and discussed Component performance in 2015, focus</w:t>
      </w:r>
      <w:r>
        <w:rPr>
          <w:bCs/>
        </w:rPr>
        <w:t xml:space="preserve"> now</w:t>
      </w:r>
      <w:r w:rsidRPr="00626ACF">
        <w:rPr>
          <w:bCs/>
        </w:rPr>
        <w:t xml:space="preserve"> turns to program oversight, and specifically the management and governance of the EP investment. The discussion that follows largely focuses on DFAT because it is </w:t>
      </w:r>
      <w:r w:rsidRPr="0036741E">
        <w:rPr>
          <w:bCs/>
        </w:rPr>
        <w:t>the</w:t>
      </w:r>
      <w:r w:rsidRPr="00626ACF">
        <w:rPr>
          <w:bCs/>
        </w:rPr>
        <w:t xml:space="preserve"> </w:t>
      </w:r>
      <w:r w:rsidRPr="00626ACF">
        <w:rPr>
          <w:bCs/>
          <w:i/>
        </w:rPr>
        <w:t>de facto</w:t>
      </w:r>
      <w:r w:rsidRPr="00626ACF">
        <w:rPr>
          <w:bCs/>
        </w:rPr>
        <w:t xml:space="preserve"> manager of Australia’s aid investment. Stepping back, the analysis has broader relevance because the recent history of the EP represents a microcosm of the effects of changes in Australian aid policy </w:t>
      </w:r>
      <w:r w:rsidR="00D2526D">
        <w:rPr>
          <w:bCs/>
        </w:rPr>
        <w:t>on</w:t>
      </w:r>
      <w:r w:rsidR="00D2526D" w:rsidRPr="00626ACF">
        <w:rPr>
          <w:bCs/>
        </w:rPr>
        <w:t xml:space="preserve"> </w:t>
      </w:r>
      <w:r>
        <w:rPr>
          <w:bCs/>
        </w:rPr>
        <w:t>the implementation and oversight of DFAT’s investments</w:t>
      </w:r>
      <w:r w:rsidRPr="00626ACF">
        <w:rPr>
          <w:bCs/>
        </w:rPr>
        <w:t xml:space="preserve">. </w:t>
      </w:r>
    </w:p>
    <w:p w:rsidR="00E46DFA" w:rsidRPr="006A04D0" w:rsidRDefault="00E46DFA" w:rsidP="00E46DFA">
      <w:r w:rsidRPr="00626ACF">
        <w:rPr>
          <w:bCs/>
        </w:rPr>
        <w:t xml:space="preserve">The discussion that follows seeks, first, to describe how management and governance structures of the EP sought to respond to the changing context </w:t>
      </w:r>
      <w:r>
        <w:rPr>
          <w:bCs/>
        </w:rPr>
        <w:t>concerning both Government partners</w:t>
      </w:r>
      <w:r w:rsidRPr="00626ACF">
        <w:rPr>
          <w:bCs/>
        </w:rPr>
        <w:t xml:space="preserve">. It then describes how those related decisions have </w:t>
      </w:r>
      <w:r w:rsidR="00D2526D">
        <w:rPr>
          <w:bCs/>
        </w:rPr>
        <w:t>affected</w:t>
      </w:r>
      <w:r w:rsidR="00D2526D" w:rsidRPr="00626ACF">
        <w:rPr>
          <w:bCs/>
        </w:rPr>
        <w:t xml:space="preserve"> </w:t>
      </w:r>
      <w:r w:rsidRPr="00626ACF">
        <w:rPr>
          <w:bCs/>
        </w:rPr>
        <w:t>the performance of the EP, specifically in relation to the DAC criteria of relevance, efficiency, effectiveness, impact and sustainability.</w:t>
      </w:r>
      <w:r w:rsidR="002010DB">
        <w:rPr>
          <w:bCs/>
        </w:rPr>
        <w:t xml:space="preserve"> </w:t>
      </w:r>
      <w:r w:rsidRPr="00626ACF">
        <w:rPr>
          <w:bCs/>
        </w:rPr>
        <w:t>It concludes with a brief commentary about matters arising for the management of DFAT’s Forward Program.</w:t>
      </w:r>
      <w:r w:rsidRPr="006A04D0">
        <w:t xml:space="preserve"> </w:t>
      </w:r>
    </w:p>
    <w:p w:rsidR="00E46DFA" w:rsidRPr="008415FB" w:rsidRDefault="00E46DFA" w:rsidP="00E46DFA">
      <w:pPr>
        <w:pStyle w:val="Heading2"/>
      </w:pPr>
      <w:r w:rsidRPr="008415FB">
        <w:t xml:space="preserve">Delivery and oversight </w:t>
      </w:r>
      <w:r w:rsidRPr="00E46DFA">
        <w:t>arrangements</w:t>
      </w:r>
      <w:r w:rsidRPr="008415FB">
        <w:t xml:space="preserve"> </w:t>
      </w:r>
    </w:p>
    <w:p w:rsidR="00E46DFA" w:rsidRPr="00D20962" w:rsidRDefault="00E46DFA" w:rsidP="00E46DFA">
      <w:pPr>
        <w:rPr>
          <w:bCs/>
        </w:rPr>
      </w:pPr>
      <w:r w:rsidRPr="00D20962">
        <w:rPr>
          <w:bCs/>
        </w:rPr>
        <w:t xml:space="preserve">The EP is delivered through a blend of aid modalities, including earmarked budget support (C1, C2), project support (C3), and a financial </w:t>
      </w:r>
      <w:r w:rsidRPr="00D20962">
        <w:t>contribution</w:t>
      </w:r>
      <w:r w:rsidRPr="00D20962">
        <w:rPr>
          <w:bCs/>
        </w:rPr>
        <w:t xml:space="preserve"> as part of multi-donor support (C4). At a day-to-day level, the EP is managed by the </w:t>
      </w:r>
      <w:r w:rsidR="00B631D5">
        <w:rPr>
          <w:bCs/>
        </w:rPr>
        <w:t>Australian Embassy in Jakarta</w:t>
      </w:r>
      <w:r w:rsidRPr="00D20962">
        <w:rPr>
          <w:bCs/>
        </w:rPr>
        <w:t>.</w:t>
      </w:r>
    </w:p>
    <w:p w:rsidR="00E46DFA" w:rsidRPr="00D20962" w:rsidRDefault="00E46DFA" w:rsidP="00E46DFA">
      <w:pPr>
        <w:rPr>
          <w:bCs/>
        </w:rPr>
      </w:pPr>
      <w:r w:rsidRPr="00D20962">
        <w:rPr>
          <w:bCs/>
        </w:rPr>
        <w:t>An EP Governance Oversight Group (GOG) is mandated to meet at least once every six months. It is responsible for aligning the program with emerging sectoral priorities; monitoring performance against the targets set in the ESSP Joint Results Framework (JRF)</w:t>
      </w:r>
      <w:r w:rsidR="00A56343">
        <w:rPr>
          <w:rStyle w:val="FootnoteReference"/>
          <w:bCs/>
        </w:rPr>
        <w:footnoteReference w:id="122"/>
      </w:r>
      <w:r w:rsidRPr="00D20962">
        <w:rPr>
          <w:bCs/>
        </w:rPr>
        <w:t>; facilitating GoI, DFAT and EU involvement and support for ESSP monitoring and evaluation processes; and, providing high level strategic responses to monitoring reports so as to guide program direction.</w:t>
      </w:r>
      <w:r w:rsidRPr="00D20962" w:rsidDel="009D6EEC">
        <w:rPr>
          <w:bCs/>
        </w:rPr>
        <w:t xml:space="preserve"> </w:t>
      </w:r>
    </w:p>
    <w:p w:rsidR="00E46DFA" w:rsidRPr="00D20962" w:rsidRDefault="00E46DFA" w:rsidP="00E46DFA">
      <w:pPr>
        <w:rPr>
          <w:bCs/>
        </w:rPr>
      </w:pPr>
      <w:r w:rsidRPr="00D20962">
        <w:rPr>
          <w:bCs/>
        </w:rPr>
        <w:t>In addition to the GOG, four Technical Oversight Groups</w:t>
      </w:r>
      <w:r w:rsidRPr="00D20962">
        <w:rPr>
          <w:rFonts w:ascii="Times New Roman" w:hAnsi="Times New Roman"/>
          <w:bCs/>
          <w:vertAlign w:val="superscript"/>
        </w:rPr>
        <w:footnoteReference w:id="123"/>
      </w:r>
      <w:r w:rsidRPr="00D20962">
        <w:rPr>
          <w:bCs/>
        </w:rPr>
        <w:t xml:space="preserve"> (TOGs) have been established, one under each of the four EP components. They are responsible for approving workplans and procurement plans; the coordination and approval of major technical reports; and, ongoing management, monitoring and oversight of the delivery of the EP. The TOGs are scheduled to meet every three months.</w:t>
      </w:r>
    </w:p>
    <w:p w:rsidR="00E46DFA" w:rsidRPr="00D20962" w:rsidRDefault="00E46DFA" w:rsidP="00E46DFA">
      <w:pPr>
        <w:pStyle w:val="Heading2"/>
      </w:pPr>
      <w:bookmarkStart w:id="107" w:name="_Ref447916857"/>
      <w:r w:rsidRPr="00D20962">
        <w:t>Context</w:t>
      </w:r>
      <w:bookmarkEnd w:id="107"/>
    </w:p>
    <w:p w:rsidR="00E46DFA" w:rsidRDefault="00E46DFA" w:rsidP="00E46DFA">
      <w:r>
        <w:rPr>
          <w:bCs/>
        </w:rPr>
        <w:t xml:space="preserve">2015 </w:t>
      </w:r>
      <w:r w:rsidRPr="000118A7">
        <w:rPr>
          <w:bCs/>
        </w:rPr>
        <w:t>was a year of some flux and uncertainty for both governments and, by extension, the Implementing Partners.</w:t>
      </w:r>
      <w:r>
        <w:rPr>
          <w:bCs/>
        </w:rPr>
        <w:t xml:space="preserve"> </w:t>
      </w:r>
      <w:r w:rsidRPr="000118A7">
        <w:t xml:space="preserve">While there </w:t>
      </w:r>
      <w:r>
        <w:t xml:space="preserve">were fewer </w:t>
      </w:r>
      <w:r w:rsidRPr="000118A7">
        <w:t xml:space="preserve">major changes to GoI’s sectoral, policy and political </w:t>
      </w:r>
      <w:r>
        <w:rPr>
          <w:bCs/>
        </w:rPr>
        <w:t>environments</w:t>
      </w:r>
      <w:r w:rsidRPr="0031386F">
        <w:rPr>
          <w:bCs/>
        </w:rPr>
        <w:t xml:space="preserve"> in 2015 than in 2014, the nature of change since 2014 has created (and continues to </w:t>
      </w:r>
      <w:r w:rsidRPr="0031386F">
        <w:rPr>
          <w:bCs/>
        </w:rPr>
        <w:lastRenderedPageBreak/>
        <w:t>create) a range of challenge</w:t>
      </w:r>
      <w:r>
        <w:rPr>
          <w:bCs/>
        </w:rPr>
        <w:t>s to the governance, management and</w:t>
      </w:r>
      <w:r w:rsidRPr="0031386F">
        <w:rPr>
          <w:bCs/>
        </w:rPr>
        <w:t xml:space="preserve"> delivery of the EP. To a large extent, 2015 was a year of interpretation</w:t>
      </w:r>
      <w:r w:rsidR="00D2526D">
        <w:rPr>
          <w:bCs/>
        </w:rPr>
        <w:t>,</w:t>
      </w:r>
      <w:r w:rsidRPr="0031386F">
        <w:rPr>
          <w:bCs/>
        </w:rPr>
        <w:t xml:space="preserve"> a period in which staff sought to interpret </w:t>
      </w:r>
      <w:r>
        <w:rPr>
          <w:bCs/>
        </w:rPr>
        <w:t>new policy and political statements</w:t>
      </w:r>
      <w:r w:rsidRPr="0031386F">
        <w:rPr>
          <w:bCs/>
        </w:rPr>
        <w:t xml:space="preserve"> </w:t>
      </w:r>
      <w:r w:rsidRPr="007A0FFF">
        <w:rPr>
          <w:bCs/>
          <w:i/>
        </w:rPr>
        <w:t>and</w:t>
      </w:r>
      <w:r w:rsidRPr="0031386F">
        <w:rPr>
          <w:bCs/>
        </w:rPr>
        <w:t xml:space="preserve"> the </w:t>
      </w:r>
      <w:r>
        <w:rPr>
          <w:bCs/>
        </w:rPr>
        <w:t xml:space="preserve">related </w:t>
      </w:r>
      <w:r w:rsidRPr="0031386F">
        <w:rPr>
          <w:bCs/>
        </w:rPr>
        <w:t xml:space="preserve">needs and expectations of </w:t>
      </w:r>
      <w:r>
        <w:rPr>
          <w:bCs/>
        </w:rPr>
        <w:t>their line managers</w:t>
      </w:r>
      <w:r w:rsidRPr="0031386F">
        <w:rPr>
          <w:bCs/>
        </w:rPr>
        <w:t xml:space="preserve">. For DFAT, attention focused on the interpretation of Australia’s new aid paradigm </w:t>
      </w:r>
      <w:r>
        <w:rPr>
          <w:bCs/>
        </w:rPr>
        <w:t>and the associated budget cuts</w:t>
      </w:r>
      <w:r w:rsidRPr="0031386F">
        <w:rPr>
          <w:bCs/>
        </w:rPr>
        <w:t>, both globally</w:t>
      </w:r>
      <w:r>
        <w:t xml:space="preserve"> and in Indonesia. For Indonesia, the aid budget announcements of May 2015 saw a 40% reduction to the financial value of Indonesia’s country program. Inevitably</w:t>
      </w:r>
      <w:r w:rsidR="00D2526D">
        <w:t>,</w:t>
      </w:r>
      <w:r>
        <w:t xml:space="preserve"> the Education Partnership was affected (see </w:t>
      </w:r>
      <w:r>
        <w:fldChar w:fldCharType="begin"/>
      </w:r>
      <w:r>
        <w:instrText xml:space="preserve"> REF _Ref447897499 \h </w:instrText>
      </w:r>
      <w:r>
        <w:fldChar w:fldCharType="separate"/>
      </w:r>
      <w:r w:rsidR="00EC36D2" w:rsidRPr="00D20962">
        <w:t xml:space="preserve">Table </w:t>
      </w:r>
      <w:r w:rsidR="00EC36D2">
        <w:rPr>
          <w:noProof/>
        </w:rPr>
        <w:t>24</w:t>
      </w:r>
      <w:r>
        <w:fldChar w:fldCharType="end"/>
      </w:r>
      <w:r>
        <w:t xml:space="preserve">, below). </w:t>
      </w:r>
    </w:p>
    <w:p w:rsidR="00E46DFA" w:rsidRDefault="00E46DFA" w:rsidP="00E46DFA">
      <w:pPr>
        <w:pStyle w:val="Caption-Table"/>
      </w:pPr>
      <w:bookmarkStart w:id="108" w:name="_Ref447897499"/>
      <w:bookmarkStart w:id="109" w:name="_Toc450131645"/>
      <w:r w:rsidRPr="00D20962">
        <w:t xml:space="preserve">Table </w:t>
      </w:r>
      <w:r w:rsidRPr="00D20962">
        <w:fldChar w:fldCharType="begin"/>
      </w:r>
      <w:r w:rsidRPr="00D20962">
        <w:instrText xml:space="preserve"> SEQ Table \* ARABIC </w:instrText>
      </w:r>
      <w:r w:rsidRPr="00D20962">
        <w:fldChar w:fldCharType="separate"/>
      </w:r>
      <w:r w:rsidR="00EC36D2">
        <w:rPr>
          <w:noProof/>
        </w:rPr>
        <w:t>24</w:t>
      </w:r>
      <w:r w:rsidRPr="00D20962">
        <w:fldChar w:fldCharType="end"/>
      </w:r>
      <w:bookmarkEnd w:id="108"/>
      <w:r w:rsidRPr="00D20962">
        <w:t xml:space="preserve">: </w:t>
      </w:r>
      <w:r w:rsidRPr="00E66DBF">
        <w:t>Financial allocations to the Education Partnership</w:t>
      </w:r>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20" w:firstRow="1" w:lastRow="0" w:firstColumn="0" w:lastColumn="0" w:noHBand="1" w:noVBand="1"/>
      </w:tblPr>
      <w:tblGrid>
        <w:gridCol w:w="1164"/>
        <w:gridCol w:w="2508"/>
        <w:gridCol w:w="2240"/>
        <w:gridCol w:w="2061"/>
        <w:gridCol w:w="1344"/>
      </w:tblGrid>
      <w:tr w:rsidR="00E46DFA" w:rsidRPr="00E66DBF" w:rsidTr="00206953">
        <w:trPr>
          <w:trHeight w:val="755"/>
        </w:trPr>
        <w:tc>
          <w:tcPr>
            <w:tcW w:w="625" w:type="pct"/>
            <w:shd w:val="clear" w:color="auto" w:fill="376092"/>
            <w:tcMar>
              <w:top w:w="72" w:type="dxa"/>
              <w:left w:w="144" w:type="dxa"/>
              <w:bottom w:w="72" w:type="dxa"/>
              <w:right w:w="144" w:type="dxa"/>
            </w:tcMar>
            <w:vAlign w:val="center"/>
            <w:hideMark/>
          </w:tcPr>
          <w:p w:rsidR="00E46DFA" w:rsidRPr="00E66DBF" w:rsidRDefault="00E46DFA" w:rsidP="00206953">
            <w:pPr>
              <w:spacing w:before="0" w:after="0"/>
              <w:rPr>
                <w:rFonts w:ascii="Arial" w:hAnsi="Arial" w:cs="Arial"/>
                <w:lang w:eastAsia="en-AU"/>
              </w:rPr>
            </w:pPr>
          </w:p>
        </w:tc>
        <w:tc>
          <w:tcPr>
            <w:tcW w:w="1346" w:type="pct"/>
            <w:shd w:val="clear" w:color="auto" w:fill="376092"/>
            <w:tcMar>
              <w:top w:w="72" w:type="dxa"/>
              <w:left w:w="144" w:type="dxa"/>
              <w:bottom w:w="72" w:type="dxa"/>
              <w:right w:w="144" w:type="dxa"/>
            </w:tcMar>
            <w:vAlign w:val="center"/>
            <w:hideMark/>
          </w:tcPr>
          <w:p w:rsidR="00E46DFA" w:rsidRPr="00E66DBF" w:rsidRDefault="00E46DFA" w:rsidP="00206953">
            <w:pPr>
              <w:spacing w:before="0" w:after="0"/>
              <w:jc w:val="center"/>
              <w:rPr>
                <w:rFonts w:ascii="Arial" w:hAnsi="Arial" w:cs="Arial"/>
                <w:lang w:eastAsia="en-AU"/>
              </w:rPr>
            </w:pPr>
            <w:r w:rsidRPr="00E66DBF">
              <w:rPr>
                <w:rFonts w:cs="Arial"/>
                <w:b/>
                <w:bCs/>
                <w:color w:val="FFFFFF"/>
                <w:kern w:val="24"/>
                <w:lang w:eastAsia="en-AU"/>
              </w:rPr>
              <w:t>Revised Budget</w:t>
            </w:r>
          </w:p>
          <w:p w:rsidR="00E46DFA" w:rsidRPr="00E66DBF" w:rsidRDefault="00E46DFA" w:rsidP="00206953">
            <w:pPr>
              <w:spacing w:before="0" w:after="0"/>
              <w:jc w:val="center"/>
              <w:rPr>
                <w:rFonts w:ascii="Arial" w:hAnsi="Arial" w:cs="Arial"/>
                <w:lang w:eastAsia="en-AU"/>
              </w:rPr>
            </w:pPr>
            <w:r w:rsidRPr="00E66DBF">
              <w:rPr>
                <w:rFonts w:cs="Arial"/>
                <w:b/>
                <w:bCs/>
                <w:color w:val="FFFFFF"/>
                <w:kern w:val="24"/>
                <w:lang w:eastAsia="en-AU"/>
              </w:rPr>
              <w:t>(2014)</w:t>
            </w:r>
          </w:p>
        </w:tc>
        <w:tc>
          <w:tcPr>
            <w:tcW w:w="1202" w:type="pct"/>
            <w:shd w:val="clear" w:color="auto" w:fill="376092"/>
            <w:tcMar>
              <w:top w:w="72" w:type="dxa"/>
              <w:left w:w="144" w:type="dxa"/>
              <w:bottom w:w="72" w:type="dxa"/>
              <w:right w:w="144" w:type="dxa"/>
            </w:tcMar>
            <w:vAlign w:val="center"/>
            <w:hideMark/>
          </w:tcPr>
          <w:p w:rsidR="00E46DFA" w:rsidRPr="00E66DBF" w:rsidRDefault="00E46DFA" w:rsidP="00206953">
            <w:pPr>
              <w:spacing w:before="0" w:after="0"/>
              <w:jc w:val="center"/>
              <w:rPr>
                <w:rFonts w:ascii="Arial" w:hAnsi="Arial" w:cs="Arial"/>
                <w:lang w:eastAsia="en-AU"/>
              </w:rPr>
            </w:pPr>
            <w:r w:rsidRPr="00E66DBF">
              <w:rPr>
                <w:rFonts w:cs="Arial"/>
                <w:b/>
                <w:bCs/>
                <w:color w:val="FFFFFF"/>
                <w:kern w:val="24"/>
                <w:lang w:eastAsia="en-AU"/>
              </w:rPr>
              <w:t>Revised Budget</w:t>
            </w:r>
          </w:p>
          <w:p w:rsidR="00E46DFA" w:rsidRPr="00E66DBF" w:rsidRDefault="00E46DFA" w:rsidP="00206953">
            <w:pPr>
              <w:spacing w:before="0" w:after="0"/>
              <w:jc w:val="center"/>
              <w:rPr>
                <w:rFonts w:ascii="Arial" w:hAnsi="Arial" w:cs="Arial"/>
                <w:lang w:eastAsia="en-AU"/>
              </w:rPr>
            </w:pPr>
            <w:r w:rsidRPr="00E66DBF">
              <w:rPr>
                <w:rFonts w:cs="Arial"/>
                <w:b/>
                <w:bCs/>
                <w:color w:val="FFFFFF"/>
                <w:kern w:val="24"/>
                <w:lang w:eastAsia="en-AU"/>
              </w:rPr>
              <w:t>(by end of 2015)</w:t>
            </w:r>
          </w:p>
        </w:tc>
        <w:tc>
          <w:tcPr>
            <w:tcW w:w="1106" w:type="pct"/>
            <w:shd w:val="clear" w:color="auto" w:fill="376092"/>
            <w:tcMar>
              <w:top w:w="72" w:type="dxa"/>
              <w:left w:w="144" w:type="dxa"/>
              <w:bottom w:w="72" w:type="dxa"/>
              <w:right w:w="144" w:type="dxa"/>
            </w:tcMar>
            <w:vAlign w:val="center"/>
            <w:hideMark/>
          </w:tcPr>
          <w:p w:rsidR="00E46DFA" w:rsidRPr="00E66DBF" w:rsidRDefault="00E46DFA" w:rsidP="00206953">
            <w:pPr>
              <w:spacing w:before="0" w:after="0"/>
              <w:jc w:val="center"/>
              <w:rPr>
                <w:rFonts w:ascii="Arial" w:hAnsi="Arial" w:cs="Arial"/>
                <w:lang w:eastAsia="en-AU"/>
              </w:rPr>
            </w:pPr>
            <w:r w:rsidRPr="00E66DBF">
              <w:rPr>
                <w:rFonts w:cs="Arial"/>
                <w:b/>
                <w:bCs/>
                <w:color w:val="FFFFFF"/>
                <w:kern w:val="24"/>
                <w:lang w:eastAsia="en-AU"/>
              </w:rPr>
              <w:t>Change</w:t>
            </w:r>
          </w:p>
        </w:tc>
        <w:tc>
          <w:tcPr>
            <w:tcW w:w="721" w:type="pct"/>
            <w:shd w:val="clear" w:color="auto" w:fill="376092"/>
            <w:tcMar>
              <w:top w:w="72" w:type="dxa"/>
              <w:left w:w="144" w:type="dxa"/>
              <w:bottom w:w="72" w:type="dxa"/>
              <w:right w:w="144" w:type="dxa"/>
            </w:tcMar>
            <w:vAlign w:val="center"/>
            <w:hideMark/>
          </w:tcPr>
          <w:p w:rsidR="00E46DFA" w:rsidRPr="00E66DBF" w:rsidRDefault="00E46DFA" w:rsidP="00206953">
            <w:pPr>
              <w:spacing w:before="0" w:after="0"/>
              <w:jc w:val="center"/>
              <w:rPr>
                <w:rFonts w:ascii="Arial" w:hAnsi="Arial" w:cs="Arial"/>
                <w:lang w:eastAsia="en-AU"/>
              </w:rPr>
            </w:pPr>
            <w:r w:rsidRPr="00E66DBF">
              <w:rPr>
                <w:rFonts w:cs="Arial"/>
                <w:b/>
                <w:bCs/>
                <w:color w:val="FFFFFF"/>
                <w:kern w:val="24"/>
                <w:lang w:eastAsia="en-AU"/>
              </w:rPr>
              <w:t>Change</w:t>
            </w:r>
          </w:p>
          <w:p w:rsidR="00E46DFA" w:rsidRPr="00E66DBF" w:rsidRDefault="00E46DFA" w:rsidP="00206953">
            <w:pPr>
              <w:spacing w:before="0" w:after="0"/>
              <w:jc w:val="center"/>
              <w:rPr>
                <w:rFonts w:ascii="Arial" w:hAnsi="Arial" w:cs="Arial"/>
                <w:lang w:eastAsia="en-AU"/>
              </w:rPr>
            </w:pPr>
            <w:r w:rsidRPr="00E66DBF">
              <w:rPr>
                <w:rFonts w:cs="Arial"/>
                <w:b/>
                <w:bCs/>
                <w:color w:val="FFFFFF"/>
                <w:kern w:val="24"/>
                <w:lang w:eastAsia="en-AU"/>
              </w:rPr>
              <w:t>(%)</w:t>
            </w:r>
          </w:p>
        </w:tc>
      </w:tr>
      <w:tr w:rsidR="00E46DFA" w:rsidRPr="00E66DBF" w:rsidTr="00A56343">
        <w:trPr>
          <w:trHeight w:val="367"/>
        </w:trPr>
        <w:tc>
          <w:tcPr>
            <w:tcW w:w="625" w:type="pct"/>
            <w:shd w:val="clear" w:color="auto" w:fill="FFFFFF"/>
            <w:tcMar>
              <w:top w:w="72" w:type="dxa"/>
              <w:left w:w="144" w:type="dxa"/>
              <w:bottom w:w="72" w:type="dxa"/>
              <w:right w:w="144" w:type="dxa"/>
            </w:tcMar>
            <w:vAlign w:val="center"/>
            <w:hideMark/>
          </w:tcPr>
          <w:p w:rsidR="00E46DFA" w:rsidRPr="00E66DBF" w:rsidRDefault="00E46DFA" w:rsidP="00206953">
            <w:pPr>
              <w:spacing w:before="0" w:after="0"/>
              <w:jc w:val="center"/>
              <w:rPr>
                <w:rFonts w:ascii="Arial" w:hAnsi="Arial" w:cs="Arial"/>
                <w:lang w:eastAsia="en-AU"/>
              </w:rPr>
            </w:pPr>
            <w:r w:rsidRPr="00E66DBF">
              <w:rPr>
                <w:rFonts w:cs="Arial"/>
                <w:b/>
                <w:bCs/>
                <w:color w:val="000000"/>
                <w:kern w:val="24"/>
                <w:lang w:eastAsia="en-AU"/>
              </w:rPr>
              <w:t>C1</w:t>
            </w:r>
          </w:p>
        </w:tc>
        <w:tc>
          <w:tcPr>
            <w:tcW w:w="1346" w:type="pct"/>
            <w:shd w:val="clear" w:color="auto" w:fill="FFFFFF"/>
            <w:tcMar>
              <w:top w:w="72" w:type="dxa"/>
              <w:left w:w="144" w:type="dxa"/>
              <w:bottom w:w="72" w:type="dxa"/>
              <w:right w:w="144" w:type="dxa"/>
            </w:tcMar>
            <w:vAlign w:val="center"/>
            <w:hideMark/>
          </w:tcPr>
          <w:p w:rsidR="00E46DFA" w:rsidRPr="00A56343" w:rsidRDefault="00E46DFA" w:rsidP="00A56343">
            <w:pPr>
              <w:spacing w:before="0" w:after="0"/>
              <w:jc w:val="center"/>
              <w:rPr>
                <w:rFonts w:ascii="Arial" w:hAnsi="Arial" w:cs="Arial"/>
                <w:sz w:val="20"/>
                <w:szCs w:val="20"/>
                <w:lang w:eastAsia="en-AU"/>
              </w:rPr>
            </w:pPr>
            <w:r w:rsidRPr="00A56343">
              <w:rPr>
                <w:rFonts w:cs="Arial"/>
                <w:color w:val="000000"/>
                <w:kern w:val="24"/>
                <w:sz w:val="20"/>
                <w:szCs w:val="20"/>
                <w:lang w:eastAsia="en-AU"/>
              </w:rPr>
              <w:t>$239,000,000</w:t>
            </w:r>
          </w:p>
        </w:tc>
        <w:tc>
          <w:tcPr>
            <w:tcW w:w="1202" w:type="pct"/>
            <w:shd w:val="clear" w:color="auto" w:fill="FFFFFF"/>
            <w:tcMar>
              <w:top w:w="72" w:type="dxa"/>
              <w:left w:w="144" w:type="dxa"/>
              <w:bottom w:w="72" w:type="dxa"/>
              <w:right w:w="144" w:type="dxa"/>
            </w:tcMar>
            <w:vAlign w:val="center"/>
            <w:hideMark/>
          </w:tcPr>
          <w:p w:rsidR="00E46DFA" w:rsidRPr="00A56343" w:rsidRDefault="00E46DFA" w:rsidP="00A56343">
            <w:pPr>
              <w:spacing w:before="0" w:after="0"/>
              <w:jc w:val="center"/>
              <w:rPr>
                <w:rFonts w:ascii="Arial" w:hAnsi="Arial" w:cs="Arial"/>
                <w:sz w:val="20"/>
                <w:szCs w:val="20"/>
                <w:lang w:eastAsia="en-AU"/>
              </w:rPr>
            </w:pPr>
            <w:r w:rsidRPr="00A56343">
              <w:rPr>
                <w:rFonts w:cs="Arial"/>
                <w:color w:val="000000"/>
                <w:kern w:val="24"/>
                <w:sz w:val="20"/>
                <w:szCs w:val="20"/>
                <w:lang w:eastAsia="en-AU"/>
              </w:rPr>
              <w:t>$179,300,000</w:t>
            </w:r>
          </w:p>
        </w:tc>
        <w:tc>
          <w:tcPr>
            <w:tcW w:w="1106" w:type="pct"/>
            <w:shd w:val="clear" w:color="auto" w:fill="FFFFFF"/>
            <w:tcMar>
              <w:top w:w="72" w:type="dxa"/>
              <w:left w:w="144" w:type="dxa"/>
              <w:bottom w:w="72" w:type="dxa"/>
              <w:right w:w="144" w:type="dxa"/>
            </w:tcMar>
            <w:vAlign w:val="center"/>
            <w:hideMark/>
          </w:tcPr>
          <w:p w:rsidR="00E46DFA" w:rsidRPr="00A56343" w:rsidRDefault="00E46DFA" w:rsidP="00A56343">
            <w:pPr>
              <w:spacing w:before="0" w:after="0"/>
              <w:jc w:val="center"/>
              <w:rPr>
                <w:rFonts w:ascii="Arial" w:hAnsi="Arial" w:cs="Arial"/>
                <w:sz w:val="20"/>
                <w:szCs w:val="20"/>
                <w:lang w:eastAsia="en-AU"/>
              </w:rPr>
            </w:pPr>
            <w:r w:rsidRPr="00A56343">
              <w:rPr>
                <w:rFonts w:cs="Arial"/>
                <w:color w:val="000000"/>
                <w:kern w:val="24"/>
                <w:sz w:val="20"/>
                <w:szCs w:val="20"/>
                <w:lang w:eastAsia="en-AU"/>
              </w:rPr>
              <w:t>$59,700,000</w:t>
            </w:r>
          </w:p>
        </w:tc>
        <w:tc>
          <w:tcPr>
            <w:tcW w:w="721" w:type="pct"/>
            <w:shd w:val="clear" w:color="auto" w:fill="FFFFFF"/>
            <w:tcMar>
              <w:top w:w="72" w:type="dxa"/>
              <w:left w:w="144" w:type="dxa"/>
              <w:bottom w:w="72" w:type="dxa"/>
              <w:right w:w="144" w:type="dxa"/>
            </w:tcMar>
            <w:vAlign w:val="center"/>
            <w:hideMark/>
          </w:tcPr>
          <w:p w:rsidR="00E46DFA" w:rsidRPr="00A56343" w:rsidRDefault="00E46DFA" w:rsidP="00A56343">
            <w:pPr>
              <w:spacing w:before="0" w:after="0"/>
              <w:jc w:val="center"/>
              <w:rPr>
                <w:rFonts w:ascii="Arial" w:hAnsi="Arial" w:cs="Arial"/>
                <w:sz w:val="20"/>
                <w:szCs w:val="20"/>
                <w:lang w:eastAsia="en-AU"/>
              </w:rPr>
            </w:pPr>
            <w:r w:rsidRPr="00A56343">
              <w:rPr>
                <w:rFonts w:cs="Arial"/>
                <w:color w:val="000000"/>
                <w:kern w:val="24"/>
                <w:sz w:val="20"/>
                <w:szCs w:val="20"/>
                <w:lang w:eastAsia="en-AU"/>
              </w:rPr>
              <w:t>-25%</w:t>
            </w:r>
          </w:p>
        </w:tc>
      </w:tr>
      <w:tr w:rsidR="00E46DFA" w:rsidRPr="00E66DBF" w:rsidTr="00A56343">
        <w:trPr>
          <w:trHeight w:val="367"/>
        </w:trPr>
        <w:tc>
          <w:tcPr>
            <w:tcW w:w="625" w:type="pct"/>
            <w:shd w:val="clear" w:color="auto" w:fill="FFFFFF"/>
            <w:tcMar>
              <w:top w:w="72" w:type="dxa"/>
              <w:left w:w="144" w:type="dxa"/>
              <w:bottom w:w="72" w:type="dxa"/>
              <w:right w:w="144" w:type="dxa"/>
            </w:tcMar>
            <w:vAlign w:val="center"/>
            <w:hideMark/>
          </w:tcPr>
          <w:p w:rsidR="00E46DFA" w:rsidRPr="00E66DBF" w:rsidRDefault="00E46DFA" w:rsidP="00206953">
            <w:pPr>
              <w:spacing w:before="0" w:after="0"/>
              <w:jc w:val="center"/>
              <w:rPr>
                <w:rFonts w:ascii="Arial" w:hAnsi="Arial" w:cs="Arial"/>
                <w:lang w:eastAsia="en-AU"/>
              </w:rPr>
            </w:pPr>
            <w:r w:rsidRPr="00E66DBF">
              <w:rPr>
                <w:rFonts w:cs="Arial"/>
                <w:b/>
                <w:bCs/>
                <w:color w:val="000000"/>
                <w:kern w:val="24"/>
                <w:lang w:eastAsia="en-AU"/>
              </w:rPr>
              <w:t>C2</w:t>
            </w:r>
          </w:p>
        </w:tc>
        <w:tc>
          <w:tcPr>
            <w:tcW w:w="1346" w:type="pct"/>
            <w:shd w:val="clear" w:color="auto" w:fill="FFFFFF"/>
            <w:tcMar>
              <w:top w:w="72" w:type="dxa"/>
              <w:left w:w="144" w:type="dxa"/>
              <w:bottom w:w="72" w:type="dxa"/>
              <w:right w:w="144" w:type="dxa"/>
            </w:tcMar>
            <w:vAlign w:val="center"/>
            <w:hideMark/>
          </w:tcPr>
          <w:p w:rsidR="00E46DFA" w:rsidRPr="00A56343" w:rsidRDefault="00E46DFA" w:rsidP="00A56343">
            <w:pPr>
              <w:spacing w:before="0" w:after="0"/>
              <w:jc w:val="center"/>
              <w:rPr>
                <w:rFonts w:ascii="Arial" w:hAnsi="Arial" w:cs="Arial"/>
                <w:sz w:val="20"/>
                <w:szCs w:val="20"/>
                <w:lang w:eastAsia="en-AU"/>
              </w:rPr>
            </w:pPr>
            <w:r w:rsidRPr="00A56343">
              <w:rPr>
                <w:rFonts w:cs="Arial"/>
                <w:color w:val="000000"/>
                <w:kern w:val="24"/>
                <w:sz w:val="20"/>
                <w:szCs w:val="20"/>
                <w:lang w:eastAsia="en-AU"/>
              </w:rPr>
              <w:t>$179,726,512</w:t>
            </w:r>
          </w:p>
        </w:tc>
        <w:tc>
          <w:tcPr>
            <w:tcW w:w="1202" w:type="pct"/>
            <w:shd w:val="clear" w:color="auto" w:fill="FFFFFF"/>
            <w:tcMar>
              <w:top w:w="72" w:type="dxa"/>
              <w:left w:w="144" w:type="dxa"/>
              <w:bottom w:w="72" w:type="dxa"/>
              <w:right w:w="144" w:type="dxa"/>
            </w:tcMar>
            <w:vAlign w:val="center"/>
            <w:hideMark/>
          </w:tcPr>
          <w:p w:rsidR="00E46DFA" w:rsidRPr="00A56343" w:rsidRDefault="00E46DFA" w:rsidP="00A56343">
            <w:pPr>
              <w:spacing w:before="0" w:after="0"/>
              <w:jc w:val="center"/>
              <w:rPr>
                <w:rFonts w:ascii="Arial" w:hAnsi="Arial" w:cs="Arial"/>
                <w:sz w:val="20"/>
                <w:szCs w:val="20"/>
                <w:lang w:eastAsia="en-AU"/>
              </w:rPr>
            </w:pPr>
            <w:r w:rsidRPr="00A56343">
              <w:rPr>
                <w:rFonts w:cs="Arial"/>
                <w:color w:val="000000"/>
                <w:kern w:val="24"/>
                <w:sz w:val="20"/>
                <w:szCs w:val="20"/>
                <w:lang w:eastAsia="en-AU"/>
              </w:rPr>
              <w:t>$106,400,000</w:t>
            </w:r>
          </w:p>
        </w:tc>
        <w:tc>
          <w:tcPr>
            <w:tcW w:w="1106" w:type="pct"/>
            <w:shd w:val="clear" w:color="auto" w:fill="FFFFFF"/>
            <w:tcMar>
              <w:top w:w="72" w:type="dxa"/>
              <w:left w:w="144" w:type="dxa"/>
              <w:bottom w:w="72" w:type="dxa"/>
              <w:right w:w="144" w:type="dxa"/>
            </w:tcMar>
            <w:vAlign w:val="center"/>
            <w:hideMark/>
          </w:tcPr>
          <w:p w:rsidR="00E46DFA" w:rsidRPr="00A56343" w:rsidRDefault="00E46DFA" w:rsidP="00A56343">
            <w:pPr>
              <w:spacing w:before="0" w:after="0"/>
              <w:jc w:val="center"/>
              <w:rPr>
                <w:rFonts w:ascii="Arial" w:hAnsi="Arial" w:cs="Arial"/>
                <w:sz w:val="20"/>
                <w:szCs w:val="20"/>
                <w:lang w:eastAsia="en-AU"/>
              </w:rPr>
            </w:pPr>
            <w:r w:rsidRPr="00A56343">
              <w:rPr>
                <w:rFonts w:cs="Arial"/>
                <w:color w:val="000000"/>
                <w:kern w:val="24"/>
                <w:sz w:val="20"/>
                <w:szCs w:val="20"/>
                <w:lang w:eastAsia="en-AU"/>
              </w:rPr>
              <w:t>$73,326,512</w:t>
            </w:r>
          </w:p>
        </w:tc>
        <w:tc>
          <w:tcPr>
            <w:tcW w:w="721" w:type="pct"/>
            <w:shd w:val="clear" w:color="auto" w:fill="FFFFFF"/>
            <w:tcMar>
              <w:top w:w="72" w:type="dxa"/>
              <w:left w:w="144" w:type="dxa"/>
              <w:bottom w:w="72" w:type="dxa"/>
              <w:right w:w="144" w:type="dxa"/>
            </w:tcMar>
            <w:vAlign w:val="center"/>
            <w:hideMark/>
          </w:tcPr>
          <w:p w:rsidR="00E46DFA" w:rsidRPr="00A56343" w:rsidRDefault="00E46DFA" w:rsidP="00A56343">
            <w:pPr>
              <w:spacing w:before="0" w:after="0"/>
              <w:jc w:val="center"/>
              <w:rPr>
                <w:rFonts w:ascii="Arial" w:hAnsi="Arial" w:cs="Arial"/>
                <w:sz w:val="20"/>
                <w:szCs w:val="20"/>
                <w:lang w:eastAsia="en-AU"/>
              </w:rPr>
            </w:pPr>
            <w:r w:rsidRPr="00A56343">
              <w:rPr>
                <w:rFonts w:cs="Arial"/>
                <w:color w:val="000000"/>
                <w:kern w:val="24"/>
                <w:sz w:val="20"/>
                <w:szCs w:val="20"/>
                <w:lang w:eastAsia="en-AU"/>
              </w:rPr>
              <w:t>-41%</w:t>
            </w:r>
          </w:p>
        </w:tc>
      </w:tr>
      <w:tr w:rsidR="00E46DFA" w:rsidRPr="00E66DBF" w:rsidTr="00A56343">
        <w:trPr>
          <w:trHeight w:val="367"/>
        </w:trPr>
        <w:tc>
          <w:tcPr>
            <w:tcW w:w="625" w:type="pct"/>
            <w:shd w:val="clear" w:color="auto" w:fill="FFFFFF"/>
            <w:tcMar>
              <w:top w:w="72" w:type="dxa"/>
              <w:left w:w="144" w:type="dxa"/>
              <w:bottom w:w="72" w:type="dxa"/>
              <w:right w:w="144" w:type="dxa"/>
            </w:tcMar>
            <w:vAlign w:val="center"/>
            <w:hideMark/>
          </w:tcPr>
          <w:p w:rsidR="00E46DFA" w:rsidRPr="00E66DBF" w:rsidRDefault="00E46DFA" w:rsidP="00206953">
            <w:pPr>
              <w:spacing w:before="0" w:after="0"/>
              <w:jc w:val="center"/>
              <w:rPr>
                <w:rFonts w:ascii="Arial" w:hAnsi="Arial" w:cs="Arial"/>
                <w:lang w:eastAsia="en-AU"/>
              </w:rPr>
            </w:pPr>
            <w:r w:rsidRPr="00E66DBF">
              <w:rPr>
                <w:rFonts w:cs="Arial"/>
                <w:b/>
                <w:bCs/>
                <w:color w:val="000000"/>
                <w:kern w:val="24"/>
                <w:lang w:eastAsia="en-AU"/>
              </w:rPr>
              <w:t>C3</w:t>
            </w:r>
          </w:p>
        </w:tc>
        <w:tc>
          <w:tcPr>
            <w:tcW w:w="1346" w:type="pct"/>
            <w:shd w:val="clear" w:color="auto" w:fill="FFFFFF"/>
            <w:tcMar>
              <w:top w:w="72" w:type="dxa"/>
              <w:left w:w="144" w:type="dxa"/>
              <w:bottom w:w="72" w:type="dxa"/>
              <w:right w:w="144" w:type="dxa"/>
            </w:tcMar>
            <w:vAlign w:val="center"/>
            <w:hideMark/>
          </w:tcPr>
          <w:p w:rsidR="00E46DFA" w:rsidRPr="00A56343" w:rsidRDefault="00E46DFA" w:rsidP="00A56343">
            <w:pPr>
              <w:spacing w:before="0" w:after="0"/>
              <w:jc w:val="center"/>
              <w:rPr>
                <w:rFonts w:ascii="Arial" w:hAnsi="Arial" w:cs="Arial"/>
                <w:sz w:val="20"/>
                <w:szCs w:val="20"/>
                <w:lang w:eastAsia="en-AU"/>
              </w:rPr>
            </w:pPr>
            <w:r w:rsidRPr="00A56343">
              <w:rPr>
                <w:rFonts w:cs="Arial"/>
                <w:color w:val="000000"/>
                <w:kern w:val="24"/>
                <w:sz w:val="20"/>
                <w:szCs w:val="20"/>
                <w:lang w:eastAsia="en-AU"/>
              </w:rPr>
              <w:t>$48,426,296</w:t>
            </w:r>
          </w:p>
        </w:tc>
        <w:tc>
          <w:tcPr>
            <w:tcW w:w="1202" w:type="pct"/>
            <w:shd w:val="clear" w:color="auto" w:fill="FFFFFF"/>
            <w:tcMar>
              <w:top w:w="72" w:type="dxa"/>
              <w:left w:w="144" w:type="dxa"/>
              <w:bottom w:w="72" w:type="dxa"/>
              <w:right w:w="144" w:type="dxa"/>
            </w:tcMar>
            <w:vAlign w:val="center"/>
            <w:hideMark/>
          </w:tcPr>
          <w:p w:rsidR="00E46DFA" w:rsidRPr="00A56343" w:rsidRDefault="00E46DFA" w:rsidP="00A56343">
            <w:pPr>
              <w:spacing w:before="0" w:after="0"/>
              <w:jc w:val="center"/>
              <w:rPr>
                <w:rFonts w:ascii="Arial" w:hAnsi="Arial" w:cs="Arial"/>
                <w:sz w:val="20"/>
                <w:szCs w:val="20"/>
                <w:lang w:eastAsia="en-AU"/>
              </w:rPr>
            </w:pPr>
            <w:r w:rsidRPr="00A56343">
              <w:rPr>
                <w:rFonts w:cs="Arial"/>
                <w:color w:val="000000"/>
                <w:kern w:val="24"/>
                <w:sz w:val="20"/>
                <w:szCs w:val="20"/>
                <w:lang w:eastAsia="en-AU"/>
              </w:rPr>
              <w:t>$36,600,000</w:t>
            </w:r>
          </w:p>
        </w:tc>
        <w:tc>
          <w:tcPr>
            <w:tcW w:w="1106" w:type="pct"/>
            <w:shd w:val="clear" w:color="auto" w:fill="FFFFFF"/>
            <w:tcMar>
              <w:top w:w="72" w:type="dxa"/>
              <w:left w:w="144" w:type="dxa"/>
              <w:bottom w:w="72" w:type="dxa"/>
              <w:right w:w="144" w:type="dxa"/>
            </w:tcMar>
            <w:vAlign w:val="center"/>
            <w:hideMark/>
          </w:tcPr>
          <w:p w:rsidR="00E46DFA" w:rsidRPr="00A56343" w:rsidRDefault="00E46DFA" w:rsidP="00A56343">
            <w:pPr>
              <w:spacing w:before="0" w:after="0"/>
              <w:jc w:val="center"/>
              <w:rPr>
                <w:rFonts w:ascii="Arial" w:hAnsi="Arial" w:cs="Arial"/>
                <w:sz w:val="20"/>
                <w:szCs w:val="20"/>
                <w:lang w:eastAsia="en-AU"/>
              </w:rPr>
            </w:pPr>
            <w:r w:rsidRPr="00A56343">
              <w:rPr>
                <w:rFonts w:cs="Arial"/>
                <w:color w:val="000000"/>
                <w:kern w:val="24"/>
                <w:sz w:val="20"/>
                <w:szCs w:val="20"/>
                <w:lang w:eastAsia="en-AU"/>
              </w:rPr>
              <w:t>$11,826,296</w:t>
            </w:r>
          </w:p>
        </w:tc>
        <w:tc>
          <w:tcPr>
            <w:tcW w:w="721" w:type="pct"/>
            <w:shd w:val="clear" w:color="auto" w:fill="FFFFFF"/>
            <w:tcMar>
              <w:top w:w="72" w:type="dxa"/>
              <w:left w:w="144" w:type="dxa"/>
              <w:bottom w:w="72" w:type="dxa"/>
              <w:right w:w="144" w:type="dxa"/>
            </w:tcMar>
            <w:vAlign w:val="center"/>
            <w:hideMark/>
          </w:tcPr>
          <w:p w:rsidR="00E46DFA" w:rsidRPr="00A56343" w:rsidRDefault="00E46DFA" w:rsidP="00A56343">
            <w:pPr>
              <w:spacing w:before="0" w:after="0"/>
              <w:jc w:val="center"/>
              <w:rPr>
                <w:rFonts w:ascii="Arial" w:hAnsi="Arial" w:cs="Arial"/>
                <w:sz w:val="20"/>
                <w:szCs w:val="20"/>
                <w:lang w:eastAsia="en-AU"/>
              </w:rPr>
            </w:pPr>
            <w:r w:rsidRPr="00A56343">
              <w:rPr>
                <w:rFonts w:cs="Arial"/>
                <w:color w:val="000000"/>
                <w:kern w:val="24"/>
                <w:sz w:val="20"/>
                <w:szCs w:val="20"/>
                <w:lang w:eastAsia="en-AU"/>
              </w:rPr>
              <w:t>-24%</w:t>
            </w:r>
          </w:p>
        </w:tc>
      </w:tr>
      <w:tr w:rsidR="00E46DFA" w:rsidRPr="00E66DBF" w:rsidTr="00A56343">
        <w:trPr>
          <w:trHeight w:val="367"/>
        </w:trPr>
        <w:tc>
          <w:tcPr>
            <w:tcW w:w="625" w:type="pct"/>
            <w:shd w:val="clear" w:color="auto" w:fill="FFFFFF"/>
            <w:tcMar>
              <w:top w:w="72" w:type="dxa"/>
              <w:left w:w="144" w:type="dxa"/>
              <w:bottom w:w="72" w:type="dxa"/>
              <w:right w:w="144" w:type="dxa"/>
            </w:tcMar>
            <w:vAlign w:val="center"/>
            <w:hideMark/>
          </w:tcPr>
          <w:p w:rsidR="00E46DFA" w:rsidRPr="00E66DBF" w:rsidRDefault="00E46DFA" w:rsidP="00206953">
            <w:pPr>
              <w:spacing w:before="0" w:after="0"/>
              <w:jc w:val="center"/>
              <w:rPr>
                <w:rFonts w:ascii="Arial" w:hAnsi="Arial" w:cs="Arial"/>
                <w:lang w:eastAsia="en-AU"/>
              </w:rPr>
            </w:pPr>
            <w:r w:rsidRPr="00E66DBF">
              <w:rPr>
                <w:rFonts w:cs="Arial"/>
                <w:b/>
                <w:bCs/>
                <w:color w:val="000000"/>
                <w:kern w:val="24"/>
                <w:lang w:eastAsia="en-AU"/>
              </w:rPr>
              <w:t>C4</w:t>
            </w:r>
          </w:p>
        </w:tc>
        <w:tc>
          <w:tcPr>
            <w:tcW w:w="1346" w:type="pct"/>
            <w:shd w:val="clear" w:color="auto" w:fill="FFFFFF"/>
            <w:tcMar>
              <w:top w:w="72" w:type="dxa"/>
              <w:left w:w="144" w:type="dxa"/>
              <w:bottom w:w="72" w:type="dxa"/>
              <w:right w:w="144" w:type="dxa"/>
            </w:tcMar>
            <w:vAlign w:val="center"/>
            <w:hideMark/>
          </w:tcPr>
          <w:p w:rsidR="00E46DFA" w:rsidRPr="00A56343" w:rsidRDefault="00E46DFA" w:rsidP="00A56343">
            <w:pPr>
              <w:spacing w:before="0" w:after="0"/>
              <w:jc w:val="center"/>
              <w:rPr>
                <w:rFonts w:ascii="Arial" w:hAnsi="Arial" w:cs="Arial"/>
                <w:sz w:val="20"/>
                <w:szCs w:val="20"/>
                <w:lang w:eastAsia="en-AU"/>
              </w:rPr>
            </w:pPr>
            <w:r w:rsidRPr="00A56343">
              <w:rPr>
                <w:rFonts w:cs="Arial"/>
                <w:color w:val="000000"/>
                <w:kern w:val="24"/>
                <w:sz w:val="20"/>
                <w:szCs w:val="20"/>
                <w:lang w:eastAsia="en-AU"/>
              </w:rPr>
              <w:t>$25,000,000</w:t>
            </w:r>
          </w:p>
        </w:tc>
        <w:tc>
          <w:tcPr>
            <w:tcW w:w="1202" w:type="pct"/>
            <w:shd w:val="clear" w:color="auto" w:fill="FFFFFF"/>
            <w:tcMar>
              <w:top w:w="72" w:type="dxa"/>
              <w:left w:w="144" w:type="dxa"/>
              <w:bottom w:w="72" w:type="dxa"/>
              <w:right w:w="144" w:type="dxa"/>
            </w:tcMar>
            <w:vAlign w:val="center"/>
            <w:hideMark/>
          </w:tcPr>
          <w:p w:rsidR="00E46DFA" w:rsidRPr="00A56343" w:rsidRDefault="00E46DFA" w:rsidP="00A56343">
            <w:pPr>
              <w:spacing w:before="0" w:after="0"/>
              <w:jc w:val="center"/>
              <w:rPr>
                <w:rFonts w:ascii="Arial" w:hAnsi="Arial" w:cs="Arial"/>
                <w:sz w:val="20"/>
                <w:szCs w:val="20"/>
                <w:lang w:eastAsia="en-AU"/>
              </w:rPr>
            </w:pPr>
            <w:r w:rsidRPr="00A56343">
              <w:rPr>
                <w:rFonts w:cs="Arial"/>
                <w:color w:val="000000"/>
                <w:kern w:val="24"/>
                <w:sz w:val="20"/>
                <w:szCs w:val="20"/>
                <w:lang w:eastAsia="en-AU"/>
              </w:rPr>
              <w:t>$20,000,00</w:t>
            </w:r>
          </w:p>
        </w:tc>
        <w:tc>
          <w:tcPr>
            <w:tcW w:w="1106" w:type="pct"/>
            <w:shd w:val="clear" w:color="auto" w:fill="FFFFFF"/>
            <w:tcMar>
              <w:top w:w="72" w:type="dxa"/>
              <w:left w:w="144" w:type="dxa"/>
              <w:bottom w:w="72" w:type="dxa"/>
              <w:right w:w="144" w:type="dxa"/>
            </w:tcMar>
            <w:vAlign w:val="center"/>
            <w:hideMark/>
          </w:tcPr>
          <w:p w:rsidR="00E46DFA" w:rsidRPr="00A56343" w:rsidRDefault="00E46DFA" w:rsidP="00A56343">
            <w:pPr>
              <w:spacing w:before="0" w:after="0"/>
              <w:jc w:val="center"/>
              <w:rPr>
                <w:rFonts w:ascii="Arial" w:hAnsi="Arial" w:cs="Arial"/>
                <w:sz w:val="20"/>
                <w:szCs w:val="20"/>
                <w:lang w:eastAsia="en-AU"/>
              </w:rPr>
            </w:pPr>
            <w:r w:rsidRPr="00A56343">
              <w:rPr>
                <w:rFonts w:cs="Arial"/>
                <w:color w:val="000000"/>
                <w:kern w:val="24"/>
                <w:sz w:val="20"/>
                <w:szCs w:val="20"/>
                <w:lang w:eastAsia="en-AU"/>
              </w:rPr>
              <w:t>$5,000,000</w:t>
            </w:r>
          </w:p>
        </w:tc>
        <w:tc>
          <w:tcPr>
            <w:tcW w:w="721" w:type="pct"/>
            <w:shd w:val="clear" w:color="auto" w:fill="FFFFFF"/>
            <w:tcMar>
              <w:top w:w="72" w:type="dxa"/>
              <w:left w:w="144" w:type="dxa"/>
              <w:bottom w:w="72" w:type="dxa"/>
              <w:right w:w="144" w:type="dxa"/>
            </w:tcMar>
            <w:vAlign w:val="center"/>
            <w:hideMark/>
          </w:tcPr>
          <w:p w:rsidR="00E46DFA" w:rsidRPr="00A56343" w:rsidRDefault="00E46DFA" w:rsidP="00A56343">
            <w:pPr>
              <w:spacing w:before="0" w:after="0"/>
              <w:jc w:val="center"/>
              <w:rPr>
                <w:rFonts w:ascii="Arial" w:hAnsi="Arial" w:cs="Arial"/>
                <w:sz w:val="20"/>
                <w:szCs w:val="20"/>
                <w:lang w:eastAsia="en-AU"/>
              </w:rPr>
            </w:pPr>
            <w:r w:rsidRPr="00A56343">
              <w:rPr>
                <w:rFonts w:cs="Arial"/>
                <w:color w:val="000000"/>
                <w:kern w:val="24"/>
                <w:sz w:val="20"/>
                <w:szCs w:val="20"/>
                <w:lang w:eastAsia="en-AU"/>
              </w:rPr>
              <w:t>-20%</w:t>
            </w:r>
          </w:p>
        </w:tc>
      </w:tr>
      <w:tr w:rsidR="00E46DFA" w:rsidRPr="00E66DBF" w:rsidTr="00A56343">
        <w:trPr>
          <w:trHeight w:val="367"/>
        </w:trPr>
        <w:tc>
          <w:tcPr>
            <w:tcW w:w="625" w:type="pct"/>
            <w:shd w:val="clear" w:color="auto" w:fill="FFFFFF"/>
            <w:tcMar>
              <w:top w:w="72" w:type="dxa"/>
              <w:left w:w="144" w:type="dxa"/>
              <w:bottom w:w="72" w:type="dxa"/>
              <w:right w:w="144" w:type="dxa"/>
            </w:tcMar>
            <w:vAlign w:val="center"/>
            <w:hideMark/>
          </w:tcPr>
          <w:p w:rsidR="00E46DFA" w:rsidRPr="00E66DBF" w:rsidRDefault="00E46DFA" w:rsidP="00206953">
            <w:pPr>
              <w:spacing w:before="0" w:after="0"/>
              <w:jc w:val="center"/>
              <w:rPr>
                <w:rFonts w:ascii="Arial" w:hAnsi="Arial" w:cs="Arial"/>
                <w:lang w:eastAsia="en-AU"/>
              </w:rPr>
            </w:pPr>
            <w:r w:rsidRPr="00E66DBF">
              <w:rPr>
                <w:rFonts w:cs="Arial"/>
                <w:b/>
                <w:bCs/>
                <w:color w:val="000000"/>
                <w:kern w:val="24"/>
                <w:lang w:eastAsia="en-AU"/>
              </w:rPr>
              <w:t>Support</w:t>
            </w:r>
          </w:p>
        </w:tc>
        <w:tc>
          <w:tcPr>
            <w:tcW w:w="1346" w:type="pct"/>
            <w:shd w:val="clear" w:color="auto" w:fill="FFFFFF"/>
            <w:tcMar>
              <w:top w:w="72" w:type="dxa"/>
              <w:left w:w="144" w:type="dxa"/>
              <w:bottom w:w="72" w:type="dxa"/>
              <w:right w:w="144" w:type="dxa"/>
            </w:tcMar>
            <w:vAlign w:val="center"/>
            <w:hideMark/>
          </w:tcPr>
          <w:p w:rsidR="00E46DFA" w:rsidRPr="00A56343" w:rsidRDefault="00E46DFA" w:rsidP="00A56343">
            <w:pPr>
              <w:spacing w:before="0" w:after="0"/>
              <w:jc w:val="center"/>
              <w:rPr>
                <w:rFonts w:ascii="Arial" w:hAnsi="Arial" w:cs="Arial"/>
                <w:sz w:val="20"/>
                <w:szCs w:val="20"/>
                <w:lang w:eastAsia="en-AU"/>
              </w:rPr>
            </w:pPr>
            <w:r w:rsidRPr="00A56343">
              <w:rPr>
                <w:rFonts w:cs="Arial"/>
                <w:color w:val="000000"/>
                <w:kern w:val="24"/>
                <w:sz w:val="20"/>
                <w:szCs w:val="20"/>
                <w:lang w:eastAsia="en-AU"/>
              </w:rPr>
              <w:t>$31,847,192</w:t>
            </w:r>
          </w:p>
        </w:tc>
        <w:tc>
          <w:tcPr>
            <w:tcW w:w="1202" w:type="pct"/>
            <w:shd w:val="clear" w:color="auto" w:fill="FFFFFF"/>
            <w:tcMar>
              <w:top w:w="72" w:type="dxa"/>
              <w:left w:w="144" w:type="dxa"/>
              <w:bottom w:w="72" w:type="dxa"/>
              <w:right w:w="144" w:type="dxa"/>
            </w:tcMar>
            <w:vAlign w:val="center"/>
            <w:hideMark/>
          </w:tcPr>
          <w:p w:rsidR="00E46DFA" w:rsidRPr="00A56343" w:rsidRDefault="00E46DFA" w:rsidP="00A56343">
            <w:pPr>
              <w:spacing w:before="0" w:after="0"/>
              <w:jc w:val="center"/>
              <w:rPr>
                <w:rFonts w:ascii="Arial" w:hAnsi="Arial" w:cs="Arial"/>
                <w:sz w:val="20"/>
                <w:szCs w:val="20"/>
                <w:lang w:eastAsia="en-AU"/>
              </w:rPr>
            </w:pPr>
            <w:r w:rsidRPr="00A56343">
              <w:rPr>
                <w:rFonts w:cs="Arial"/>
                <w:color w:val="000000"/>
                <w:kern w:val="24"/>
                <w:sz w:val="20"/>
                <w:szCs w:val="20"/>
                <w:lang w:eastAsia="en-AU"/>
              </w:rPr>
              <w:t>$26,500,000</w:t>
            </w:r>
          </w:p>
        </w:tc>
        <w:tc>
          <w:tcPr>
            <w:tcW w:w="1106" w:type="pct"/>
            <w:shd w:val="clear" w:color="auto" w:fill="FFFFFF"/>
            <w:tcMar>
              <w:top w:w="72" w:type="dxa"/>
              <w:left w:w="144" w:type="dxa"/>
              <w:bottom w:w="72" w:type="dxa"/>
              <w:right w:w="144" w:type="dxa"/>
            </w:tcMar>
            <w:vAlign w:val="center"/>
            <w:hideMark/>
          </w:tcPr>
          <w:p w:rsidR="00E46DFA" w:rsidRPr="00A56343" w:rsidRDefault="00E46DFA" w:rsidP="00A56343">
            <w:pPr>
              <w:spacing w:before="0" w:after="0"/>
              <w:jc w:val="center"/>
              <w:rPr>
                <w:rFonts w:ascii="Arial" w:hAnsi="Arial" w:cs="Arial"/>
                <w:sz w:val="20"/>
                <w:szCs w:val="20"/>
                <w:lang w:eastAsia="en-AU"/>
              </w:rPr>
            </w:pPr>
            <w:r w:rsidRPr="00A56343">
              <w:rPr>
                <w:rFonts w:cs="Arial"/>
                <w:color w:val="000000"/>
                <w:kern w:val="24"/>
                <w:sz w:val="20"/>
                <w:szCs w:val="20"/>
                <w:lang w:eastAsia="en-AU"/>
              </w:rPr>
              <w:t>$5,347,192</w:t>
            </w:r>
          </w:p>
        </w:tc>
        <w:tc>
          <w:tcPr>
            <w:tcW w:w="721" w:type="pct"/>
            <w:shd w:val="clear" w:color="auto" w:fill="FFFFFF"/>
            <w:tcMar>
              <w:top w:w="72" w:type="dxa"/>
              <w:left w:w="144" w:type="dxa"/>
              <w:bottom w:w="72" w:type="dxa"/>
              <w:right w:w="144" w:type="dxa"/>
            </w:tcMar>
            <w:vAlign w:val="center"/>
            <w:hideMark/>
          </w:tcPr>
          <w:p w:rsidR="00E46DFA" w:rsidRPr="00A56343" w:rsidRDefault="00E46DFA" w:rsidP="00A56343">
            <w:pPr>
              <w:spacing w:before="0" w:after="0"/>
              <w:jc w:val="center"/>
              <w:rPr>
                <w:rFonts w:ascii="Arial" w:hAnsi="Arial" w:cs="Arial"/>
                <w:sz w:val="20"/>
                <w:szCs w:val="20"/>
                <w:lang w:eastAsia="en-AU"/>
              </w:rPr>
            </w:pPr>
            <w:r w:rsidRPr="00A56343">
              <w:rPr>
                <w:rFonts w:cs="Arial"/>
                <w:color w:val="000000"/>
                <w:kern w:val="24"/>
                <w:sz w:val="20"/>
                <w:szCs w:val="20"/>
                <w:lang w:eastAsia="en-AU"/>
              </w:rPr>
              <w:t>-17%</w:t>
            </w:r>
          </w:p>
        </w:tc>
      </w:tr>
      <w:tr w:rsidR="00E46DFA" w:rsidRPr="00E66DBF" w:rsidTr="00A56343">
        <w:trPr>
          <w:trHeight w:val="367"/>
        </w:trPr>
        <w:tc>
          <w:tcPr>
            <w:tcW w:w="625" w:type="pct"/>
            <w:shd w:val="clear" w:color="auto" w:fill="FFFFFF"/>
            <w:tcMar>
              <w:top w:w="72" w:type="dxa"/>
              <w:left w:w="144" w:type="dxa"/>
              <w:bottom w:w="72" w:type="dxa"/>
              <w:right w:w="144" w:type="dxa"/>
            </w:tcMar>
            <w:vAlign w:val="center"/>
            <w:hideMark/>
          </w:tcPr>
          <w:p w:rsidR="00E46DFA" w:rsidRPr="00E66DBF" w:rsidRDefault="00E46DFA" w:rsidP="00206953">
            <w:pPr>
              <w:spacing w:before="0" w:after="0"/>
              <w:jc w:val="center"/>
              <w:rPr>
                <w:rFonts w:ascii="Arial" w:hAnsi="Arial" w:cs="Arial"/>
                <w:lang w:eastAsia="en-AU"/>
              </w:rPr>
            </w:pPr>
            <w:r w:rsidRPr="00E66DBF">
              <w:rPr>
                <w:rFonts w:cs="Arial"/>
                <w:b/>
                <w:bCs/>
                <w:color w:val="000000"/>
                <w:kern w:val="24"/>
                <w:lang w:eastAsia="en-AU"/>
              </w:rPr>
              <w:t>Total</w:t>
            </w:r>
          </w:p>
        </w:tc>
        <w:tc>
          <w:tcPr>
            <w:tcW w:w="1346" w:type="pct"/>
            <w:shd w:val="clear" w:color="auto" w:fill="FFFFFF"/>
            <w:tcMar>
              <w:top w:w="72" w:type="dxa"/>
              <w:left w:w="144" w:type="dxa"/>
              <w:bottom w:w="72" w:type="dxa"/>
              <w:right w:w="144" w:type="dxa"/>
            </w:tcMar>
            <w:vAlign w:val="center"/>
            <w:hideMark/>
          </w:tcPr>
          <w:p w:rsidR="00E46DFA" w:rsidRPr="00A56343" w:rsidRDefault="00E46DFA" w:rsidP="00A56343">
            <w:pPr>
              <w:spacing w:before="0" w:after="0"/>
              <w:jc w:val="center"/>
              <w:rPr>
                <w:rFonts w:ascii="Arial" w:hAnsi="Arial" w:cs="Arial"/>
                <w:sz w:val="20"/>
                <w:szCs w:val="20"/>
                <w:lang w:eastAsia="en-AU"/>
              </w:rPr>
            </w:pPr>
            <w:r w:rsidRPr="00A56343">
              <w:rPr>
                <w:rFonts w:cs="Arial"/>
                <w:b/>
                <w:bCs/>
                <w:color w:val="000000"/>
                <w:kern w:val="24"/>
                <w:sz w:val="20"/>
                <w:szCs w:val="20"/>
                <w:lang w:eastAsia="en-AU"/>
              </w:rPr>
              <w:t>$524,000,000</w:t>
            </w:r>
          </w:p>
        </w:tc>
        <w:tc>
          <w:tcPr>
            <w:tcW w:w="1202" w:type="pct"/>
            <w:shd w:val="clear" w:color="auto" w:fill="FFFFFF"/>
            <w:tcMar>
              <w:top w:w="72" w:type="dxa"/>
              <w:left w:w="144" w:type="dxa"/>
              <w:bottom w:w="72" w:type="dxa"/>
              <w:right w:w="144" w:type="dxa"/>
            </w:tcMar>
            <w:vAlign w:val="center"/>
            <w:hideMark/>
          </w:tcPr>
          <w:p w:rsidR="00E46DFA" w:rsidRPr="00A56343" w:rsidRDefault="00E46DFA" w:rsidP="00A56343">
            <w:pPr>
              <w:spacing w:before="0" w:after="0"/>
              <w:jc w:val="center"/>
              <w:rPr>
                <w:rFonts w:ascii="Arial" w:hAnsi="Arial" w:cs="Arial"/>
                <w:sz w:val="20"/>
                <w:szCs w:val="20"/>
                <w:lang w:eastAsia="en-AU"/>
              </w:rPr>
            </w:pPr>
            <w:r w:rsidRPr="00A56343">
              <w:rPr>
                <w:rFonts w:cs="Arial"/>
                <w:b/>
                <w:bCs/>
                <w:color w:val="000000"/>
                <w:kern w:val="24"/>
                <w:sz w:val="20"/>
                <w:szCs w:val="20"/>
                <w:lang w:eastAsia="en-AU"/>
              </w:rPr>
              <w:t>$368,800,000</w:t>
            </w:r>
          </w:p>
        </w:tc>
        <w:tc>
          <w:tcPr>
            <w:tcW w:w="1106" w:type="pct"/>
            <w:shd w:val="clear" w:color="auto" w:fill="FFFFFF"/>
            <w:tcMar>
              <w:top w:w="72" w:type="dxa"/>
              <w:left w:w="144" w:type="dxa"/>
              <w:bottom w:w="72" w:type="dxa"/>
              <w:right w:w="144" w:type="dxa"/>
            </w:tcMar>
            <w:vAlign w:val="center"/>
            <w:hideMark/>
          </w:tcPr>
          <w:p w:rsidR="00E46DFA" w:rsidRPr="00A56343" w:rsidRDefault="00E46DFA" w:rsidP="00A56343">
            <w:pPr>
              <w:spacing w:before="0" w:after="0"/>
              <w:jc w:val="center"/>
              <w:rPr>
                <w:rFonts w:ascii="Arial" w:hAnsi="Arial" w:cs="Arial"/>
                <w:sz w:val="20"/>
                <w:szCs w:val="20"/>
                <w:lang w:eastAsia="en-AU"/>
              </w:rPr>
            </w:pPr>
            <w:r w:rsidRPr="00A56343">
              <w:rPr>
                <w:rFonts w:cs="Arial"/>
                <w:b/>
                <w:bCs/>
                <w:color w:val="000000"/>
                <w:kern w:val="24"/>
                <w:sz w:val="20"/>
                <w:szCs w:val="20"/>
                <w:lang w:eastAsia="en-AU"/>
              </w:rPr>
              <w:t>$155,200,000</w:t>
            </w:r>
          </w:p>
        </w:tc>
        <w:tc>
          <w:tcPr>
            <w:tcW w:w="721" w:type="pct"/>
            <w:shd w:val="clear" w:color="auto" w:fill="FFFFFF"/>
            <w:tcMar>
              <w:top w:w="72" w:type="dxa"/>
              <w:left w:w="144" w:type="dxa"/>
              <w:bottom w:w="72" w:type="dxa"/>
              <w:right w:w="144" w:type="dxa"/>
            </w:tcMar>
            <w:vAlign w:val="center"/>
            <w:hideMark/>
          </w:tcPr>
          <w:p w:rsidR="00E46DFA" w:rsidRPr="00A56343" w:rsidRDefault="00E46DFA" w:rsidP="00A56343">
            <w:pPr>
              <w:spacing w:before="0" w:after="0"/>
              <w:jc w:val="center"/>
              <w:rPr>
                <w:rFonts w:ascii="Arial" w:hAnsi="Arial" w:cs="Arial"/>
                <w:sz w:val="20"/>
                <w:szCs w:val="20"/>
                <w:lang w:eastAsia="en-AU"/>
              </w:rPr>
            </w:pPr>
            <w:r w:rsidRPr="00A56343">
              <w:rPr>
                <w:rFonts w:cs="Arial"/>
                <w:b/>
                <w:bCs/>
                <w:color w:val="000000"/>
                <w:kern w:val="24"/>
                <w:sz w:val="20"/>
                <w:szCs w:val="20"/>
                <w:lang w:eastAsia="en-AU"/>
              </w:rPr>
              <w:t>-30%</w:t>
            </w:r>
          </w:p>
        </w:tc>
      </w:tr>
    </w:tbl>
    <w:p w:rsidR="00E46DFA" w:rsidRPr="00506E87" w:rsidRDefault="00E46DFA" w:rsidP="00E46DFA">
      <w:pPr>
        <w:pStyle w:val="SourceNotes"/>
      </w:pPr>
      <w:r w:rsidRPr="00506E87">
        <w:t xml:space="preserve">Source: Email communication from </w:t>
      </w:r>
      <w:r w:rsidR="00D2526D">
        <w:t>Sri</w:t>
      </w:r>
      <w:r w:rsidRPr="00506E87">
        <w:t xml:space="preserve"> Novelma (</w:t>
      </w:r>
      <w:r w:rsidRPr="00BB480A">
        <w:t>DFAT), 11 March 2016</w:t>
      </w:r>
    </w:p>
    <w:p w:rsidR="00E46DFA" w:rsidRDefault="00E46DFA" w:rsidP="00E46DFA">
      <w:r w:rsidRPr="0031386F">
        <w:rPr>
          <w:bCs/>
        </w:rPr>
        <w:t>Outwardly and in parallel, DFAT (</w:t>
      </w:r>
      <w:r>
        <w:rPr>
          <w:bCs/>
        </w:rPr>
        <w:t>along with</w:t>
      </w:r>
      <w:r w:rsidRPr="0031386F">
        <w:rPr>
          <w:bCs/>
        </w:rPr>
        <w:t xml:space="preserve"> MoEC, MoRA and Bappenas) sought to respond to the emerging clarity about GoI’s high-level aspirations and priorities and the restructuring and re-staffing of the main GoI counterpart ministry, MoEC. </w:t>
      </w:r>
      <w:r w:rsidR="00D2526D">
        <w:rPr>
          <w:bCs/>
        </w:rPr>
        <w:t>T</w:t>
      </w:r>
      <w:r>
        <w:rPr>
          <w:bCs/>
        </w:rPr>
        <w:t>he installation of</w:t>
      </w:r>
      <w:r w:rsidRPr="0031386F">
        <w:rPr>
          <w:bCs/>
        </w:rPr>
        <w:t xml:space="preserve"> new</w:t>
      </w:r>
      <w:r>
        <w:rPr>
          <w:bCs/>
        </w:rPr>
        <w:t xml:space="preserve"> MoEC</w:t>
      </w:r>
      <w:r w:rsidRPr="0031386F">
        <w:rPr>
          <w:bCs/>
        </w:rPr>
        <w:t xml:space="preserve"> Director-Generals </w:t>
      </w:r>
      <w:r>
        <w:rPr>
          <w:bCs/>
        </w:rPr>
        <w:t>in June</w:t>
      </w:r>
      <w:r w:rsidRPr="00BB480A">
        <w:rPr>
          <w:bCs/>
        </w:rPr>
        <w:t xml:space="preserve"> </w:t>
      </w:r>
      <w:r>
        <w:rPr>
          <w:bCs/>
        </w:rPr>
        <w:t>2015 and</w:t>
      </w:r>
      <w:r w:rsidR="0068521F">
        <w:rPr>
          <w:bCs/>
        </w:rPr>
        <w:t xml:space="preserve">, subsequently, </w:t>
      </w:r>
      <w:r>
        <w:rPr>
          <w:bCs/>
        </w:rPr>
        <w:t xml:space="preserve">new </w:t>
      </w:r>
      <w:r w:rsidRPr="0031386F">
        <w:rPr>
          <w:bCs/>
        </w:rPr>
        <w:t xml:space="preserve">Directors </w:t>
      </w:r>
      <w:r>
        <w:rPr>
          <w:bCs/>
        </w:rPr>
        <w:t>in the month that followed</w:t>
      </w:r>
      <w:r w:rsidR="00D2526D">
        <w:rPr>
          <w:bCs/>
        </w:rPr>
        <w:t>,</w:t>
      </w:r>
      <w:r>
        <w:rPr>
          <w:bCs/>
        </w:rPr>
        <w:t xml:space="preserve"> </w:t>
      </w:r>
      <w:r w:rsidR="0068521F">
        <w:rPr>
          <w:bCs/>
        </w:rPr>
        <w:t>generated</w:t>
      </w:r>
      <w:r w:rsidRPr="0031386F">
        <w:rPr>
          <w:bCs/>
        </w:rPr>
        <w:t xml:space="preserve"> new expectations and </w:t>
      </w:r>
      <w:r w:rsidR="0068521F">
        <w:rPr>
          <w:bCs/>
        </w:rPr>
        <w:t xml:space="preserve">resulted in </w:t>
      </w:r>
      <w:r w:rsidRPr="0031386F">
        <w:rPr>
          <w:bCs/>
        </w:rPr>
        <w:t>variable levels of understanding of the EP investment</w:t>
      </w:r>
      <w:r>
        <w:rPr>
          <w:rStyle w:val="FootnoteReference"/>
          <w:bCs/>
        </w:rPr>
        <w:footnoteReference w:id="124"/>
      </w:r>
      <w:r w:rsidRPr="0031386F">
        <w:rPr>
          <w:bCs/>
        </w:rPr>
        <w:t xml:space="preserve">. </w:t>
      </w:r>
      <w:r>
        <w:rPr>
          <w:bCs/>
        </w:rPr>
        <w:t xml:space="preserve">New </w:t>
      </w:r>
      <w:r w:rsidRPr="0031386F">
        <w:rPr>
          <w:bCs/>
        </w:rPr>
        <w:t xml:space="preserve">relationships </w:t>
      </w:r>
      <w:r>
        <w:rPr>
          <w:bCs/>
        </w:rPr>
        <w:t xml:space="preserve">had to be </w:t>
      </w:r>
      <w:r w:rsidRPr="0031386F">
        <w:rPr>
          <w:bCs/>
        </w:rPr>
        <w:t>developed and aspirations understood. While C1 and C3 were comparatively sheltered, the institutional changes and associated uncertainties had considerable impact on</w:t>
      </w:r>
      <w:r>
        <w:t xml:space="preserve"> C2 and C4</w:t>
      </w:r>
      <w:r w:rsidR="0068521F">
        <w:t>,</w:t>
      </w:r>
      <w:r>
        <w:t xml:space="preserve"> the two components with numerous government stakeholders and arguably the loftiest aspirations. </w:t>
      </w:r>
    </w:p>
    <w:p w:rsidR="00E46DFA" w:rsidRDefault="00E46DFA" w:rsidP="00E46DFA">
      <w:pPr>
        <w:pStyle w:val="Heading2"/>
      </w:pPr>
      <w:r w:rsidRPr="00E46DFA">
        <w:t>Analysis</w:t>
      </w:r>
    </w:p>
    <w:p w:rsidR="00E46DFA" w:rsidRPr="00626ACF" w:rsidRDefault="00E46DFA" w:rsidP="00E46DFA">
      <w:pPr>
        <w:rPr>
          <w:bCs/>
        </w:rPr>
      </w:pPr>
      <w:r>
        <w:rPr>
          <w:bCs/>
        </w:rPr>
        <w:t xml:space="preserve">The changing context inevitably initiated responses from the EP management. POM has identified the responses as follows: </w:t>
      </w:r>
      <w:r w:rsidRPr="00626ACF">
        <w:rPr>
          <w:bCs/>
        </w:rPr>
        <w:t xml:space="preserve">increased </w:t>
      </w:r>
      <w:r>
        <w:rPr>
          <w:bCs/>
        </w:rPr>
        <w:t xml:space="preserve">stakeholder </w:t>
      </w:r>
      <w:r w:rsidRPr="00626ACF">
        <w:rPr>
          <w:bCs/>
        </w:rPr>
        <w:t>consultation; budget adjustment; change in programing approach and the rise of political capital; staffing adjustments, and; increased focus on safeguarding Australian funds.</w:t>
      </w:r>
      <w:r w:rsidRPr="00EB2520">
        <w:rPr>
          <w:bCs/>
        </w:rPr>
        <w:t xml:space="preserve"> </w:t>
      </w:r>
      <w:r>
        <w:rPr>
          <w:bCs/>
        </w:rPr>
        <w:t>This section a</w:t>
      </w:r>
      <w:r w:rsidRPr="00626ACF">
        <w:rPr>
          <w:bCs/>
        </w:rPr>
        <w:t>nalys</w:t>
      </w:r>
      <w:r>
        <w:rPr>
          <w:bCs/>
        </w:rPr>
        <w:t>es each of these responses in turn.</w:t>
      </w:r>
    </w:p>
    <w:p w:rsidR="00E46DFA" w:rsidRDefault="00E46DFA" w:rsidP="00E46DFA">
      <w:pPr>
        <w:pStyle w:val="Heading3"/>
      </w:pPr>
      <w:r w:rsidRPr="00963EA7">
        <w:lastRenderedPageBreak/>
        <w:t xml:space="preserve">The response </w:t>
      </w:r>
      <w:r w:rsidRPr="00E46DFA">
        <w:t>to</w:t>
      </w:r>
      <w:r w:rsidRPr="00963EA7">
        <w:t xml:space="preserve"> the changing context</w:t>
      </w:r>
      <w:r>
        <w:t xml:space="preserve"> </w:t>
      </w:r>
    </w:p>
    <w:p w:rsidR="00E46DFA" w:rsidRPr="00014CB7" w:rsidRDefault="00E46DFA" w:rsidP="00E46DFA">
      <w:pPr>
        <w:keepNext/>
        <w:outlineLvl w:val="2"/>
        <w:rPr>
          <w:i/>
          <w:color w:val="1F497D" w:themeColor="text2"/>
        </w:rPr>
      </w:pPr>
      <w:r>
        <w:rPr>
          <w:i/>
          <w:color w:val="1F497D" w:themeColor="text2"/>
        </w:rPr>
        <w:t>Increased stakeholder c</w:t>
      </w:r>
      <w:r w:rsidRPr="00014CB7">
        <w:rPr>
          <w:i/>
          <w:color w:val="1F497D" w:themeColor="text2"/>
        </w:rPr>
        <w:t>onsultation</w:t>
      </w:r>
    </w:p>
    <w:p w:rsidR="00E46DFA" w:rsidRDefault="00E46DFA" w:rsidP="00E46DFA">
      <w:r w:rsidRPr="0031386F">
        <w:t xml:space="preserve">A core feature of DFAT’s approach to its current and upcoming sector investment portfolio </w:t>
      </w:r>
      <w:r>
        <w:t>is its</w:t>
      </w:r>
      <w:r w:rsidRPr="0031386F">
        <w:t xml:space="preserve"> strong commitment to consult with </w:t>
      </w:r>
      <w:r>
        <w:t>a broad range of s</w:t>
      </w:r>
      <w:r w:rsidRPr="0031386F">
        <w:t xml:space="preserve">takeholders </w:t>
      </w:r>
      <w:r>
        <w:t xml:space="preserve">about opportunities, expectations and needs. While the most obvious manifestation of this increased effort was the sharp increase in the volume of high-level meetings between the two governments (e.g. between the Embassy’s Counsellor/Advisor and various Director-Generals in GoI), there was notable effort in 2015 to adopt a ‘whole of team approach’ to the management and implementation of the EP, one that would extend from DFAT to managing contractors and to their advisors. By consequence, the Embassy made a conscious effort to increase the frequency, quality and volume of information it shared with Implementing Partners, e.g. about the content of meetings between Embassy and GoI officials. </w:t>
      </w:r>
    </w:p>
    <w:p w:rsidR="00E46DFA" w:rsidRDefault="00E46DFA" w:rsidP="00E46DFA">
      <w:r w:rsidRPr="00475F00">
        <w:t>The Embassy was conspicuously success</w:t>
      </w:r>
      <w:r>
        <w:t>ful</w:t>
      </w:r>
      <w:r w:rsidRPr="00475F00">
        <w:t xml:space="preserve"> in its ambitions to increase the quantity of high level engagement between institutional partners, </w:t>
      </w:r>
      <w:r>
        <w:t>and most notably</w:t>
      </w:r>
      <w:r w:rsidRPr="00475F00">
        <w:t xml:space="preserve"> with MoEC. The Embassy’s efforts in that regard are well recognized by GoI</w:t>
      </w:r>
      <w:r>
        <w:t>,</w:t>
      </w:r>
      <w:r w:rsidRPr="00475F00">
        <w:t xml:space="preserve"> and POM is confident that the consultation will produce dividends as </w:t>
      </w:r>
      <w:r>
        <w:t>the Embassy</w:t>
      </w:r>
      <w:r w:rsidRPr="00475F00">
        <w:t xml:space="preserve"> shapes and commences its Forward Program. Insofar as the EP is concerned, however, there is less evidence that the dialogue resolved critical issues that will impinge on the potential effectiveness, impact and sustainability o</w:t>
      </w:r>
      <w:r>
        <w:t xml:space="preserve">f key EP investments, </w:t>
      </w:r>
      <w:r w:rsidR="0068521F">
        <w:t xml:space="preserve">particularly as related to </w:t>
      </w:r>
      <w:r>
        <w:t>ProDEP and the ACDP</w:t>
      </w:r>
      <w:r>
        <w:rPr>
          <w:rStyle w:val="FootnoteReference"/>
        </w:rPr>
        <w:footnoteReference w:id="125"/>
      </w:r>
      <w:r w:rsidRPr="00475F00">
        <w:t xml:space="preserve">. Moreover, while GoI acknowledges the efforts taken to keep them informed of what were often fluid and uncertain changes (e.g. </w:t>
      </w:r>
      <w:r>
        <w:t xml:space="preserve">related to </w:t>
      </w:r>
      <w:r w:rsidRPr="00475F00">
        <w:t xml:space="preserve">budget allocations), there also remains a view that </w:t>
      </w:r>
      <w:r>
        <w:t>GoI</w:t>
      </w:r>
      <w:r w:rsidRPr="00475F00">
        <w:t xml:space="preserve"> might have been more actively involved</w:t>
      </w:r>
      <w:r>
        <w:t xml:space="preserve"> as an Institutional Partner</w:t>
      </w:r>
      <w:r w:rsidRPr="00475F00">
        <w:t xml:space="preserve"> in decision</w:t>
      </w:r>
      <w:r>
        <w:t>-</w:t>
      </w:r>
      <w:r w:rsidRPr="00475F00">
        <w:t>making processes, particularly where the outcomes could have had serious ramifications for both individuals and units.</w:t>
      </w:r>
    </w:p>
    <w:p w:rsidR="00E46DFA" w:rsidRPr="0036741E" w:rsidRDefault="00E46DFA" w:rsidP="00E46DFA">
      <w:r w:rsidRPr="002E28C3">
        <w:t xml:space="preserve">The </w:t>
      </w:r>
      <w:r w:rsidRPr="004A793B">
        <w:t xml:space="preserve">decline in appetite </w:t>
      </w:r>
      <w:r w:rsidRPr="00BE5F1C">
        <w:t xml:space="preserve">for </w:t>
      </w:r>
      <w:r w:rsidRPr="006C3F35">
        <w:t>T</w:t>
      </w:r>
      <w:r w:rsidRPr="000569CE">
        <w:t>o</w:t>
      </w:r>
      <w:r w:rsidRPr="0036741E">
        <w:t>G and GoG meetings reduced opportunities for such active involvement. It is important to preface this point by noting that the absence of ToG meetings for much of 2015 was partially a consequence of organisational restructuring in GoI and the associated turnover of key staff in Q2-3</w:t>
      </w:r>
      <w:r w:rsidRPr="0036741E">
        <w:rPr>
          <w:rStyle w:val="FootnoteReference"/>
        </w:rPr>
        <w:footnoteReference w:id="126"/>
      </w:r>
      <w:r w:rsidRPr="002E28C3">
        <w:t xml:space="preserve">. </w:t>
      </w:r>
      <w:r w:rsidRPr="004A793B">
        <w:t>It is also possible that the decline in formal governance meetings reflected concerns about the utility of quarterly TOG meetings. Nevertheless, f</w:t>
      </w:r>
      <w:r w:rsidRPr="00BE5F1C">
        <w:t>ormal governance fora, such as T</w:t>
      </w:r>
      <w:r w:rsidRPr="006C3F35">
        <w:t>o</w:t>
      </w:r>
      <w:r w:rsidRPr="000569CE">
        <w:t xml:space="preserve">G </w:t>
      </w:r>
      <w:r w:rsidRPr="0036741E">
        <w:t xml:space="preserve">and GoG meetings, do provide a platform for managers to discuss and share the rationale for key decisions, with associated minutes providing an accessible record of agreed actions. Reliance on less formal interaction without associated record-keeping </w:t>
      </w:r>
      <w:r>
        <w:t xml:space="preserve">and communication </w:t>
      </w:r>
      <w:r w:rsidRPr="0036741E">
        <w:t>does increase the possibility of misinterpretation.</w:t>
      </w:r>
      <w:r w:rsidR="002010DB">
        <w:t xml:space="preserve"> </w:t>
      </w:r>
    </w:p>
    <w:p w:rsidR="00E46DFA" w:rsidRDefault="00E46DFA" w:rsidP="00E46DFA">
      <w:pPr>
        <w:rPr>
          <w:bCs/>
        </w:rPr>
      </w:pPr>
      <w:r>
        <w:t xml:space="preserve">The integration of AusAID into DFAT in 2014 and the release of a series of headline policies and political statements created an environment in 2015 in which the </w:t>
      </w:r>
      <w:r w:rsidRPr="00D20962">
        <w:rPr>
          <w:bCs/>
        </w:rPr>
        <w:t>Development Cooperation Section</w:t>
      </w:r>
      <w:r>
        <w:rPr>
          <w:bCs/>
        </w:rPr>
        <w:t xml:space="preserve"> </w:t>
      </w:r>
      <w:r>
        <w:rPr>
          <w:bCs/>
        </w:rPr>
        <w:lastRenderedPageBreak/>
        <w:t xml:space="preserve">of the Embassy was required to interpret and anticipate the needs and aspirations of senior decision-makers, both in Canberra and at Post. This scenario was replicated in varying degrees amongst staff and Implementing Partners as they sought to align current and future activities with this changing policy environment and interpretations of it. The net result was conditions in which uncertainty sometimes emerged. The Embassy’s </w:t>
      </w:r>
      <w:r w:rsidR="0068521F">
        <w:rPr>
          <w:bCs/>
        </w:rPr>
        <w:t xml:space="preserve">Basic </w:t>
      </w:r>
      <w:r>
        <w:rPr>
          <w:bCs/>
        </w:rPr>
        <w:t xml:space="preserve">Education Unit was cognisant of this and its appointment of a Change Management Advisor in early 2015 reflected the Unit’s desire to bring the EP to a successful conclusion and to facilitate a professional and smooth transition to its Forward Program. The aspirations were sound, though in practice the Embassy itself may have secured greater benefit from the inputs than EP stakeholders. </w:t>
      </w:r>
    </w:p>
    <w:p w:rsidR="00E46DFA" w:rsidRPr="00014CB7" w:rsidRDefault="00E46DFA" w:rsidP="00E46DFA">
      <w:pPr>
        <w:keepNext/>
        <w:outlineLvl w:val="2"/>
        <w:rPr>
          <w:i/>
          <w:color w:val="1F497D" w:themeColor="text2"/>
        </w:rPr>
      </w:pPr>
      <w:r w:rsidRPr="00014CB7">
        <w:rPr>
          <w:i/>
          <w:color w:val="1F497D" w:themeColor="text2"/>
        </w:rPr>
        <w:t xml:space="preserve">Budget adjustment </w:t>
      </w:r>
    </w:p>
    <w:p w:rsidR="00E46DFA" w:rsidRDefault="00E46DFA" w:rsidP="00E46DFA">
      <w:pPr>
        <w:rPr>
          <w:bCs/>
        </w:rPr>
      </w:pPr>
      <w:r w:rsidRPr="001E0087">
        <w:rPr>
          <w:bCs/>
        </w:rPr>
        <w:t xml:space="preserve">Given the </w:t>
      </w:r>
      <w:r>
        <w:rPr>
          <w:bCs/>
        </w:rPr>
        <w:t>direction of</w:t>
      </w:r>
      <w:r w:rsidRPr="001E0087">
        <w:rPr>
          <w:bCs/>
        </w:rPr>
        <w:t xml:space="preserve"> DFAT’s aid and geographical priorities in </w:t>
      </w:r>
      <w:r>
        <w:rPr>
          <w:bCs/>
        </w:rPr>
        <w:t>l</w:t>
      </w:r>
      <w:r w:rsidRPr="001E0087">
        <w:rPr>
          <w:bCs/>
        </w:rPr>
        <w:t xml:space="preserve">ate 2014 and early 2015, </w:t>
      </w:r>
      <w:r>
        <w:rPr>
          <w:bCs/>
        </w:rPr>
        <w:t xml:space="preserve">budget revisions for the Indonesia program were inevitable. </w:t>
      </w:r>
      <w:r w:rsidRPr="001E0087">
        <w:rPr>
          <w:bCs/>
        </w:rPr>
        <w:t>To that extent, all EP parties – from</w:t>
      </w:r>
      <w:r>
        <w:rPr>
          <w:bCs/>
        </w:rPr>
        <w:t xml:space="preserve"> senior</w:t>
      </w:r>
      <w:r w:rsidRPr="001E0087">
        <w:rPr>
          <w:bCs/>
        </w:rPr>
        <w:t xml:space="preserve"> GoI </w:t>
      </w:r>
      <w:r>
        <w:rPr>
          <w:bCs/>
        </w:rPr>
        <w:t xml:space="preserve">officials </w:t>
      </w:r>
      <w:r w:rsidRPr="001E0087">
        <w:rPr>
          <w:bCs/>
        </w:rPr>
        <w:t xml:space="preserve">and the </w:t>
      </w:r>
      <w:r>
        <w:rPr>
          <w:bCs/>
        </w:rPr>
        <w:t xml:space="preserve">Embassy’s </w:t>
      </w:r>
      <w:r w:rsidR="0068521F">
        <w:rPr>
          <w:bCs/>
        </w:rPr>
        <w:t xml:space="preserve">Basic </w:t>
      </w:r>
      <w:r>
        <w:rPr>
          <w:bCs/>
        </w:rPr>
        <w:t xml:space="preserve">Education Unit to the Managing Contractors and their contracted </w:t>
      </w:r>
      <w:r w:rsidR="0068521F">
        <w:rPr>
          <w:bCs/>
        </w:rPr>
        <w:t>a</w:t>
      </w:r>
      <w:r>
        <w:rPr>
          <w:bCs/>
        </w:rPr>
        <w:t xml:space="preserve">dvisors – recognise that changes to political priorities and their associated policy shifts and budget changes are a reality of </w:t>
      </w:r>
      <w:r w:rsidRPr="001E0087">
        <w:rPr>
          <w:bCs/>
        </w:rPr>
        <w:t xml:space="preserve">public sector financing. What is critical in such circumstances is how change is managed and communicated. </w:t>
      </w:r>
    </w:p>
    <w:p w:rsidR="00E46DFA" w:rsidRDefault="00E46DFA" w:rsidP="00E46DFA">
      <w:pPr>
        <w:rPr>
          <w:bCs/>
        </w:rPr>
      </w:pPr>
      <w:r>
        <w:rPr>
          <w:bCs/>
        </w:rPr>
        <w:t>The degree, timing and frequency of budget changes varied across the Components</w:t>
      </w:r>
      <w:r>
        <w:rPr>
          <w:rStyle w:val="FootnoteReference"/>
          <w:bCs/>
        </w:rPr>
        <w:footnoteReference w:id="127"/>
      </w:r>
      <w:r>
        <w:rPr>
          <w:bCs/>
        </w:rPr>
        <w:t xml:space="preserve"> and the basis and associated evidence for specific budget revisions was occasionally unclear. The Grant Agreement for C1 was reduced by AUD 60m (see </w:t>
      </w:r>
      <w:r>
        <w:rPr>
          <w:bCs/>
        </w:rPr>
        <w:fldChar w:fldCharType="begin"/>
      </w:r>
      <w:r>
        <w:rPr>
          <w:bCs/>
        </w:rPr>
        <w:instrText xml:space="preserve"> REF _Ref447897499 \h </w:instrText>
      </w:r>
      <w:r>
        <w:rPr>
          <w:bCs/>
        </w:rPr>
      </w:r>
      <w:r>
        <w:rPr>
          <w:bCs/>
        </w:rPr>
        <w:fldChar w:fldCharType="separate"/>
      </w:r>
      <w:r w:rsidR="00693E96" w:rsidRPr="00D20962">
        <w:t xml:space="preserve">Table </w:t>
      </w:r>
      <w:r w:rsidR="00693E96">
        <w:rPr>
          <w:noProof/>
        </w:rPr>
        <w:t>23</w:t>
      </w:r>
      <w:r>
        <w:rPr>
          <w:bCs/>
        </w:rPr>
        <w:fldChar w:fldCharType="end"/>
      </w:r>
      <w:r>
        <w:rPr>
          <w:bCs/>
        </w:rPr>
        <w:t>, above), a decision taken by the Embassy in early 2015 in response to its (accurate) reading of DFAT’s sharp decline in interest in school construction and WiPs-based approaches to aid investment. As such, the decision was taken prior to the 2015 national budget (</w:t>
      </w:r>
      <w:r w:rsidR="0068521F" w:rsidRPr="00A907A2">
        <w:rPr>
          <w:bCs/>
          <w:i/>
        </w:rPr>
        <w:t>Anggaran Pendapatan dan Belanja Negara</w:t>
      </w:r>
      <w:r w:rsidR="0068521F">
        <w:rPr>
          <w:bCs/>
        </w:rPr>
        <w:t xml:space="preserve"> - </w:t>
      </w:r>
      <w:r w:rsidRPr="00A907A2">
        <w:rPr>
          <w:bCs/>
          <w:i/>
        </w:rPr>
        <w:t>APBN</w:t>
      </w:r>
      <w:r>
        <w:rPr>
          <w:bCs/>
        </w:rPr>
        <w:t>), which allowed senior GoI officials to amend its financial allocations with little effect on individual and unit spending targets.</w:t>
      </w:r>
      <w:r w:rsidRPr="001E0087">
        <w:rPr>
          <w:bCs/>
        </w:rPr>
        <w:t xml:space="preserve"> </w:t>
      </w:r>
      <w:r>
        <w:rPr>
          <w:bCs/>
        </w:rPr>
        <w:t xml:space="preserve">By contrast, DFAT’s allocation to C2 was revised several times in 2015, with the last change occurring after finalisation of the national budget amendment (APBN-P). This placed senior MoEC officials in an uncomfortable situation as they remained committed to expenditure targets </w:t>
      </w:r>
      <w:r w:rsidR="00A56343">
        <w:rPr>
          <w:bCs/>
        </w:rPr>
        <w:t>recorded in</w:t>
      </w:r>
      <w:r>
        <w:rPr>
          <w:bCs/>
        </w:rPr>
        <w:t xml:space="preserve"> the amended budget. </w:t>
      </w:r>
    </w:p>
    <w:p w:rsidR="00E46DFA" w:rsidRPr="00014CB7" w:rsidRDefault="00E46DFA" w:rsidP="00E46DFA">
      <w:pPr>
        <w:keepNext/>
        <w:outlineLvl w:val="2"/>
        <w:rPr>
          <w:i/>
          <w:color w:val="1F497D" w:themeColor="text2"/>
        </w:rPr>
      </w:pPr>
      <w:r w:rsidRPr="00014CB7">
        <w:rPr>
          <w:i/>
          <w:color w:val="1F497D" w:themeColor="text2"/>
        </w:rPr>
        <w:t xml:space="preserve">Change in </w:t>
      </w:r>
      <w:r>
        <w:rPr>
          <w:i/>
          <w:color w:val="1F497D" w:themeColor="text2"/>
        </w:rPr>
        <w:t xml:space="preserve">programing </w:t>
      </w:r>
      <w:r w:rsidRPr="00014CB7">
        <w:rPr>
          <w:i/>
          <w:color w:val="1F497D" w:themeColor="text2"/>
        </w:rPr>
        <w:t>approach</w:t>
      </w:r>
      <w:r>
        <w:rPr>
          <w:i/>
          <w:color w:val="1F497D" w:themeColor="text2"/>
        </w:rPr>
        <w:t xml:space="preserve"> and the rise of political capital </w:t>
      </w:r>
    </w:p>
    <w:p w:rsidR="00E46DFA" w:rsidRDefault="00E46DFA" w:rsidP="00E46DFA">
      <w:pPr>
        <w:rPr>
          <w:bCs/>
        </w:rPr>
      </w:pPr>
      <w:r>
        <w:rPr>
          <w:bCs/>
        </w:rPr>
        <w:t>T</w:t>
      </w:r>
      <w:r w:rsidRPr="009E796D">
        <w:rPr>
          <w:bCs/>
        </w:rPr>
        <w:t xml:space="preserve">he EP </w:t>
      </w:r>
      <w:r>
        <w:rPr>
          <w:bCs/>
        </w:rPr>
        <w:t xml:space="preserve">was conceived at a time </w:t>
      </w:r>
      <w:r w:rsidRPr="009E796D">
        <w:rPr>
          <w:bCs/>
        </w:rPr>
        <w:t xml:space="preserve">when aid budgets were rising and when </w:t>
      </w:r>
      <w:r>
        <w:rPr>
          <w:bCs/>
        </w:rPr>
        <w:t>aid/</w:t>
      </w:r>
      <w:r w:rsidRPr="009E796D">
        <w:rPr>
          <w:bCs/>
        </w:rPr>
        <w:t xml:space="preserve">development effectiveness largely shaped </w:t>
      </w:r>
      <w:r>
        <w:rPr>
          <w:bCs/>
        </w:rPr>
        <w:t>programing</w:t>
      </w:r>
      <w:r w:rsidRPr="009E796D">
        <w:rPr>
          <w:bCs/>
        </w:rPr>
        <w:t xml:space="preserve"> decisions. </w:t>
      </w:r>
      <w:r>
        <w:rPr>
          <w:bCs/>
        </w:rPr>
        <w:t>The final year of t</w:t>
      </w:r>
      <w:r w:rsidRPr="009E796D">
        <w:rPr>
          <w:bCs/>
        </w:rPr>
        <w:t xml:space="preserve">he EP </w:t>
      </w:r>
      <w:r>
        <w:rPr>
          <w:bCs/>
        </w:rPr>
        <w:t xml:space="preserve">was one of </w:t>
      </w:r>
      <w:r w:rsidRPr="009E796D">
        <w:rPr>
          <w:bCs/>
        </w:rPr>
        <w:t>transition</w:t>
      </w:r>
      <w:r>
        <w:rPr>
          <w:bCs/>
        </w:rPr>
        <w:t xml:space="preserve"> towards a new investment portfolio, one that will be delivered and managed </w:t>
      </w:r>
      <w:r w:rsidRPr="009E796D">
        <w:rPr>
          <w:bCs/>
        </w:rPr>
        <w:t xml:space="preserve">in a very different political, policy and institutional environment. As </w:t>
      </w:r>
      <w:r>
        <w:rPr>
          <w:bCs/>
        </w:rPr>
        <w:t>the Embassy’s</w:t>
      </w:r>
      <w:r w:rsidRPr="009E796D">
        <w:rPr>
          <w:bCs/>
        </w:rPr>
        <w:t xml:space="preserve"> </w:t>
      </w:r>
      <w:r>
        <w:rPr>
          <w:bCs/>
        </w:rPr>
        <w:t>recent Education</w:t>
      </w:r>
      <w:r w:rsidRPr="009E796D">
        <w:rPr>
          <w:bCs/>
        </w:rPr>
        <w:t xml:space="preserve"> Sector Investment Plan </w:t>
      </w:r>
      <w:r w:rsidR="00793FBE" w:rsidRPr="009E796D">
        <w:rPr>
          <w:bCs/>
        </w:rPr>
        <w:t>indicates</w:t>
      </w:r>
      <w:r w:rsidRPr="009E796D">
        <w:rPr>
          <w:bCs/>
        </w:rPr>
        <w:t xml:space="preserve">, </w:t>
      </w:r>
      <w:r>
        <w:rPr>
          <w:bCs/>
        </w:rPr>
        <w:t xml:space="preserve">DFAT’s aid investments in the Indonesian education sector are </w:t>
      </w:r>
      <w:r w:rsidRPr="009E796D">
        <w:rPr>
          <w:bCs/>
        </w:rPr>
        <w:t xml:space="preserve">transitioning from </w:t>
      </w:r>
      <w:r>
        <w:rPr>
          <w:bCs/>
        </w:rPr>
        <w:t>costly</w:t>
      </w:r>
      <w:r w:rsidRPr="009E796D">
        <w:rPr>
          <w:bCs/>
        </w:rPr>
        <w:t xml:space="preserve"> investment program</w:t>
      </w:r>
      <w:r>
        <w:rPr>
          <w:bCs/>
        </w:rPr>
        <w:t>s</w:t>
      </w:r>
      <w:r w:rsidRPr="009E796D">
        <w:rPr>
          <w:bCs/>
        </w:rPr>
        <w:t xml:space="preserve"> (e.g. see C1, C2) towards a lean</w:t>
      </w:r>
      <w:r>
        <w:rPr>
          <w:bCs/>
        </w:rPr>
        <w:t>er program of technical advisory support.</w:t>
      </w:r>
      <w:r w:rsidRPr="009E796D">
        <w:rPr>
          <w:bCs/>
        </w:rPr>
        <w:t xml:space="preserve"> </w:t>
      </w:r>
      <w:r>
        <w:rPr>
          <w:bCs/>
        </w:rPr>
        <w:t>This is characterised by</w:t>
      </w:r>
      <w:r w:rsidRPr="009E796D">
        <w:rPr>
          <w:bCs/>
        </w:rPr>
        <w:t xml:space="preserve"> </w:t>
      </w:r>
      <w:r>
        <w:rPr>
          <w:bCs/>
        </w:rPr>
        <w:t xml:space="preserve">a </w:t>
      </w:r>
      <w:r w:rsidRPr="009E796D">
        <w:rPr>
          <w:bCs/>
        </w:rPr>
        <w:t>shift</w:t>
      </w:r>
      <w:r>
        <w:rPr>
          <w:bCs/>
        </w:rPr>
        <w:t xml:space="preserve"> away</w:t>
      </w:r>
      <w:r w:rsidRPr="009E796D">
        <w:rPr>
          <w:bCs/>
        </w:rPr>
        <w:t xml:space="preserve"> from </w:t>
      </w:r>
      <w:r>
        <w:rPr>
          <w:bCs/>
        </w:rPr>
        <w:t xml:space="preserve">the </w:t>
      </w:r>
      <w:r w:rsidRPr="009E796D">
        <w:rPr>
          <w:bCs/>
        </w:rPr>
        <w:t xml:space="preserve">direct financing of service delivery and implementation </w:t>
      </w:r>
      <w:r w:rsidRPr="009E796D">
        <w:rPr>
          <w:bCs/>
        </w:rPr>
        <w:lastRenderedPageBreak/>
        <w:t xml:space="preserve">(e.g. see school construction through WiPs) to a focus on measures that </w:t>
      </w:r>
      <w:r>
        <w:rPr>
          <w:bCs/>
        </w:rPr>
        <w:t>can</w:t>
      </w:r>
      <w:r w:rsidRPr="009E796D">
        <w:rPr>
          <w:bCs/>
        </w:rPr>
        <w:t xml:space="preserve"> assist GoI </w:t>
      </w:r>
      <w:r>
        <w:rPr>
          <w:bCs/>
        </w:rPr>
        <w:t xml:space="preserve">in maximising the </w:t>
      </w:r>
      <w:r w:rsidRPr="009E796D">
        <w:rPr>
          <w:bCs/>
        </w:rPr>
        <w:t>value from their own spend.</w:t>
      </w:r>
    </w:p>
    <w:p w:rsidR="00E46DFA" w:rsidRPr="009E796D" w:rsidRDefault="00E46DFA" w:rsidP="00E46DFA">
      <w:pPr>
        <w:rPr>
          <w:bCs/>
        </w:rPr>
      </w:pPr>
      <w:r>
        <w:rPr>
          <w:bCs/>
        </w:rPr>
        <w:t xml:space="preserve">In addition to the shift in modes of delivery, Australia’s aid </w:t>
      </w:r>
      <w:r w:rsidRPr="00350C72">
        <w:rPr>
          <w:bCs/>
        </w:rPr>
        <w:t xml:space="preserve">program </w:t>
      </w:r>
      <w:r>
        <w:rPr>
          <w:bCs/>
        </w:rPr>
        <w:t>now places a more explicit</w:t>
      </w:r>
      <w:r w:rsidRPr="00350C72">
        <w:rPr>
          <w:bCs/>
        </w:rPr>
        <w:t xml:space="preserve"> focus</w:t>
      </w:r>
      <w:r>
        <w:rPr>
          <w:bCs/>
        </w:rPr>
        <w:t xml:space="preserve"> on the achievement of political gains. This is a somewhat inevitable consequence of AusAID’s integration into DFAT and is similar to the moves taken by many leading international donors</w:t>
      </w:r>
      <w:r w:rsidRPr="00350C72">
        <w:rPr>
          <w:bCs/>
        </w:rPr>
        <w:t xml:space="preserve">. The Embassy’s </w:t>
      </w:r>
      <w:r w:rsidR="00793FBE">
        <w:rPr>
          <w:bCs/>
        </w:rPr>
        <w:t xml:space="preserve">Basic </w:t>
      </w:r>
      <w:r w:rsidRPr="00350C72">
        <w:rPr>
          <w:bCs/>
        </w:rPr>
        <w:t xml:space="preserve">Education Unit </w:t>
      </w:r>
      <w:r>
        <w:rPr>
          <w:bCs/>
        </w:rPr>
        <w:t>has s</w:t>
      </w:r>
      <w:r w:rsidRPr="00350C72">
        <w:rPr>
          <w:bCs/>
        </w:rPr>
        <w:t xml:space="preserve">ought to embrace </w:t>
      </w:r>
      <w:r>
        <w:rPr>
          <w:bCs/>
        </w:rPr>
        <w:t>this change in approach by placing i</w:t>
      </w:r>
      <w:r w:rsidRPr="00350C72">
        <w:rPr>
          <w:bCs/>
        </w:rPr>
        <w:t xml:space="preserve">ncreased emphasis on </w:t>
      </w:r>
      <w:r>
        <w:rPr>
          <w:bCs/>
        </w:rPr>
        <w:t xml:space="preserve">the visibility of its aid investments </w:t>
      </w:r>
      <w:r w:rsidRPr="00350C72">
        <w:rPr>
          <w:bCs/>
        </w:rPr>
        <w:t xml:space="preserve">and </w:t>
      </w:r>
      <w:r>
        <w:rPr>
          <w:bCs/>
        </w:rPr>
        <w:t>by seeking to</w:t>
      </w:r>
      <w:r w:rsidR="002010DB">
        <w:rPr>
          <w:bCs/>
        </w:rPr>
        <w:t xml:space="preserve"> </w:t>
      </w:r>
      <w:r w:rsidRPr="00350C72">
        <w:rPr>
          <w:bCs/>
        </w:rPr>
        <w:t>build strong people-to-people linkages with senior GoI officials</w:t>
      </w:r>
      <w:r w:rsidR="00793FBE">
        <w:rPr>
          <w:bCs/>
        </w:rPr>
        <w:t>.</w:t>
      </w:r>
      <w:r w:rsidRPr="00350C72">
        <w:rPr>
          <w:bCs/>
        </w:rPr>
        <w:t xml:space="preserve"> In that </w:t>
      </w:r>
      <w:r>
        <w:rPr>
          <w:bCs/>
        </w:rPr>
        <w:t>regard</w:t>
      </w:r>
      <w:r w:rsidRPr="00350C72">
        <w:rPr>
          <w:bCs/>
        </w:rPr>
        <w:t xml:space="preserve">, </w:t>
      </w:r>
      <w:r>
        <w:rPr>
          <w:bCs/>
        </w:rPr>
        <w:t xml:space="preserve">the </w:t>
      </w:r>
      <w:r>
        <w:t>EP has generated useful dividends, with C3 and C4, for example, producing strong public diplomacy returns and opportunities to secure and develop relations with key personnel in MoRA, MoEC and Bappenas.</w:t>
      </w:r>
      <w:r w:rsidR="002010DB">
        <w:t xml:space="preserve"> </w:t>
      </w:r>
    </w:p>
    <w:p w:rsidR="00E46DFA" w:rsidRDefault="00E46DFA" w:rsidP="00E46DFA">
      <w:pPr>
        <w:rPr>
          <w:bCs/>
        </w:rPr>
      </w:pPr>
      <w:r w:rsidRPr="00FB0A38">
        <w:rPr>
          <w:bCs/>
        </w:rPr>
        <w:t xml:space="preserve">It is POM’s view that EP stakeholders broadly </w:t>
      </w:r>
      <w:r>
        <w:rPr>
          <w:bCs/>
        </w:rPr>
        <w:t>understand</w:t>
      </w:r>
      <w:r w:rsidRPr="00FB0A38">
        <w:rPr>
          <w:bCs/>
        </w:rPr>
        <w:t xml:space="preserve"> and agree with the</w:t>
      </w:r>
      <w:r>
        <w:rPr>
          <w:bCs/>
        </w:rPr>
        <w:t xml:space="preserve"> rationale to the</w:t>
      </w:r>
      <w:r w:rsidRPr="00FB0A38">
        <w:rPr>
          <w:bCs/>
        </w:rPr>
        <w:t xml:space="preserve"> </w:t>
      </w:r>
      <w:r>
        <w:rPr>
          <w:bCs/>
        </w:rPr>
        <w:t>programing changes which stem from DFAT’s policy announcements,</w:t>
      </w:r>
      <w:r w:rsidRPr="00FB0A38">
        <w:rPr>
          <w:bCs/>
        </w:rPr>
        <w:t xml:space="preserve"> in part because </w:t>
      </w:r>
      <w:r>
        <w:rPr>
          <w:bCs/>
        </w:rPr>
        <w:t>they reflect the intent to nurture</w:t>
      </w:r>
      <w:r w:rsidRPr="00FB0A38">
        <w:rPr>
          <w:bCs/>
        </w:rPr>
        <w:t xml:space="preserve"> a more mature relationship </w:t>
      </w:r>
      <w:r>
        <w:rPr>
          <w:bCs/>
        </w:rPr>
        <w:t>between the</w:t>
      </w:r>
      <w:r w:rsidRPr="00FB0A38">
        <w:rPr>
          <w:bCs/>
        </w:rPr>
        <w:t xml:space="preserve"> two G20 partners. Moreover, stakeholders </w:t>
      </w:r>
      <w:r>
        <w:rPr>
          <w:bCs/>
        </w:rPr>
        <w:t>acknowledge</w:t>
      </w:r>
      <w:r w:rsidRPr="00FB0A38">
        <w:rPr>
          <w:bCs/>
        </w:rPr>
        <w:t xml:space="preserve"> the Embassy’s desire to influence policy and to</w:t>
      </w:r>
      <w:r>
        <w:rPr>
          <w:bCs/>
        </w:rPr>
        <w:t xml:space="preserve"> work politically. Nevertheless, there appeared to be a level of discomfort across much of the Partnership – beyond and sometimes within the Embassy – about </w:t>
      </w:r>
      <w:r w:rsidRPr="00FB0A38">
        <w:rPr>
          <w:bCs/>
          <w:i/>
        </w:rPr>
        <w:t>how</w:t>
      </w:r>
      <w:r>
        <w:rPr>
          <w:bCs/>
        </w:rPr>
        <w:t xml:space="preserve"> to work politically, how to do it most effectively and what it means for the day-to-day management and delivery of aid investments such as the EP</w:t>
      </w:r>
      <w:r>
        <w:rPr>
          <w:rStyle w:val="FootnoteReference"/>
          <w:bCs/>
        </w:rPr>
        <w:footnoteReference w:id="128"/>
      </w:r>
      <w:r>
        <w:rPr>
          <w:bCs/>
        </w:rPr>
        <w:t>. To some extent, development-focused personnel are inappropriately skilled to “work politically” and future recruitment will need to take this into account. In addition, future programing will need to be clear on the expected political gains to be secured through the aid program to allow monitoring and evaluation systems to correctly assess progress and achievements.</w:t>
      </w:r>
      <w:r w:rsidR="002010DB">
        <w:rPr>
          <w:bCs/>
        </w:rPr>
        <w:t xml:space="preserve"> </w:t>
      </w:r>
    </w:p>
    <w:p w:rsidR="00E46DFA" w:rsidRPr="00014CB7" w:rsidRDefault="00E46DFA" w:rsidP="00E46DFA">
      <w:pPr>
        <w:keepNext/>
        <w:outlineLvl w:val="2"/>
        <w:rPr>
          <w:i/>
          <w:color w:val="1F497D" w:themeColor="text2"/>
        </w:rPr>
      </w:pPr>
      <w:r w:rsidRPr="00014CB7">
        <w:rPr>
          <w:i/>
          <w:color w:val="1F497D" w:themeColor="text2"/>
        </w:rPr>
        <w:t>DFAT staffing adjustment</w:t>
      </w:r>
    </w:p>
    <w:p w:rsidR="00E46DFA" w:rsidRDefault="00E46DFA" w:rsidP="00E46DFA">
      <w:r>
        <w:t>B</w:t>
      </w:r>
      <w:r w:rsidRPr="00C52E65">
        <w:t>udget cuts to Australia’s aid program in Indonesia</w:t>
      </w:r>
      <w:r>
        <w:t xml:space="preserve"> in</w:t>
      </w:r>
      <w:r w:rsidRPr="00C52E65">
        <w:t xml:space="preserve"> 2015 saw continued adjustments to the staffing profile of the Embas</w:t>
      </w:r>
      <w:r>
        <w:t xml:space="preserve">sy’s </w:t>
      </w:r>
      <w:r w:rsidR="001B386A">
        <w:t xml:space="preserve">Basic </w:t>
      </w:r>
      <w:r>
        <w:t xml:space="preserve">Education Unit (see </w:t>
      </w:r>
      <w:r>
        <w:fldChar w:fldCharType="begin"/>
      </w:r>
      <w:r>
        <w:instrText xml:space="preserve"> REF _Ref447897729 \h </w:instrText>
      </w:r>
      <w:r>
        <w:fldChar w:fldCharType="separate"/>
      </w:r>
      <w:r w:rsidR="00EC36D2" w:rsidRPr="00D20962">
        <w:t xml:space="preserve">Table </w:t>
      </w:r>
      <w:r w:rsidR="00EC36D2">
        <w:rPr>
          <w:noProof/>
        </w:rPr>
        <w:t>25</w:t>
      </w:r>
      <w:r>
        <w:fldChar w:fldCharType="end"/>
      </w:r>
      <w:r w:rsidRPr="00C52E65">
        <w:t xml:space="preserve">, below). </w:t>
      </w:r>
    </w:p>
    <w:p w:rsidR="00E46DFA" w:rsidRDefault="00E46DFA" w:rsidP="00E46DFA">
      <w:pPr>
        <w:pStyle w:val="Caption-Table"/>
      </w:pPr>
      <w:bookmarkStart w:id="110" w:name="_Ref447897729"/>
      <w:bookmarkStart w:id="111" w:name="_Toc450131646"/>
      <w:r w:rsidRPr="00D20962">
        <w:t xml:space="preserve">Table </w:t>
      </w:r>
      <w:r w:rsidRPr="00D20962">
        <w:fldChar w:fldCharType="begin"/>
      </w:r>
      <w:r w:rsidRPr="00D20962">
        <w:instrText xml:space="preserve"> SEQ Table \* ARABIC </w:instrText>
      </w:r>
      <w:r w:rsidRPr="00D20962">
        <w:fldChar w:fldCharType="separate"/>
      </w:r>
      <w:r w:rsidR="00EC36D2">
        <w:rPr>
          <w:noProof/>
        </w:rPr>
        <w:t>25</w:t>
      </w:r>
      <w:r w:rsidRPr="00D20962">
        <w:fldChar w:fldCharType="end"/>
      </w:r>
      <w:bookmarkEnd w:id="110"/>
      <w:r w:rsidRPr="00D20962">
        <w:t xml:space="preserve">: </w:t>
      </w:r>
      <w:r w:rsidR="001B386A">
        <w:t xml:space="preserve">Basic </w:t>
      </w:r>
      <w:r>
        <w:t>Education Unit staffing 2014 - 2015</w:t>
      </w:r>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20" w:firstRow="1" w:lastRow="0" w:firstColumn="0" w:lastColumn="0" w:noHBand="1" w:noVBand="1"/>
      </w:tblPr>
      <w:tblGrid>
        <w:gridCol w:w="3313"/>
        <w:gridCol w:w="2795"/>
        <w:gridCol w:w="3209"/>
      </w:tblGrid>
      <w:tr w:rsidR="00E46DFA" w:rsidRPr="00C52E65" w:rsidTr="00206953">
        <w:trPr>
          <w:trHeight w:val="460"/>
        </w:trPr>
        <w:tc>
          <w:tcPr>
            <w:tcW w:w="1778" w:type="pct"/>
            <w:shd w:val="clear" w:color="auto" w:fill="376092"/>
            <w:tcMar>
              <w:top w:w="72" w:type="dxa"/>
              <w:left w:w="144" w:type="dxa"/>
              <w:bottom w:w="72" w:type="dxa"/>
              <w:right w:w="144" w:type="dxa"/>
            </w:tcMar>
            <w:vAlign w:val="center"/>
            <w:hideMark/>
          </w:tcPr>
          <w:p w:rsidR="00E46DFA" w:rsidRPr="00C52E65" w:rsidRDefault="00E46DFA" w:rsidP="00206953">
            <w:pPr>
              <w:spacing w:before="0" w:after="0"/>
              <w:jc w:val="center"/>
              <w:rPr>
                <w:rFonts w:ascii="Arial" w:hAnsi="Arial" w:cs="Arial"/>
                <w:lang w:eastAsia="en-AU"/>
              </w:rPr>
            </w:pPr>
            <w:r w:rsidRPr="00C52E65">
              <w:rPr>
                <w:rFonts w:cs="Arial"/>
                <w:b/>
                <w:bCs/>
                <w:color w:val="FFFFFF"/>
                <w:kern w:val="24"/>
                <w:lang w:eastAsia="en-AU"/>
              </w:rPr>
              <w:t>Point in time</w:t>
            </w:r>
          </w:p>
        </w:tc>
        <w:tc>
          <w:tcPr>
            <w:tcW w:w="1500" w:type="pct"/>
            <w:shd w:val="clear" w:color="auto" w:fill="376092"/>
            <w:tcMar>
              <w:top w:w="72" w:type="dxa"/>
              <w:left w:w="144" w:type="dxa"/>
              <w:bottom w:w="72" w:type="dxa"/>
              <w:right w:w="144" w:type="dxa"/>
            </w:tcMar>
            <w:vAlign w:val="center"/>
            <w:hideMark/>
          </w:tcPr>
          <w:p w:rsidR="00E46DFA" w:rsidRPr="00C52E65" w:rsidRDefault="00E46DFA" w:rsidP="00206953">
            <w:pPr>
              <w:spacing w:before="0" w:after="0"/>
              <w:jc w:val="center"/>
              <w:rPr>
                <w:rFonts w:ascii="Arial" w:hAnsi="Arial" w:cs="Arial"/>
                <w:lang w:eastAsia="en-AU"/>
              </w:rPr>
            </w:pPr>
            <w:r w:rsidRPr="00C52E65">
              <w:rPr>
                <w:rFonts w:cs="Arial"/>
                <w:b/>
                <w:bCs/>
                <w:color w:val="FFFFFF"/>
                <w:kern w:val="24"/>
                <w:lang w:eastAsia="en-AU"/>
              </w:rPr>
              <w:t>Total Staff Nos</w:t>
            </w:r>
          </w:p>
        </w:tc>
        <w:tc>
          <w:tcPr>
            <w:tcW w:w="1722" w:type="pct"/>
            <w:shd w:val="clear" w:color="auto" w:fill="376092"/>
            <w:tcMar>
              <w:top w:w="72" w:type="dxa"/>
              <w:left w:w="144" w:type="dxa"/>
              <w:bottom w:w="72" w:type="dxa"/>
              <w:right w:w="144" w:type="dxa"/>
            </w:tcMar>
            <w:vAlign w:val="center"/>
            <w:hideMark/>
          </w:tcPr>
          <w:p w:rsidR="00E46DFA" w:rsidRPr="00C52E65" w:rsidRDefault="00E46DFA" w:rsidP="00206953">
            <w:pPr>
              <w:spacing w:before="0" w:after="0"/>
              <w:jc w:val="center"/>
              <w:rPr>
                <w:rFonts w:ascii="Arial" w:hAnsi="Arial" w:cs="Arial"/>
                <w:lang w:eastAsia="en-AU"/>
              </w:rPr>
            </w:pPr>
            <w:r w:rsidRPr="00C52E65">
              <w:rPr>
                <w:rFonts w:cs="Arial"/>
                <w:b/>
                <w:bCs/>
                <w:color w:val="FFFFFF"/>
                <w:kern w:val="24"/>
                <w:lang w:eastAsia="en-AU"/>
              </w:rPr>
              <w:t>Weighted Staff Nos</w:t>
            </w:r>
            <w:r>
              <w:rPr>
                <w:rFonts w:cs="Arial"/>
                <w:b/>
                <w:bCs/>
                <w:color w:val="FFFFFF"/>
                <w:kern w:val="24"/>
                <w:lang w:eastAsia="en-AU"/>
              </w:rPr>
              <w:t>*</w:t>
            </w:r>
          </w:p>
        </w:tc>
      </w:tr>
      <w:tr w:rsidR="00E46DFA" w:rsidRPr="00C52E65" w:rsidTr="00206953">
        <w:trPr>
          <w:trHeight w:val="358"/>
        </w:trPr>
        <w:tc>
          <w:tcPr>
            <w:tcW w:w="1778" w:type="pct"/>
            <w:shd w:val="clear" w:color="auto" w:fill="FFFFFF"/>
            <w:tcMar>
              <w:top w:w="72" w:type="dxa"/>
              <w:left w:w="144" w:type="dxa"/>
              <w:bottom w:w="72" w:type="dxa"/>
              <w:right w:w="144" w:type="dxa"/>
            </w:tcMar>
            <w:vAlign w:val="center"/>
            <w:hideMark/>
          </w:tcPr>
          <w:p w:rsidR="00E46DFA" w:rsidRPr="00C52E65" w:rsidRDefault="00E46DFA" w:rsidP="00206953">
            <w:pPr>
              <w:spacing w:before="0" w:after="0"/>
              <w:jc w:val="center"/>
              <w:rPr>
                <w:rFonts w:cs="Arial"/>
                <w:color w:val="000000"/>
                <w:kern w:val="24"/>
                <w:sz w:val="20"/>
                <w:szCs w:val="20"/>
                <w:lang w:eastAsia="en-AU"/>
              </w:rPr>
            </w:pPr>
            <w:r w:rsidRPr="00C52E65">
              <w:rPr>
                <w:rFonts w:cs="Arial"/>
                <w:color w:val="000000"/>
                <w:kern w:val="24"/>
                <w:sz w:val="20"/>
                <w:szCs w:val="20"/>
                <w:lang w:eastAsia="en-AU"/>
              </w:rPr>
              <w:t>30 June 2014</w:t>
            </w:r>
          </w:p>
        </w:tc>
        <w:tc>
          <w:tcPr>
            <w:tcW w:w="1500" w:type="pct"/>
            <w:shd w:val="clear" w:color="auto" w:fill="FFFFFF"/>
            <w:tcMar>
              <w:top w:w="72" w:type="dxa"/>
              <w:left w:w="144" w:type="dxa"/>
              <w:bottom w:w="72" w:type="dxa"/>
              <w:right w:w="144" w:type="dxa"/>
            </w:tcMar>
            <w:vAlign w:val="center"/>
            <w:hideMark/>
          </w:tcPr>
          <w:p w:rsidR="00E46DFA" w:rsidRPr="00C52E65" w:rsidRDefault="00E46DFA" w:rsidP="00206953">
            <w:pPr>
              <w:spacing w:before="0" w:after="0"/>
              <w:jc w:val="center"/>
              <w:rPr>
                <w:rFonts w:cs="Arial"/>
                <w:color w:val="000000"/>
                <w:kern w:val="24"/>
                <w:sz w:val="20"/>
                <w:szCs w:val="20"/>
                <w:lang w:eastAsia="en-AU"/>
              </w:rPr>
            </w:pPr>
            <w:r w:rsidRPr="00C52E65">
              <w:rPr>
                <w:rFonts w:cs="Arial"/>
                <w:color w:val="000000"/>
                <w:kern w:val="24"/>
                <w:sz w:val="20"/>
                <w:szCs w:val="20"/>
                <w:lang w:eastAsia="en-AU"/>
              </w:rPr>
              <w:t>19</w:t>
            </w:r>
          </w:p>
        </w:tc>
        <w:tc>
          <w:tcPr>
            <w:tcW w:w="1722" w:type="pct"/>
            <w:shd w:val="clear" w:color="auto" w:fill="FFFFFF"/>
            <w:tcMar>
              <w:top w:w="72" w:type="dxa"/>
              <w:left w:w="144" w:type="dxa"/>
              <w:bottom w:w="72" w:type="dxa"/>
              <w:right w:w="144" w:type="dxa"/>
            </w:tcMar>
            <w:vAlign w:val="center"/>
            <w:hideMark/>
          </w:tcPr>
          <w:p w:rsidR="00E46DFA" w:rsidRPr="00C52E65" w:rsidRDefault="00E46DFA" w:rsidP="00206953">
            <w:pPr>
              <w:spacing w:before="0" w:after="0"/>
              <w:jc w:val="center"/>
              <w:rPr>
                <w:rFonts w:cs="Arial"/>
                <w:color w:val="000000"/>
                <w:kern w:val="24"/>
                <w:sz w:val="20"/>
                <w:szCs w:val="20"/>
                <w:lang w:eastAsia="en-AU"/>
              </w:rPr>
            </w:pPr>
            <w:r w:rsidRPr="00C52E65">
              <w:rPr>
                <w:rFonts w:cs="Arial"/>
                <w:color w:val="000000"/>
                <w:kern w:val="24"/>
                <w:sz w:val="20"/>
                <w:szCs w:val="20"/>
                <w:lang w:eastAsia="en-AU"/>
              </w:rPr>
              <w:t>56</w:t>
            </w:r>
          </w:p>
        </w:tc>
      </w:tr>
      <w:tr w:rsidR="00E46DFA" w:rsidRPr="00C52E65" w:rsidTr="00206953">
        <w:trPr>
          <w:trHeight w:val="358"/>
        </w:trPr>
        <w:tc>
          <w:tcPr>
            <w:tcW w:w="1778" w:type="pct"/>
            <w:shd w:val="clear" w:color="auto" w:fill="FFFFFF"/>
            <w:tcMar>
              <w:top w:w="72" w:type="dxa"/>
              <w:left w:w="144" w:type="dxa"/>
              <w:bottom w:w="72" w:type="dxa"/>
              <w:right w:w="144" w:type="dxa"/>
            </w:tcMar>
            <w:vAlign w:val="center"/>
            <w:hideMark/>
          </w:tcPr>
          <w:p w:rsidR="00E46DFA" w:rsidRPr="00C52E65" w:rsidRDefault="00E46DFA" w:rsidP="00206953">
            <w:pPr>
              <w:spacing w:before="0" w:after="0"/>
              <w:jc w:val="center"/>
              <w:rPr>
                <w:rFonts w:cs="Arial"/>
                <w:color w:val="000000"/>
                <w:kern w:val="24"/>
                <w:sz w:val="20"/>
                <w:szCs w:val="20"/>
                <w:lang w:eastAsia="en-AU"/>
              </w:rPr>
            </w:pPr>
            <w:r w:rsidRPr="00C52E65">
              <w:rPr>
                <w:rFonts w:cs="Arial"/>
                <w:color w:val="000000"/>
                <w:kern w:val="24"/>
                <w:sz w:val="20"/>
                <w:szCs w:val="20"/>
                <w:lang w:eastAsia="en-AU"/>
              </w:rPr>
              <w:t>31 December 2014</w:t>
            </w:r>
          </w:p>
        </w:tc>
        <w:tc>
          <w:tcPr>
            <w:tcW w:w="1500" w:type="pct"/>
            <w:shd w:val="clear" w:color="auto" w:fill="FFFFFF"/>
            <w:tcMar>
              <w:top w:w="72" w:type="dxa"/>
              <w:left w:w="144" w:type="dxa"/>
              <w:bottom w:w="72" w:type="dxa"/>
              <w:right w:w="144" w:type="dxa"/>
            </w:tcMar>
            <w:vAlign w:val="center"/>
            <w:hideMark/>
          </w:tcPr>
          <w:p w:rsidR="00E46DFA" w:rsidRPr="00C52E65" w:rsidRDefault="00E46DFA" w:rsidP="00206953">
            <w:pPr>
              <w:spacing w:before="0" w:after="0"/>
              <w:jc w:val="center"/>
              <w:rPr>
                <w:rFonts w:cs="Arial"/>
                <w:color w:val="000000"/>
                <w:kern w:val="24"/>
                <w:sz w:val="20"/>
                <w:szCs w:val="20"/>
                <w:lang w:eastAsia="en-AU"/>
              </w:rPr>
            </w:pPr>
            <w:r w:rsidRPr="00C52E65">
              <w:rPr>
                <w:rFonts w:cs="Arial"/>
                <w:color w:val="000000"/>
                <w:kern w:val="24"/>
                <w:sz w:val="20"/>
                <w:szCs w:val="20"/>
                <w:lang w:eastAsia="en-AU"/>
              </w:rPr>
              <w:t>13</w:t>
            </w:r>
          </w:p>
        </w:tc>
        <w:tc>
          <w:tcPr>
            <w:tcW w:w="1722" w:type="pct"/>
            <w:shd w:val="clear" w:color="auto" w:fill="FFFFFF"/>
            <w:tcMar>
              <w:top w:w="72" w:type="dxa"/>
              <w:left w:w="144" w:type="dxa"/>
              <w:bottom w:w="72" w:type="dxa"/>
              <w:right w:w="144" w:type="dxa"/>
            </w:tcMar>
            <w:vAlign w:val="center"/>
            <w:hideMark/>
          </w:tcPr>
          <w:p w:rsidR="00E46DFA" w:rsidRPr="00C52E65" w:rsidRDefault="00E46DFA" w:rsidP="00206953">
            <w:pPr>
              <w:spacing w:before="0" w:after="0"/>
              <w:jc w:val="center"/>
              <w:rPr>
                <w:rFonts w:cs="Arial"/>
                <w:color w:val="000000"/>
                <w:kern w:val="24"/>
                <w:sz w:val="20"/>
                <w:szCs w:val="20"/>
                <w:lang w:eastAsia="en-AU"/>
              </w:rPr>
            </w:pPr>
            <w:r w:rsidRPr="00C52E65">
              <w:rPr>
                <w:rFonts w:cs="Arial"/>
                <w:color w:val="000000"/>
                <w:kern w:val="24"/>
                <w:sz w:val="20"/>
                <w:szCs w:val="20"/>
                <w:lang w:eastAsia="en-AU"/>
              </w:rPr>
              <w:t>38</w:t>
            </w:r>
          </w:p>
        </w:tc>
      </w:tr>
      <w:tr w:rsidR="00E46DFA" w:rsidRPr="00C52E65" w:rsidTr="00206953">
        <w:trPr>
          <w:trHeight w:val="358"/>
        </w:trPr>
        <w:tc>
          <w:tcPr>
            <w:tcW w:w="1778" w:type="pct"/>
            <w:shd w:val="clear" w:color="auto" w:fill="FFFFFF"/>
            <w:tcMar>
              <w:top w:w="72" w:type="dxa"/>
              <w:left w:w="144" w:type="dxa"/>
              <w:bottom w:w="72" w:type="dxa"/>
              <w:right w:w="144" w:type="dxa"/>
            </w:tcMar>
            <w:vAlign w:val="center"/>
            <w:hideMark/>
          </w:tcPr>
          <w:p w:rsidR="00E46DFA" w:rsidRPr="00C52E65" w:rsidRDefault="00E46DFA" w:rsidP="00206953">
            <w:pPr>
              <w:spacing w:before="0" w:after="0"/>
              <w:jc w:val="center"/>
              <w:rPr>
                <w:rFonts w:cs="Arial"/>
                <w:color w:val="000000"/>
                <w:kern w:val="24"/>
                <w:sz w:val="20"/>
                <w:szCs w:val="20"/>
                <w:lang w:eastAsia="en-AU"/>
              </w:rPr>
            </w:pPr>
            <w:r w:rsidRPr="00C52E65">
              <w:rPr>
                <w:rFonts w:cs="Arial"/>
                <w:color w:val="000000"/>
                <w:kern w:val="24"/>
                <w:sz w:val="20"/>
                <w:szCs w:val="20"/>
                <w:lang w:eastAsia="en-AU"/>
              </w:rPr>
              <w:t>30 June 2015</w:t>
            </w:r>
          </w:p>
        </w:tc>
        <w:tc>
          <w:tcPr>
            <w:tcW w:w="1500" w:type="pct"/>
            <w:shd w:val="clear" w:color="auto" w:fill="FFFFFF"/>
            <w:tcMar>
              <w:top w:w="72" w:type="dxa"/>
              <w:left w:w="144" w:type="dxa"/>
              <w:bottom w:w="72" w:type="dxa"/>
              <w:right w:w="144" w:type="dxa"/>
            </w:tcMar>
            <w:vAlign w:val="center"/>
            <w:hideMark/>
          </w:tcPr>
          <w:p w:rsidR="00E46DFA" w:rsidRPr="00C52E65" w:rsidRDefault="00E46DFA" w:rsidP="00206953">
            <w:pPr>
              <w:spacing w:before="0" w:after="0"/>
              <w:jc w:val="center"/>
              <w:rPr>
                <w:rFonts w:cs="Arial"/>
                <w:color w:val="000000"/>
                <w:kern w:val="24"/>
                <w:sz w:val="20"/>
                <w:szCs w:val="20"/>
                <w:lang w:eastAsia="en-AU"/>
              </w:rPr>
            </w:pPr>
            <w:r w:rsidRPr="00C52E65">
              <w:rPr>
                <w:rFonts w:cs="Arial"/>
                <w:color w:val="000000"/>
                <w:kern w:val="24"/>
                <w:sz w:val="20"/>
                <w:szCs w:val="20"/>
                <w:lang w:eastAsia="en-AU"/>
              </w:rPr>
              <w:t>11</w:t>
            </w:r>
          </w:p>
        </w:tc>
        <w:tc>
          <w:tcPr>
            <w:tcW w:w="1722" w:type="pct"/>
            <w:shd w:val="clear" w:color="auto" w:fill="FFFFFF"/>
            <w:tcMar>
              <w:top w:w="72" w:type="dxa"/>
              <w:left w:w="144" w:type="dxa"/>
              <w:bottom w:w="72" w:type="dxa"/>
              <w:right w:w="144" w:type="dxa"/>
            </w:tcMar>
            <w:vAlign w:val="center"/>
            <w:hideMark/>
          </w:tcPr>
          <w:p w:rsidR="00E46DFA" w:rsidRPr="00C52E65" w:rsidRDefault="00E46DFA" w:rsidP="00206953">
            <w:pPr>
              <w:spacing w:before="0" w:after="0"/>
              <w:jc w:val="center"/>
              <w:rPr>
                <w:rFonts w:cs="Arial"/>
                <w:color w:val="000000"/>
                <w:kern w:val="24"/>
                <w:sz w:val="20"/>
                <w:szCs w:val="20"/>
                <w:lang w:eastAsia="en-AU"/>
              </w:rPr>
            </w:pPr>
            <w:r w:rsidRPr="00C52E65">
              <w:rPr>
                <w:rFonts w:cs="Arial"/>
                <w:color w:val="000000"/>
                <w:kern w:val="24"/>
                <w:sz w:val="20"/>
                <w:szCs w:val="20"/>
                <w:lang w:eastAsia="en-AU"/>
              </w:rPr>
              <w:t>35</w:t>
            </w:r>
          </w:p>
        </w:tc>
      </w:tr>
      <w:tr w:rsidR="00E46DFA" w:rsidRPr="00C52E65" w:rsidTr="00206953">
        <w:trPr>
          <w:trHeight w:val="358"/>
        </w:trPr>
        <w:tc>
          <w:tcPr>
            <w:tcW w:w="1778" w:type="pct"/>
            <w:shd w:val="clear" w:color="auto" w:fill="FFFFFF"/>
            <w:tcMar>
              <w:top w:w="72" w:type="dxa"/>
              <w:left w:w="144" w:type="dxa"/>
              <w:bottom w:w="72" w:type="dxa"/>
              <w:right w:w="144" w:type="dxa"/>
            </w:tcMar>
            <w:vAlign w:val="center"/>
            <w:hideMark/>
          </w:tcPr>
          <w:p w:rsidR="00E46DFA" w:rsidRPr="00C52E65" w:rsidRDefault="00E46DFA" w:rsidP="00206953">
            <w:pPr>
              <w:spacing w:before="0" w:after="0"/>
              <w:jc w:val="center"/>
              <w:rPr>
                <w:rFonts w:cs="Arial"/>
                <w:color w:val="000000"/>
                <w:kern w:val="24"/>
                <w:sz w:val="20"/>
                <w:szCs w:val="20"/>
                <w:lang w:eastAsia="en-AU"/>
              </w:rPr>
            </w:pPr>
            <w:r w:rsidRPr="00C52E65">
              <w:rPr>
                <w:rFonts w:cs="Arial"/>
                <w:color w:val="000000"/>
                <w:kern w:val="24"/>
                <w:sz w:val="20"/>
                <w:szCs w:val="20"/>
                <w:lang w:eastAsia="en-AU"/>
              </w:rPr>
              <w:t>31 December 2015</w:t>
            </w:r>
          </w:p>
        </w:tc>
        <w:tc>
          <w:tcPr>
            <w:tcW w:w="1500" w:type="pct"/>
            <w:shd w:val="clear" w:color="auto" w:fill="FFFFFF"/>
            <w:tcMar>
              <w:top w:w="72" w:type="dxa"/>
              <w:left w:w="144" w:type="dxa"/>
              <w:bottom w:w="72" w:type="dxa"/>
              <w:right w:w="144" w:type="dxa"/>
            </w:tcMar>
            <w:vAlign w:val="center"/>
            <w:hideMark/>
          </w:tcPr>
          <w:p w:rsidR="00E46DFA" w:rsidRPr="00C52E65" w:rsidRDefault="00E46DFA" w:rsidP="00206953">
            <w:pPr>
              <w:spacing w:before="0" w:after="0"/>
              <w:jc w:val="center"/>
              <w:rPr>
                <w:rFonts w:cs="Arial"/>
                <w:color w:val="000000"/>
                <w:kern w:val="24"/>
                <w:sz w:val="20"/>
                <w:szCs w:val="20"/>
                <w:lang w:eastAsia="en-AU"/>
              </w:rPr>
            </w:pPr>
            <w:r w:rsidRPr="00C52E65">
              <w:rPr>
                <w:rFonts w:cs="Arial"/>
                <w:color w:val="000000"/>
                <w:kern w:val="24"/>
                <w:sz w:val="20"/>
                <w:szCs w:val="20"/>
                <w:lang w:eastAsia="en-AU"/>
              </w:rPr>
              <w:t>9</w:t>
            </w:r>
          </w:p>
        </w:tc>
        <w:tc>
          <w:tcPr>
            <w:tcW w:w="1722" w:type="pct"/>
            <w:shd w:val="clear" w:color="auto" w:fill="FFFFFF"/>
            <w:tcMar>
              <w:top w:w="72" w:type="dxa"/>
              <w:left w:w="144" w:type="dxa"/>
              <w:bottom w:w="72" w:type="dxa"/>
              <w:right w:w="144" w:type="dxa"/>
            </w:tcMar>
            <w:vAlign w:val="center"/>
            <w:hideMark/>
          </w:tcPr>
          <w:p w:rsidR="00E46DFA" w:rsidRPr="00C52E65" w:rsidRDefault="00E46DFA" w:rsidP="00206953">
            <w:pPr>
              <w:spacing w:before="0" w:after="0"/>
              <w:jc w:val="center"/>
              <w:rPr>
                <w:rFonts w:cs="Arial"/>
                <w:color w:val="000000"/>
                <w:kern w:val="24"/>
                <w:sz w:val="20"/>
                <w:szCs w:val="20"/>
                <w:lang w:eastAsia="en-AU"/>
              </w:rPr>
            </w:pPr>
            <w:r w:rsidRPr="00C52E65">
              <w:rPr>
                <w:rFonts w:cs="Arial"/>
                <w:color w:val="000000"/>
                <w:kern w:val="24"/>
                <w:sz w:val="20"/>
                <w:szCs w:val="20"/>
                <w:lang w:eastAsia="en-AU"/>
              </w:rPr>
              <w:t>26</w:t>
            </w:r>
          </w:p>
        </w:tc>
      </w:tr>
    </w:tbl>
    <w:p w:rsidR="00E46DFA" w:rsidRPr="00E41D72" w:rsidRDefault="00E46DFA" w:rsidP="00E46DFA">
      <w:pPr>
        <w:pStyle w:val="SourceNotes"/>
      </w:pPr>
      <w:r w:rsidRPr="00125725">
        <w:t xml:space="preserve">Source: </w:t>
      </w:r>
      <w:r w:rsidRPr="003F2A72">
        <w:t>Total staff</w:t>
      </w:r>
      <w:r w:rsidRPr="00E41D72">
        <w:t xml:space="preserve"> numbers provided by Sri Novelma (DFAT), 11 March 2016</w:t>
      </w:r>
    </w:p>
    <w:p w:rsidR="00E46DFA" w:rsidRPr="00C52E65" w:rsidRDefault="00E46DFA" w:rsidP="00E46DFA">
      <w:pPr>
        <w:pStyle w:val="SourceNotes"/>
      </w:pPr>
      <w:r w:rsidRPr="0036741E">
        <w:t xml:space="preserve">* Weighted staff numbers presents a rudimentary assessment of the experience of </w:t>
      </w:r>
      <w:r>
        <w:t xml:space="preserve">the </w:t>
      </w:r>
      <w:r w:rsidR="001B386A">
        <w:t xml:space="preserve">Basic </w:t>
      </w:r>
      <w:r>
        <w:t xml:space="preserve">Education Unit </w:t>
      </w:r>
      <w:r w:rsidRPr="0036741E">
        <w:t>based on a scoring of: Program Officer = 1; Program Manager = 2; Senior Program Manager = 3; Unit Manager = 4; Counsellor/Advisor = 5</w:t>
      </w:r>
    </w:p>
    <w:p w:rsidR="00E46DFA" w:rsidRDefault="00E46DFA" w:rsidP="00E46DFA">
      <w:r w:rsidRPr="00C52E65">
        <w:lastRenderedPageBreak/>
        <w:t xml:space="preserve">As the number and experience profile of the Unit‘s staffing resource declined in 2015, much of the EP’s institutional memory and technical expertise came to lay within its Implementing Partners. Moreover, many of the political-institutional networks required by or of use to the Embassy resided with its Implementing Partners, not least for SSQ-C3 for MoRA and, to a lesser extent, the ACDP Secretariat (C4) insofar as parts of MoEC and Bappenas were concerned. </w:t>
      </w:r>
    </w:p>
    <w:p w:rsidR="00E46DFA" w:rsidRDefault="00E46DFA" w:rsidP="00E46DFA">
      <w:r w:rsidRPr="00C52E65">
        <w:t>Over the course of the year and as the Embassy’s staffing profile became more settled and networks were developed, DFAT’s stock of ‘social capital’ in MoEC recovered</w:t>
      </w:r>
      <w:r>
        <w:t xml:space="preserve"> and therefore the dependence </w:t>
      </w:r>
      <w:r w:rsidR="00E63B39">
        <w:t>up</w:t>
      </w:r>
      <w:r>
        <w:t>on I</w:t>
      </w:r>
      <w:r w:rsidR="00E63B39">
        <w:t xml:space="preserve">mplementing </w:t>
      </w:r>
      <w:r>
        <w:t>P</w:t>
      </w:r>
      <w:r w:rsidR="00E63B39">
        <w:t>artners</w:t>
      </w:r>
      <w:r>
        <w:t xml:space="preserve"> to provide/secure access somewhat dissipated. Leading up to that time, however, pragmatic decisions were taken as the Embassy and others sought to navigate a complex period of transition. For example, the </w:t>
      </w:r>
      <w:r w:rsidRPr="005758D5">
        <w:t xml:space="preserve">Embassy’s judicious use of MCs to </w:t>
      </w:r>
      <w:r>
        <w:t>appoint</w:t>
      </w:r>
      <w:r w:rsidRPr="005758D5">
        <w:t xml:space="preserve"> short-term or intermittent advisors </w:t>
      </w:r>
      <w:r>
        <w:t>produced timely input on matters that spoke strongly to the maximization of existing EP investments. Equally, a decline in the Embassy’s micromanagement of MC-</w:t>
      </w:r>
      <w:r w:rsidR="00E63B39">
        <w:t>managed</w:t>
      </w:r>
      <w:r w:rsidRPr="005758D5">
        <w:t xml:space="preserve"> components </w:t>
      </w:r>
      <w:r>
        <w:t xml:space="preserve">was viewed as a sensible response to the thinning of institutional expertise with the </w:t>
      </w:r>
      <w:r w:rsidR="001B386A">
        <w:t xml:space="preserve">Basic </w:t>
      </w:r>
      <w:r>
        <w:t xml:space="preserve">Education Unit itself. </w:t>
      </w:r>
    </w:p>
    <w:p w:rsidR="00E46DFA" w:rsidRDefault="00E46DFA" w:rsidP="00E46DFA">
      <w:r>
        <w:t xml:space="preserve">Looking to the Forward Program and the Embassy’s intention to move away from large, multi-year investments to a more flexible support model based upon the provision of TA, the Embassy will become ever more reliant on both its own staff being able to set the development and political agenda with key GoI counterparts and then having confidence in the judgement of its Implementing Partners and its </w:t>
      </w:r>
      <w:r w:rsidR="00E63B39">
        <w:t>a</w:t>
      </w:r>
      <w:r>
        <w:t xml:space="preserve">dvisors to support implementation of the agenda and to operate within an agreed framework. That requires strategic clarity – something that was identified as a weakness in </w:t>
      </w:r>
      <w:r w:rsidR="00E63B39">
        <w:t xml:space="preserve">the </w:t>
      </w:r>
      <w:r>
        <w:t>Development Policy Centre’s Australian Aid Stakeholder Survey of 2015</w:t>
      </w:r>
      <w:r>
        <w:rPr>
          <w:rStyle w:val="FootnoteReference"/>
        </w:rPr>
        <w:footnoteReference w:id="129"/>
      </w:r>
      <w:r>
        <w:t xml:space="preserve"> </w:t>
      </w:r>
      <w:r>
        <w:rPr>
          <w:rStyle w:val="EndnoteReference"/>
        </w:rPr>
        <w:endnoteReference w:id="83"/>
      </w:r>
      <w:r>
        <w:t xml:space="preserve">; a finding which was mirrored in consultations for this APPR. Clarity in Jakarta should emerge as the EP closes, </w:t>
      </w:r>
      <w:r w:rsidR="00E63B39">
        <w:t xml:space="preserve">as </w:t>
      </w:r>
      <w:r>
        <w:t xml:space="preserve">the </w:t>
      </w:r>
      <w:r w:rsidR="00E63B39">
        <w:t xml:space="preserve">Education </w:t>
      </w:r>
      <w:r>
        <w:t xml:space="preserve">Sector Investment Plan is implemented and as the Basic Education Unit grows increasingly confident in their reading of both DFAT policy and the needs of key decision-makers. Nevertheless, there will be challenges. For example, the Embassy will need to continually assess the extent to which its staffing profile, which somewhat reflects the contract management requirements of AusAID, is suited to the new way of working required by DFAT. Equally, the Unit may wish to reflect on the extent to which the institutional culture at DFAT is prepared to relinquish certain decision-making responsibilities to contracted </w:t>
      </w:r>
      <w:r w:rsidR="00E63B39">
        <w:t>a</w:t>
      </w:r>
      <w:r>
        <w:t>dvisors.</w:t>
      </w:r>
      <w:r w:rsidR="002010DB">
        <w:rPr>
          <w:color w:val="FF0000"/>
        </w:rPr>
        <w:t xml:space="preserve"> </w:t>
      </w:r>
    </w:p>
    <w:p w:rsidR="00E46DFA" w:rsidRPr="00014CB7" w:rsidRDefault="00E46DFA" w:rsidP="00E46DFA">
      <w:pPr>
        <w:keepNext/>
        <w:outlineLvl w:val="2"/>
        <w:rPr>
          <w:i/>
          <w:color w:val="1F497D" w:themeColor="text2"/>
        </w:rPr>
      </w:pPr>
      <w:r>
        <w:rPr>
          <w:i/>
          <w:color w:val="1F497D" w:themeColor="text2"/>
        </w:rPr>
        <w:t>Increased f</w:t>
      </w:r>
      <w:r w:rsidRPr="00014CB7">
        <w:rPr>
          <w:i/>
          <w:color w:val="1F497D" w:themeColor="text2"/>
        </w:rPr>
        <w:t>ocus on safeguarding Australian funds</w:t>
      </w:r>
    </w:p>
    <w:p w:rsidR="00E46DFA" w:rsidRDefault="00E46DFA" w:rsidP="00E46DFA">
      <w:r>
        <w:t>In accordance with GoA’s domestic political agenda to ‘safeguard’ the tax payer’s dollar, the Embassy’s Basic Education Unit bolstered its oversight of EP auditing processes in 2015. This step reflected a necessary response to new DFAT policy commitments</w:t>
      </w:r>
      <w:r>
        <w:rPr>
          <w:rStyle w:val="FootnoteReference"/>
        </w:rPr>
        <w:footnoteReference w:id="130"/>
      </w:r>
      <w:r>
        <w:t xml:space="preserve"> and the unique position of Indonesian aid money within domestic political discourses. The interpretation of precisely how aid funding was best secured within the Indonesian aid program held important implications for the performance of the four EP components during 2015. First, it reduced the </w:t>
      </w:r>
      <w:r w:rsidRPr="003269C9">
        <w:t xml:space="preserve">Embassy’s risk appetite </w:t>
      </w:r>
      <w:r w:rsidRPr="003269C9">
        <w:lastRenderedPageBreak/>
        <w:t>and increased uneasiness with</w:t>
      </w:r>
      <w:r>
        <w:t xml:space="preserve"> </w:t>
      </w:r>
      <w:r w:rsidRPr="003269C9">
        <w:t xml:space="preserve">WiPs approaches. It is perhaps not coincidental that C3, C4 and POM, all of which are managed </w:t>
      </w:r>
      <w:r>
        <w:t xml:space="preserve">by a multilateral agency or an </w:t>
      </w:r>
      <w:r w:rsidRPr="003269C9">
        <w:t xml:space="preserve">MC, were </w:t>
      </w:r>
      <w:r>
        <w:t xml:space="preserve">relatively </w:t>
      </w:r>
      <w:r w:rsidRPr="003269C9">
        <w:t xml:space="preserve">sheltered from budget cuts in 2015, whereas the budgets of C1 and C2 – the two components that receive grant funding – were cut by over AUD 130m in 2015 (see </w:t>
      </w:r>
      <w:r>
        <w:fldChar w:fldCharType="begin"/>
      </w:r>
      <w:r>
        <w:instrText xml:space="preserve"> REF _Ref447897499 \h </w:instrText>
      </w:r>
      <w:r>
        <w:fldChar w:fldCharType="separate"/>
      </w:r>
      <w:r w:rsidR="00693E96" w:rsidRPr="00D20962">
        <w:t xml:space="preserve">Table </w:t>
      </w:r>
      <w:r w:rsidR="00693E96">
        <w:rPr>
          <w:noProof/>
        </w:rPr>
        <w:t>23</w:t>
      </w:r>
      <w:r>
        <w:fldChar w:fldCharType="end"/>
      </w:r>
      <w:r w:rsidRPr="003269C9">
        <w:t>, above</w:t>
      </w:r>
      <w:r>
        <w:t>)</w:t>
      </w:r>
      <w:r>
        <w:rPr>
          <w:rStyle w:val="FootnoteReference"/>
        </w:rPr>
        <w:footnoteReference w:id="131"/>
      </w:r>
      <w:r>
        <w:t>. Second, there was a marked adjustment of audit functions away from a capacity building agenda (i.e. assisting GoI bodies to properly control and account for expenditure) towards one of identifying instances of misuse and securing means of restitution.</w:t>
      </w:r>
    </w:p>
    <w:p w:rsidR="00E46DFA" w:rsidRDefault="00E46DFA" w:rsidP="00E46DFA">
      <w:r>
        <w:t>To</w:t>
      </w:r>
      <w:r w:rsidRPr="003269C9">
        <w:t xml:space="preserve"> a large extent, the </w:t>
      </w:r>
      <w:r w:rsidR="001B386A">
        <w:t xml:space="preserve">Basic </w:t>
      </w:r>
      <w:r w:rsidRPr="003269C9">
        <w:t xml:space="preserve">Education Unit’s commitment </w:t>
      </w:r>
      <w:r>
        <w:t>was consistent with</w:t>
      </w:r>
      <w:r w:rsidRPr="003269C9">
        <w:t xml:space="preserve"> the rhetoric and practice </w:t>
      </w:r>
      <w:r>
        <w:t>in</w:t>
      </w:r>
      <w:r w:rsidRPr="003269C9">
        <w:t xml:space="preserve"> many donor environments, particularly where aid commitments </w:t>
      </w:r>
      <w:r>
        <w:t>were</w:t>
      </w:r>
      <w:r w:rsidRPr="003269C9">
        <w:t xml:space="preserve"> being made in periods of austerity and increased external scrutiny (and </w:t>
      </w:r>
      <w:r>
        <w:t xml:space="preserve">aid </w:t>
      </w:r>
      <w:r w:rsidRPr="003269C9">
        <w:t>s</w:t>
      </w:r>
      <w:r>
        <w:t>c</w:t>
      </w:r>
      <w:r w:rsidRPr="003269C9">
        <w:t>epticism).</w:t>
      </w:r>
      <w:r>
        <w:t xml:space="preserve"> </w:t>
      </w:r>
    </w:p>
    <w:p w:rsidR="00E46DFA" w:rsidRPr="00963EA7" w:rsidRDefault="00E46DFA" w:rsidP="00E46DFA">
      <w:pPr>
        <w:pStyle w:val="Heading3"/>
      </w:pPr>
      <w:r w:rsidRPr="00963EA7">
        <w:t>Influence of M&amp;</w:t>
      </w:r>
      <w:r>
        <w:t>G</w:t>
      </w:r>
      <w:r w:rsidRPr="00963EA7">
        <w:t xml:space="preserve"> on EP performance</w:t>
      </w:r>
    </w:p>
    <w:p w:rsidR="00E46DFA" w:rsidRDefault="00E46DFA" w:rsidP="00E46DFA">
      <w:r>
        <w:t xml:space="preserve">With 2015 providing a </w:t>
      </w:r>
      <w:r w:rsidRPr="000615A3">
        <w:t>challenging management and governance environment</w:t>
      </w:r>
      <w:r>
        <w:t xml:space="preserve"> for the EP, it is pertinent to reflect on the extent to which management decision-making enhanced or disadvantaged the EP’s performance with respect to the DAC criteria.</w:t>
      </w:r>
    </w:p>
    <w:p w:rsidR="00E46DFA" w:rsidRDefault="00E46DFA" w:rsidP="00E46DFA">
      <w:r>
        <w:t xml:space="preserve">In terms of </w:t>
      </w:r>
      <w:r w:rsidRPr="00DC15EC">
        <w:rPr>
          <w:b/>
        </w:rPr>
        <w:t>relevance</w:t>
      </w:r>
      <w:r>
        <w:t xml:space="preserve">, the Embassy’s management decisions were largely shaped by the </w:t>
      </w:r>
      <w:r w:rsidRPr="000615A3">
        <w:t xml:space="preserve">spirit and intent </w:t>
      </w:r>
      <w:r>
        <w:t xml:space="preserve">of Australia’s new aid paradigm, coupled with intent to support implementation of key reform priorities in the Indonesian education sector and an associated strategy to cultivate close people-to-people relationships with the Minister of Education and Culture and his </w:t>
      </w:r>
      <w:r w:rsidRPr="0036741E">
        <w:t>Director-Generals</w:t>
      </w:r>
      <w:r>
        <w:t xml:space="preserve">. While the relevance of particular aid modalities (e.g. WiPs in C1 and C2) to GoA policy sharply declined in 2015, Components became neither more nor less relevant because of decisions taken by management. The only exception may be C4 because its networks proved highly relevant to the Embassy’s people-to-people agenda. </w:t>
      </w:r>
    </w:p>
    <w:p w:rsidR="00E46DFA" w:rsidRPr="006622DF" w:rsidRDefault="00E46DFA" w:rsidP="00E46DFA">
      <w:r>
        <w:t xml:space="preserve">The </w:t>
      </w:r>
      <w:r w:rsidRPr="00DC15EC">
        <w:rPr>
          <w:b/>
        </w:rPr>
        <w:t>efficiency</w:t>
      </w:r>
      <w:r>
        <w:t xml:space="preserve"> of EP delivery experienced an overall downturn in 2015, with only C3 showing year-on-year improvement from 2014 to 2015. In some areas the drivers of the downturn were associated with changes in GoI, with the effect of the restructure to and staffing changes within MoEC on C2/ProDEP being a case in point. However, in other areas the Embassy’s uncertain and evolving management positions regarding the completion of Cycle 4 schools (C1), the unpredictable budget flows to ProDEP (C2) and a reversal of DFAT’s decision regarding the extension to ACDP (C4) compromised the firm, predictable foundations upon which management decisions could be taken by GoI and/or Implementing Partners. Notwithstanding what was undoubtedly a challenging management environment for the Embassy’s Basic Education Unit, a number of EP stakeholders expressed concern about the uncertainty and confusion fostered by what were sometimes regarded as being </w:t>
      </w:r>
      <w:r w:rsidRPr="009859D1">
        <w:rPr>
          <w:i/>
        </w:rPr>
        <w:t>ad hoc</w:t>
      </w:r>
      <w:r>
        <w:t xml:space="preserve"> and fragmented management decisions. These realities are not unique to Jakarta. The Development Policy Centre’s Australian Aid Stakeholder Survey of 2015 found that f</w:t>
      </w:r>
      <w:r w:rsidRPr="006622DF">
        <w:t xml:space="preserve">unding predictability </w:t>
      </w:r>
      <w:r>
        <w:t xml:space="preserve">and strategic clarity were </w:t>
      </w:r>
      <w:r w:rsidRPr="006622DF">
        <w:t xml:space="preserve">viewed as </w:t>
      </w:r>
      <w:r>
        <w:t>considerable weakness</w:t>
      </w:r>
      <w:r w:rsidR="00E63B39">
        <w:t>es</w:t>
      </w:r>
      <w:r>
        <w:t xml:space="preserve"> of Australian aid in the period following the integration of AusAID into DFAT</w:t>
      </w:r>
      <w:r>
        <w:rPr>
          <w:rStyle w:val="EndnoteReference"/>
        </w:rPr>
        <w:endnoteReference w:id="84"/>
      </w:r>
      <w:r>
        <w:t>.</w:t>
      </w:r>
      <w:r w:rsidR="002010DB">
        <w:t xml:space="preserve"> </w:t>
      </w:r>
    </w:p>
    <w:p w:rsidR="00E46DFA" w:rsidRPr="00BD5D3A" w:rsidRDefault="00E46DFA" w:rsidP="00E46DFA">
      <w:r>
        <w:t>T</w:t>
      </w:r>
      <w:r w:rsidRPr="000C7CC1">
        <w:t>he EOPOs remain relevant to both government partners and the Education Unit believes that the four EOPOs have become entrenched in its ‘psyche</w:t>
      </w:r>
      <w:r>
        <w:t>’. Nevertheless,</w:t>
      </w:r>
      <w:r w:rsidRPr="000C7CC1">
        <w:t xml:space="preserve"> a number of Implementing Partners or </w:t>
      </w:r>
      <w:r w:rsidR="00A907A2">
        <w:t>their a</w:t>
      </w:r>
      <w:r w:rsidRPr="000C7CC1">
        <w:t xml:space="preserve">dvisors expressed </w:t>
      </w:r>
      <w:r>
        <w:t>concern that there</w:t>
      </w:r>
      <w:r w:rsidRPr="000C7CC1">
        <w:t xml:space="preserve"> was little management and governance </w:t>
      </w:r>
      <w:r w:rsidRPr="000C7CC1">
        <w:lastRenderedPageBreak/>
        <w:t>focus</w:t>
      </w:r>
      <w:r>
        <w:t xml:space="preserve"> in 2015</w:t>
      </w:r>
      <w:r w:rsidRPr="000C7CC1">
        <w:t xml:space="preserve"> on </w:t>
      </w:r>
      <w:r>
        <w:t xml:space="preserve">matters that might influence the </w:t>
      </w:r>
      <w:r w:rsidRPr="007B090D">
        <w:rPr>
          <w:b/>
        </w:rPr>
        <w:t>effectiveness</w:t>
      </w:r>
      <w:r>
        <w:t xml:space="preserve"> of the EP investments</w:t>
      </w:r>
      <w:r w:rsidRPr="000C7CC1">
        <w:t xml:space="preserve">. </w:t>
      </w:r>
      <w:r>
        <w:t xml:space="preserve">While </w:t>
      </w:r>
      <w:r w:rsidRPr="000C7CC1">
        <w:t xml:space="preserve">decision-making </w:t>
      </w:r>
      <w:r>
        <w:t xml:space="preserve">within the Embassy </w:t>
      </w:r>
      <w:r w:rsidRPr="000C7CC1">
        <w:t xml:space="preserve">may have been informed by the EP’s high-level aspirations, the Embassy’s approach to key management decisions, such as </w:t>
      </w:r>
      <w:r>
        <w:t xml:space="preserve">the duration and financial value of </w:t>
      </w:r>
      <w:r w:rsidRPr="000C7CC1">
        <w:t>its continued support to ProDEP</w:t>
      </w:r>
      <w:r>
        <w:t xml:space="preserve"> and its decision in late 2015 to reverse its earlier decision not to extend </w:t>
      </w:r>
      <w:r w:rsidRPr="008D642A">
        <w:t xml:space="preserve">its support to ACDP, were frequently articulated without a clear, consistent rationale or an explanation of the evidence that informed such decisions. In that regard, </w:t>
      </w:r>
      <w:r>
        <w:t xml:space="preserve">realities in Jakarta are seemingly consistent with concern among Australian aid stakeholders about perceived downturns in transparency and performance management (see </w:t>
      </w:r>
      <w:r>
        <w:fldChar w:fldCharType="begin"/>
      </w:r>
      <w:r>
        <w:instrText xml:space="preserve"> REF _Ref447916011 \h </w:instrText>
      </w:r>
      <w:r>
        <w:fldChar w:fldCharType="separate"/>
      </w:r>
      <w:r w:rsidR="00693E96">
        <w:t xml:space="preserve">Figure </w:t>
      </w:r>
      <w:r w:rsidR="00693E96">
        <w:rPr>
          <w:noProof/>
        </w:rPr>
        <w:t>5</w:t>
      </w:r>
      <w:r>
        <w:fldChar w:fldCharType="end"/>
      </w:r>
      <w:r>
        <w:t>, below).</w:t>
      </w:r>
      <w:r w:rsidR="002010DB">
        <w:t xml:space="preserve"> </w:t>
      </w:r>
    </w:p>
    <w:p w:rsidR="00E46DFA" w:rsidRDefault="00E46DFA" w:rsidP="00E46DFA">
      <w:pPr>
        <w:pStyle w:val="Caption-Figure"/>
      </w:pPr>
      <w:bookmarkStart w:id="112" w:name="_Ref447916011"/>
      <w:bookmarkStart w:id="113" w:name="_Toc448145930"/>
      <w:r>
        <w:t xml:space="preserve">Figure </w:t>
      </w:r>
      <w:r>
        <w:fldChar w:fldCharType="begin"/>
      </w:r>
      <w:r>
        <w:instrText xml:space="preserve"> SEQ Figure \* ARABIC </w:instrText>
      </w:r>
      <w:r>
        <w:fldChar w:fldCharType="separate"/>
      </w:r>
      <w:r w:rsidR="00693E96">
        <w:rPr>
          <w:noProof/>
        </w:rPr>
        <w:t>5</w:t>
      </w:r>
      <w:r>
        <w:fldChar w:fldCharType="end"/>
      </w:r>
      <w:bookmarkEnd w:id="112"/>
      <w:r>
        <w:t xml:space="preserve">: </w:t>
      </w:r>
      <w:r w:rsidRPr="001D2009">
        <w:t>Attributes of DFAT’s aid program, 2013-2015</w:t>
      </w:r>
      <w:bookmarkEnd w:id="113"/>
    </w:p>
    <w:p w:rsidR="00E46DFA" w:rsidRDefault="00E46DFA" w:rsidP="00E46DFA">
      <w:pPr>
        <w:jc w:val="center"/>
      </w:pPr>
      <w:r>
        <w:rPr>
          <w:noProof/>
          <w:lang w:eastAsia="en-AU"/>
        </w:rPr>
        <w:drawing>
          <wp:inline distT="0" distB="0" distL="0" distR="0" wp14:anchorId="577163A5" wp14:editId="34088529">
            <wp:extent cx="4844948" cy="34767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45143" cy="3476888"/>
                    </a:xfrm>
                    <a:prstGeom prst="rect">
                      <a:avLst/>
                    </a:prstGeom>
                    <a:noFill/>
                  </pic:spPr>
                </pic:pic>
              </a:graphicData>
            </a:graphic>
          </wp:inline>
        </w:drawing>
      </w:r>
    </w:p>
    <w:p w:rsidR="00E46DFA" w:rsidRPr="00E46DFA" w:rsidRDefault="00E46DFA" w:rsidP="00E46DFA">
      <w:pPr>
        <w:pStyle w:val="SourceNotes"/>
      </w:pPr>
      <w:r w:rsidRPr="001D2009">
        <w:t>Source: Wood, T, Burkot, C, Howes, S, 2016, Australian aid: signs of risk – the 2015 Australian aid stakeholder survey, The Development Policy Centre, Canberra</w:t>
      </w:r>
    </w:p>
    <w:p w:rsidR="00E46DFA" w:rsidRPr="001D2009" w:rsidRDefault="00E46DFA" w:rsidP="00E46DFA">
      <w:pPr>
        <w:pStyle w:val="SourceNotes"/>
      </w:pPr>
      <w:r w:rsidRPr="001D2009">
        <w:t xml:space="preserve">Figure notes: In both 2013 and 2015, respondents were asked to rate, as strengths or weaknesses, 17 attributes that are important for aid program effectiveness. The ratings are normalised from zero (great weakness) to one (great strength) with 0.5 being a neutral rating. If the dots lie below the blue line, the rating has worsened </w:t>
      </w:r>
      <w:r w:rsidRPr="00E46DFA">
        <w:t>since</w:t>
      </w:r>
      <w:r w:rsidRPr="001D2009">
        <w:t xml:space="preserve"> 2013. Blue dots show an</w:t>
      </w:r>
      <w:r>
        <w:t xml:space="preserve"> </w:t>
      </w:r>
      <w:r w:rsidRPr="001D2009">
        <w:t>improvement, orange dots a moderate decline, and red dots a large decline (20 per cent or more than the average decline).</w:t>
      </w:r>
    </w:p>
    <w:p w:rsidR="00E46DFA" w:rsidRDefault="00E46DFA" w:rsidP="00E46DFA">
      <w:r>
        <w:t xml:space="preserve">Any downturns in or lingering uncertainties about effectiveness will inevitably have an adverse effect on the potential for intended, positive long-term </w:t>
      </w:r>
      <w:r w:rsidRPr="00947676">
        <w:rPr>
          <w:b/>
        </w:rPr>
        <w:t>impacts</w:t>
      </w:r>
      <w:r>
        <w:t xml:space="preserve"> to accrue over time. ProDEP stands out somewhat uncomfortably in that regard and it is important that the actual effectiveness of ProDEP be tested and lessons learned should GoI and DFAT be interested in sustaining the investment and/or adapting it to other stakeholder groups, such as teachers. More positively, however, the B</w:t>
      </w:r>
      <w:r w:rsidRPr="001D47AE">
        <w:t>asic Education Unit’s concerted drive to utilize SSQ’s Social Inclusion Advisor to help instigate inclusive education pilots in C3 and to participate in a range of social inclusion-related fora is praiseworthy</w:t>
      </w:r>
      <w:r w:rsidR="00531CDB">
        <w:t xml:space="preserve"> (see Text Box over the page)</w:t>
      </w:r>
      <w:r w:rsidRPr="001D47AE">
        <w:t xml:space="preserve">. The investment is probably cost-effective and </w:t>
      </w:r>
      <w:r w:rsidRPr="001D47AE">
        <w:rPr>
          <w:bCs/>
        </w:rPr>
        <w:t xml:space="preserve">the Unit’s </w:t>
      </w:r>
      <w:r w:rsidRPr="001D47AE">
        <w:rPr>
          <w:bCs/>
        </w:rPr>
        <w:lastRenderedPageBreak/>
        <w:t>efforts in 2015 go some way to addressing areas of concern</w:t>
      </w:r>
      <w:r>
        <w:rPr>
          <w:rStyle w:val="FootnoteReference"/>
          <w:bCs/>
        </w:rPr>
        <w:footnoteReference w:id="132"/>
      </w:r>
      <w:r w:rsidRPr="001D47AE">
        <w:t xml:space="preserve">. Nonetheless </w:t>
      </w:r>
      <w:r>
        <w:t xml:space="preserve">an EP-wide investment, underpinned by </w:t>
      </w:r>
      <w:r w:rsidRPr="001D47AE">
        <w:t>strategic clarity</w:t>
      </w:r>
      <w:r>
        <w:t xml:space="preserve"> about intent and focus,</w:t>
      </w:r>
      <w:r w:rsidRPr="001D47AE">
        <w:t xml:space="preserve"> would have generated a greater return. The ongoing absence of a clearly defined, shared and articulated social inclusion framework</w:t>
      </w:r>
      <w:r>
        <w:t xml:space="preserve"> inevitably</w:t>
      </w:r>
      <w:r w:rsidRPr="001D47AE">
        <w:t xml:space="preserve"> limit the EP’s contribution</w:t>
      </w:r>
      <w:r>
        <w:t xml:space="preserve"> to DFAT policy commitments</w:t>
      </w:r>
      <w:r w:rsidRPr="001D47AE">
        <w:t xml:space="preserve"> and, looking to the Forward Program, it is imperative that the Embassy develop appropriate </w:t>
      </w:r>
      <w:r w:rsidRPr="001D47AE">
        <w:rPr>
          <w:bCs/>
        </w:rPr>
        <w:t xml:space="preserve">frameworks within which all </w:t>
      </w:r>
      <w:r>
        <w:rPr>
          <w:bCs/>
        </w:rPr>
        <w:t xml:space="preserve">Implementing Partners, </w:t>
      </w:r>
      <w:r w:rsidR="00153D2F">
        <w:rPr>
          <w:bCs/>
        </w:rPr>
        <w:t>a</w:t>
      </w:r>
      <w:r w:rsidRPr="001D47AE">
        <w:rPr>
          <w:bCs/>
        </w:rPr>
        <w:t xml:space="preserve">dvisors and </w:t>
      </w:r>
      <w:r>
        <w:rPr>
          <w:bCs/>
        </w:rPr>
        <w:t xml:space="preserve">other </w:t>
      </w:r>
      <w:r w:rsidRPr="001D47AE">
        <w:rPr>
          <w:bCs/>
        </w:rPr>
        <w:t>stakeholders understand DFAT’s expectations and are expected to make an active and meaningful contribution to associated targets.</w:t>
      </w:r>
      <w:r w:rsidR="002010DB">
        <w:rPr>
          <w:bCs/>
        </w:rPr>
        <w:t xml:space="preserve"> </w:t>
      </w:r>
    </w:p>
    <w:p w:rsidR="00531CDB" w:rsidRDefault="00531CDB" w:rsidP="00E46DFA">
      <w:r w:rsidRPr="00531CDB">
        <w:rPr>
          <w:noProof/>
          <w:lang w:eastAsia="en-AU"/>
        </w:rPr>
        <mc:AlternateContent>
          <mc:Choice Requires="wps">
            <w:drawing>
              <wp:inline distT="0" distB="0" distL="0" distR="0" wp14:anchorId="45E95607" wp14:editId="2396261B">
                <wp:extent cx="5633744" cy="4181475"/>
                <wp:effectExtent l="57150" t="38100" r="81280" b="104775"/>
                <wp:docPr id="2" name="Rectangle 2"/>
                <wp:cNvGraphicFramePr/>
                <a:graphic xmlns:a="http://schemas.openxmlformats.org/drawingml/2006/main">
                  <a:graphicData uri="http://schemas.microsoft.com/office/word/2010/wordprocessingShape">
                    <wps:wsp>
                      <wps:cNvSpPr/>
                      <wps:spPr>
                        <a:xfrm>
                          <a:off x="0" y="0"/>
                          <a:ext cx="5633744" cy="41814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290662" w:rsidRPr="00224AE9" w:rsidRDefault="00290662" w:rsidP="00531CDB">
                            <w:pPr>
                              <w:jc w:val="center"/>
                              <w:rPr>
                                <w:rFonts w:cstheme="minorHAnsi"/>
                                <w:b/>
                              </w:rPr>
                            </w:pPr>
                            <w:r>
                              <w:rPr>
                                <w:rFonts w:cstheme="minorHAnsi"/>
                                <w:b/>
                              </w:rPr>
                              <w:t>Gender mainstreaming in the EP</w:t>
                            </w:r>
                          </w:p>
                          <w:p w:rsidR="00290662" w:rsidRPr="00531CDB" w:rsidRDefault="00290662" w:rsidP="002010DB">
                            <w:pPr>
                              <w:rPr>
                                <w:rFonts w:cstheme="minorHAnsi"/>
                                <w:sz w:val="20"/>
                                <w:szCs w:val="20"/>
                              </w:rPr>
                            </w:pPr>
                            <w:r w:rsidRPr="00531CDB">
                              <w:rPr>
                                <w:rFonts w:cstheme="minorHAnsi"/>
                                <w:sz w:val="20"/>
                                <w:szCs w:val="20"/>
                              </w:rPr>
                              <w:t xml:space="preserve">The EP supports a range of activities that promote gender equality. For example, it promotes measures that seek to ensure equal participation of men and women in EP-financed training opportunities (e.g. see ProDEP), the M&amp;E system collects sex-disaggregated data, and ACDP has conducted gender-focused analysis of sector challenges (e.g. see its Review of a Decade of Gender Mainstreaming in Education in Indonesia and the Policy Brief on Gender Equality in Education in Indonesia, both from 2013). POM was also tasked by DFAT in 2015 to conduct analysis of career progression pathways for female </w:t>
                            </w:r>
                            <w:r>
                              <w:rPr>
                                <w:rFonts w:cstheme="minorHAnsi"/>
                                <w:sz w:val="20"/>
                                <w:szCs w:val="20"/>
                              </w:rPr>
                              <w:t>principals</w:t>
                            </w:r>
                            <w:r w:rsidRPr="00531CDB">
                              <w:rPr>
                                <w:rFonts w:cstheme="minorHAnsi"/>
                                <w:sz w:val="20"/>
                                <w:szCs w:val="20"/>
                              </w:rPr>
                              <w:t xml:space="preserve">. In addition, and in direct response to concerns raised in the AQC about the EP’s approach to gender equality, a Social Inclusion Adviser was appointed by SSQ. The adviser oversees a range of ad hoc initiatives under Components 1, 2 and 3. </w:t>
                            </w:r>
                          </w:p>
                          <w:p w:rsidR="00290662" w:rsidRPr="00531CDB" w:rsidRDefault="00290662" w:rsidP="002010DB">
                            <w:pPr>
                              <w:rPr>
                                <w:rFonts w:cstheme="minorHAnsi"/>
                                <w:sz w:val="20"/>
                                <w:szCs w:val="20"/>
                              </w:rPr>
                            </w:pPr>
                            <w:r w:rsidRPr="00531CDB">
                              <w:rPr>
                                <w:rFonts w:cstheme="minorHAnsi"/>
                                <w:sz w:val="20"/>
                                <w:szCs w:val="20"/>
                              </w:rPr>
                              <w:t>While all these initiatives are valuable, the EP might have achieved more through the application of a more structured approach. Australia’s Aid Policy of 2014 establishes gender equality and women’s empowerment as a priority for development. It also required that 80% of Australia’s aid, regardless of objectives, perform effectively in promoting gender equality. Ultimately it is unclear if the EP investments are making a significant and expected difference to gender equality and the empowerment of women and girls. While gender equality is not an explicit objective of the EP investment, opportunities to frame expectations and to identify and manage risks to gender equality and equity have not been grasped. Specifically, opportunities to produce a social inclusion framework that would sit within the governments’ policy frameworks for gender equality and women’s empowerment and which would outline resourced strategies and actions to pursued agreed objectives</w:t>
                            </w:r>
                            <w:r>
                              <w:rPr>
                                <w:rFonts w:cstheme="minorHAnsi"/>
                                <w:sz w:val="20"/>
                                <w:szCs w:val="20"/>
                              </w:rPr>
                              <w:t xml:space="preserve"> </w:t>
                            </w:r>
                            <w:r w:rsidRPr="00531CDB">
                              <w:rPr>
                                <w:rFonts w:cstheme="minorHAnsi"/>
                                <w:sz w:val="20"/>
                                <w:szCs w:val="20"/>
                              </w:rPr>
                              <w:t xml:space="preserve">have been eschewed in favour of activity-by-activity investments, often at particular points in time. </w:t>
                            </w:r>
                          </w:p>
                          <w:p w:rsidR="00290662" w:rsidRDefault="00290662" w:rsidP="00531C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 o:spid="_x0000_s1033" style="width:443.6pt;height:3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" fillcolor="#bcbcbc">
                <v:fill color2="#ededed" rotate="t" angle="180" colors="0 #bcbcbc;22938f #d0d0d0;1 #ededed" focus="100%" type="gradient"/>
                <v:shadow on="t" color="black" opacity="24903f" origin=",.5" offset="0,.55556mm"/>
                <v:textbox>
                  <w:txbxContent>
                    <w:p w:rsidR="00290662" w:rsidRPr="00224AE9" w:rsidRDefault="00290662" w:rsidP="00531CDB">
                      <w:pPr>
                        <w:jc w:val="center"/>
                        <w:rPr>
                          <w:rFonts w:cstheme="minorHAnsi"/>
                          <w:b/>
                        </w:rPr>
                      </w:pPr>
                      <w:r>
                        <w:rPr>
                          <w:rFonts w:cstheme="minorHAnsi"/>
                          <w:b/>
                        </w:rPr>
                        <w:t>Gender mainstreaming in the EP</w:t>
                      </w:r>
                    </w:p>
                    <w:p w:rsidR="00290662" w:rsidRPr="00531CDB" w:rsidRDefault="00290662" w:rsidP="002010DB">
                      <w:pPr>
                        <w:rPr>
                          <w:rFonts w:cstheme="minorHAnsi"/>
                          <w:sz w:val="20"/>
                          <w:szCs w:val="20"/>
                        </w:rPr>
                      </w:pPr>
                      <w:r w:rsidRPr="00531CDB">
                        <w:rPr>
                          <w:rFonts w:cstheme="minorHAnsi"/>
                          <w:sz w:val="20"/>
                          <w:szCs w:val="20"/>
                        </w:rPr>
                        <w:t xml:space="preserve">The EP supports a range of activities that promote gender equality. For example, it promotes measures that seek to ensure equal participation of men and women in EP-financed training opportunities (e.g. see ProDEP), the M&amp;E system collects sex-disaggregated data, and ACDP has conducted gender-focused analysis of sector challenges (e.g. see its Review of a Decade of Gender Mainstreaming in Education in Indonesia and the Policy Brief on Gender Equality in Education in Indonesia, both from 2013). POM was also tasked by DFAT in 2015 to conduct analysis of career progression pathways for female </w:t>
                      </w:r>
                      <w:r>
                        <w:rPr>
                          <w:rFonts w:cstheme="minorHAnsi"/>
                          <w:sz w:val="20"/>
                          <w:szCs w:val="20"/>
                        </w:rPr>
                        <w:t>principals</w:t>
                      </w:r>
                      <w:r w:rsidRPr="00531CDB">
                        <w:rPr>
                          <w:rFonts w:cstheme="minorHAnsi"/>
                          <w:sz w:val="20"/>
                          <w:szCs w:val="20"/>
                        </w:rPr>
                        <w:t xml:space="preserve">. In addition, and in direct response to concerns raised in the AQC about the EP’s approach to gender equality, a Social Inclusion Adviser was appointed by SSQ. The adviser oversees a range of ad hoc initiatives under Components 1, 2 and 3. </w:t>
                      </w:r>
                    </w:p>
                    <w:p w:rsidR="00290662" w:rsidRPr="00531CDB" w:rsidRDefault="00290662" w:rsidP="002010DB">
                      <w:pPr>
                        <w:rPr>
                          <w:rFonts w:cstheme="minorHAnsi"/>
                          <w:sz w:val="20"/>
                          <w:szCs w:val="20"/>
                        </w:rPr>
                      </w:pPr>
                      <w:r w:rsidRPr="00531CDB">
                        <w:rPr>
                          <w:rFonts w:cstheme="minorHAnsi"/>
                          <w:sz w:val="20"/>
                          <w:szCs w:val="20"/>
                        </w:rPr>
                        <w:t>While all these initiatives are valuable, the EP might have achieved more through the application of a more structured approach. Australia’s Aid Policy of 2014 establishes gender equality and women’s empowerment as a priority for development. It also required that 80% of Australia’s aid, regardless of objectives, perform effectively in promoting gender equality. Ultimately it is unclear if the EP investments are making a significant and expected difference to gender equality and the empowerment of women and girls. While gender equality is not an explicit objective of the EP investment, opportunities to frame expectations and to identify and manage risks to gender equality and equity have not been grasped. Specifically, opportunities to produce a social inclusion framework that would sit within the governments’ policy frameworks for gender equality and women’s empowerment and which would outline resourced strategies and actions to pursued agreed objectives</w:t>
                      </w:r>
                      <w:r>
                        <w:rPr>
                          <w:rFonts w:cstheme="minorHAnsi"/>
                          <w:sz w:val="20"/>
                          <w:szCs w:val="20"/>
                        </w:rPr>
                        <w:t xml:space="preserve"> </w:t>
                      </w:r>
                      <w:r w:rsidRPr="00531CDB">
                        <w:rPr>
                          <w:rFonts w:cstheme="minorHAnsi"/>
                          <w:sz w:val="20"/>
                          <w:szCs w:val="20"/>
                        </w:rPr>
                        <w:t xml:space="preserve">have been eschewed in favour of activity-by-activity investments, often at particular points in time. </w:t>
                      </w:r>
                    </w:p>
                    <w:p w:rsidR="00290662" w:rsidRDefault="00290662" w:rsidP="00531CDB">
                      <w:pPr>
                        <w:jc w:val="center"/>
                      </w:pPr>
                    </w:p>
                  </w:txbxContent>
                </v:textbox>
                <w10:anchorlock/>
              </v:rect>
            </w:pict>
          </mc:Fallback>
        </mc:AlternateContent>
      </w:r>
    </w:p>
    <w:p w:rsidR="00E46DFA" w:rsidRPr="00587899" w:rsidRDefault="00E46DFA" w:rsidP="00E46DFA">
      <w:r w:rsidRPr="00587899">
        <w:t xml:space="preserve">The Embassy’s emphasis in Q1-2 of 2015 on </w:t>
      </w:r>
      <w:r w:rsidRPr="00587899">
        <w:rPr>
          <w:b/>
        </w:rPr>
        <w:t>sustainability</w:t>
      </w:r>
      <w:r w:rsidRPr="00587899">
        <w:t xml:space="preserve"> was commendable and necessary but momentum </w:t>
      </w:r>
      <w:r>
        <w:t>was</w:t>
      </w:r>
      <w:r w:rsidRPr="00587899">
        <w:t xml:space="preserve"> lost as the year progressed, with minimal interest being applied to the implementation and oversight of sustainability plans. </w:t>
      </w:r>
      <w:r>
        <w:t xml:space="preserve">Despite the initial rhetorical commitment to a smooth closure or transitioning of EP investments to the Forward Program, a number of stakeholders voiced concern about the Embassy’s apparent desire to conclude its investment as quickly as possible and to shift to the new suite of investments. Perhaps by default, attention seemingly shifted to how best to handover responsibility (e.g. of construction guidelines, school construction completion, ProDEP financing). The political, policy and institutional incentives and motivations that might have shaped such a mindset are clear but the Embassy needs to remain sensitive to the dangers of downplaying the relevance and results of its investments to 2015/16. </w:t>
      </w:r>
    </w:p>
    <w:p w:rsidR="00E46DFA" w:rsidRPr="00F72E8B" w:rsidRDefault="00E46DFA" w:rsidP="00E46DFA">
      <w:pPr>
        <w:pStyle w:val="Heading2"/>
      </w:pPr>
      <w:r w:rsidRPr="00F72E8B">
        <w:lastRenderedPageBreak/>
        <w:t>Looking ahead</w:t>
      </w:r>
    </w:p>
    <w:p w:rsidR="00E46DFA" w:rsidRDefault="00E46DFA" w:rsidP="00E46DFA">
      <w:r w:rsidRPr="000615A3">
        <w:t xml:space="preserve">Implementing </w:t>
      </w:r>
      <w:r>
        <w:t>P</w:t>
      </w:r>
      <w:r w:rsidRPr="000615A3">
        <w:t xml:space="preserve">artners and key GoI figures </w:t>
      </w:r>
      <w:r>
        <w:t xml:space="preserve">are </w:t>
      </w:r>
      <w:r w:rsidRPr="000615A3">
        <w:t xml:space="preserve">generally supportive of </w:t>
      </w:r>
      <w:r>
        <w:t>the Embassy’s</w:t>
      </w:r>
      <w:r w:rsidRPr="000615A3">
        <w:t xml:space="preserve"> shift </w:t>
      </w:r>
      <w:r>
        <w:t>to a leaner, more agile program</w:t>
      </w:r>
      <w:r w:rsidRPr="000615A3">
        <w:t>.</w:t>
      </w:r>
      <w:r>
        <w:t xml:space="preserve"> Equally, there is an acceptance that new aid investments must go further to blend the attainment of developmental </w:t>
      </w:r>
      <w:r w:rsidRPr="00963EA7">
        <w:t xml:space="preserve">outcomes with </w:t>
      </w:r>
      <w:r>
        <w:t xml:space="preserve">the Embassy’s </w:t>
      </w:r>
      <w:r w:rsidRPr="00963EA7">
        <w:t>political</w:t>
      </w:r>
      <w:r>
        <w:t xml:space="preserve"> needs and</w:t>
      </w:r>
      <w:r w:rsidRPr="00963EA7">
        <w:t xml:space="preserve"> aspirations</w:t>
      </w:r>
      <w:r>
        <w:t>. To that extent, the Basic Education Unit could rightly argue that its implementation of DFAT’s policy commitments to be led by local priorities and to forge close people-to-people relationships is fully consistent with GoA’s desire to transition its relationship with Indonesia from that of donor-aid recipient to that of a mature relationship between two G20 neighbours</w:t>
      </w:r>
      <w:r w:rsidRPr="006052AF">
        <w:t>.</w:t>
      </w:r>
      <w:r>
        <w:t xml:space="preserve"> </w:t>
      </w:r>
    </w:p>
    <w:p w:rsidR="00E46DFA" w:rsidRPr="001A284F" w:rsidRDefault="00E46DFA" w:rsidP="00E46DFA">
      <w:r>
        <w:t xml:space="preserve">In time, it is distinctly possible that the Forward Program will constitute a stronger “partnership” between the two governments than what was seen in the </w:t>
      </w:r>
      <w:r w:rsidRPr="0036741E">
        <w:t>Education</w:t>
      </w:r>
      <w:r w:rsidRPr="00C34F8C">
        <w:rPr>
          <w:i/>
        </w:rPr>
        <w:t xml:space="preserve"> Partnership</w:t>
      </w:r>
      <w:r>
        <w:t xml:space="preserve"> of 2011-16/17. Nonetheless, a</w:t>
      </w:r>
      <w:r>
        <w:rPr>
          <w:bCs/>
        </w:rPr>
        <w:t>s the Embassy transitions from the EP to its Forward Program</w:t>
      </w:r>
      <w:r w:rsidR="00DC2F59">
        <w:rPr>
          <w:bCs/>
        </w:rPr>
        <w:t>,</w:t>
      </w:r>
      <w:r>
        <w:rPr>
          <w:bCs/>
        </w:rPr>
        <w:t xml:space="preserve"> it must ensure that it sets a clear strategic direction, that it clearly communicates what it wants from its investments and those implementing them, and that it invests in appropriate capacity building measures such that key actors possess the understanding, </w:t>
      </w:r>
      <w:r w:rsidRPr="001A284F">
        <w:rPr>
          <w:bCs/>
        </w:rPr>
        <w:t xml:space="preserve">the capacity and the capability to meet the Embassy’s more political expectations of its aid program. </w:t>
      </w:r>
    </w:p>
    <w:p w:rsidR="00D20962" w:rsidRPr="001A284F" w:rsidRDefault="00D20962" w:rsidP="00775568">
      <w:pPr>
        <w:pStyle w:val="Heading2"/>
      </w:pPr>
      <w:r w:rsidRPr="001A284F">
        <w:t>Recommendations</w:t>
      </w:r>
    </w:p>
    <w:p w:rsidR="00D20962" w:rsidRPr="00D20962" w:rsidRDefault="00D20962" w:rsidP="00775568">
      <w:r w:rsidRPr="001A284F">
        <w:t xml:space="preserve">Recommendations for improvement </w:t>
      </w:r>
      <w:r w:rsidR="001A284F" w:rsidRPr="00A907A2">
        <w:t xml:space="preserve">in the oversight of the EP </w:t>
      </w:r>
      <w:r w:rsidRPr="001A284F">
        <w:t>and</w:t>
      </w:r>
      <w:r w:rsidR="001A284F" w:rsidRPr="00A907A2">
        <w:t xml:space="preserve"> for consideration in DFAT’s Education Forward Program </w:t>
      </w:r>
      <w:r w:rsidRPr="001A284F">
        <w:t xml:space="preserve">are provided in </w:t>
      </w:r>
      <w:r w:rsidR="00247BAA" w:rsidRPr="00AD3A37">
        <w:fldChar w:fldCharType="begin"/>
      </w:r>
      <w:r w:rsidR="00247BAA" w:rsidRPr="001A284F">
        <w:instrText xml:space="preserve"> REF _Ref447916096 \h </w:instrText>
      </w:r>
      <w:r w:rsidR="00897965" w:rsidRPr="00A907A2">
        <w:instrText xml:space="preserve"> \* MERGEFORMAT </w:instrText>
      </w:r>
      <w:r w:rsidR="00247BAA" w:rsidRPr="00AD3A37">
        <w:fldChar w:fldCharType="separate"/>
      </w:r>
      <w:r w:rsidR="00EC36D2" w:rsidRPr="00AF6BE4">
        <w:t xml:space="preserve">Table </w:t>
      </w:r>
      <w:r w:rsidR="00EC36D2">
        <w:rPr>
          <w:noProof/>
        </w:rPr>
        <w:t>26</w:t>
      </w:r>
      <w:r w:rsidR="00247BAA" w:rsidRPr="00AD3A37">
        <w:fldChar w:fldCharType="end"/>
      </w:r>
      <w:r w:rsidRPr="001A284F">
        <w:t>, below.</w:t>
      </w:r>
      <w:r w:rsidR="00DC2F59" w:rsidRPr="001A284F">
        <w:t xml:space="preserve"> </w:t>
      </w:r>
      <w:r w:rsidR="00E44E66">
        <w:t>I</w:t>
      </w:r>
      <w:r w:rsidR="001A284F" w:rsidRPr="001A284F">
        <w:t>t is recognised that some recommendations relate to ongoing work and that considerable progress in actioning some of the recommendations</w:t>
      </w:r>
      <w:r w:rsidR="001A284F">
        <w:t xml:space="preserve"> may already have been made. </w:t>
      </w:r>
    </w:p>
    <w:p w:rsidR="00D20962" w:rsidRPr="00D20962" w:rsidRDefault="00D20962" w:rsidP="00775568">
      <w:pPr>
        <w:sectPr w:rsidR="00D20962" w:rsidRPr="00D20962" w:rsidSect="00693E96">
          <w:type w:val="oddPage"/>
          <w:pgSz w:w="11909" w:h="16834" w:code="9"/>
          <w:pgMar w:top="1440" w:right="1440" w:bottom="1440" w:left="1440" w:header="431" w:footer="720" w:gutter="0"/>
          <w:cols w:space="720"/>
          <w:noEndnote/>
          <w:docGrid w:linePitch="360"/>
        </w:sectPr>
      </w:pPr>
    </w:p>
    <w:p w:rsidR="002C5E9B" w:rsidRPr="00AF6BE4" w:rsidRDefault="002C5E9B" w:rsidP="002C5E9B">
      <w:pPr>
        <w:pStyle w:val="Caption-Table"/>
        <w:rPr>
          <w:bCs/>
          <w:iCs/>
          <w:lang w:val="en-AU"/>
        </w:rPr>
      </w:pPr>
      <w:bookmarkStart w:id="114" w:name="_Ref447916096"/>
      <w:bookmarkStart w:id="115" w:name="_Toc450131647"/>
      <w:bookmarkStart w:id="116" w:name="_Ref379652729"/>
      <w:bookmarkStart w:id="117" w:name="_Toc379653472"/>
      <w:bookmarkStart w:id="118" w:name="_Toc447623977"/>
      <w:r w:rsidRPr="00AF6BE4">
        <w:lastRenderedPageBreak/>
        <w:t xml:space="preserve">Table </w:t>
      </w:r>
      <w:r w:rsidRPr="00AF6BE4">
        <w:fldChar w:fldCharType="begin"/>
      </w:r>
      <w:r w:rsidRPr="00AF6BE4">
        <w:instrText xml:space="preserve"> SEQ Table \* ARABIC </w:instrText>
      </w:r>
      <w:r w:rsidRPr="00AF6BE4">
        <w:fldChar w:fldCharType="separate"/>
      </w:r>
      <w:r w:rsidR="00EC36D2">
        <w:rPr>
          <w:noProof/>
        </w:rPr>
        <w:t>26</w:t>
      </w:r>
      <w:r w:rsidRPr="00AF6BE4">
        <w:fldChar w:fldCharType="end"/>
      </w:r>
      <w:bookmarkEnd w:id="114"/>
      <w:r w:rsidRPr="00AF6BE4">
        <w:rPr>
          <w:lang w:val="en-AU"/>
        </w:rPr>
        <w:t xml:space="preserve">: </w:t>
      </w:r>
      <w:r w:rsidRPr="00D20962">
        <w:t>Program Oversight key findings and recommendations</w:t>
      </w:r>
      <w:bookmarkEnd w:id="115"/>
    </w:p>
    <w:tbl>
      <w:tblPr>
        <w:tblStyle w:val="TableGrid31"/>
        <w:tblW w:w="5000" w:type="pct"/>
        <w:tblCellMar>
          <w:top w:w="108" w:type="dxa"/>
          <w:bottom w:w="108" w:type="dxa"/>
        </w:tblCellMar>
        <w:tblLook w:val="04A0" w:firstRow="1" w:lastRow="0" w:firstColumn="1" w:lastColumn="0" w:noHBand="0" w:noVBand="1"/>
      </w:tblPr>
      <w:tblGrid>
        <w:gridCol w:w="4644"/>
        <w:gridCol w:w="5125"/>
        <w:gridCol w:w="958"/>
        <w:gridCol w:w="3447"/>
      </w:tblGrid>
      <w:tr w:rsidR="00C34871" w:rsidRPr="00DC41F6" w:rsidTr="003E724C">
        <w:trPr>
          <w:trHeight w:val="567"/>
          <w:tblHeader/>
        </w:trPr>
        <w:tc>
          <w:tcPr>
            <w:tcW w:w="1638" w:type="pct"/>
            <w:tcBorders>
              <w:bottom w:val="single" w:sz="4" w:space="0" w:color="auto"/>
            </w:tcBorders>
            <w:shd w:val="clear" w:color="auto" w:fill="244061" w:themeFill="accent1" w:themeFillShade="80"/>
            <w:vAlign w:val="center"/>
          </w:tcPr>
          <w:bookmarkEnd w:id="116"/>
          <w:bookmarkEnd w:id="117"/>
          <w:bookmarkEnd w:id="118"/>
          <w:p w:rsidR="00C34871" w:rsidRPr="003F2A50" w:rsidRDefault="00C34871" w:rsidP="001D3402">
            <w:pPr>
              <w:jc w:val="center"/>
              <w:rPr>
                <w:b/>
              </w:rPr>
            </w:pPr>
            <w:r w:rsidRPr="003F2A50">
              <w:rPr>
                <w:b/>
              </w:rPr>
              <w:t>Findings</w:t>
            </w:r>
          </w:p>
        </w:tc>
        <w:tc>
          <w:tcPr>
            <w:tcW w:w="1808" w:type="pct"/>
            <w:tcBorders>
              <w:bottom w:val="single" w:sz="4" w:space="0" w:color="auto"/>
            </w:tcBorders>
            <w:shd w:val="clear" w:color="auto" w:fill="244061" w:themeFill="accent1" w:themeFillShade="80"/>
            <w:vAlign w:val="center"/>
          </w:tcPr>
          <w:p w:rsidR="00C34871" w:rsidRPr="003F2A50" w:rsidRDefault="00C34871" w:rsidP="001D3402">
            <w:pPr>
              <w:jc w:val="center"/>
              <w:rPr>
                <w:b/>
              </w:rPr>
            </w:pPr>
            <w:r w:rsidRPr="003F2A50">
              <w:rPr>
                <w:b/>
              </w:rPr>
              <w:t>Recommendations</w:t>
            </w:r>
          </w:p>
        </w:tc>
        <w:tc>
          <w:tcPr>
            <w:tcW w:w="338" w:type="pct"/>
            <w:tcBorders>
              <w:bottom w:val="single" w:sz="4" w:space="0" w:color="auto"/>
            </w:tcBorders>
            <w:shd w:val="clear" w:color="auto" w:fill="244061" w:themeFill="accent1" w:themeFillShade="80"/>
            <w:vAlign w:val="center"/>
          </w:tcPr>
          <w:p w:rsidR="00C34871" w:rsidRPr="003F2A50" w:rsidRDefault="00C34871" w:rsidP="001D3402">
            <w:pPr>
              <w:jc w:val="center"/>
              <w:rPr>
                <w:b/>
              </w:rPr>
            </w:pPr>
            <w:r w:rsidRPr="003F2A50">
              <w:rPr>
                <w:b/>
              </w:rPr>
              <w:t>Level of urgency</w:t>
            </w:r>
          </w:p>
        </w:tc>
        <w:tc>
          <w:tcPr>
            <w:tcW w:w="1216" w:type="pct"/>
            <w:tcBorders>
              <w:bottom w:val="single" w:sz="4" w:space="0" w:color="auto"/>
            </w:tcBorders>
            <w:shd w:val="clear" w:color="auto" w:fill="244061" w:themeFill="accent1" w:themeFillShade="80"/>
            <w:vAlign w:val="center"/>
          </w:tcPr>
          <w:p w:rsidR="00C34871" w:rsidRPr="003F2A50" w:rsidRDefault="00C34871" w:rsidP="001D3402">
            <w:pPr>
              <w:jc w:val="center"/>
              <w:rPr>
                <w:b/>
              </w:rPr>
            </w:pPr>
            <w:r w:rsidRPr="003F2A50">
              <w:rPr>
                <w:b/>
              </w:rPr>
              <w:t>Prime Responsibility</w:t>
            </w:r>
          </w:p>
        </w:tc>
      </w:tr>
      <w:tr w:rsidR="00D67CC7" w:rsidRPr="00DC41F6" w:rsidTr="003E724C">
        <w:trPr>
          <w:trHeight w:val="839"/>
        </w:trPr>
        <w:tc>
          <w:tcPr>
            <w:tcW w:w="1638" w:type="pct"/>
            <w:vMerge w:val="restart"/>
            <w:shd w:val="clear" w:color="auto" w:fill="FFFFFF" w:themeFill="background1"/>
            <w:vAlign w:val="center"/>
          </w:tcPr>
          <w:p w:rsidR="00D67CC7" w:rsidRPr="00DC41F6" w:rsidRDefault="00D67CC7" w:rsidP="001D3402">
            <w:r w:rsidRPr="005D1664">
              <w:rPr>
                <w:sz w:val="20"/>
                <w:szCs w:val="20"/>
              </w:rPr>
              <w:t xml:space="preserve">There is support for the shift to a leaner, more agile development program that more accurately reflects both the economic status of the two countries’ and </w:t>
            </w:r>
            <w:r>
              <w:rPr>
                <w:sz w:val="20"/>
                <w:szCs w:val="20"/>
              </w:rPr>
              <w:t xml:space="preserve">recognition of </w:t>
            </w:r>
            <w:r w:rsidRPr="005D1664">
              <w:rPr>
                <w:sz w:val="20"/>
                <w:szCs w:val="20"/>
              </w:rPr>
              <w:t>the position of the aid program as a tool in Australia’s foreign affairs agenda</w:t>
            </w:r>
            <w:r>
              <w:t xml:space="preserve"> </w:t>
            </w:r>
            <w:r w:rsidRPr="00DB11D8">
              <w:rPr>
                <w:sz w:val="20"/>
                <w:szCs w:val="20"/>
              </w:rPr>
              <w:t xml:space="preserve">(see §6.4.1 – </w:t>
            </w:r>
            <w:r>
              <w:rPr>
                <w:sz w:val="20"/>
                <w:szCs w:val="20"/>
              </w:rPr>
              <w:t>Change in programing approach)</w:t>
            </w:r>
            <w:r w:rsidRPr="00DB11D8">
              <w:rPr>
                <w:sz w:val="20"/>
                <w:szCs w:val="20"/>
              </w:rPr>
              <w:t>.</w:t>
            </w:r>
          </w:p>
        </w:tc>
        <w:tc>
          <w:tcPr>
            <w:tcW w:w="1808" w:type="pct"/>
            <w:shd w:val="clear" w:color="auto" w:fill="FFFFFF" w:themeFill="background1"/>
            <w:vAlign w:val="center"/>
          </w:tcPr>
          <w:p w:rsidR="00D67CC7" w:rsidRPr="00DC41F6" w:rsidRDefault="003E2F36" w:rsidP="00BE4367">
            <w:pPr>
              <w:ind w:left="459" w:hanging="459"/>
              <w:jc w:val="left"/>
            </w:pPr>
            <w:r>
              <w:rPr>
                <w:sz w:val="20"/>
                <w:szCs w:val="20"/>
              </w:rPr>
              <w:t>R1</w:t>
            </w:r>
            <w:r w:rsidR="00BE4367">
              <w:rPr>
                <w:sz w:val="20"/>
                <w:szCs w:val="20"/>
              </w:rPr>
              <w:t>9</w:t>
            </w:r>
            <w:r w:rsidR="00D67CC7">
              <w:rPr>
                <w:sz w:val="20"/>
                <w:szCs w:val="20"/>
              </w:rPr>
              <w:t>:</w:t>
            </w:r>
            <w:r w:rsidR="00D67CC7">
              <w:rPr>
                <w:sz w:val="20"/>
                <w:szCs w:val="20"/>
              </w:rPr>
              <w:tab/>
            </w:r>
            <w:r w:rsidR="00D67CC7" w:rsidRPr="005D1664">
              <w:rPr>
                <w:sz w:val="20"/>
                <w:szCs w:val="20"/>
              </w:rPr>
              <w:t xml:space="preserve">A clear description of both the development and political outcomes expected from </w:t>
            </w:r>
            <w:r w:rsidR="00DC2F59">
              <w:rPr>
                <w:sz w:val="20"/>
                <w:szCs w:val="20"/>
              </w:rPr>
              <w:t xml:space="preserve">future </w:t>
            </w:r>
            <w:r w:rsidR="00D67CC7" w:rsidRPr="005D1664">
              <w:rPr>
                <w:sz w:val="20"/>
                <w:szCs w:val="20"/>
              </w:rPr>
              <w:t>investments</w:t>
            </w:r>
            <w:r w:rsidR="00DC2F59">
              <w:rPr>
                <w:sz w:val="20"/>
                <w:szCs w:val="20"/>
              </w:rPr>
              <w:t xml:space="preserve"> under the </w:t>
            </w:r>
            <w:r w:rsidR="001B386A">
              <w:rPr>
                <w:sz w:val="20"/>
                <w:szCs w:val="20"/>
              </w:rPr>
              <w:t xml:space="preserve">DFAT </w:t>
            </w:r>
            <w:r w:rsidR="00DC2F59">
              <w:rPr>
                <w:sz w:val="20"/>
                <w:szCs w:val="20"/>
              </w:rPr>
              <w:t xml:space="preserve">Education </w:t>
            </w:r>
            <w:r w:rsidR="001B386A">
              <w:rPr>
                <w:sz w:val="20"/>
                <w:szCs w:val="20"/>
              </w:rPr>
              <w:t>Forward Program</w:t>
            </w:r>
            <w:r w:rsidR="00D67CC7" w:rsidRPr="005D1664">
              <w:rPr>
                <w:sz w:val="20"/>
                <w:szCs w:val="20"/>
              </w:rPr>
              <w:t xml:space="preserve"> should be provided not least to facilitate program design, implementation, monitoring and evaluation.</w:t>
            </w:r>
          </w:p>
        </w:tc>
        <w:tc>
          <w:tcPr>
            <w:tcW w:w="338" w:type="pct"/>
            <w:tcBorders>
              <w:bottom w:val="single" w:sz="4" w:space="0" w:color="auto"/>
            </w:tcBorders>
            <w:shd w:val="clear" w:color="auto" w:fill="FF0000"/>
            <w:vAlign w:val="center"/>
          </w:tcPr>
          <w:p w:rsidR="00D67CC7" w:rsidRPr="00DC41F6" w:rsidRDefault="00D67CC7" w:rsidP="003E724C">
            <w:pPr>
              <w:jc w:val="center"/>
            </w:pPr>
            <w:r>
              <w:t>***</w:t>
            </w:r>
          </w:p>
        </w:tc>
        <w:tc>
          <w:tcPr>
            <w:tcW w:w="1216" w:type="pct"/>
            <w:vAlign w:val="center"/>
          </w:tcPr>
          <w:p w:rsidR="00D67CC7" w:rsidRPr="00DC41F6" w:rsidRDefault="00D67CC7" w:rsidP="001D3402">
            <w:r>
              <w:t>DFAT</w:t>
            </w:r>
          </w:p>
        </w:tc>
      </w:tr>
      <w:tr w:rsidR="00D67CC7" w:rsidRPr="00DC41F6" w:rsidTr="003E724C">
        <w:trPr>
          <w:trHeight w:val="839"/>
        </w:trPr>
        <w:tc>
          <w:tcPr>
            <w:tcW w:w="1638" w:type="pct"/>
            <w:vMerge/>
            <w:shd w:val="clear" w:color="auto" w:fill="FFFFFF" w:themeFill="background1"/>
            <w:vAlign w:val="center"/>
          </w:tcPr>
          <w:p w:rsidR="00D67CC7" w:rsidRPr="00DC41F6" w:rsidRDefault="00D67CC7" w:rsidP="001D3402"/>
        </w:tc>
        <w:tc>
          <w:tcPr>
            <w:tcW w:w="1808" w:type="pct"/>
            <w:shd w:val="clear" w:color="auto" w:fill="FFFFFF" w:themeFill="background1"/>
            <w:vAlign w:val="center"/>
          </w:tcPr>
          <w:p w:rsidR="00D67CC7" w:rsidRPr="003E724C" w:rsidRDefault="003E2F36" w:rsidP="00BE4367">
            <w:pPr>
              <w:ind w:left="459" w:hanging="459"/>
              <w:jc w:val="left"/>
              <w:rPr>
                <w:sz w:val="20"/>
                <w:szCs w:val="20"/>
              </w:rPr>
            </w:pPr>
            <w:r>
              <w:rPr>
                <w:sz w:val="20"/>
                <w:szCs w:val="20"/>
              </w:rPr>
              <w:t>R</w:t>
            </w:r>
            <w:r w:rsidR="00BE4367">
              <w:rPr>
                <w:sz w:val="20"/>
                <w:szCs w:val="20"/>
              </w:rPr>
              <w:t>20</w:t>
            </w:r>
            <w:r w:rsidR="00D67CC7" w:rsidRPr="00F91D4A">
              <w:rPr>
                <w:sz w:val="20"/>
                <w:szCs w:val="20"/>
              </w:rPr>
              <w:t xml:space="preserve">: </w:t>
            </w:r>
            <w:r w:rsidR="00D67CC7">
              <w:rPr>
                <w:sz w:val="20"/>
                <w:szCs w:val="20"/>
              </w:rPr>
              <w:tab/>
              <w:t xml:space="preserve">Clearer guidance </w:t>
            </w:r>
            <w:r w:rsidR="00DC2F59">
              <w:rPr>
                <w:sz w:val="20"/>
                <w:szCs w:val="20"/>
              </w:rPr>
              <w:t xml:space="preserve">should </w:t>
            </w:r>
            <w:r w:rsidR="00D67CC7">
              <w:rPr>
                <w:sz w:val="20"/>
                <w:szCs w:val="20"/>
              </w:rPr>
              <w:t xml:space="preserve">be provided to DFAT staff and Implementing Partners </w:t>
            </w:r>
            <w:r w:rsidR="00D67CC7" w:rsidRPr="001B386A">
              <w:rPr>
                <w:sz w:val="20"/>
                <w:szCs w:val="20"/>
              </w:rPr>
              <w:t xml:space="preserve">about the </w:t>
            </w:r>
            <w:r w:rsidR="00DC2F59" w:rsidRPr="001B386A">
              <w:rPr>
                <w:sz w:val="20"/>
                <w:szCs w:val="20"/>
              </w:rPr>
              <w:t xml:space="preserve">Basic Education Unit’s </w:t>
            </w:r>
            <w:r w:rsidR="00D67CC7" w:rsidRPr="001B386A">
              <w:rPr>
                <w:sz w:val="20"/>
                <w:szCs w:val="20"/>
              </w:rPr>
              <w:t>expectations for achi</w:t>
            </w:r>
            <w:r w:rsidR="00D67CC7">
              <w:rPr>
                <w:sz w:val="20"/>
                <w:szCs w:val="20"/>
              </w:rPr>
              <w:t>eving political outcomes and how these might be achieved.</w:t>
            </w:r>
          </w:p>
        </w:tc>
        <w:tc>
          <w:tcPr>
            <w:tcW w:w="338" w:type="pct"/>
            <w:tcBorders>
              <w:bottom w:val="single" w:sz="4" w:space="0" w:color="auto"/>
            </w:tcBorders>
            <w:shd w:val="clear" w:color="auto" w:fill="FFC000"/>
            <w:vAlign w:val="center"/>
          </w:tcPr>
          <w:p w:rsidR="00D67CC7" w:rsidRPr="00DC41F6" w:rsidRDefault="00D67CC7" w:rsidP="003E724C">
            <w:pPr>
              <w:jc w:val="center"/>
            </w:pPr>
            <w:r>
              <w:t>**</w:t>
            </w:r>
          </w:p>
        </w:tc>
        <w:tc>
          <w:tcPr>
            <w:tcW w:w="1216" w:type="pct"/>
            <w:vAlign w:val="center"/>
          </w:tcPr>
          <w:p w:rsidR="00D67CC7" w:rsidRPr="00DC41F6" w:rsidRDefault="00D67CC7" w:rsidP="001D3402">
            <w:r>
              <w:t>DFAT</w:t>
            </w:r>
          </w:p>
        </w:tc>
      </w:tr>
      <w:tr w:rsidR="00D67CC7" w:rsidRPr="00DC41F6" w:rsidTr="003E724C">
        <w:trPr>
          <w:trHeight w:val="839"/>
        </w:trPr>
        <w:tc>
          <w:tcPr>
            <w:tcW w:w="1638" w:type="pct"/>
            <w:vMerge/>
            <w:shd w:val="clear" w:color="auto" w:fill="FFFFFF" w:themeFill="background1"/>
            <w:vAlign w:val="center"/>
          </w:tcPr>
          <w:p w:rsidR="00D67CC7" w:rsidRPr="00DC41F6" w:rsidRDefault="00D67CC7" w:rsidP="001D3402"/>
        </w:tc>
        <w:tc>
          <w:tcPr>
            <w:tcW w:w="1808" w:type="pct"/>
            <w:shd w:val="clear" w:color="auto" w:fill="FFFFFF" w:themeFill="background1"/>
          </w:tcPr>
          <w:p w:rsidR="00D67CC7" w:rsidRPr="00DC41F6" w:rsidRDefault="003E2F36" w:rsidP="00BE4367">
            <w:pPr>
              <w:ind w:left="459" w:hanging="459"/>
              <w:jc w:val="left"/>
            </w:pPr>
            <w:r>
              <w:rPr>
                <w:sz w:val="20"/>
                <w:szCs w:val="20"/>
              </w:rPr>
              <w:t>R2</w:t>
            </w:r>
            <w:r w:rsidR="00BE4367">
              <w:rPr>
                <w:sz w:val="20"/>
                <w:szCs w:val="20"/>
              </w:rPr>
              <w:t>1</w:t>
            </w:r>
            <w:r w:rsidR="00D67CC7">
              <w:rPr>
                <w:sz w:val="20"/>
                <w:szCs w:val="20"/>
              </w:rPr>
              <w:t>:</w:t>
            </w:r>
            <w:r w:rsidR="00D67CC7">
              <w:rPr>
                <w:sz w:val="20"/>
                <w:szCs w:val="20"/>
              </w:rPr>
              <w:tab/>
              <w:t>Regular (six-monthly) reviews</w:t>
            </w:r>
            <w:r w:rsidR="00DC2F59">
              <w:rPr>
                <w:sz w:val="20"/>
                <w:szCs w:val="20"/>
              </w:rPr>
              <w:t xml:space="preserve"> should </w:t>
            </w:r>
            <w:r w:rsidR="00D67CC7">
              <w:rPr>
                <w:sz w:val="20"/>
                <w:szCs w:val="20"/>
              </w:rPr>
              <w:t xml:space="preserve">be undertaken related to the achievement of the high-level outcomes expected in DFAT’s </w:t>
            </w:r>
            <w:r w:rsidR="001B386A">
              <w:rPr>
                <w:sz w:val="20"/>
                <w:szCs w:val="20"/>
              </w:rPr>
              <w:t xml:space="preserve">Education </w:t>
            </w:r>
            <w:r w:rsidR="00D67CC7">
              <w:rPr>
                <w:sz w:val="20"/>
                <w:szCs w:val="20"/>
              </w:rPr>
              <w:t>Forward Program, coupled with an identification of opportunities to improve the return on DFAT’s investment.</w:t>
            </w:r>
          </w:p>
        </w:tc>
        <w:tc>
          <w:tcPr>
            <w:tcW w:w="338" w:type="pct"/>
            <w:shd w:val="clear" w:color="auto" w:fill="FF0000"/>
            <w:vAlign w:val="center"/>
          </w:tcPr>
          <w:p w:rsidR="00D67CC7" w:rsidRPr="00DC41F6" w:rsidRDefault="00D67CC7" w:rsidP="003E724C">
            <w:pPr>
              <w:jc w:val="center"/>
            </w:pPr>
            <w:r>
              <w:t>***</w:t>
            </w:r>
          </w:p>
        </w:tc>
        <w:tc>
          <w:tcPr>
            <w:tcW w:w="1216" w:type="pct"/>
            <w:vAlign w:val="center"/>
          </w:tcPr>
          <w:p w:rsidR="00D67CC7" w:rsidRPr="00DC41F6" w:rsidRDefault="00D67CC7" w:rsidP="001D3402">
            <w:r>
              <w:t>DFAT</w:t>
            </w:r>
          </w:p>
        </w:tc>
      </w:tr>
      <w:tr w:rsidR="00D67CC7" w:rsidRPr="00DC41F6" w:rsidTr="003E724C">
        <w:trPr>
          <w:trHeight w:val="22"/>
        </w:trPr>
        <w:tc>
          <w:tcPr>
            <w:tcW w:w="1638" w:type="pct"/>
            <w:shd w:val="clear" w:color="auto" w:fill="FFFFFF" w:themeFill="background1"/>
            <w:vAlign w:val="center"/>
          </w:tcPr>
          <w:p w:rsidR="00D67CC7" w:rsidRPr="00DC41F6" w:rsidRDefault="00A2235A" w:rsidP="008E71E2">
            <w:r>
              <w:rPr>
                <w:sz w:val="20"/>
                <w:szCs w:val="20"/>
              </w:rPr>
              <w:t xml:space="preserve">Due to the </w:t>
            </w:r>
            <w:r w:rsidR="008E71E2">
              <w:rPr>
                <w:sz w:val="20"/>
                <w:szCs w:val="20"/>
              </w:rPr>
              <w:t xml:space="preserve">relatively </w:t>
            </w:r>
            <w:r>
              <w:rPr>
                <w:sz w:val="20"/>
                <w:szCs w:val="20"/>
              </w:rPr>
              <w:t xml:space="preserve">transitory nature of both Governments’ </w:t>
            </w:r>
            <w:r w:rsidR="00D67CC7" w:rsidRPr="00DB11D8">
              <w:rPr>
                <w:sz w:val="20"/>
                <w:szCs w:val="20"/>
              </w:rPr>
              <w:t>EP</w:t>
            </w:r>
            <w:r w:rsidR="008E71E2">
              <w:rPr>
                <w:sz w:val="20"/>
                <w:szCs w:val="20"/>
              </w:rPr>
              <w:t>-related staffing during 2015,</w:t>
            </w:r>
            <w:r w:rsidR="00D67CC7" w:rsidRPr="00DB11D8">
              <w:rPr>
                <w:sz w:val="20"/>
                <w:szCs w:val="20"/>
              </w:rPr>
              <w:t xml:space="preserve"> </w:t>
            </w:r>
            <w:r>
              <w:rPr>
                <w:sz w:val="20"/>
                <w:szCs w:val="20"/>
              </w:rPr>
              <w:t>m</w:t>
            </w:r>
            <w:r w:rsidR="00D67CC7" w:rsidRPr="00DB11D8">
              <w:rPr>
                <w:sz w:val="20"/>
                <w:szCs w:val="20"/>
              </w:rPr>
              <w:t xml:space="preserve">anagement and governance has </w:t>
            </w:r>
            <w:r w:rsidR="008E71E2">
              <w:rPr>
                <w:sz w:val="20"/>
                <w:szCs w:val="20"/>
              </w:rPr>
              <w:t xml:space="preserve">necessarily </w:t>
            </w:r>
            <w:r w:rsidR="00D67CC7" w:rsidRPr="00DB11D8">
              <w:rPr>
                <w:sz w:val="20"/>
                <w:szCs w:val="20"/>
              </w:rPr>
              <w:t>been characterised by a</w:t>
            </w:r>
            <w:r>
              <w:rPr>
                <w:sz w:val="20"/>
                <w:szCs w:val="20"/>
              </w:rPr>
              <w:t>n increased v</w:t>
            </w:r>
            <w:r w:rsidR="00D67CC7" w:rsidRPr="00DB11D8">
              <w:rPr>
                <w:sz w:val="20"/>
                <w:szCs w:val="20"/>
              </w:rPr>
              <w:t xml:space="preserve">olume of </w:t>
            </w:r>
            <w:r>
              <w:rPr>
                <w:sz w:val="20"/>
                <w:szCs w:val="20"/>
              </w:rPr>
              <w:t xml:space="preserve">less </w:t>
            </w:r>
            <w:r w:rsidR="00D67CC7" w:rsidRPr="00DB11D8">
              <w:rPr>
                <w:sz w:val="20"/>
                <w:szCs w:val="20"/>
              </w:rPr>
              <w:t xml:space="preserve">formal stakeholder consultation coupled with </w:t>
            </w:r>
            <w:r w:rsidR="00DC2F59">
              <w:rPr>
                <w:sz w:val="20"/>
                <w:szCs w:val="20"/>
              </w:rPr>
              <w:t xml:space="preserve">a reduced number of formal governance meetings </w:t>
            </w:r>
            <w:r w:rsidR="00D67CC7" w:rsidRPr="00DB11D8">
              <w:rPr>
                <w:sz w:val="20"/>
                <w:szCs w:val="20"/>
              </w:rPr>
              <w:t>(see §6.4.1</w:t>
            </w:r>
            <w:r w:rsidR="00D67CC7">
              <w:rPr>
                <w:sz w:val="20"/>
                <w:szCs w:val="20"/>
              </w:rPr>
              <w:t xml:space="preserve"> – </w:t>
            </w:r>
            <w:r w:rsidR="00D67CC7">
              <w:rPr>
                <w:sz w:val="20"/>
                <w:szCs w:val="20"/>
              </w:rPr>
              <w:lastRenderedPageBreak/>
              <w:t>Increased stakeholder consultation</w:t>
            </w:r>
            <w:r w:rsidR="00D67CC7" w:rsidRPr="00DB11D8">
              <w:rPr>
                <w:sz w:val="20"/>
                <w:szCs w:val="20"/>
              </w:rPr>
              <w:t>).</w:t>
            </w:r>
          </w:p>
        </w:tc>
        <w:tc>
          <w:tcPr>
            <w:tcW w:w="1808" w:type="pct"/>
            <w:shd w:val="clear" w:color="auto" w:fill="FFFFFF" w:themeFill="background1"/>
            <w:vAlign w:val="center"/>
          </w:tcPr>
          <w:p w:rsidR="00D67CC7" w:rsidRPr="00DC41F6" w:rsidRDefault="00D67CC7" w:rsidP="00BE4367">
            <w:pPr>
              <w:ind w:left="459" w:hanging="459"/>
              <w:jc w:val="left"/>
            </w:pPr>
            <w:r w:rsidRPr="005D1664">
              <w:rPr>
                <w:sz w:val="20"/>
                <w:szCs w:val="20"/>
              </w:rPr>
              <w:lastRenderedPageBreak/>
              <w:t>R</w:t>
            </w:r>
            <w:r w:rsidR="003E2F36">
              <w:rPr>
                <w:sz w:val="20"/>
                <w:szCs w:val="20"/>
              </w:rPr>
              <w:t>2</w:t>
            </w:r>
            <w:r w:rsidR="00BE4367">
              <w:rPr>
                <w:sz w:val="20"/>
                <w:szCs w:val="20"/>
              </w:rPr>
              <w:t>2</w:t>
            </w:r>
            <w:r>
              <w:rPr>
                <w:sz w:val="20"/>
                <w:szCs w:val="20"/>
              </w:rPr>
              <w:t>:</w:t>
            </w:r>
            <w:r w:rsidRPr="005D1664">
              <w:rPr>
                <w:sz w:val="20"/>
                <w:szCs w:val="20"/>
              </w:rPr>
              <w:tab/>
            </w:r>
            <w:r w:rsidR="008E71E2">
              <w:rPr>
                <w:sz w:val="20"/>
                <w:szCs w:val="20"/>
              </w:rPr>
              <w:t>T</w:t>
            </w:r>
            <w:r w:rsidRPr="005D1664">
              <w:rPr>
                <w:sz w:val="20"/>
                <w:szCs w:val="20"/>
              </w:rPr>
              <w:t xml:space="preserve">o </w:t>
            </w:r>
            <w:r w:rsidR="008E71E2">
              <w:rPr>
                <w:sz w:val="20"/>
                <w:szCs w:val="20"/>
              </w:rPr>
              <w:t>ensure</w:t>
            </w:r>
            <w:r>
              <w:rPr>
                <w:sz w:val="20"/>
                <w:szCs w:val="20"/>
              </w:rPr>
              <w:t xml:space="preserve"> </w:t>
            </w:r>
            <w:r w:rsidRPr="005D1664">
              <w:rPr>
                <w:sz w:val="20"/>
                <w:szCs w:val="20"/>
              </w:rPr>
              <w:t xml:space="preserve">transparency, mutual accountability and shared understanding, </w:t>
            </w:r>
            <w:r w:rsidR="008E71E2">
              <w:rPr>
                <w:sz w:val="20"/>
                <w:szCs w:val="20"/>
              </w:rPr>
              <w:t xml:space="preserve">agreed </w:t>
            </w:r>
            <w:r w:rsidRPr="005D1664">
              <w:rPr>
                <w:sz w:val="20"/>
                <w:szCs w:val="20"/>
              </w:rPr>
              <w:t xml:space="preserve">formal management and governance </w:t>
            </w:r>
            <w:r w:rsidR="008E71E2">
              <w:rPr>
                <w:sz w:val="20"/>
                <w:szCs w:val="20"/>
              </w:rPr>
              <w:t>meetings should supplement less formal stakeholder engagement</w:t>
            </w:r>
            <w:r>
              <w:rPr>
                <w:sz w:val="20"/>
                <w:szCs w:val="20"/>
              </w:rPr>
              <w:t>.</w:t>
            </w:r>
          </w:p>
        </w:tc>
        <w:tc>
          <w:tcPr>
            <w:tcW w:w="338" w:type="pct"/>
            <w:shd w:val="clear" w:color="auto" w:fill="FF0000"/>
            <w:vAlign w:val="center"/>
          </w:tcPr>
          <w:p w:rsidR="00D67CC7" w:rsidRPr="00DC41F6" w:rsidRDefault="00D67CC7" w:rsidP="003E724C">
            <w:pPr>
              <w:jc w:val="center"/>
            </w:pPr>
            <w:r>
              <w:t>***</w:t>
            </w:r>
          </w:p>
        </w:tc>
        <w:tc>
          <w:tcPr>
            <w:tcW w:w="1216" w:type="pct"/>
            <w:shd w:val="clear" w:color="auto" w:fill="FFFFFF" w:themeFill="background1"/>
            <w:vAlign w:val="center"/>
          </w:tcPr>
          <w:p w:rsidR="00D67CC7" w:rsidRPr="00DC41F6" w:rsidRDefault="00D67CC7" w:rsidP="001D3402">
            <w:r>
              <w:t>DFAT with GoI</w:t>
            </w:r>
          </w:p>
        </w:tc>
      </w:tr>
      <w:tr w:rsidR="00D67CC7" w:rsidRPr="00DC41F6" w:rsidTr="003E724C">
        <w:trPr>
          <w:trHeight w:val="839"/>
        </w:trPr>
        <w:tc>
          <w:tcPr>
            <w:tcW w:w="1638" w:type="pct"/>
            <w:shd w:val="clear" w:color="auto" w:fill="FFFFFF" w:themeFill="background1"/>
          </w:tcPr>
          <w:p w:rsidR="00D67CC7" w:rsidRPr="00DC41F6" w:rsidRDefault="00D67CC7" w:rsidP="001D3402">
            <w:r>
              <w:rPr>
                <w:sz w:val="20"/>
                <w:szCs w:val="20"/>
              </w:rPr>
              <w:lastRenderedPageBreak/>
              <w:t xml:space="preserve">Several of the challenges to the performance of the EP’s management and governance arrangements are consistent with the findings of the Development Policy Centre’s Aid Stakeholder Survey (2015) </w:t>
            </w:r>
            <w:r w:rsidRPr="00DB11D8">
              <w:rPr>
                <w:sz w:val="20"/>
                <w:szCs w:val="20"/>
              </w:rPr>
              <w:t>(see §6.4.</w:t>
            </w:r>
            <w:r>
              <w:rPr>
                <w:sz w:val="20"/>
                <w:szCs w:val="20"/>
              </w:rPr>
              <w:t>2</w:t>
            </w:r>
            <w:r w:rsidRPr="00DB11D8">
              <w:rPr>
                <w:sz w:val="20"/>
                <w:szCs w:val="20"/>
              </w:rPr>
              <w:t>).</w:t>
            </w:r>
          </w:p>
        </w:tc>
        <w:tc>
          <w:tcPr>
            <w:tcW w:w="1808" w:type="pct"/>
            <w:shd w:val="clear" w:color="auto" w:fill="FFFFFF" w:themeFill="background1"/>
            <w:vAlign w:val="center"/>
          </w:tcPr>
          <w:p w:rsidR="00D67CC7" w:rsidRPr="00DC41F6" w:rsidRDefault="00BE4367" w:rsidP="001B386A">
            <w:pPr>
              <w:ind w:left="459" w:hanging="459"/>
              <w:jc w:val="left"/>
            </w:pPr>
            <w:r>
              <w:rPr>
                <w:sz w:val="20"/>
                <w:szCs w:val="20"/>
              </w:rPr>
              <w:t>R23</w:t>
            </w:r>
            <w:r w:rsidR="00D67CC7">
              <w:rPr>
                <w:sz w:val="20"/>
                <w:szCs w:val="20"/>
              </w:rPr>
              <w:t>:</w:t>
            </w:r>
            <w:r w:rsidR="00D67CC7">
              <w:rPr>
                <w:sz w:val="20"/>
                <w:szCs w:val="20"/>
              </w:rPr>
              <w:tab/>
              <w:t xml:space="preserve">A lessons learned review </w:t>
            </w:r>
            <w:r w:rsidR="008E71E2">
              <w:rPr>
                <w:sz w:val="20"/>
                <w:szCs w:val="20"/>
              </w:rPr>
              <w:t xml:space="preserve">should </w:t>
            </w:r>
            <w:r w:rsidR="00D67CC7">
              <w:rPr>
                <w:sz w:val="20"/>
                <w:szCs w:val="20"/>
              </w:rPr>
              <w:t xml:space="preserve">be undertaken of the 2014/15 transition process in DFAT’s Basic Education Unit and other Development Cooperation </w:t>
            </w:r>
            <w:r w:rsidR="001B386A">
              <w:rPr>
                <w:sz w:val="20"/>
                <w:szCs w:val="20"/>
              </w:rPr>
              <w:t>sections</w:t>
            </w:r>
            <w:r w:rsidR="00D67CC7">
              <w:rPr>
                <w:sz w:val="20"/>
                <w:szCs w:val="20"/>
              </w:rPr>
              <w:t xml:space="preserve"> in the Embassy in Jakarta to inform DFAT policy and programing. </w:t>
            </w:r>
          </w:p>
        </w:tc>
        <w:tc>
          <w:tcPr>
            <w:tcW w:w="338" w:type="pct"/>
            <w:shd w:val="clear" w:color="auto" w:fill="92D050"/>
            <w:vAlign w:val="center"/>
          </w:tcPr>
          <w:p w:rsidR="00D67CC7" w:rsidRPr="00DC41F6" w:rsidRDefault="00D67CC7" w:rsidP="003E724C">
            <w:pPr>
              <w:jc w:val="center"/>
            </w:pPr>
            <w:r>
              <w:t>*</w:t>
            </w:r>
          </w:p>
        </w:tc>
        <w:tc>
          <w:tcPr>
            <w:tcW w:w="1216" w:type="pct"/>
            <w:vAlign w:val="center"/>
          </w:tcPr>
          <w:p w:rsidR="00D67CC7" w:rsidRPr="00DC41F6" w:rsidRDefault="00D67CC7" w:rsidP="001D3402">
            <w:r>
              <w:t>DFAT Jakarta and Canberra</w:t>
            </w:r>
          </w:p>
        </w:tc>
      </w:tr>
      <w:tr w:rsidR="00D67CC7" w:rsidRPr="00DC41F6" w:rsidTr="003E724C">
        <w:trPr>
          <w:trHeight w:val="839"/>
        </w:trPr>
        <w:tc>
          <w:tcPr>
            <w:tcW w:w="1638" w:type="pct"/>
            <w:shd w:val="clear" w:color="auto" w:fill="FFFFFF" w:themeFill="background1"/>
          </w:tcPr>
          <w:p w:rsidR="00D67CC7" w:rsidRPr="00DC41F6" w:rsidRDefault="00D67CC7" w:rsidP="001D3402">
            <w:r w:rsidRPr="005D1664">
              <w:rPr>
                <w:sz w:val="20"/>
                <w:szCs w:val="20"/>
              </w:rPr>
              <w:t xml:space="preserve">Budget cuts saw continued adjustments to the staffing profile of the Embassy’s </w:t>
            </w:r>
            <w:r w:rsidR="001B386A">
              <w:rPr>
                <w:sz w:val="20"/>
                <w:szCs w:val="20"/>
              </w:rPr>
              <w:t xml:space="preserve">Basic </w:t>
            </w:r>
            <w:r w:rsidRPr="005D1664">
              <w:rPr>
                <w:sz w:val="20"/>
                <w:szCs w:val="20"/>
              </w:rPr>
              <w:t>Education Unit.</w:t>
            </w:r>
            <w:r>
              <w:t xml:space="preserve"> </w:t>
            </w:r>
            <w:r w:rsidRPr="00DB11D8">
              <w:rPr>
                <w:sz w:val="20"/>
                <w:szCs w:val="20"/>
              </w:rPr>
              <w:t xml:space="preserve">(see §6.4.1 – </w:t>
            </w:r>
            <w:r>
              <w:rPr>
                <w:sz w:val="20"/>
                <w:szCs w:val="20"/>
              </w:rPr>
              <w:t>DFAT staffing adjustment</w:t>
            </w:r>
            <w:r w:rsidRPr="00DB11D8">
              <w:rPr>
                <w:sz w:val="20"/>
                <w:szCs w:val="20"/>
              </w:rPr>
              <w:t>).</w:t>
            </w:r>
          </w:p>
        </w:tc>
        <w:tc>
          <w:tcPr>
            <w:tcW w:w="1808" w:type="pct"/>
            <w:shd w:val="clear" w:color="auto" w:fill="FFFFFF" w:themeFill="background1"/>
          </w:tcPr>
          <w:p w:rsidR="00D67CC7" w:rsidRPr="00DC41F6" w:rsidRDefault="003E2F36" w:rsidP="00BE4367">
            <w:pPr>
              <w:ind w:left="459" w:hanging="459"/>
              <w:jc w:val="left"/>
            </w:pPr>
            <w:r>
              <w:rPr>
                <w:sz w:val="20"/>
                <w:szCs w:val="20"/>
              </w:rPr>
              <w:t>R2</w:t>
            </w:r>
            <w:r w:rsidR="00BE4367">
              <w:rPr>
                <w:sz w:val="20"/>
                <w:szCs w:val="20"/>
              </w:rPr>
              <w:t>4</w:t>
            </w:r>
            <w:r w:rsidR="00D67CC7">
              <w:rPr>
                <w:sz w:val="20"/>
                <w:szCs w:val="20"/>
              </w:rPr>
              <w:t>:</w:t>
            </w:r>
            <w:r w:rsidR="00D67CC7">
              <w:rPr>
                <w:sz w:val="20"/>
                <w:szCs w:val="20"/>
              </w:rPr>
              <w:tab/>
            </w:r>
            <w:r w:rsidR="00D67CC7" w:rsidRPr="005D1664">
              <w:rPr>
                <w:sz w:val="20"/>
                <w:szCs w:val="20"/>
              </w:rPr>
              <w:t xml:space="preserve">Consideration </w:t>
            </w:r>
            <w:r w:rsidR="008E71E2">
              <w:rPr>
                <w:sz w:val="20"/>
                <w:szCs w:val="20"/>
              </w:rPr>
              <w:t xml:space="preserve">should </w:t>
            </w:r>
            <w:r w:rsidR="00D67CC7" w:rsidRPr="005D1664">
              <w:rPr>
                <w:sz w:val="20"/>
                <w:szCs w:val="20"/>
              </w:rPr>
              <w:t xml:space="preserve">be given to the </w:t>
            </w:r>
            <w:r w:rsidR="00D67CC7">
              <w:rPr>
                <w:sz w:val="20"/>
                <w:szCs w:val="20"/>
              </w:rPr>
              <w:t>necessary</w:t>
            </w:r>
            <w:r w:rsidR="00D67CC7" w:rsidRPr="005D1664">
              <w:rPr>
                <w:sz w:val="20"/>
                <w:szCs w:val="20"/>
              </w:rPr>
              <w:t xml:space="preserve"> DFAT and MC staff skillsets</w:t>
            </w:r>
            <w:r w:rsidR="00D67CC7">
              <w:rPr>
                <w:sz w:val="20"/>
                <w:szCs w:val="20"/>
              </w:rPr>
              <w:t xml:space="preserve"> required</w:t>
            </w:r>
            <w:r w:rsidR="00D67CC7" w:rsidRPr="005D1664">
              <w:rPr>
                <w:sz w:val="20"/>
                <w:szCs w:val="20"/>
              </w:rPr>
              <w:t xml:space="preserve"> </w:t>
            </w:r>
            <w:r w:rsidR="00D67CC7">
              <w:rPr>
                <w:sz w:val="20"/>
                <w:szCs w:val="20"/>
              </w:rPr>
              <w:t>to deliver</w:t>
            </w:r>
            <w:r w:rsidR="00D67CC7" w:rsidRPr="005D1664">
              <w:rPr>
                <w:sz w:val="20"/>
                <w:szCs w:val="20"/>
              </w:rPr>
              <w:t xml:space="preserve"> the new aid paradigm and </w:t>
            </w:r>
            <w:r w:rsidR="00D67CC7">
              <w:rPr>
                <w:sz w:val="20"/>
                <w:szCs w:val="20"/>
              </w:rPr>
              <w:t xml:space="preserve">the need to adjust </w:t>
            </w:r>
            <w:r w:rsidR="00D67CC7" w:rsidRPr="005D1664">
              <w:rPr>
                <w:sz w:val="20"/>
                <w:szCs w:val="20"/>
              </w:rPr>
              <w:t xml:space="preserve">recruitment plans accordingly. </w:t>
            </w:r>
          </w:p>
        </w:tc>
        <w:tc>
          <w:tcPr>
            <w:tcW w:w="338" w:type="pct"/>
            <w:shd w:val="clear" w:color="auto" w:fill="FFC000"/>
            <w:vAlign w:val="center"/>
          </w:tcPr>
          <w:p w:rsidR="00D67CC7" w:rsidRPr="00DC41F6" w:rsidRDefault="00D67CC7" w:rsidP="003E724C">
            <w:pPr>
              <w:jc w:val="center"/>
            </w:pPr>
            <w:r>
              <w:t>**</w:t>
            </w:r>
          </w:p>
        </w:tc>
        <w:tc>
          <w:tcPr>
            <w:tcW w:w="1216" w:type="pct"/>
            <w:vAlign w:val="center"/>
          </w:tcPr>
          <w:p w:rsidR="00D67CC7" w:rsidRPr="00DC41F6" w:rsidRDefault="00D67CC7" w:rsidP="001D3402">
            <w:r>
              <w:t>DFAT, Implementing Partners</w:t>
            </w:r>
          </w:p>
        </w:tc>
      </w:tr>
      <w:tr w:rsidR="00D67CC7" w:rsidRPr="00DC41F6" w:rsidTr="003E724C">
        <w:trPr>
          <w:trHeight w:val="839"/>
        </w:trPr>
        <w:tc>
          <w:tcPr>
            <w:tcW w:w="1638" w:type="pct"/>
            <w:shd w:val="clear" w:color="auto" w:fill="FFFFFF" w:themeFill="background1"/>
          </w:tcPr>
          <w:p w:rsidR="00D67CC7" w:rsidRPr="00DC41F6" w:rsidRDefault="00D67CC7" w:rsidP="001D3402">
            <w:r>
              <w:rPr>
                <w:sz w:val="20"/>
                <w:szCs w:val="20"/>
              </w:rPr>
              <w:t xml:space="preserve">The EP could have secured greater social inclusion-related benefits should it have had a related strategy and performance framework to which all Implementing and Institutional Partners were expected to contribute </w:t>
            </w:r>
            <w:r w:rsidRPr="00DB11D8">
              <w:rPr>
                <w:sz w:val="20"/>
                <w:szCs w:val="20"/>
              </w:rPr>
              <w:t>(see §6.4.2).</w:t>
            </w:r>
          </w:p>
        </w:tc>
        <w:tc>
          <w:tcPr>
            <w:tcW w:w="1808" w:type="pct"/>
            <w:shd w:val="clear" w:color="auto" w:fill="FFFFFF" w:themeFill="background1"/>
          </w:tcPr>
          <w:p w:rsidR="00D67CC7" w:rsidRPr="00DC41F6" w:rsidRDefault="003E2F36" w:rsidP="00BE4367">
            <w:pPr>
              <w:ind w:left="459" w:hanging="459"/>
              <w:jc w:val="left"/>
            </w:pPr>
            <w:r>
              <w:rPr>
                <w:sz w:val="20"/>
                <w:szCs w:val="20"/>
              </w:rPr>
              <w:t>R2</w:t>
            </w:r>
            <w:r w:rsidR="00BE4367">
              <w:rPr>
                <w:sz w:val="20"/>
                <w:szCs w:val="20"/>
              </w:rPr>
              <w:t>5</w:t>
            </w:r>
            <w:r w:rsidR="00D67CC7">
              <w:rPr>
                <w:sz w:val="20"/>
                <w:szCs w:val="20"/>
              </w:rPr>
              <w:t>:</w:t>
            </w:r>
            <w:r w:rsidR="00D67CC7">
              <w:rPr>
                <w:sz w:val="20"/>
                <w:szCs w:val="20"/>
              </w:rPr>
              <w:tab/>
            </w:r>
            <w:r w:rsidR="008E71E2">
              <w:rPr>
                <w:sz w:val="20"/>
                <w:szCs w:val="20"/>
              </w:rPr>
              <w:t xml:space="preserve">Separate Gender and Disability </w:t>
            </w:r>
            <w:r w:rsidR="008E71E2" w:rsidRPr="00230C28">
              <w:rPr>
                <w:sz w:val="20"/>
                <w:szCs w:val="20"/>
              </w:rPr>
              <w:t>Action Plan</w:t>
            </w:r>
            <w:r w:rsidR="008E71E2">
              <w:rPr>
                <w:sz w:val="20"/>
                <w:szCs w:val="20"/>
              </w:rPr>
              <w:t xml:space="preserve">s should be developed as part of an overall </w:t>
            </w:r>
            <w:r w:rsidR="00D67CC7">
              <w:rPr>
                <w:sz w:val="20"/>
                <w:szCs w:val="20"/>
              </w:rPr>
              <w:t xml:space="preserve">Social Inclusion </w:t>
            </w:r>
            <w:r w:rsidR="00D67CC7" w:rsidRPr="00230C28">
              <w:rPr>
                <w:sz w:val="20"/>
                <w:szCs w:val="20"/>
              </w:rPr>
              <w:t xml:space="preserve">Strategy </w:t>
            </w:r>
            <w:r w:rsidR="00D67CC7">
              <w:rPr>
                <w:sz w:val="20"/>
                <w:szCs w:val="20"/>
              </w:rPr>
              <w:t xml:space="preserve">for DFAT’s </w:t>
            </w:r>
            <w:r w:rsidR="008E71E2">
              <w:rPr>
                <w:sz w:val="20"/>
                <w:szCs w:val="20"/>
              </w:rPr>
              <w:t xml:space="preserve">Education </w:t>
            </w:r>
            <w:r w:rsidR="00D67CC7">
              <w:rPr>
                <w:sz w:val="20"/>
                <w:szCs w:val="20"/>
              </w:rPr>
              <w:t>Forward Program.</w:t>
            </w:r>
          </w:p>
        </w:tc>
        <w:tc>
          <w:tcPr>
            <w:tcW w:w="338" w:type="pct"/>
            <w:shd w:val="clear" w:color="auto" w:fill="FFC000"/>
            <w:vAlign w:val="center"/>
          </w:tcPr>
          <w:p w:rsidR="00D67CC7" w:rsidRPr="00DC41F6" w:rsidRDefault="00D67CC7" w:rsidP="003E724C">
            <w:pPr>
              <w:jc w:val="center"/>
            </w:pPr>
            <w:r>
              <w:t>**</w:t>
            </w:r>
          </w:p>
        </w:tc>
        <w:tc>
          <w:tcPr>
            <w:tcW w:w="1216" w:type="pct"/>
            <w:vAlign w:val="center"/>
          </w:tcPr>
          <w:p w:rsidR="00D67CC7" w:rsidRPr="00DC41F6" w:rsidRDefault="00D67CC7" w:rsidP="001D3402">
            <w:r>
              <w:t>DFAT</w:t>
            </w:r>
          </w:p>
        </w:tc>
      </w:tr>
    </w:tbl>
    <w:p w:rsidR="00B7224C" w:rsidRDefault="00D20962" w:rsidP="00C34871">
      <w:r w:rsidRPr="00D20962">
        <w:t>NB: Red (***) - high urgency; orange (**) - medium urgency; green (*) - low urgency</w:t>
      </w:r>
    </w:p>
    <w:p w:rsidR="00C34871" w:rsidRPr="00851EC7" w:rsidRDefault="00C34871" w:rsidP="00C34871">
      <w:pPr>
        <w:sectPr w:rsidR="00C34871" w:rsidRPr="00851EC7" w:rsidSect="00B7224C">
          <w:pgSz w:w="16838" w:h="11906" w:orient="landscape"/>
          <w:pgMar w:top="1440" w:right="1440" w:bottom="1440" w:left="1440" w:header="709" w:footer="709" w:gutter="0"/>
          <w:cols w:space="708"/>
          <w:noEndnote/>
          <w:docGrid w:linePitch="360"/>
        </w:sectPr>
      </w:pPr>
    </w:p>
    <w:p w:rsidR="00B7224C" w:rsidRPr="00851EC7" w:rsidRDefault="00B7224C" w:rsidP="00C34871">
      <w:pPr>
        <w:pStyle w:val="DividerStyle"/>
      </w:pPr>
    </w:p>
    <w:p w:rsidR="00245A84" w:rsidRPr="00851EC7" w:rsidRDefault="00245A84" w:rsidP="00C34871">
      <w:pPr>
        <w:pStyle w:val="DividerStyle"/>
      </w:pPr>
    </w:p>
    <w:p w:rsidR="00245A84" w:rsidRPr="00851EC7" w:rsidRDefault="00245A84" w:rsidP="00C34871">
      <w:pPr>
        <w:pStyle w:val="DividerStyle"/>
      </w:pPr>
    </w:p>
    <w:p w:rsidR="00222EFB" w:rsidRPr="00851EC7" w:rsidRDefault="00222EFB" w:rsidP="00C34871">
      <w:pPr>
        <w:pStyle w:val="DividerStyle"/>
      </w:pPr>
    </w:p>
    <w:p w:rsidR="00222EFB" w:rsidRPr="00851EC7" w:rsidRDefault="00222EFB" w:rsidP="00C34871">
      <w:pPr>
        <w:pStyle w:val="DividerStyle"/>
      </w:pPr>
      <w:r w:rsidRPr="00851EC7">
        <w:rPr>
          <w:noProof/>
          <w:lang w:eastAsia="en-AU"/>
        </w:rPr>
        <w:drawing>
          <wp:anchor distT="0" distB="0" distL="114300" distR="114300" simplePos="0" relativeHeight="251681792" behindDoc="1" locked="0" layoutInCell="1" allowOverlap="1" wp14:anchorId="5240B24C" wp14:editId="1704FB4F">
            <wp:simplePos x="0" y="0"/>
            <wp:positionH relativeFrom="page">
              <wp:posOffset>-5080</wp:posOffset>
            </wp:positionH>
            <wp:positionV relativeFrom="page">
              <wp:posOffset>-12700</wp:posOffset>
            </wp:positionV>
            <wp:extent cx="7580630" cy="10709275"/>
            <wp:effectExtent l="0" t="0" r="1270" b="0"/>
            <wp:wrapNone/>
            <wp:docPr id="19" name="Picture 19" descr="D:\WORK\EPOS AusAid\130212 FINAL\Templates 2\Reports\130228 Report Contents-Chapte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EPOS AusAid\130212 FINAL\Templates 2\Reports\130228 Report Contents-Chapter-Divid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80630" cy="1070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2EFB" w:rsidRPr="00851EC7" w:rsidRDefault="00222EFB" w:rsidP="00C34871">
      <w:pPr>
        <w:pStyle w:val="DividerStyle"/>
      </w:pPr>
    </w:p>
    <w:p w:rsidR="00222EFB" w:rsidRPr="00851EC7" w:rsidRDefault="00222EFB" w:rsidP="00C34871">
      <w:pPr>
        <w:pStyle w:val="DividerStyle"/>
      </w:pPr>
    </w:p>
    <w:p w:rsidR="00222EFB" w:rsidRPr="00851EC7" w:rsidRDefault="00222EFB" w:rsidP="00C34871">
      <w:pPr>
        <w:pStyle w:val="DividerStyle"/>
      </w:pPr>
    </w:p>
    <w:p w:rsidR="00222EFB" w:rsidRPr="00851EC7" w:rsidRDefault="00222EFB" w:rsidP="00C34871">
      <w:pPr>
        <w:pStyle w:val="DividerStyle"/>
      </w:pPr>
    </w:p>
    <w:p w:rsidR="00222EFB" w:rsidRPr="00851EC7" w:rsidRDefault="00222EFB" w:rsidP="00C34871">
      <w:pPr>
        <w:pStyle w:val="DividerStyle"/>
      </w:pPr>
    </w:p>
    <w:p w:rsidR="00222EFB" w:rsidRPr="00851EC7" w:rsidRDefault="002D621D" w:rsidP="00C34871">
      <w:pPr>
        <w:pStyle w:val="DividerStyle"/>
        <w:rPr>
          <w:i/>
          <w:sz w:val="32"/>
          <w:szCs w:val="32"/>
        </w:rPr>
      </w:pPr>
      <w:r w:rsidRPr="00851EC7">
        <w:t xml:space="preserve">Part C: </w:t>
      </w:r>
      <w:r w:rsidR="001409A2" w:rsidRPr="00851EC7">
        <w:t>Conclusions</w:t>
      </w:r>
      <w:r w:rsidR="00902641" w:rsidRPr="00851EC7">
        <w:t xml:space="preserve"> </w:t>
      </w:r>
    </w:p>
    <w:p w:rsidR="00222EFB" w:rsidRPr="00851EC7" w:rsidRDefault="00222EFB" w:rsidP="00775568">
      <w:pPr>
        <w:sectPr w:rsidR="00222EFB" w:rsidRPr="00851EC7" w:rsidSect="001409A2">
          <w:type w:val="oddPage"/>
          <w:pgSz w:w="11909" w:h="16834" w:code="9"/>
          <w:pgMar w:top="1440" w:right="1440" w:bottom="1440" w:left="1440" w:header="432" w:footer="720" w:gutter="0"/>
          <w:cols w:space="720"/>
          <w:noEndnote/>
          <w:docGrid w:linePitch="360"/>
        </w:sectPr>
      </w:pPr>
    </w:p>
    <w:p w:rsidR="00222EFB" w:rsidRPr="004F3B6A" w:rsidRDefault="00222EFB" w:rsidP="00775568">
      <w:pPr>
        <w:pStyle w:val="Heading1"/>
      </w:pPr>
      <w:bookmarkStart w:id="119" w:name="_Toc372401526"/>
      <w:bookmarkStart w:id="120" w:name="_Toc448156330"/>
      <w:r w:rsidRPr="004F3B6A">
        <w:lastRenderedPageBreak/>
        <w:t>Conclusions</w:t>
      </w:r>
      <w:bookmarkEnd w:id="119"/>
      <w:bookmarkEnd w:id="120"/>
      <w:r w:rsidRPr="004F3B6A">
        <w:t xml:space="preserve"> </w:t>
      </w:r>
    </w:p>
    <w:p w:rsidR="00206953" w:rsidRDefault="00206953" w:rsidP="00D915BC">
      <w:bookmarkStart w:id="121" w:name="_Ref447916122"/>
      <w:bookmarkStart w:id="122" w:name="_Toc412534599"/>
      <w:r w:rsidRPr="00851EC7">
        <w:t xml:space="preserve">The end of </w:t>
      </w:r>
      <w:r>
        <w:t>2015</w:t>
      </w:r>
      <w:r w:rsidRPr="00851EC7">
        <w:t xml:space="preserve"> represents </w:t>
      </w:r>
      <w:r>
        <w:t>a critical point in the lifetime of A</w:t>
      </w:r>
      <w:r w:rsidRPr="00851EC7">
        <w:t>ustralia’s Education Partnership with Indonesia.</w:t>
      </w:r>
      <w:r>
        <w:t xml:space="preserve"> The individual components are at differing stages of development. While it is probable that DFAT will extend the duration of its support to C1 until the end of the year to better ensure the successful completion of those schools yet to be fully constructed by June 2016, the spotlight is placed on the effect, long-term impacts and sustained benefits of increased access afforded by a school construction program that stretches back over the better part of a decade. With six months of Australia’s contribution to C2 and C3 remaining, attention moves away from issues of relevance and efficiency and on to how best to cement the gains secured to date and what needs to be done to generate further, sustained improvement in education quality. With C2 in particular, there is a feeling that much work remains if the expected benefits are to accrue. C4 is a little different. With the EU and DFAT extending their support to mid-2017, identified opportunities to improve efficiency and, consequently, the long-term return on the 6-7 year investment must be seized.</w:t>
      </w:r>
    </w:p>
    <w:p w:rsidR="00206953" w:rsidRPr="00851EC7" w:rsidRDefault="00206953" w:rsidP="00D915BC">
      <w:r>
        <w:t xml:space="preserve">Of course the policy, political and institutional environments within which Institutional and Implementing Partners find themselves in 2015/16 is very different to that when the EP was conceived in 2009/10 and commenced in 2011. However, change is constant. Notwithstanding the extent of institutional change experienced in 2014-15 (particularly in DFAT), uncertainty and flux are not unusual and change offers both challenges and opportunities. </w:t>
      </w:r>
      <w:r w:rsidRPr="00851EC7">
        <w:t>Against that backdrop, this year’s APPR offers a timely assessment of progress to date</w:t>
      </w:r>
      <w:r>
        <w:t xml:space="preserve">, </w:t>
      </w:r>
      <w:r w:rsidRPr="00851EC7">
        <w:t>an analysis of existing challenges and opportunities</w:t>
      </w:r>
      <w:r>
        <w:t xml:space="preserve"> as we look beyond the horizon of Australian funding to the EP, and as the Embassy’s Forward Program starts to take shape</w:t>
      </w:r>
      <w:r w:rsidRPr="00851EC7">
        <w:t>.</w:t>
      </w:r>
    </w:p>
    <w:p w:rsidR="00206953" w:rsidRDefault="00206953" w:rsidP="00D915BC">
      <w:r>
        <w:fldChar w:fldCharType="begin"/>
      </w:r>
      <w:r>
        <w:instrText xml:space="preserve"> REF _Ref448136763 \h </w:instrText>
      </w:r>
      <w:r>
        <w:fldChar w:fldCharType="separate"/>
      </w:r>
      <w:r w:rsidR="00EC36D2" w:rsidRPr="00AF6BE4">
        <w:t xml:space="preserve">Table </w:t>
      </w:r>
      <w:r w:rsidR="00EC36D2">
        <w:rPr>
          <w:noProof/>
        </w:rPr>
        <w:t>27</w:t>
      </w:r>
      <w:r>
        <w:fldChar w:fldCharType="end"/>
      </w:r>
      <w:r w:rsidRPr="00851EC7">
        <w:t xml:space="preserve">, below, provides a summary of each component’s performance against the five DAC criteria, coupled with mean scores for each DAC criterion. </w:t>
      </w:r>
      <w:r>
        <w:t>The APPR</w:t>
      </w:r>
      <w:r w:rsidRPr="00851EC7">
        <w:t xml:space="preserve"> scores from 2013 </w:t>
      </w:r>
      <w:r>
        <w:t xml:space="preserve">and 2014 </w:t>
      </w:r>
      <w:r w:rsidRPr="00851EC7">
        <w:t xml:space="preserve">are also presented so that readers can see how performance has evolved over time. </w:t>
      </w:r>
    </w:p>
    <w:p w:rsidR="00F7738B" w:rsidRPr="00AF6BE4" w:rsidRDefault="00F7738B" w:rsidP="00F80C6C">
      <w:pPr>
        <w:pStyle w:val="Caption-Table"/>
        <w:rPr>
          <w:bCs/>
          <w:iCs/>
          <w:lang w:val="en-AU"/>
        </w:rPr>
      </w:pPr>
      <w:bookmarkStart w:id="123" w:name="_Ref448136763"/>
      <w:bookmarkStart w:id="124" w:name="_Toc450131648"/>
      <w:r w:rsidRPr="00AF6BE4">
        <w:t xml:space="preserve">Table </w:t>
      </w:r>
      <w:r w:rsidRPr="00AF6BE4">
        <w:fldChar w:fldCharType="begin"/>
      </w:r>
      <w:r w:rsidRPr="00AF6BE4">
        <w:instrText xml:space="preserve"> SEQ Table \* ARABIC </w:instrText>
      </w:r>
      <w:r w:rsidRPr="00AF6BE4">
        <w:fldChar w:fldCharType="separate"/>
      </w:r>
      <w:r w:rsidR="00EC36D2">
        <w:rPr>
          <w:noProof/>
        </w:rPr>
        <w:t>27</w:t>
      </w:r>
      <w:r w:rsidRPr="00AF6BE4">
        <w:fldChar w:fldCharType="end"/>
      </w:r>
      <w:bookmarkEnd w:id="121"/>
      <w:bookmarkEnd w:id="123"/>
      <w:r w:rsidRPr="00AF6BE4">
        <w:rPr>
          <w:lang w:val="en-AU"/>
        </w:rPr>
        <w:t xml:space="preserve">: </w:t>
      </w:r>
      <w:r w:rsidRPr="00AF6BE4">
        <w:rPr>
          <w:bCs/>
          <w:iCs/>
          <w:lang w:val="en-AU"/>
        </w:rPr>
        <w:t>Combined scorecard</w:t>
      </w:r>
      <w:bookmarkEnd w:id="122"/>
      <w:bookmarkEnd w:id="124"/>
    </w:p>
    <w:tbl>
      <w:tblPr>
        <w:tblStyle w:val="TableGrid17"/>
        <w:tblW w:w="4916" w:type="pct"/>
        <w:jc w:val="center"/>
        <w:tblLayout w:type="fixed"/>
        <w:tblLook w:val="04A0" w:firstRow="1" w:lastRow="0" w:firstColumn="1" w:lastColumn="0" w:noHBand="0" w:noVBand="1"/>
      </w:tblPr>
      <w:tblGrid>
        <w:gridCol w:w="1087"/>
        <w:gridCol w:w="522"/>
        <w:gridCol w:w="505"/>
        <w:gridCol w:w="524"/>
        <w:gridCol w:w="502"/>
        <w:gridCol w:w="516"/>
        <w:gridCol w:w="569"/>
        <w:gridCol w:w="535"/>
        <w:gridCol w:w="504"/>
        <w:gridCol w:w="507"/>
        <w:gridCol w:w="524"/>
        <w:gridCol w:w="506"/>
        <w:gridCol w:w="518"/>
        <w:gridCol w:w="591"/>
        <w:gridCol w:w="591"/>
        <w:gridCol w:w="589"/>
      </w:tblGrid>
      <w:tr w:rsidR="00F80C6C" w:rsidRPr="00851EC7" w:rsidTr="00F80C6C">
        <w:trPr>
          <w:trHeight w:val="593"/>
          <w:jc w:val="center"/>
        </w:trPr>
        <w:tc>
          <w:tcPr>
            <w:tcW w:w="1087" w:type="dxa"/>
            <w:vMerge w:val="restart"/>
            <w:tcBorders>
              <w:right w:val="single" w:sz="18" w:space="0" w:color="auto"/>
            </w:tcBorders>
            <w:shd w:val="clear" w:color="auto" w:fill="244061" w:themeFill="accent1" w:themeFillShade="80"/>
            <w:vAlign w:val="center"/>
          </w:tcPr>
          <w:p w:rsidR="00F7738B" w:rsidRPr="00080338" w:rsidRDefault="00F7738B" w:rsidP="00D67E41">
            <w:pPr>
              <w:jc w:val="center"/>
              <w:rPr>
                <w:rFonts w:asciiTheme="minorHAnsi" w:hAnsiTheme="minorHAnsi"/>
                <w:sz w:val="20"/>
                <w:szCs w:val="20"/>
              </w:rPr>
            </w:pPr>
            <w:r w:rsidRPr="00080338">
              <w:rPr>
                <w:rFonts w:asciiTheme="minorHAnsi" w:hAnsiTheme="minorHAnsi"/>
                <w:b/>
                <w:sz w:val="20"/>
                <w:szCs w:val="20"/>
              </w:rPr>
              <w:t>DAC Criterion</w:t>
            </w:r>
          </w:p>
        </w:tc>
        <w:tc>
          <w:tcPr>
            <w:tcW w:w="1551" w:type="dxa"/>
            <w:gridSpan w:val="3"/>
            <w:tcBorders>
              <w:top w:val="single" w:sz="8" w:space="0" w:color="auto"/>
              <w:left w:val="single" w:sz="18" w:space="0" w:color="auto"/>
              <w:bottom w:val="single" w:sz="8" w:space="0" w:color="auto"/>
              <w:right w:val="single" w:sz="18" w:space="0" w:color="auto"/>
            </w:tcBorders>
            <w:shd w:val="clear" w:color="auto" w:fill="244061" w:themeFill="accent1" w:themeFillShade="80"/>
            <w:vAlign w:val="center"/>
          </w:tcPr>
          <w:p w:rsidR="00F7738B" w:rsidRPr="00851EC7" w:rsidRDefault="00F7738B" w:rsidP="00D67E41">
            <w:pPr>
              <w:jc w:val="center"/>
              <w:rPr>
                <w:rFonts w:asciiTheme="minorHAnsi" w:hAnsiTheme="minorHAnsi"/>
                <w:b/>
              </w:rPr>
            </w:pPr>
            <w:r w:rsidRPr="00851EC7">
              <w:rPr>
                <w:rFonts w:asciiTheme="minorHAnsi" w:hAnsiTheme="minorHAnsi"/>
                <w:b/>
              </w:rPr>
              <w:t>C1 Score</w:t>
            </w:r>
          </w:p>
        </w:tc>
        <w:tc>
          <w:tcPr>
            <w:tcW w:w="1587" w:type="dxa"/>
            <w:gridSpan w:val="3"/>
            <w:tcBorders>
              <w:top w:val="single" w:sz="8" w:space="0" w:color="auto"/>
              <w:left w:val="single" w:sz="18" w:space="0" w:color="auto"/>
              <w:bottom w:val="single" w:sz="8" w:space="0" w:color="auto"/>
              <w:right w:val="single" w:sz="18" w:space="0" w:color="auto"/>
            </w:tcBorders>
            <w:shd w:val="clear" w:color="auto" w:fill="244061" w:themeFill="accent1" w:themeFillShade="80"/>
            <w:vAlign w:val="center"/>
          </w:tcPr>
          <w:p w:rsidR="00F7738B" w:rsidRPr="00851EC7" w:rsidRDefault="00F7738B" w:rsidP="00D67E41">
            <w:pPr>
              <w:jc w:val="center"/>
              <w:rPr>
                <w:rFonts w:asciiTheme="minorHAnsi" w:hAnsiTheme="minorHAnsi"/>
                <w:b/>
              </w:rPr>
            </w:pPr>
            <w:r w:rsidRPr="00851EC7">
              <w:rPr>
                <w:rFonts w:asciiTheme="minorHAnsi" w:hAnsiTheme="minorHAnsi"/>
                <w:b/>
              </w:rPr>
              <w:t>C2 Score</w:t>
            </w:r>
          </w:p>
        </w:tc>
        <w:tc>
          <w:tcPr>
            <w:tcW w:w="1546" w:type="dxa"/>
            <w:gridSpan w:val="3"/>
            <w:tcBorders>
              <w:top w:val="single" w:sz="8" w:space="0" w:color="auto"/>
              <w:left w:val="single" w:sz="18" w:space="0" w:color="auto"/>
              <w:bottom w:val="single" w:sz="8" w:space="0" w:color="auto"/>
              <w:right w:val="single" w:sz="18" w:space="0" w:color="auto"/>
            </w:tcBorders>
            <w:shd w:val="clear" w:color="auto" w:fill="244061" w:themeFill="accent1" w:themeFillShade="80"/>
            <w:vAlign w:val="center"/>
          </w:tcPr>
          <w:p w:rsidR="00F7738B" w:rsidRPr="00851EC7" w:rsidRDefault="00F7738B" w:rsidP="00D67E41">
            <w:pPr>
              <w:jc w:val="center"/>
              <w:rPr>
                <w:rFonts w:asciiTheme="minorHAnsi" w:hAnsiTheme="minorHAnsi"/>
                <w:b/>
              </w:rPr>
            </w:pPr>
            <w:r w:rsidRPr="00851EC7">
              <w:rPr>
                <w:rFonts w:asciiTheme="minorHAnsi" w:hAnsiTheme="minorHAnsi"/>
                <w:b/>
              </w:rPr>
              <w:t>C3 Score</w:t>
            </w:r>
          </w:p>
        </w:tc>
        <w:tc>
          <w:tcPr>
            <w:tcW w:w="1548" w:type="dxa"/>
            <w:gridSpan w:val="3"/>
            <w:tcBorders>
              <w:top w:val="single" w:sz="8" w:space="0" w:color="auto"/>
              <w:left w:val="single" w:sz="18" w:space="0" w:color="auto"/>
              <w:bottom w:val="single" w:sz="8" w:space="0" w:color="auto"/>
              <w:right w:val="single" w:sz="18" w:space="0" w:color="auto"/>
            </w:tcBorders>
            <w:shd w:val="clear" w:color="auto" w:fill="244061" w:themeFill="accent1" w:themeFillShade="80"/>
            <w:vAlign w:val="center"/>
          </w:tcPr>
          <w:p w:rsidR="00F7738B" w:rsidRPr="00851EC7" w:rsidRDefault="00F7738B" w:rsidP="00D67E41">
            <w:pPr>
              <w:jc w:val="center"/>
              <w:rPr>
                <w:rFonts w:asciiTheme="minorHAnsi" w:hAnsiTheme="minorHAnsi"/>
                <w:b/>
              </w:rPr>
            </w:pPr>
            <w:r w:rsidRPr="00851EC7">
              <w:rPr>
                <w:rFonts w:asciiTheme="minorHAnsi" w:hAnsiTheme="minorHAnsi"/>
                <w:b/>
              </w:rPr>
              <w:t>C4 Score</w:t>
            </w:r>
          </w:p>
        </w:tc>
        <w:tc>
          <w:tcPr>
            <w:tcW w:w="1771" w:type="dxa"/>
            <w:gridSpan w:val="3"/>
            <w:tcBorders>
              <w:left w:val="single" w:sz="18" w:space="0" w:color="auto"/>
            </w:tcBorders>
            <w:shd w:val="clear" w:color="auto" w:fill="244061" w:themeFill="accent1" w:themeFillShade="80"/>
            <w:vAlign w:val="center"/>
          </w:tcPr>
          <w:p w:rsidR="00F7738B" w:rsidRPr="00851EC7" w:rsidRDefault="00F7738B" w:rsidP="00D67E41">
            <w:pPr>
              <w:jc w:val="center"/>
              <w:rPr>
                <w:rFonts w:asciiTheme="minorHAnsi" w:hAnsiTheme="minorHAnsi"/>
                <w:b/>
              </w:rPr>
            </w:pPr>
            <w:r w:rsidRPr="00851EC7">
              <w:rPr>
                <w:rFonts w:asciiTheme="minorHAnsi" w:hAnsiTheme="minorHAnsi"/>
                <w:b/>
              </w:rPr>
              <w:t>Mean EP Score</w:t>
            </w:r>
          </w:p>
        </w:tc>
      </w:tr>
      <w:tr w:rsidR="00F80C6C" w:rsidRPr="00851EC7" w:rsidTr="00F80C6C">
        <w:trPr>
          <w:trHeight w:val="593"/>
          <w:jc w:val="center"/>
        </w:trPr>
        <w:tc>
          <w:tcPr>
            <w:tcW w:w="1087" w:type="dxa"/>
            <w:vMerge/>
            <w:tcBorders>
              <w:bottom w:val="single" w:sz="4" w:space="0" w:color="auto"/>
              <w:right w:val="single" w:sz="18" w:space="0" w:color="auto"/>
            </w:tcBorders>
            <w:shd w:val="clear" w:color="auto" w:fill="244061" w:themeFill="accent1" w:themeFillShade="80"/>
            <w:vAlign w:val="center"/>
          </w:tcPr>
          <w:p w:rsidR="00F7738B" w:rsidRPr="00080338" w:rsidRDefault="00F7738B" w:rsidP="00F7738B">
            <w:pPr>
              <w:spacing w:before="0" w:after="0"/>
              <w:jc w:val="center"/>
              <w:rPr>
                <w:rFonts w:asciiTheme="minorHAnsi" w:hAnsiTheme="minorHAnsi"/>
                <w:b/>
                <w:sz w:val="20"/>
                <w:szCs w:val="20"/>
              </w:rPr>
            </w:pPr>
          </w:p>
        </w:tc>
        <w:tc>
          <w:tcPr>
            <w:tcW w:w="522" w:type="dxa"/>
            <w:tcBorders>
              <w:top w:val="single" w:sz="8" w:space="0" w:color="auto"/>
              <w:left w:val="single" w:sz="18" w:space="0" w:color="auto"/>
              <w:bottom w:val="single" w:sz="4" w:space="0" w:color="auto"/>
              <w:right w:val="single" w:sz="8" w:space="0" w:color="auto"/>
            </w:tcBorders>
            <w:shd w:val="clear" w:color="auto" w:fill="244061" w:themeFill="accent1" w:themeFillShade="80"/>
            <w:vAlign w:val="center"/>
          </w:tcPr>
          <w:p w:rsidR="00F7738B" w:rsidRPr="00F7738B" w:rsidRDefault="00F7738B" w:rsidP="00F7738B">
            <w:pPr>
              <w:spacing w:before="0" w:after="0"/>
              <w:jc w:val="center"/>
              <w:rPr>
                <w:rFonts w:asciiTheme="minorHAnsi" w:hAnsiTheme="minorHAnsi"/>
                <w:b/>
                <w:sz w:val="14"/>
                <w:szCs w:val="16"/>
              </w:rPr>
            </w:pPr>
            <w:r w:rsidRPr="00F7738B">
              <w:rPr>
                <w:rFonts w:asciiTheme="minorHAnsi" w:hAnsiTheme="minorHAnsi"/>
                <w:b/>
                <w:sz w:val="14"/>
                <w:szCs w:val="16"/>
              </w:rPr>
              <w:t>2013</w:t>
            </w:r>
          </w:p>
        </w:tc>
        <w:tc>
          <w:tcPr>
            <w:tcW w:w="505" w:type="dxa"/>
            <w:tcBorders>
              <w:top w:val="single" w:sz="8" w:space="0" w:color="auto"/>
              <w:left w:val="single" w:sz="8" w:space="0" w:color="auto"/>
              <w:bottom w:val="single" w:sz="4" w:space="0" w:color="auto"/>
              <w:right w:val="single" w:sz="8" w:space="0" w:color="auto"/>
            </w:tcBorders>
            <w:shd w:val="clear" w:color="auto" w:fill="244061" w:themeFill="accent1" w:themeFillShade="80"/>
            <w:vAlign w:val="center"/>
          </w:tcPr>
          <w:p w:rsidR="00F7738B" w:rsidRPr="00F7738B" w:rsidRDefault="00F7738B" w:rsidP="00F7738B">
            <w:pPr>
              <w:spacing w:before="0" w:after="0"/>
              <w:jc w:val="center"/>
              <w:rPr>
                <w:rFonts w:asciiTheme="minorHAnsi" w:hAnsiTheme="minorHAnsi"/>
                <w:b/>
                <w:sz w:val="14"/>
                <w:szCs w:val="16"/>
              </w:rPr>
            </w:pPr>
            <w:r w:rsidRPr="00F7738B">
              <w:rPr>
                <w:rFonts w:asciiTheme="minorHAnsi" w:hAnsiTheme="minorHAnsi"/>
                <w:b/>
                <w:sz w:val="14"/>
                <w:szCs w:val="16"/>
              </w:rPr>
              <w:t>2014</w:t>
            </w:r>
          </w:p>
        </w:tc>
        <w:tc>
          <w:tcPr>
            <w:tcW w:w="524" w:type="dxa"/>
            <w:tcBorders>
              <w:top w:val="single" w:sz="8" w:space="0" w:color="auto"/>
              <w:left w:val="single" w:sz="8" w:space="0" w:color="auto"/>
              <w:bottom w:val="single" w:sz="4" w:space="0" w:color="auto"/>
              <w:right w:val="single" w:sz="18" w:space="0" w:color="auto"/>
            </w:tcBorders>
            <w:shd w:val="clear" w:color="auto" w:fill="244061" w:themeFill="accent1" w:themeFillShade="80"/>
            <w:vAlign w:val="center"/>
          </w:tcPr>
          <w:p w:rsidR="00F7738B" w:rsidRPr="00F7738B" w:rsidRDefault="00F7738B" w:rsidP="00F7738B">
            <w:pPr>
              <w:spacing w:before="0" w:after="0"/>
              <w:jc w:val="center"/>
              <w:rPr>
                <w:rFonts w:asciiTheme="minorHAnsi" w:hAnsiTheme="minorHAnsi"/>
                <w:b/>
                <w:sz w:val="14"/>
                <w:szCs w:val="16"/>
              </w:rPr>
            </w:pPr>
            <w:r w:rsidRPr="00F7738B">
              <w:rPr>
                <w:rFonts w:asciiTheme="minorHAnsi" w:hAnsiTheme="minorHAnsi"/>
                <w:b/>
                <w:sz w:val="14"/>
                <w:szCs w:val="16"/>
              </w:rPr>
              <w:t>2015</w:t>
            </w:r>
          </w:p>
        </w:tc>
        <w:tc>
          <w:tcPr>
            <w:tcW w:w="502" w:type="dxa"/>
            <w:tcBorders>
              <w:top w:val="single" w:sz="8" w:space="0" w:color="auto"/>
              <w:left w:val="single" w:sz="18" w:space="0" w:color="auto"/>
              <w:bottom w:val="single" w:sz="4" w:space="0" w:color="auto"/>
              <w:right w:val="single" w:sz="8" w:space="0" w:color="auto"/>
            </w:tcBorders>
            <w:shd w:val="clear" w:color="auto" w:fill="244061" w:themeFill="accent1" w:themeFillShade="80"/>
            <w:vAlign w:val="center"/>
          </w:tcPr>
          <w:p w:rsidR="00F7738B" w:rsidRPr="00F7738B" w:rsidRDefault="00F7738B" w:rsidP="00F7738B">
            <w:pPr>
              <w:spacing w:before="0" w:after="0"/>
              <w:jc w:val="center"/>
              <w:rPr>
                <w:rFonts w:asciiTheme="minorHAnsi" w:hAnsiTheme="minorHAnsi"/>
                <w:b/>
                <w:sz w:val="14"/>
                <w:szCs w:val="16"/>
              </w:rPr>
            </w:pPr>
            <w:r w:rsidRPr="00F7738B">
              <w:rPr>
                <w:rFonts w:asciiTheme="minorHAnsi" w:hAnsiTheme="minorHAnsi"/>
                <w:b/>
                <w:sz w:val="14"/>
                <w:szCs w:val="16"/>
              </w:rPr>
              <w:t>2013</w:t>
            </w:r>
          </w:p>
        </w:tc>
        <w:tc>
          <w:tcPr>
            <w:tcW w:w="516" w:type="dxa"/>
            <w:tcBorders>
              <w:top w:val="single" w:sz="8" w:space="0" w:color="auto"/>
              <w:left w:val="single" w:sz="8" w:space="0" w:color="auto"/>
              <w:bottom w:val="single" w:sz="4" w:space="0" w:color="auto"/>
              <w:right w:val="single" w:sz="8" w:space="0" w:color="auto"/>
            </w:tcBorders>
            <w:shd w:val="clear" w:color="auto" w:fill="244061" w:themeFill="accent1" w:themeFillShade="80"/>
            <w:vAlign w:val="center"/>
          </w:tcPr>
          <w:p w:rsidR="00F7738B" w:rsidRPr="00F7738B" w:rsidRDefault="00F7738B" w:rsidP="00F7738B">
            <w:pPr>
              <w:spacing w:before="0" w:after="0"/>
              <w:jc w:val="center"/>
              <w:rPr>
                <w:rFonts w:asciiTheme="minorHAnsi" w:hAnsiTheme="minorHAnsi"/>
                <w:b/>
                <w:sz w:val="14"/>
                <w:szCs w:val="16"/>
              </w:rPr>
            </w:pPr>
            <w:r w:rsidRPr="00F7738B">
              <w:rPr>
                <w:rFonts w:asciiTheme="minorHAnsi" w:hAnsiTheme="minorHAnsi"/>
                <w:b/>
                <w:sz w:val="14"/>
                <w:szCs w:val="16"/>
              </w:rPr>
              <w:t>2014</w:t>
            </w:r>
          </w:p>
        </w:tc>
        <w:tc>
          <w:tcPr>
            <w:tcW w:w="569" w:type="dxa"/>
            <w:tcBorders>
              <w:top w:val="single" w:sz="8" w:space="0" w:color="auto"/>
              <w:left w:val="single" w:sz="8" w:space="0" w:color="auto"/>
              <w:bottom w:val="single" w:sz="4" w:space="0" w:color="auto"/>
              <w:right w:val="single" w:sz="18" w:space="0" w:color="auto"/>
            </w:tcBorders>
            <w:shd w:val="clear" w:color="auto" w:fill="244061" w:themeFill="accent1" w:themeFillShade="80"/>
            <w:vAlign w:val="center"/>
          </w:tcPr>
          <w:p w:rsidR="00F7738B" w:rsidRPr="00F7738B" w:rsidRDefault="00F7738B" w:rsidP="00F7738B">
            <w:pPr>
              <w:spacing w:before="0" w:after="0"/>
              <w:jc w:val="center"/>
              <w:rPr>
                <w:rFonts w:asciiTheme="minorHAnsi" w:hAnsiTheme="minorHAnsi"/>
                <w:b/>
                <w:sz w:val="14"/>
                <w:szCs w:val="16"/>
              </w:rPr>
            </w:pPr>
            <w:r w:rsidRPr="00F7738B">
              <w:rPr>
                <w:rFonts w:asciiTheme="minorHAnsi" w:hAnsiTheme="minorHAnsi"/>
                <w:b/>
                <w:sz w:val="14"/>
                <w:szCs w:val="16"/>
              </w:rPr>
              <w:t>2015</w:t>
            </w:r>
          </w:p>
        </w:tc>
        <w:tc>
          <w:tcPr>
            <w:tcW w:w="535" w:type="dxa"/>
            <w:tcBorders>
              <w:top w:val="single" w:sz="8" w:space="0" w:color="auto"/>
              <w:left w:val="single" w:sz="18" w:space="0" w:color="auto"/>
              <w:bottom w:val="single" w:sz="4" w:space="0" w:color="auto"/>
              <w:right w:val="single" w:sz="8" w:space="0" w:color="auto"/>
            </w:tcBorders>
            <w:shd w:val="clear" w:color="auto" w:fill="244061" w:themeFill="accent1" w:themeFillShade="80"/>
            <w:vAlign w:val="center"/>
          </w:tcPr>
          <w:p w:rsidR="00F7738B" w:rsidRPr="00F7738B" w:rsidRDefault="00F7738B" w:rsidP="00F7738B">
            <w:pPr>
              <w:spacing w:before="0" w:after="0"/>
              <w:jc w:val="center"/>
              <w:rPr>
                <w:rFonts w:asciiTheme="minorHAnsi" w:hAnsiTheme="minorHAnsi"/>
                <w:b/>
                <w:sz w:val="14"/>
                <w:szCs w:val="16"/>
              </w:rPr>
            </w:pPr>
            <w:r w:rsidRPr="00F7738B">
              <w:rPr>
                <w:rFonts w:asciiTheme="minorHAnsi" w:hAnsiTheme="minorHAnsi"/>
                <w:b/>
                <w:sz w:val="14"/>
                <w:szCs w:val="16"/>
              </w:rPr>
              <w:t>2013</w:t>
            </w:r>
          </w:p>
        </w:tc>
        <w:tc>
          <w:tcPr>
            <w:tcW w:w="504" w:type="dxa"/>
            <w:tcBorders>
              <w:top w:val="single" w:sz="8" w:space="0" w:color="auto"/>
              <w:left w:val="single" w:sz="8" w:space="0" w:color="auto"/>
              <w:bottom w:val="single" w:sz="4" w:space="0" w:color="auto"/>
              <w:right w:val="single" w:sz="8" w:space="0" w:color="auto"/>
            </w:tcBorders>
            <w:shd w:val="clear" w:color="auto" w:fill="244061" w:themeFill="accent1" w:themeFillShade="80"/>
            <w:vAlign w:val="center"/>
          </w:tcPr>
          <w:p w:rsidR="00F7738B" w:rsidRPr="00F7738B" w:rsidRDefault="00F7738B" w:rsidP="00F7738B">
            <w:pPr>
              <w:spacing w:before="0" w:after="0"/>
              <w:jc w:val="center"/>
              <w:rPr>
                <w:rFonts w:asciiTheme="minorHAnsi" w:hAnsiTheme="minorHAnsi"/>
                <w:b/>
                <w:sz w:val="14"/>
                <w:szCs w:val="16"/>
              </w:rPr>
            </w:pPr>
            <w:r w:rsidRPr="00F7738B">
              <w:rPr>
                <w:rFonts w:asciiTheme="minorHAnsi" w:hAnsiTheme="minorHAnsi"/>
                <w:b/>
                <w:sz w:val="14"/>
                <w:szCs w:val="16"/>
              </w:rPr>
              <w:t>2014</w:t>
            </w:r>
          </w:p>
        </w:tc>
        <w:tc>
          <w:tcPr>
            <w:tcW w:w="507" w:type="dxa"/>
            <w:tcBorders>
              <w:top w:val="single" w:sz="8" w:space="0" w:color="auto"/>
              <w:left w:val="single" w:sz="8" w:space="0" w:color="auto"/>
              <w:bottom w:val="single" w:sz="4" w:space="0" w:color="auto"/>
              <w:right w:val="single" w:sz="18" w:space="0" w:color="auto"/>
            </w:tcBorders>
            <w:shd w:val="clear" w:color="auto" w:fill="244061" w:themeFill="accent1" w:themeFillShade="80"/>
            <w:vAlign w:val="center"/>
          </w:tcPr>
          <w:p w:rsidR="00F7738B" w:rsidRPr="00F7738B" w:rsidRDefault="00F7738B" w:rsidP="00F7738B">
            <w:pPr>
              <w:spacing w:before="0" w:after="0"/>
              <w:jc w:val="center"/>
              <w:rPr>
                <w:rFonts w:asciiTheme="minorHAnsi" w:hAnsiTheme="minorHAnsi"/>
                <w:b/>
                <w:sz w:val="14"/>
                <w:szCs w:val="16"/>
              </w:rPr>
            </w:pPr>
            <w:r w:rsidRPr="00F7738B">
              <w:rPr>
                <w:rFonts w:asciiTheme="minorHAnsi" w:hAnsiTheme="minorHAnsi"/>
                <w:b/>
                <w:sz w:val="14"/>
                <w:szCs w:val="16"/>
              </w:rPr>
              <w:t>2015</w:t>
            </w:r>
          </w:p>
        </w:tc>
        <w:tc>
          <w:tcPr>
            <w:tcW w:w="524" w:type="dxa"/>
            <w:tcBorders>
              <w:top w:val="single" w:sz="8" w:space="0" w:color="auto"/>
              <w:left w:val="single" w:sz="18" w:space="0" w:color="auto"/>
              <w:bottom w:val="single" w:sz="4" w:space="0" w:color="auto"/>
              <w:right w:val="single" w:sz="8" w:space="0" w:color="auto"/>
            </w:tcBorders>
            <w:shd w:val="clear" w:color="auto" w:fill="244061" w:themeFill="accent1" w:themeFillShade="80"/>
            <w:vAlign w:val="center"/>
          </w:tcPr>
          <w:p w:rsidR="00F7738B" w:rsidRPr="00F7738B" w:rsidRDefault="00F7738B" w:rsidP="00F7738B">
            <w:pPr>
              <w:spacing w:before="0" w:after="0"/>
              <w:jc w:val="center"/>
              <w:rPr>
                <w:rFonts w:asciiTheme="minorHAnsi" w:hAnsiTheme="minorHAnsi"/>
                <w:b/>
                <w:sz w:val="14"/>
                <w:szCs w:val="16"/>
              </w:rPr>
            </w:pPr>
            <w:r w:rsidRPr="00F7738B">
              <w:rPr>
                <w:rFonts w:asciiTheme="minorHAnsi" w:hAnsiTheme="minorHAnsi"/>
                <w:b/>
                <w:sz w:val="14"/>
                <w:szCs w:val="16"/>
              </w:rPr>
              <w:t>2013</w:t>
            </w:r>
          </w:p>
        </w:tc>
        <w:tc>
          <w:tcPr>
            <w:tcW w:w="506" w:type="dxa"/>
            <w:tcBorders>
              <w:top w:val="single" w:sz="8" w:space="0" w:color="auto"/>
              <w:left w:val="single" w:sz="8" w:space="0" w:color="auto"/>
              <w:bottom w:val="single" w:sz="4" w:space="0" w:color="auto"/>
              <w:right w:val="single" w:sz="4" w:space="0" w:color="auto"/>
            </w:tcBorders>
            <w:shd w:val="clear" w:color="auto" w:fill="244061" w:themeFill="accent1" w:themeFillShade="80"/>
            <w:vAlign w:val="center"/>
          </w:tcPr>
          <w:p w:rsidR="00F7738B" w:rsidRPr="00F7738B" w:rsidRDefault="00F7738B" w:rsidP="00F7738B">
            <w:pPr>
              <w:spacing w:before="0" w:after="0"/>
              <w:jc w:val="center"/>
              <w:rPr>
                <w:rFonts w:asciiTheme="minorHAnsi" w:hAnsiTheme="minorHAnsi"/>
                <w:b/>
                <w:sz w:val="14"/>
                <w:szCs w:val="16"/>
              </w:rPr>
            </w:pPr>
            <w:r w:rsidRPr="00F7738B">
              <w:rPr>
                <w:rFonts w:asciiTheme="minorHAnsi" w:hAnsiTheme="minorHAnsi"/>
                <w:b/>
                <w:sz w:val="14"/>
                <w:szCs w:val="16"/>
              </w:rPr>
              <w:t>2014</w:t>
            </w:r>
          </w:p>
        </w:tc>
        <w:tc>
          <w:tcPr>
            <w:tcW w:w="518" w:type="dxa"/>
            <w:tcBorders>
              <w:left w:val="single" w:sz="4" w:space="0" w:color="auto"/>
              <w:bottom w:val="single" w:sz="4" w:space="0" w:color="auto"/>
              <w:right w:val="single" w:sz="18" w:space="0" w:color="auto"/>
            </w:tcBorders>
            <w:shd w:val="clear" w:color="auto" w:fill="244061" w:themeFill="accent1" w:themeFillShade="80"/>
            <w:vAlign w:val="center"/>
          </w:tcPr>
          <w:p w:rsidR="00F7738B" w:rsidRPr="00F7738B" w:rsidRDefault="00F7738B" w:rsidP="00F7738B">
            <w:pPr>
              <w:spacing w:before="0" w:after="0"/>
              <w:jc w:val="center"/>
              <w:rPr>
                <w:rFonts w:asciiTheme="minorHAnsi" w:hAnsiTheme="minorHAnsi"/>
                <w:b/>
                <w:sz w:val="14"/>
                <w:szCs w:val="16"/>
              </w:rPr>
            </w:pPr>
            <w:r w:rsidRPr="00F7738B">
              <w:rPr>
                <w:rFonts w:asciiTheme="minorHAnsi" w:hAnsiTheme="minorHAnsi"/>
                <w:b/>
                <w:sz w:val="14"/>
                <w:szCs w:val="16"/>
              </w:rPr>
              <w:t>2015</w:t>
            </w:r>
          </w:p>
        </w:tc>
        <w:tc>
          <w:tcPr>
            <w:tcW w:w="591" w:type="dxa"/>
            <w:tcBorders>
              <w:left w:val="single" w:sz="18" w:space="0" w:color="auto"/>
              <w:bottom w:val="single" w:sz="4" w:space="0" w:color="auto"/>
            </w:tcBorders>
            <w:shd w:val="clear" w:color="auto" w:fill="244061" w:themeFill="accent1" w:themeFillShade="80"/>
            <w:vAlign w:val="center"/>
          </w:tcPr>
          <w:p w:rsidR="00F7738B" w:rsidRPr="00F7738B" w:rsidRDefault="00F7738B" w:rsidP="00F7738B">
            <w:pPr>
              <w:spacing w:before="0" w:after="0"/>
              <w:jc w:val="center"/>
              <w:rPr>
                <w:rFonts w:asciiTheme="minorHAnsi" w:hAnsiTheme="minorHAnsi"/>
                <w:b/>
                <w:sz w:val="14"/>
                <w:szCs w:val="16"/>
              </w:rPr>
            </w:pPr>
            <w:r w:rsidRPr="00F7738B">
              <w:rPr>
                <w:rFonts w:asciiTheme="minorHAnsi" w:hAnsiTheme="minorHAnsi"/>
                <w:b/>
                <w:sz w:val="14"/>
                <w:szCs w:val="16"/>
              </w:rPr>
              <w:t>2013</w:t>
            </w:r>
          </w:p>
        </w:tc>
        <w:tc>
          <w:tcPr>
            <w:tcW w:w="591" w:type="dxa"/>
            <w:tcBorders>
              <w:bottom w:val="single" w:sz="4" w:space="0" w:color="auto"/>
            </w:tcBorders>
            <w:shd w:val="clear" w:color="auto" w:fill="244061" w:themeFill="accent1" w:themeFillShade="80"/>
            <w:vAlign w:val="center"/>
          </w:tcPr>
          <w:p w:rsidR="00F7738B" w:rsidRPr="00F7738B" w:rsidRDefault="00F7738B" w:rsidP="00F7738B">
            <w:pPr>
              <w:spacing w:before="0" w:after="0"/>
              <w:jc w:val="center"/>
              <w:rPr>
                <w:rFonts w:asciiTheme="minorHAnsi" w:hAnsiTheme="minorHAnsi"/>
                <w:b/>
                <w:sz w:val="14"/>
                <w:szCs w:val="16"/>
              </w:rPr>
            </w:pPr>
            <w:r w:rsidRPr="00F7738B">
              <w:rPr>
                <w:rFonts w:asciiTheme="minorHAnsi" w:hAnsiTheme="minorHAnsi"/>
                <w:b/>
                <w:sz w:val="14"/>
                <w:szCs w:val="16"/>
              </w:rPr>
              <w:t>2014</w:t>
            </w:r>
          </w:p>
        </w:tc>
        <w:tc>
          <w:tcPr>
            <w:tcW w:w="589" w:type="dxa"/>
            <w:tcBorders>
              <w:bottom w:val="single" w:sz="4" w:space="0" w:color="auto"/>
            </w:tcBorders>
            <w:shd w:val="clear" w:color="auto" w:fill="244061" w:themeFill="accent1" w:themeFillShade="80"/>
            <w:vAlign w:val="center"/>
          </w:tcPr>
          <w:p w:rsidR="00F7738B" w:rsidRPr="00F7738B" w:rsidRDefault="00F7738B" w:rsidP="00F7738B">
            <w:pPr>
              <w:spacing w:before="0" w:after="0"/>
              <w:jc w:val="center"/>
              <w:rPr>
                <w:rFonts w:asciiTheme="minorHAnsi" w:hAnsiTheme="minorHAnsi"/>
                <w:b/>
                <w:sz w:val="14"/>
                <w:szCs w:val="16"/>
              </w:rPr>
            </w:pPr>
            <w:r w:rsidRPr="00F7738B">
              <w:rPr>
                <w:rFonts w:asciiTheme="minorHAnsi" w:hAnsiTheme="minorHAnsi"/>
                <w:b/>
                <w:sz w:val="14"/>
                <w:szCs w:val="16"/>
              </w:rPr>
              <w:t>2015</w:t>
            </w:r>
          </w:p>
        </w:tc>
      </w:tr>
      <w:tr w:rsidR="00F80C6C" w:rsidRPr="00851EC7" w:rsidTr="00F80C6C">
        <w:trPr>
          <w:trHeight w:val="567"/>
          <w:jc w:val="center"/>
        </w:trPr>
        <w:tc>
          <w:tcPr>
            <w:tcW w:w="1087" w:type="dxa"/>
            <w:tcBorders>
              <w:top w:val="single" w:sz="4" w:space="0" w:color="auto"/>
              <w:right w:val="single" w:sz="18" w:space="0" w:color="auto"/>
            </w:tcBorders>
            <w:vAlign w:val="center"/>
          </w:tcPr>
          <w:p w:rsidR="00F7738B" w:rsidRPr="00080338" w:rsidRDefault="00F7738B" w:rsidP="00D67E41">
            <w:pPr>
              <w:spacing w:before="60" w:after="60"/>
              <w:rPr>
                <w:rFonts w:asciiTheme="minorHAnsi" w:hAnsiTheme="minorHAnsi"/>
                <w:b/>
                <w:sz w:val="20"/>
                <w:szCs w:val="20"/>
              </w:rPr>
            </w:pPr>
            <w:r w:rsidRPr="00080338">
              <w:rPr>
                <w:rFonts w:asciiTheme="minorHAnsi" w:hAnsiTheme="minorHAnsi"/>
                <w:b/>
                <w:sz w:val="20"/>
                <w:szCs w:val="20"/>
              </w:rPr>
              <w:t>Relevance</w:t>
            </w:r>
          </w:p>
        </w:tc>
        <w:tc>
          <w:tcPr>
            <w:tcW w:w="522" w:type="dxa"/>
            <w:tcBorders>
              <w:top w:val="single" w:sz="4" w:space="0" w:color="auto"/>
              <w:left w:val="single" w:sz="18" w:space="0" w:color="auto"/>
              <w:bottom w:val="single" w:sz="8" w:space="0" w:color="auto"/>
              <w:right w:val="single" w:sz="8" w:space="0" w:color="auto"/>
            </w:tcBorders>
            <w:shd w:val="clear" w:color="auto" w:fill="FFFF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4</w:t>
            </w:r>
          </w:p>
        </w:tc>
        <w:tc>
          <w:tcPr>
            <w:tcW w:w="505" w:type="dxa"/>
            <w:tcBorders>
              <w:top w:val="single" w:sz="4" w:space="0" w:color="auto"/>
              <w:left w:val="single" w:sz="8" w:space="0" w:color="auto"/>
              <w:bottom w:val="single" w:sz="8" w:space="0" w:color="auto"/>
              <w:right w:val="single" w:sz="8" w:space="0" w:color="auto"/>
            </w:tcBorders>
            <w:shd w:val="clear" w:color="auto" w:fill="FFC0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3</w:t>
            </w:r>
          </w:p>
        </w:tc>
        <w:tc>
          <w:tcPr>
            <w:tcW w:w="524" w:type="dxa"/>
            <w:tcBorders>
              <w:top w:val="single" w:sz="4" w:space="0" w:color="auto"/>
              <w:left w:val="single" w:sz="8" w:space="0" w:color="auto"/>
              <w:bottom w:val="single" w:sz="8" w:space="0" w:color="auto"/>
              <w:right w:val="single" w:sz="18" w:space="0" w:color="auto"/>
            </w:tcBorders>
            <w:shd w:val="clear" w:color="auto" w:fill="FFC000"/>
            <w:vAlign w:val="center"/>
          </w:tcPr>
          <w:p w:rsidR="00F7738B" w:rsidRPr="00080338" w:rsidRDefault="00F7738B" w:rsidP="00D67E41">
            <w:pPr>
              <w:spacing w:before="60" w:after="60"/>
              <w:jc w:val="center"/>
              <w:rPr>
                <w:rFonts w:asciiTheme="minorHAnsi" w:hAnsiTheme="minorHAnsi"/>
                <w:sz w:val="20"/>
                <w:szCs w:val="20"/>
              </w:rPr>
            </w:pPr>
            <w:r>
              <w:rPr>
                <w:rFonts w:asciiTheme="minorHAnsi" w:hAnsiTheme="minorHAnsi"/>
                <w:sz w:val="20"/>
                <w:szCs w:val="20"/>
              </w:rPr>
              <w:t>3</w:t>
            </w:r>
          </w:p>
        </w:tc>
        <w:tc>
          <w:tcPr>
            <w:tcW w:w="502" w:type="dxa"/>
            <w:tcBorders>
              <w:top w:val="single" w:sz="4" w:space="0" w:color="auto"/>
              <w:left w:val="single" w:sz="18" w:space="0" w:color="auto"/>
              <w:bottom w:val="single" w:sz="8" w:space="0" w:color="auto"/>
              <w:right w:val="single" w:sz="8" w:space="0" w:color="auto"/>
            </w:tcBorders>
            <w:shd w:val="clear" w:color="auto" w:fill="92D05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5</w:t>
            </w:r>
          </w:p>
        </w:tc>
        <w:tc>
          <w:tcPr>
            <w:tcW w:w="516" w:type="dxa"/>
            <w:tcBorders>
              <w:top w:val="single" w:sz="4" w:space="0" w:color="auto"/>
              <w:left w:val="single" w:sz="8" w:space="0" w:color="auto"/>
              <w:bottom w:val="single" w:sz="8" w:space="0" w:color="auto"/>
              <w:right w:val="single" w:sz="8" w:space="0" w:color="auto"/>
            </w:tcBorders>
            <w:shd w:val="clear" w:color="auto" w:fill="92D05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5</w:t>
            </w:r>
          </w:p>
        </w:tc>
        <w:tc>
          <w:tcPr>
            <w:tcW w:w="569" w:type="dxa"/>
            <w:tcBorders>
              <w:top w:val="single" w:sz="4" w:space="0" w:color="auto"/>
              <w:left w:val="single" w:sz="8" w:space="0" w:color="auto"/>
              <w:bottom w:val="single" w:sz="8" w:space="0" w:color="auto"/>
              <w:right w:val="single" w:sz="18" w:space="0" w:color="auto"/>
            </w:tcBorders>
            <w:shd w:val="clear" w:color="auto" w:fill="FFFF00"/>
            <w:vAlign w:val="center"/>
          </w:tcPr>
          <w:p w:rsidR="00F7738B" w:rsidRPr="00080338" w:rsidRDefault="00F7738B" w:rsidP="00D67E41">
            <w:pPr>
              <w:spacing w:before="60" w:after="60"/>
              <w:jc w:val="center"/>
              <w:rPr>
                <w:rFonts w:asciiTheme="minorHAnsi" w:hAnsiTheme="minorHAnsi"/>
                <w:sz w:val="20"/>
                <w:szCs w:val="20"/>
              </w:rPr>
            </w:pPr>
            <w:r>
              <w:rPr>
                <w:rFonts w:asciiTheme="minorHAnsi" w:hAnsiTheme="minorHAnsi"/>
                <w:sz w:val="20"/>
                <w:szCs w:val="20"/>
              </w:rPr>
              <w:t>4</w:t>
            </w:r>
          </w:p>
        </w:tc>
        <w:tc>
          <w:tcPr>
            <w:tcW w:w="535" w:type="dxa"/>
            <w:tcBorders>
              <w:top w:val="single" w:sz="4" w:space="0" w:color="auto"/>
              <w:left w:val="single" w:sz="18" w:space="0" w:color="auto"/>
              <w:bottom w:val="single" w:sz="8" w:space="0" w:color="auto"/>
              <w:right w:val="single" w:sz="8" w:space="0" w:color="auto"/>
            </w:tcBorders>
            <w:shd w:val="clear" w:color="auto" w:fill="FFFF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4</w:t>
            </w:r>
          </w:p>
        </w:tc>
        <w:tc>
          <w:tcPr>
            <w:tcW w:w="504" w:type="dxa"/>
            <w:tcBorders>
              <w:top w:val="single" w:sz="4" w:space="0" w:color="auto"/>
              <w:left w:val="single" w:sz="8" w:space="0" w:color="auto"/>
              <w:bottom w:val="single" w:sz="8" w:space="0" w:color="auto"/>
              <w:right w:val="single" w:sz="8" w:space="0" w:color="auto"/>
            </w:tcBorders>
            <w:shd w:val="clear" w:color="auto" w:fill="92D050"/>
            <w:vAlign w:val="center"/>
          </w:tcPr>
          <w:p w:rsidR="00F7738B" w:rsidRPr="00080338" w:rsidRDefault="00F7738B" w:rsidP="00D67E41">
            <w:pPr>
              <w:jc w:val="center"/>
              <w:rPr>
                <w:rFonts w:asciiTheme="minorHAnsi" w:hAnsiTheme="minorHAnsi"/>
                <w:sz w:val="20"/>
                <w:szCs w:val="20"/>
              </w:rPr>
            </w:pPr>
            <w:r w:rsidRPr="00080338">
              <w:rPr>
                <w:rFonts w:asciiTheme="minorHAnsi" w:hAnsiTheme="minorHAnsi"/>
                <w:sz w:val="20"/>
                <w:szCs w:val="20"/>
              </w:rPr>
              <w:t>5</w:t>
            </w:r>
          </w:p>
        </w:tc>
        <w:tc>
          <w:tcPr>
            <w:tcW w:w="507" w:type="dxa"/>
            <w:tcBorders>
              <w:top w:val="single" w:sz="4" w:space="0" w:color="auto"/>
              <w:left w:val="single" w:sz="8" w:space="0" w:color="auto"/>
              <w:bottom w:val="single" w:sz="8" w:space="0" w:color="auto"/>
              <w:right w:val="single" w:sz="18" w:space="0" w:color="auto"/>
            </w:tcBorders>
            <w:shd w:val="clear" w:color="auto" w:fill="00B050"/>
            <w:vAlign w:val="center"/>
          </w:tcPr>
          <w:p w:rsidR="00F7738B" w:rsidRPr="00080338" w:rsidRDefault="00F7738B" w:rsidP="00D67E41">
            <w:pPr>
              <w:spacing w:before="60" w:after="60"/>
              <w:jc w:val="center"/>
              <w:rPr>
                <w:rFonts w:asciiTheme="minorHAnsi" w:hAnsiTheme="minorHAnsi"/>
                <w:sz w:val="20"/>
                <w:szCs w:val="20"/>
              </w:rPr>
            </w:pPr>
            <w:r>
              <w:rPr>
                <w:rFonts w:asciiTheme="minorHAnsi" w:hAnsiTheme="minorHAnsi"/>
                <w:sz w:val="20"/>
                <w:szCs w:val="20"/>
              </w:rPr>
              <w:t>6</w:t>
            </w:r>
          </w:p>
        </w:tc>
        <w:tc>
          <w:tcPr>
            <w:tcW w:w="524" w:type="dxa"/>
            <w:tcBorders>
              <w:top w:val="single" w:sz="4" w:space="0" w:color="auto"/>
              <w:left w:val="single" w:sz="18" w:space="0" w:color="auto"/>
              <w:bottom w:val="single" w:sz="8" w:space="0" w:color="auto"/>
              <w:right w:val="single" w:sz="8" w:space="0" w:color="auto"/>
            </w:tcBorders>
            <w:shd w:val="clear" w:color="auto" w:fill="FFFF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4</w:t>
            </w:r>
          </w:p>
        </w:tc>
        <w:tc>
          <w:tcPr>
            <w:tcW w:w="506" w:type="dxa"/>
            <w:tcBorders>
              <w:top w:val="single" w:sz="4" w:space="0" w:color="auto"/>
              <w:left w:val="single" w:sz="8" w:space="0" w:color="auto"/>
              <w:bottom w:val="single" w:sz="8" w:space="0" w:color="auto"/>
              <w:right w:val="single" w:sz="4" w:space="0" w:color="auto"/>
            </w:tcBorders>
            <w:shd w:val="clear" w:color="auto" w:fill="FFFF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4</w:t>
            </w:r>
          </w:p>
        </w:tc>
        <w:tc>
          <w:tcPr>
            <w:tcW w:w="518" w:type="dxa"/>
            <w:tcBorders>
              <w:top w:val="single" w:sz="4" w:space="0" w:color="auto"/>
              <w:left w:val="single" w:sz="4" w:space="0" w:color="auto"/>
              <w:bottom w:val="single" w:sz="4" w:space="0" w:color="auto"/>
              <w:right w:val="single" w:sz="18" w:space="0" w:color="auto"/>
            </w:tcBorders>
            <w:shd w:val="clear" w:color="auto" w:fill="92D05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5</w:t>
            </w:r>
          </w:p>
        </w:tc>
        <w:tc>
          <w:tcPr>
            <w:tcW w:w="591" w:type="dxa"/>
            <w:tcBorders>
              <w:top w:val="single" w:sz="4" w:space="0" w:color="auto"/>
              <w:left w:val="single" w:sz="18" w:space="0" w:color="auto"/>
            </w:tcBorders>
            <w:shd w:val="clear" w:color="auto" w:fill="DBE5F1" w:themeFill="accent1" w:themeFillTint="33"/>
            <w:vAlign w:val="center"/>
          </w:tcPr>
          <w:p w:rsidR="00F7738B" w:rsidRPr="00080338" w:rsidRDefault="00F7738B" w:rsidP="00D67E41">
            <w:pPr>
              <w:spacing w:before="60" w:after="60"/>
              <w:jc w:val="center"/>
              <w:rPr>
                <w:rFonts w:asciiTheme="minorHAnsi" w:hAnsiTheme="minorHAnsi"/>
                <w:b/>
                <w:sz w:val="20"/>
                <w:szCs w:val="20"/>
              </w:rPr>
            </w:pPr>
            <w:r w:rsidRPr="00080338">
              <w:rPr>
                <w:rFonts w:asciiTheme="minorHAnsi" w:hAnsiTheme="minorHAnsi"/>
                <w:b/>
                <w:sz w:val="20"/>
                <w:szCs w:val="20"/>
              </w:rPr>
              <w:t>4.25</w:t>
            </w:r>
          </w:p>
        </w:tc>
        <w:tc>
          <w:tcPr>
            <w:tcW w:w="591" w:type="dxa"/>
            <w:tcBorders>
              <w:top w:val="single" w:sz="4" w:space="0" w:color="auto"/>
            </w:tcBorders>
            <w:shd w:val="clear" w:color="auto" w:fill="DBE5F1" w:themeFill="accent1" w:themeFillTint="33"/>
            <w:vAlign w:val="center"/>
          </w:tcPr>
          <w:p w:rsidR="00F7738B" w:rsidRPr="00080338" w:rsidRDefault="00F7738B" w:rsidP="00D67E41">
            <w:pPr>
              <w:spacing w:before="60" w:after="60"/>
              <w:jc w:val="center"/>
              <w:rPr>
                <w:rFonts w:asciiTheme="minorHAnsi" w:hAnsiTheme="minorHAnsi"/>
                <w:b/>
                <w:sz w:val="20"/>
                <w:szCs w:val="20"/>
              </w:rPr>
            </w:pPr>
            <w:r w:rsidRPr="00080338">
              <w:rPr>
                <w:rFonts w:asciiTheme="minorHAnsi" w:hAnsiTheme="minorHAnsi"/>
                <w:b/>
                <w:sz w:val="20"/>
                <w:szCs w:val="20"/>
              </w:rPr>
              <w:t>4.25</w:t>
            </w:r>
          </w:p>
        </w:tc>
        <w:tc>
          <w:tcPr>
            <w:tcW w:w="589" w:type="dxa"/>
            <w:tcBorders>
              <w:top w:val="single" w:sz="4" w:space="0" w:color="auto"/>
            </w:tcBorders>
            <w:shd w:val="clear" w:color="auto" w:fill="DBE5F1" w:themeFill="accent1" w:themeFillTint="33"/>
            <w:vAlign w:val="center"/>
          </w:tcPr>
          <w:p w:rsidR="00F7738B" w:rsidRPr="00080338" w:rsidRDefault="00F7738B" w:rsidP="00D67E41">
            <w:pPr>
              <w:spacing w:before="60" w:after="60"/>
              <w:jc w:val="center"/>
              <w:rPr>
                <w:rFonts w:asciiTheme="minorHAnsi" w:hAnsiTheme="minorHAnsi"/>
                <w:b/>
                <w:sz w:val="20"/>
                <w:szCs w:val="20"/>
              </w:rPr>
            </w:pPr>
            <w:r>
              <w:rPr>
                <w:rFonts w:asciiTheme="minorHAnsi" w:hAnsiTheme="minorHAnsi"/>
                <w:b/>
                <w:sz w:val="20"/>
                <w:szCs w:val="20"/>
              </w:rPr>
              <w:t>4.5</w:t>
            </w:r>
            <w:r w:rsidR="00EC36D2">
              <w:rPr>
                <w:rFonts w:asciiTheme="minorHAnsi" w:hAnsiTheme="minorHAnsi"/>
                <w:b/>
                <w:sz w:val="20"/>
                <w:szCs w:val="20"/>
              </w:rPr>
              <w:t>0</w:t>
            </w:r>
          </w:p>
        </w:tc>
      </w:tr>
      <w:tr w:rsidR="00F80C6C" w:rsidRPr="00851EC7" w:rsidTr="00F80C6C">
        <w:trPr>
          <w:trHeight w:val="567"/>
          <w:jc w:val="center"/>
        </w:trPr>
        <w:tc>
          <w:tcPr>
            <w:tcW w:w="1087" w:type="dxa"/>
            <w:tcBorders>
              <w:right w:val="single" w:sz="18" w:space="0" w:color="auto"/>
            </w:tcBorders>
            <w:vAlign w:val="center"/>
          </w:tcPr>
          <w:p w:rsidR="00F7738B" w:rsidRPr="00080338" w:rsidRDefault="00F7738B" w:rsidP="00D67E41">
            <w:pPr>
              <w:spacing w:before="60" w:after="60"/>
              <w:rPr>
                <w:rFonts w:asciiTheme="minorHAnsi" w:hAnsiTheme="minorHAnsi"/>
                <w:b/>
                <w:sz w:val="20"/>
                <w:szCs w:val="20"/>
              </w:rPr>
            </w:pPr>
            <w:r w:rsidRPr="00080338">
              <w:rPr>
                <w:rFonts w:asciiTheme="minorHAnsi" w:hAnsiTheme="minorHAnsi"/>
                <w:b/>
                <w:sz w:val="20"/>
                <w:szCs w:val="20"/>
              </w:rPr>
              <w:t>Efficiency</w:t>
            </w:r>
          </w:p>
        </w:tc>
        <w:tc>
          <w:tcPr>
            <w:tcW w:w="522" w:type="dxa"/>
            <w:tcBorders>
              <w:top w:val="single" w:sz="8" w:space="0" w:color="auto"/>
              <w:left w:val="single" w:sz="18" w:space="0" w:color="auto"/>
              <w:bottom w:val="single" w:sz="8" w:space="0" w:color="auto"/>
              <w:right w:val="single" w:sz="8" w:space="0" w:color="auto"/>
            </w:tcBorders>
            <w:shd w:val="clear" w:color="auto" w:fill="92D05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5</w:t>
            </w:r>
          </w:p>
        </w:tc>
        <w:tc>
          <w:tcPr>
            <w:tcW w:w="505" w:type="dxa"/>
            <w:tcBorders>
              <w:top w:val="single" w:sz="8" w:space="0" w:color="auto"/>
              <w:left w:val="single" w:sz="8" w:space="0" w:color="auto"/>
              <w:bottom w:val="single" w:sz="8" w:space="0" w:color="auto"/>
              <w:right w:val="single" w:sz="8" w:space="0" w:color="auto"/>
            </w:tcBorders>
            <w:shd w:val="clear" w:color="auto" w:fill="00B05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6</w:t>
            </w:r>
          </w:p>
        </w:tc>
        <w:tc>
          <w:tcPr>
            <w:tcW w:w="524" w:type="dxa"/>
            <w:tcBorders>
              <w:top w:val="single" w:sz="8" w:space="0" w:color="auto"/>
              <w:left w:val="single" w:sz="8" w:space="0" w:color="auto"/>
              <w:bottom w:val="single" w:sz="8" w:space="0" w:color="auto"/>
              <w:right w:val="single" w:sz="18" w:space="0" w:color="auto"/>
            </w:tcBorders>
            <w:shd w:val="clear" w:color="auto" w:fill="92D050"/>
            <w:vAlign w:val="center"/>
          </w:tcPr>
          <w:p w:rsidR="00F7738B" w:rsidRPr="00080338" w:rsidRDefault="00F7738B" w:rsidP="00D67E41">
            <w:pPr>
              <w:spacing w:before="60" w:after="60"/>
              <w:jc w:val="center"/>
              <w:rPr>
                <w:rFonts w:asciiTheme="minorHAnsi" w:hAnsiTheme="minorHAnsi"/>
                <w:sz w:val="20"/>
                <w:szCs w:val="20"/>
              </w:rPr>
            </w:pPr>
            <w:r>
              <w:rPr>
                <w:rFonts w:asciiTheme="minorHAnsi" w:hAnsiTheme="minorHAnsi"/>
                <w:sz w:val="20"/>
                <w:szCs w:val="20"/>
              </w:rPr>
              <w:t>5</w:t>
            </w:r>
          </w:p>
        </w:tc>
        <w:tc>
          <w:tcPr>
            <w:tcW w:w="502" w:type="dxa"/>
            <w:tcBorders>
              <w:top w:val="single" w:sz="8" w:space="0" w:color="auto"/>
              <w:left w:val="single" w:sz="18" w:space="0" w:color="auto"/>
              <w:bottom w:val="single" w:sz="8" w:space="0" w:color="auto"/>
              <w:right w:val="single" w:sz="8" w:space="0" w:color="auto"/>
            </w:tcBorders>
            <w:shd w:val="clear" w:color="auto" w:fill="FFC0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3</w:t>
            </w:r>
          </w:p>
        </w:tc>
        <w:tc>
          <w:tcPr>
            <w:tcW w:w="516" w:type="dxa"/>
            <w:tcBorders>
              <w:top w:val="single" w:sz="8" w:space="0" w:color="auto"/>
              <w:left w:val="single" w:sz="8" w:space="0" w:color="auto"/>
              <w:bottom w:val="single" w:sz="8" w:space="0" w:color="auto"/>
              <w:right w:val="single" w:sz="8" w:space="0" w:color="auto"/>
            </w:tcBorders>
            <w:shd w:val="clear" w:color="auto" w:fill="92D05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5</w:t>
            </w:r>
          </w:p>
        </w:tc>
        <w:tc>
          <w:tcPr>
            <w:tcW w:w="569" w:type="dxa"/>
            <w:tcBorders>
              <w:top w:val="single" w:sz="8" w:space="0" w:color="auto"/>
              <w:left w:val="single" w:sz="8" w:space="0" w:color="auto"/>
              <w:bottom w:val="single" w:sz="8" w:space="0" w:color="auto"/>
              <w:right w:val="single" w:sz="18" w:space="0" w:color="auto"/>
            </w:tcBorders>
            <w:shd w:val="clear" w:color="auto" w:fill="FFC000"/>
            <w:vAlign w:val="center"/>
          </w:tcPr>
          <w:p w:rsidR="00F7738B" w:rsidRPr="00080338" w:rsidRDefault="00F7738B" w:rsidP="00D67E41">
            <w:pPr>
              <w:spacing w:before="60" w:after="60"/>
              <w:jc w:val="center"/>
              <w:rPr>
                <w:rFonts w:asciiTheme="minorHAnsi" w:hAnsiTheme="minorHAnsi"/>
                <w:sz w:val="20"/>
                <w:szCs w:val="20"/>
              </w:rPr>
            </w:pPr>
            <w:r>
              <w:rPr>
                <w:rFonts w:asciiTheme="minorHAnsi" w:hAnsiTheme="minorHAnsi"/>
                <w:sz w:val="20"/>
                <w:szCs w:val="20"/>
              </w:rPr>
              <w:t>3</w:t>
            </w:r>
          </w:p>
        </w:tc>
        <w:tc>
          <w:tcPr>
            <w:tcW w:w="535" w:type="dxa"/>
            <w:tcBorders>
              <w:top w:val="single" w:sz="8" w:space="0" w:color="auto"/>
              <w:left w:val="single" w:sz="18" w:space="0" w:color="auto"/>
              <w:bottom w:val="single" w:sz="8" w:space="0" w:color="auto"/>
              <w:right w:val="single" w:sz="8" w:space="0" w:color="auto"/>
            </w:tcBorders>
            <w:shd w:val="clear" w:color="auto" w:fill="92D05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5</w:t>
            </w:r>
          </w:p>
        </w:tc>
        <w:tc>
          <w:tcPr>
            <w:tcW w:w="504" w:type="dxa"/>
            <w:tcBorders>
              <w:top w:val="single" w:sz="8" w:space="0" w:color="auto"/>
              <w:left w:val="single" w:sz="8" w:space="0" w:color="auto"/>
              <w:bottom w:val="single" w:sz="8" w:space="0" w:color="auto"/>
              <w:right w:val="single" w:sz="8" w:space="0" w:color="auto"/>
            </w:tcBorders>
            <w:shd w:val="clear" w:color="auto" w:fill="FFFF00"/>
            <w:vAlign w:val="center"/>
          </w:tcPr>
          <w:p w:rsidR="00F7738B" w:rsidRPr="00080338" w:rsidRDefault="00F7738B" w:rsidP="00D67E41">
            <w:pPr>
              <w:jc w:val="center"/>
              <w:rPr>
                <w:rFonts w:asciiTheme="minorHAnsi" w:hAnsiTheme="minorHAnsi"/>
                <w:sz w:val="20"/>
                <w:szCs w:val="20"/>
              </w:rPr>
            </w:pPr>
            <w:r w:rsidRPr="00080338">
              <w:rPr>
                <w:rFonts w:asciiTheme="minorHAnsi" w:hAnsiTheme="minorHAnsi"/>
                <w:sz w:val="20"/>
                <w:szCs w:val="20"/>
              </w:rPr>
              <w:t>4</w:t>
            </w:r>
          </w:p>
        </w:tc>
        <w:tc>
          <w:tcPr>
            <w:tcW w:w="507" w:type="dxa"/>
            <w:tcBorders>
              <w:top w:val="single" w:sz="8" w:space="0" w:color="auto"/>
              <w:left w:val="single" w:sz="8" w:space="0" w:color="auto"/>
              <w:bottom w:val="single" w:sz="8" w:space="0" w:color="auto"/>
              <w:right w:val="single" w:sz="18" w:space="0" w:color="auto"/>
            </w:tcBorders>
            <w:shd w:val="clear" w:color="auto" w:fill="92D050"/>
            <w:vAlign w:val="center"/>
          </w:tcPr>
          <w:p w:rsidR="00F7738B" w:rsidRPr="00080338" w:rsidRDefault="00F7738B" w:rsidP="00D67E41">
            <w:pPr>
              <w:spacing w:before="60" w:after="60"/>
              <w:jc w:val="center"/>
              <w:rPr>
                <w:rFonts w:asciiTheme="minorHAnsi" w:hAnsiTheme="minorHAnsi"/>
                <w:sz w:val="20"/>
                <w:szCs w:val="20"/>
              </w:rPr>
            </w:pPr>
            <w:r>
              <w:rPr>
                <w:rFonts w:asciiTheme="minorHAnsi" w:hAnsiTheme="minorHAnsi"/>
                <w:sz w:val="20"/>
                <w:szCs w:val="20"/>
              </w:rPr>
              <w:t>5</w:t>
            </w:r>
          </w:p>
        </w:tc>
        <w:tc>
          <w:tcPr>
            <w:tcW w:w="524" w:type="dxa"/>
            <w:tcBorders>
              <w:top w:val="single" w:sz="8" w:space="0" w:color="auto"/>
              <w:left w:val="single" w:sz="18" w:space="0" w:color="auto"/>
              <w:bottom w:val="single" w:sz="8" w:space="0" w:color="auto"/>
              <w:right w:val="single" w:sz="8" w:space="0" w:color="auto"/>
            </w:tcBorders>
            <w:shd w:val="clear" w:color="auto" w:fill="FFC0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3</w:t>
            </w:r>
          </w:p>
        </w:tc>
        <w:tc>
          <w:tcPr>
            <w:tcW w:w="506" w:type="dxa"/>
            <w:tcBorders>
              <w:top w:val="single" w:sz="8" w:space="0" w:color="auto"/>
              <w:left w:val="single" w:sz="8" w:space="0" w:color="auto"/>
              <w:bottom w:val="single" w:sz="8" w:space="0" w:color="auto"/>
              <w:right w:val="single" w:sz="4" w:space="0" w:color="auto"/>
            </w:tcBorders>
            <w:shd w:val="clear" w:color="auto" w:fill="FFC0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3</w:t>
            </w:r>
          </w:p>
        </w:tc>
        <w:tc>
          <w:tcPr>
            <w:tcW w:w="518" w:type="dxa"/>
            <w:tcBorders>
              <w:left w:val="single" w:sz="4" w:space="0" w:color="auto"/>
              <w:right w:val="single" w:sz="18" w:space="0" w:color="auto"/>
            </w:tcBorders>
            <w:shd w:val="clear" w:color="auto" w:fill="FFC0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3</w:t>
            </w:r>
          </w:p>
        </w:tc>
        <w:tc>
          <w:tcPr>
            <w:tcW w:w="591" w:type="dxa"/>
            <w:tcBorders>
              <w:left w:val="single" w:sz="18" w:space="0" w:color="auto"/>
            </w:tcBorders>
            <w:shd w:val="clear" w:color="auto" w:fill="DBE5F1" w:themeFill="accent1" w:themeFillTint="33"/>
            <w:vAlign w:val="center"/>
          </w:tcPr>
          <w:p w:rsidR="00F7738B" w:rsidRPr="00080338" w:rsidRDefault="00F7738B" w:rsidP="00D67E41">
            <w:pPr>
              <w:spacing w:before="60" w:after="60"/>
              <w:jc w:val="center"/>
              <w:rPr>
                <w:rFonts w:asciiTheme="minorHAnsi" w:hAnsiTheme="minorHAnsi"/>
                <w:b/>
                <w:sz w:val="20"/>
                <w:szCs w:val="20"/>
              </w:rPr>
            </w:pPr>
            <w:r w:rsidRPr="00080338">
              <w:rPr>
                <w:rFonts w:asciiTheme="minorHAnsi" w:hAnsiTheme="minorHAnsi"/>
                <w:b/>
                <w:sz w:val="20"/>
                <w:szCs w:val="20"/>
              </w:rPr>
              <w:t>4.00</w:t>
            </w:r>
          </w:p>
        </w:tc>
        <w:tc>
          <w:tcPr>
            <w:tcW w:w="591" w:type="dxa"/>
            <w:shd w:val="clear" w:color="auto" w:fill="DBE5F1" w:themeFill="accent1" w:themeFillTint="33"/>
            <w:vAlign w:val="center"/>
          </w:tcPr>
          <w:p w:rsidR="00F7738B" w:rsidRPr="00080338" w:rsidRDefault="00F7738B" w:rsidP="00D67E41">
            <w:pPr>
              <w:spacing w:before="60" w:after="60"/>
              <w:jc w:val="center"/>
              <w:rPr>
                <w:rFonts w:asciiTheme="minorHAnsi" w:hAnsiTheme="minorHAnsi"/>
                <w:b/>
                <w:sz w:val="20"/>
                <w:szCs w:val="20"/>
              </w:rPr>
            </w:pPr>
            <w:r w:rsidRPr="00080338">
              <w:rPr>
                <w:rFonts w:asciiTheme="minorHAnsi" w:hAnsiTheme="minorHAnsi"/>
                <w:b/>
                <w:sz w:val="20"/>
                <w:szCs w:val="20"/>
              </w:rPr>
              <w:t>4.50</w:t>
            </w:r>
          </w:p>
        </w:tc>
        <w:tc>
          <w:tcPr>
            <w:tcW w:w="589" w:type="dxa"/>
            <w:shd w:val="clear" w:color="auto" w:fill="DBE5F1" w:themeFill="accent1" w:themeFillTint="33"/>
            <w:vAlign w:val="center"/>
          </w:tcPr>
          <w:p w:rsidR="00F7738B" w:rsidRPr="00080338" w:rsidRDefault="00F7738B" w:rsidP="00D67E41">
            <w:pPr>
              <w:spacing w:before="60" w:after="60"/>
              <w:jc w:val="center"/>
              <w:rPr>
                <w:rFonts w:asciiTheme="minorHAnsi" w:hAnsiTheme="minorHAnsi"/>
                <w:b/>
                <w:sz w:val="20"/>
                <w:szCs w:val="20"/>
              </w:rPr>
            </w:pPr>
            <w:r>
              <w:rPr>
                <w:rFonts w:asciiTheme="minorHAnsi" w:hAnsiTheme="minorHAnsi"/>
                <w:b/>
                <w:sz w:val="20"/>
                <w:szCs w:val="20"/>
              </w:rPr>
              <w:t>4.00</w:t>
            </w:r>
          </w:p>
        </w:tc>
      </w:tr>
      <w:tr w:rsidR="00E44E66" w:rsidRPr="00851EC7" w:rsidTr="00AD3A37">
        <w:trPr>
          <w:trHeight w:val="567"/>
          <w:jc w:val="center"/>
        </w:trPr>
        <w:tc>
          <w:tcPr>
            <w:tcW w:w="1087" w:type="dxa"/>
            <w:tcBorders>
              <w:right w:val="single" w:sz="18" w:space="0" w:color="auto"/>
            </w:tcBorders>
            <w:vAlign w:val="center"/>
          </w:tcPr>
          <w:p w:rsidR="00F7738B" w:rsidRPr="00080338" w:rsidRDefault="00F7738B" w:rsidP="00D67E41">
            <w:pPr>
              <w:spacing w:before="60" w:after="60"/>
              <w:rPr>
                <w:rFonts w:asciiTheme="minorHAnsi" w:hAnsiTheme="minorHAnsi"/>
                <w:b/>
                <w:sz w:val="20"/>
                <w:szCs w:val="20"/>
              </w:rPr>
            </w:pPr>
            <w:r w:rsidRPr="00080338">
              <w:rPr>
                <w:rFonts w:asciiTheme="minorHAnsi" w:hAnsiTheme="minorHAnsi"/>
                <w:b/>
                <w:sz w:val="20"/>
                <w:szCs w:val="20"/>
              </w:rPr>
              <w:t>Effective</w:t>
            </w:r>
            <w:r>
              <w:rPr>
                <w:rFonts w:asciiTheme="minorHAnsi" w:hAnsiTheme="minorHAnsi"/>
                <w:b/>
                <w:sz w:val="20"/>
                <w:szCs w:val="20"/>
              </w:rPr>
              <w:t>.</w:t>
            </w:r>
          </w:p>
        </w:tc>
        <w:tc>
          <w:tcPr>
            <w:tcW w:w="522" w:type="dxa"/>
            <w:tcBorders>
              <w:top w:val="single" w:sz="8" w:space="0" w:color="auto"/>
              <w:left w:val="single" w:sz="18" w:space="0" w:color="auto"/>
              <w:bottom w:val="single" w:sz="8" w:space="0" w:color="auto"/>
              <w:right w:val="single" w:sz="8" w:space="0" w:color="auto"/>
            </w:tcBorders>
            <w:shd w:val="clear" w:color="auto" w:fill="FFC0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3</w:t>
            </w:r>
          </w:p>
        </w:tc>
        <w:tc>
          <w:tcPr>
            <w:tcW w:w="505" w:type="dxa"/>
            <w:tcBorders>
              <w:top w:val="single" w:sz="8" w:space="0" w:color="auto"/>
              <w:left w:val="single" w:sz="8" w:space="0" w:color="auto"/>
              <w:bottom w:val="single" w:sz="8" w:space="0" w:color="auto"/>
              <w:right w:val="single" w:sz="8" w:space="0" w:color="auto"/>
            </w:tcBorders>
            <w:shd w:val="clear" w:color="auto" w:fill="FFFF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4</w:t>
            </w:r>
          </w:p>
        </w:tc>
        <w:tc>
          <w:tcPr>
            <w:tcW w:w="524" w:type="dxa"/>
            <w:tcBorders>
              <w:top w:val="single" w:sz="8" w:space="0" w:color="auto"/>
              <w:left w:val="single" w:sz="8" w:space="0" w:color="auto"/>
              <w:bottom w:val="single" w:sz="8" w:space="0" w:color="auto"/>
              <w:right w:val="single" w:sz="18" w:space="0" w:color="auto"/>
            </w:tcBorders>
            <w:shd w:val="clear" w:color="auto" w:fill="92D050"/>
            <w:vAlign w:val="center"/>
          </w:tcPr>
          <w:p w:rsidR="00F7738B" w:rsidRPr="00080338" w:rsidRDefault="00F7738B" w:rsidP="00D67E41">
            <w:pPr>
              <w:spacing w:before="60" w:after="60"/>
              <w:jc w:val="center"/>
              <w:rPr>
                <w:rFonts w:asciiTheme="minorHAnsi" w:hAnsiTheme="minorHAnsi"/>
                <w:sz w:val="20"/>
                <w:szCs w:val="20"/>
              </w:rPr>
            </w:pPr>
            <w:r>
              <w:rPr>
                <w:rFonts w:asciiTheme="minorHAnsi" w:hAnsiTheme="minorHAnsi"/>
                <w:sz w:val="20"/>
                <w:szCs w:val="20"/>
              </w:rPr>
              <w:t>5</w:t>
            </w:r>
          </w:p>
        </w:tc>
        <w:tc>
          <w:tcPr>
            <w:tcW w:w="502" w:type="dxa"/>
            <w:tcBorders>
              <w:top w:val="single" w:sz="8" w:space="0" w:color="auto"/>
              <w:left w:val="single" w:sz="18" w:space="0" w:color="auto"/>
              <w:bottom w:val="single" w:sz="8" w:space="0" w:color="auto"/>
              <w:right w:val="single" w:sz="8" w:space="0" w:color="auto"/>
            </w:tcBorders>
            <w:shd w:val="clear" w:color="auto" w:fill="FFFFFF" w:themeFill="background1"/>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TE</w:t>
            </w:r>
          </w:p>
        </w:tc>
        <w:tc>
          <w:tcPr>
            <w:tcW w:w="516" w:type="dxa"/>
            <w:tcBorders>
              <w:top w:val="single" w:sz="8" w:space="0" w:color="auto"/>
              <w:left w:val="single" w:sz="8" w:space="0" w:color="auto"/>
              <w:bottom w:val="single" w:sz="8" w:space="0" w:color="auto"/>
              <w:right w:val="single" w:sz="8" w:space="0" w:color="auto"/>
            </w:tcBorders>
            <w:shd w:val="clear" w:color="auto" w:fill="FFC0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3</w:t>
            </w:r>
          </w:p>
        </w:tc>
        <w:tc>
          <w:tcPr>
            <w:tcW w:w="569" w:type="dxa"/>
            <w:tcBorders>
              <w:top w:val="single" w:sz="8" w:space="0" w:color="auto"/>
              <w:left w:val="single" w:sz="8" w:space="0" w:color="auto"/>
              <w:bottom w:val="single" w:sz="8" w:space="0" w:color="auto"/>
              <w:right w:val="single" w:sz="18" w:space="0" w:color="auto"/>
            </w:tcBorders>
            <w:shd w:val="clear" w:color="auto" w:fill="FFC000"/>
            <w:vAlign w:val="center"/>
          </w:tcPr>
          <w:p w:rsidR="00F7738B" w:rsidRPr="00080338" w:rsidRDefault="00F7738B" w:rsidP="00D67E41">
            <w:pPr>
              <w:spacing w:before="60" w:after="60"/>
              <w:jc w:val="center"/>
              <w:rPr>
                <w:rFonts w:asciiTheme="minorHAnsi" w:hAnsiTheme="minorHAnsi"/>
                <w:sz w:val="20"/>
                <w:szCs w:val="20"/>
              </w:rPr>
            </w:pPr>
            <w:r>
              <w:rPr>
                <w:rFonts w:asciiTheme="minorHAnsi" w:hAnsiTheme="minorHAnsi"/>
                <w:sz w:val="20"/>
                <w:szCs w:val="20"/>
              </w:rPr>
              <w:t>3</w:t>
            </w:r>
          </w:p>
        </w:tc>
        <w:tc>
          <w:tcPr>
            <w:tcW w:w="535" w:type="dxa"/>
            <w:tcBorders>
              <w:top w:val="single" w:sz="8" w:space="0" w:color="auto"/>
              <w:left w:val="single" w:sz="18" w:space="0" w:color="auto"/>
              <w:bottom w:val="single" w:sz="8" w:space="0" w:color="auto"/>
              <w:right w:val="single" w:sz="8" w:space="0" w:color="auto"/>
            </w:tcBorders>
            <w:shd w:val="clear" w:color="auto" w:fill="FFFF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4</w:t>
            </w:r>
          </w:p>
        </w:tc>
        <w:tc>
          <w:tcPr>
            <w:tcW w:w="504" w:type="dxa"/>
            <w:tcBorders>
              <w:top w:val="single" w:sz="8" w:space="0" w:color="auto"/>
              <w:left w:val="single" w:sz="8" w:space="0" w:color="auto"/>
              <w:bottom w:val="single" w:sz="8" w:space="0" w:color="auto"/>
              <w:right w:val="single" w:sz="8" w:space="0" w:color="auto"/>
            </w:tcBorders>
            <w:shd w:val="clear" w:color="auto" w:fill="FFFF00"/>
            <w:vAlign w:val="center"/>
          </w:tcPr>
          <w:p w:rsidR="00F7738B" w:rsidRPr="00080338" w:rsidRDefault="00F7738B" w:rsidP="00D67E41">
            <w:pPr>
              <w:jc w:val="center"/>
              <w:rPr>
                <w:rFonts w:asciiTheme="minorHAnsi" w:hAnsiTheme="minorHAnsi"/>
                <w:sz w:val="20"/>
                <w:szCs w:val="20"/>
              </w:rPr>
            </w:pPr>
            <w:r w:rsidRPr="00080338">
              <w:rPr>
                <w:rFonts w:asciiTheme="minorHAnsi" w:hAnsiTheme="minorHAnsi"/>
                <w:sz w:val="20"/>
                <w:szCs w:val="20"/>
              </w:rPr>
              <w:t>4</w:t>
            </w:r>
          </w:p>
        </w:tc>
        <w:tc>
          <w:tcPr>
            <w:tcW w:w="507" w:type="dxa"/>
            <w:tcBorders>
              <w:top w:val="single" w:sz="8" w:space="0" w:color="auto"/>
              <w:left w:val="single" w:sz="8" w:space="0" w:color="auto"/>
              <w:bottom w:val="single" w:sz="8" w:space="0" w:color="auto"/>
              <w:right w:val="single" w:sz="18" w:space="0" w:color="auto"/>
            </w:tcBorders>
            <w:shd w:val="clear" w:color="auto" w:fill="92D050"/>
            <w:vAlign w:val="center"/>
          </w:tcPr>
          <w:p w:rsidR="00F7738B" w:rsidRPr="00080338" w:rsidRDefault="00F7738B" w:rsidP="00D67E41">
            <w:pPr>
              <w:spacing w:before="60" w:after="60"/>
              <w:jc w:val="center"/>
              <w:rPr>
                <w:rFonts w:asciiTheme="minorHAnsi" w:hAnsiTheme="minorHAnsi"/>
                <w:sz w:val="20"/>
                <w:szCs w:val="20"/>
              </w:rPr>
            </w:pPr>
            <w:r>
              <w:rPr>
                <w:rFonts w:asciiTheme="minorHAnsi" w:hAnsiTheme="minorHAnsi"/>
                <w:sz w:val="20"/>
                <w:szCs w:val="20"/>
              </w:rPr>
              <w:t>5</w:t>
            </w:r>
          </w:p>
        </w:tc>
        <w:tc>
          <w:tcPr>
            <w:tcW w:w="524" w:type="dxa"/>
            <w:tcBorders>
              <w:top w:val="single" w:sz="8" w:space="0" w:color="auto"/>
              <w:left w:val="single" w:sz="18" w:space="0" w:color="auto"/>
              <w:bottom w:val="single" w:sz="8" w:space="0" w:color="auto"/>
              <w:right w:val="single" w:sz="8" w:space="0" w:color="auto"/>
            </w:tcBorders>
            <w:shd w:val="clear" w:color="auto" w:fill="FFFF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4</w:t>
            </w:r>
          </w:p>
        </w:tc>
        <w:tc>
          <w:tcPr>
            <w:tcW w:w="506" w:type="dxa"/>
            <w:tcBorders>
              <w:top w:val="single" w:sz="8" w:space="0" w:color="auto"/>
              <w:left w:val="single" w:sz="8" w:space="0" w:color="auto"/>
              <w:bottom w:val="single" w:sz="8" w:space="0" w:color="auto"/>
              <w:right w:val="single" w:sz="4" w:space="0" w:color="auto"/>
            </w:tcBorders>
            <w:shd w:val="clear" w:color="auto" w:fill="FFFF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4</w:t>
            </w:r>
          </w:p>
        </w:tc>
        <w:tc>
          <w:tcPr>
            <w:tcW w:w="518" w:type="dxa"/>
            <w:tcBorders>
              <w:left w:val="single" w:sz="4" w:space="0" w:color="auto"/>
              <w:right w:val="single" w:sz="18" w:space="0" w:color="auto"/>
            </w:tcBorders>
            <w:shd w:val="clear" w:color="auto" w:fill="92D05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5</w:t>
            </w:r>
          </w:p>
        </w:tc>
        <w:tc>
          <w:tcPr>
            <w:tcW w:w="591" w:type="dxa"/>
            <w:tcBorders>
              <w:left w:val="single" w:sz="18" w:space="0" w:color="auto"/>
            </w:tcBorders>
            <w:shd w:val="clear" w:color="auto" w:fill="DBE5F1" w:themeFill="accent1" w:themeFillTint="33"/>
            <w:vAlign w:val="center"/>
          </w:tcPr>
          <w:p w:rsidR="00F7738B" w:rsidRPr="00080338" w:rsidRDefault="00F7738B" w:rsidP="00D67E41">
            <w:pPr>
              <w:spacing w:before="60" w:after="60"/>
              <w:jc w:val="center"/>
              <w:rPr>
                <w:rFonts w:asciiTheme="minorHAnsi" w:hAnsiTheme="minorHAnsi"/>
                <w:b/>
                <w:sz w:val="20"/>
                <w:szCs w:val="20"/>
              </w:rPr>
            </w:pPr>
            <w:r w:rsidRPr="00080338">
              <w:rPr>
                <w:rFonts w:asciiTheme="minorHAnsi" w:hAnsiTheme="minorHAnsi"/>
                <w:b/>
                <w:sz w:val="20"/>
                <w:szCs w:val="20"/>
              </w:rPr>
              <w:t>3.66</w:t>
            </w:r>
          </w:p>
        </w:tc>
        <w:tc>
          <w:tcPr>
            <w:tcW w:w="591" w:type="dxa"/>
            <w:shd w:val="clear" w:color="auto" w:fill="DBE5F1" w:themeFill="accent1" w:themeFillTint="33"/>
            <w:vAlign w:val="center"/>
          </w:tcPr>
          <w:p w:rsidR="00F7738B" w:rsidRPr="00080338" w:rsidRDefault="00F7738B" w:rsidP="00D67E41">
            <w:pPr>
              <w:spacing w:before="60" w:after="60"/>
              <w:jc w:val="center"/>
              <w:rPr>
                <w:rFonts w:asciiTheme="minorHAnsi" w:hAnsiTheme="minorHAnsi"/>
                <w:b/>
                <w:sz w:val="20"/>
                <w:szCs w:val="20"/>
              </w:rPr>
            </w:pPr>
            <w:r w:rsidRPr="00080338">
              <w:rPr>
                <w:rFonts w:asciiTheme="minorHAnsi" w:hAnsiTheme="minorHAnsi"/>
                <w:b/>
                <w:sz w:val="20"/>
                <w:szCs w:val="20"/>
              </w:rPr>
              <w:t>3.75</w:t>
            </w:r>
          </w:p>
        </w:tc>
        <w:tc>
          <w:tcPr>
            <w:tcW w:w="589" w:type="dxa"/>
            <w:shd w:val="clear" w:color="auto" w:fill="DBE5F1" w:themeFill="accent1" w:themeFillTint="33"/>
            <w:vAlign w:val="center"/>
          </w:tcPr>
          <w:p w:rsidR="00F7738B" w:rsidRPr="00080338" w:rsidRDefault="00F7738B" w:rsidP="00D67E41">
            <w:pPr>
              <w:spacing w:before="60" w:after="60"/>
              <w:jc w:val="center"/>
              <w:rPr>
                <w:rFonts w:asciiTheme="minorHAnsi" w:hAnsiTheme="minorHAnsi"/>
                <w:b/>
                <w:sz w:val="20"/>
                <w:szCs w:val="20"/>
              </w:rPr>
            </w:pPr>
            <w:r>
              <w:rPr>
                <w:rFonts w:asciiTheme="minorHAnsi" w:hAnsiTheme="minorHAnsi"/>
                <w:b/>
                <w:sz w:val="20"/>
                <w:szCs w:val="20"/>
              </w:rPr>
              <w:t>4.50</w:t>
            </w:r>
          </w:p>
        </w:tc>
      </w:tr>
      <w:tr w:rsidR="00E44E66" w:rsidRPr="00851EC7" w:rsidTr="00AD3A37">
        <w:trPr>
          <w:trHeight w:val="567"/>
          <w:jc w:val="center"/>
        </w:trPr>
        <w:tc>
          <w:tcPr>
            <w:tcW w:w="1087" w:type="dxa"/>
            <w:tcBorders>
              <w:right w:val="single" w:sz="18" w:space="0" w:color="auto"/>
            </w:tcBorders>
            <w:vAlign w:val="center"/>
          </w:tcPr>
          <w:p w:rsidR="00F7738B" w:rsidRPr="00080338" w:rsidRDefault="00F7738B" w:rsidP="00D67E41">
            <w:pPr>
              <w:spacing w:before="60" w:after="60"/>
              <w:rPr>
                <w:rFonts w:asciiTheme="minorHAnsi" w:hAnsiTheme="minorHAnsi"/>
                <w:b/>
                <w:sz w:val="20"/>
                <w:szCs w:val="20"/>
              </w:rPr>
            </w:pPr>
            <w:r w:rsidRPr="00080338">
              <w:rPr>
                <w:rFonts w:asciiTheme="minorHAnsi" w:hAnsiTheme="minorHAnsi"/>
                <w:b/>
                <w:sz w:val="20"/>
                <w:szCs w:val="20"/>
              </w:rPr>
              <w:t>Impact</w:t>
            </w:r>
          </w:p>
        </w:tc>
        <w:tc>
          <w:tcPr>
            <w:tcW w:w="522" w:type="dxa"/>
            <w:tcBorders>
              <w:top w:val="single" w:sz="8" w:space="0" w:color="auto"/>
              <w:left w:val="single" w:sz="18" w:space="0" w:color="auto"/>
              <w:bottom w:val="single" w:sz="8" w:space="0" w:color="auto"/>
              <w:right w:val="single" w:sz="8" w:space="0" w:color="auto"/>
            </w:tcBorders>
            <w:shd w:val="clear" w:color="auto" w:fill="FFFFFF" w:themeFill="background1"/>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TE</w:t>
            </w:r>
          </w:p>
        </w:tc>
        <w:tc>
          <w:tcPr>
            <w:tcW w:w="505" w:type="dxa"/>
            <w:tcBorders>
              <w:top w:val="single" w:sz="8" w:space="0" w:color="auto"/>
              <w:left w:val="single" w:sz="8" w:space="0" w:color="auto"/>
              <w:bottom w:val="single" w:sz="8" w:space="0" w:color="auto"/>
              <w:right w:val="single" w:sz="8" w:space="0" w:color="auto"/>
            </w:tcBorders>
            <w:shd w:val="clear" w:color="auto" w:fill="FFFF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4</w:t>
            </w:r>
          </w:p>
        </w:tc>
        <w:tc>
          <w:tcPr>
            <w:tcW w:w="524" w:type="dxa"/>
            <w:tcBorders>
              <w:top w:val="single" w:sz="8" w:space="0" w:color="auto"/>
              <w:left w:val="single" w:sz="8" w:space="0" w:color="auto"/>
              <w:bottom w:val="single" w:sz="8" w:space="0" w:color="auto"/>
              <w:right w:val="single" w:sz="18" w:space="0" w:color="auto"/>
            </w:tcBorders>
            <w:shd w:val="clear" w:color="auto" w:fill="FFFF00"/>
            <w:vAlign w:val="center"/>
          </w:tcPr>
          <w:p w:rsidR="00F7738B" w:rsidRPr="00080338" w:rsidRDefault="00F7738B" w:rsidP="00D67E41">
            <w:pPr>
              <w:spacing w:before="60" w:after="60"/>
              <w:jc w:val="center"/>
              <w:rPr>
                <w:rFonts w:asciiTheme="minorHAnsi" w:hAnsiTheme="minorHAnsi"/>
                <w:sz w:val="20"/>
                <w:szCs w:val="20"/>
              </w:rPr>
            </w:pPr>
            <w:r>
              <w:rPr>
                <w:rFonts w:asciiTheme="minorHAnsi" w:hAnsiTheme="minorHAnsi"/>
                <w:sz w:val="20"/>
                <w:szCs w:val="20"/>
              </w:rPr>
              <w:t>4</w:t>
            </w:r>
          </w:p>
        </w:tc>
        <w:tc>
          <w:tcPr>
            <w:tcW w:w="502" w:type="dxa"/>
            <w:tcBorders>
              <w:top w:val="single" w:sz="8" w:space="0" w:color="auto"/>
              <w:left w:val="single" w:sz="18" w:space="0" w:color="auto"/>
              <w:bottom w:val="single" w:sz="8" w:space="0" w:color="auto"/>
              <w:right w:val="single" w:sz="8" w:space="0" w:color="auto"/>
            </w:tcBorders>
            <w:shd w:val="clear" w:color="auto" w:fill="FFFFFF" w:themeFill="background1"/>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TE</w:t>
            </w:r>
          </w:p>
        </w:tc>
        <w:tc>
          <w:tcPr>
            <w:tcW w:w="516" w:type="dxa"/>
            <w:tcBorders>
              <w:top w:val="single" w:sz="8" w:space="0" w:color="auto"/>
              <w:left w:val="single" w:sz="8" w:space="0" w:color="auto"/>
              <w:bottom w:val="single" w:sz="8" w:space="0" w:color="auto"/>
              <w:right w:val="single" w:sz="8" w:space="0" w:color="auto"/>
            </w:tcBorders>
            <w:shd w:val="clear" w:color="auto" w:fill="FFFF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4</w:t>
            </w:r>
          </w:p>
        </w:tc>
        <w:tc>
          <w:tcPr>
            <w:tcW w:w="569" w:type="dxa"/>
            <w:tcBorders>
              <w:top w:val="single" w:sz="8" w:space="0" w:color="auto"/>
              <w:left w:val="single" w:sz="8" w:space="0" w:color="auto"/>
              <w:bottom w:val="single" w:sz="8" w:space="0" w:color="auto"/>
              <w:right w:val="single" w:sz="18" w:space="0" w:color="auto"/>
            </w:tcBorders>
            <w:shd w:val="clear" w:color="auto" w:fill="FFC000"/>
            <w:vAlign w:val="center"/>
          </w:tcPr>
          <w:p w:rsidR="00F7738B" w:rsidRPr="00080338" w:rsidRDefault="001A284F" w:rsidP="001A284F">
            <w:pPr>
              <w:spacing w:before="60" w:after="60"/>
              <w:jc w:val="center"/>
              <w:rPr>
                <w:rFonts w:asciiTheme="minorHAnsi" w:hAnsiTheme="minorHAnsi"/>
                <w:sz w:val="20"/>
                <w:szCs w:val="20"/>
              </w:rPr>
            </w:pPr>
            <w:r>
              <w:rPr>
                <w:rFonts w:asciiTheme="minorHAnsi" w:hAnsiTheme="minorHAnsi"/>
                <w:sz w:val="20"/>
                <w:szCs w:val="20"/>
              </w:rPr>
              <w:t>3</w:t>
            </w:r>
          </w:p>
        </w:tc>
        <w:tc>
          <w:tcPr>
            <w:tcW w:w="535" w:type="dxa"/>
            <w:tcBorders>
              <w:top w:val="single" w:sz="8" w:space="0" w:color="auto"/>
              <w:left w:val="single" w:sz="18" w:space="0" w:color="auto"/>
              <w:bottom w:val="single" w:sz="8" w:space="0" w:color="auto"/>
              <w:right w:val="single" w:sz="8" w:space="0" w:color="auto"/>
            </w:tcBorders>
            <w:shd w:val="clear" w:color="auto" w:fill="FFFFFF" w:themeFill="background1"/>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TE</w:t>
            </w:r>
          </w:p>
        </w:tc>
        <w:tc>
          <w:tcPr>
            <w:tcW w:w="504" w:type="dxa"/>
            <w:tcBorders>
              <w:top w:val="single" w:sz="8" w:space="0" w:color="auto"/>
              <w:left w:val="single" w:sz="8" w:space="0" w:color="auto"/>
              <w:bottom w:val="single" w:sz="8" w:space="0" w:color="auto"/>
              <w:right w:val="single" w:sz="8" w:space="0" w:color="auto"/>
            </w:tcBorders>
            <w:shd w:val="clear" w:color="auto" w:fill="FFC000"/>
            <w:vAlign w:val="center"/>
          </w:tcPr>
          <w:p w:rsidR="00F7738B" w:rsidRPr="00080338" w:rsidRDefault="00F7738B" w:rsidP="00D67E41">
            <w:pPr>
              <w:jc w:val="center"/>
              <w:rPr>
                <w:rFonts w:asciiTheme="minorHAnsi" w:hAnsiTheme="minorHAnsi"/>
                <w:sz w:val="20"/>
                <w:szCs w:val="20"/>
              </w:rPr>
            </w:pPr>
            <w:r w:rsidRPr="00080338">
              <w:rPr>
                <w:rFonts w:asciiTheme="minorHAnsi" w:hAnsiTheme="minorHAnsi"/>
                <w:sz w:val="20"/>
                <w:szCs w:val="20"/>
              </w:rPr>
              <w:t>3</w:t>
            </w:r>
          </w:p>
        </w:tc>
        <w:tc>
          <w:tcPr>
            <w:tcW w:w="507" w:type="dxa"/>
            <w:tcBorders>
              <w:top w:val="single" w:sz="8" w:space="0" w:color="auto"/>
              <w:left w:val="single" w:sz="8" w:space="0" w:color="auto"/>
              <w:bottom w:val="single" w:sz="8" w:space="0" w:color="auto"/>
              <w:right w:val="single" w:sz="18" w:space="0" w:color="auto"/>
            </w:tcBorders>
            <w:shd w:val="clear" w:color="auto" w:fill="FFFF00"/>
            <w:vAlign w:val="center"/>
          </w:tcPr>
          <w:p w:rsidR="00F7738B" w:rsidRPr="00080338" w:rsidRDefault="00F7738B" w:rsidP="00D67E41">
            <w:pPr>
              <w:spacing w:before="60" w:after="60"/>
              <w:jc w:val="center"/>
              <w:rPr>
                <w:rFonts w:asciiTheme="minorHAnsi" w:hAnsiTheme="minorHAnsi"/>
                <w:sz w:val="20"/>
                <w:szCs w:val="20"/>
              </w:rPr>
            </w:pPr>
            <w:r>
              <w:rPr>
                <w:rFonts w:asciiTheme="minorHAnsi" w:hAnsiTheme="minorHAnsi"/>
                <w:sz w:val="20"/>
                <w:szCs w:val="20"/>
              </w:rPr>
              <w:t>4</w:t>
            </w:r>
          </w:p>
        </w:tc>
        <w:tc>
          <w:tcPr>
            <w:tcW w:w="524" w:type="dxa"/>
            <w:tcBorders>
              <w:top w:val="single" w:sz="8" w:space="0" w:color="auto"/>
              <w:left w:val="single" w:sz="18" w:space="0" w:color="auto"/>
              <w:bottom w:val="single" w:sz="8" w:space="0" w:color="auto"/>
              <w:right w:val="single" w:sz="8" w:space="0" w:color="auto"/>
            </w:tcBorders>
            <w:shd w:val="clear" w:color="auto" w:fill="FFFFFF" w:themeFill="background1"/>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TE</w:t>
            </w:r>
          </w:p>
        </w:tc>
        <w:tc>
          <w:tcPr>
            <w:tcW w:w="506" w:type="dxa"/>
            <w:tcBorders>
              <w:top w:val="single" w:sz="8" w:space="0" w:color="auto"/>
              <w:left w:val="single" w:sz="8" w:space="0" w:color="auto"/>
              <w:bottom w:val="single" w:sz="8" w:space="0" w:color="auto"/>
              <w:right w:val="single" w:sz="4" w:space="0" w:color="auto"/>
            </w:tcBorders>
            <w:shd w:val="clear" w:color="auto" w:fill="FFC000"/>
            <w:vAlign w:val="center"/>
          </w:tcPr>
          <w:p w:rsidR="00F7738B" w:rsidRPr="00080338" w:rsidRDefault="00F7738B" w:rsidP="00D67E41">
            <w:pPr>
              <w:spacing w:before="60" w:after="60"/>
              <w:jc w:val="center"/>
              <w:rPr>
                <w:rFonts w:asciiTheme="minorHAnsi" w:hAnsiTheme="minorHAnsi"/>
                <w:sz w:val="20"/>
                <w:szCs w:val="20"/>
                <w:highlight w:val="yellow"/>
              </w:rPr>
            </w:pPr>
            <w:r w:rsidRPr="00080338">
              <w:rPr>
                <w:rFonts w:asciiTheme="minorHAnsi" w:hAnsiTheme="minorHAnsi"/>
                <w:sz w:val="20"/>
                <w:szCs w:val="20"/>
              </w:rPr>
              <w:t>3</w:t>
            </w:r>
          </w:p>
        </w:tc>
        <w:tc>
          <w:tcPr>
            <w:tcW w:w="518" w:type="dxa"/>
            <w:tcBorders>
              <w:left w:val="single" w:sz="4" w:space="0" w:color="auto"/>
              <w:right w:val="single" w:sz="18" w:space="0" w:color="auto"/>
            </w:tcBorders>
            <w:shd w:val="clear" w:color="auto" w:fill="FFFF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4</w:t>
            </w:r>
          </w:p>
        </w:tc>
        <w:tc>
          <w:tcPr>
            <w:tcW w:w="591" w:type="dxa"/>
            <w:tcBorders>
              <w:left w:val="single" w:sz="18" w:space="0" w:color="auto"/>
            </w:tcBorders>
            <w:shd w:val="clear" w:color="auto" w:fill="DBE5F1" w:themeFill="accent1" w:themeFillTint="33"/>
            <w:vAlign w:val="center"/>
          </w:tcPr>
          <w:p w:rsidR="00F7738B" w:rsidRPr="00080338" w:rsidRDefault="00F7738B" w:rsidP="00D67E41">
            <w:pPr>
              <w:spacing w:before="60" w:after="60"/>
              <w:jc w:val="center"/>
              <w:rPr>
                <w:rFonts w:asciiTheme="minorHAnsi" w:hAnsiTheme="minorHAnsi"/>
                <w:b/>
                <w:sz w:val="20"/>
                <w:szCs w:val="20"/>
              </w:rPr>
            </w:pPr>
            <w:r w:rsidRPr="00080338">
              <w:rPr>
                <w:rFonts w:asciiTheme="minorHAnsi" w:hAnsiTheme="minorHAnsi"/>
                <w:b/>
                <w:sz w:val="20"/>
                <w:szCs w:val="20"/>
              </w:rPr>
              <w:t>TE</w:t>
            </w:r>
          </w:p>
        </w:tc>
        <w:tc>
          <w:tcPr>
            <w:tcW w:w="591" w:type="dxa"/>
            <w:shd w:val="clear" w:color="auto" w:fill="DBE5F1" w:themeFill="accent1" w:themeFillTint="33"/>
            <w:vAlign w:val="center"/>
          </w:tcPr>
          <w:p w:rsidR="00F7738B" w:rsidRPr="00080338" w:rsidRDefault="00F7738B" w:rsidP="00D67E41">
            <w:pPr>
              <w:spacing w:before="60" w:after="60"/>
              <w:jc w:val="center"/>
              <w:rPr>
                <w:rFonts w:asciiTheme="minorHAnsi" w:hAnsiTheme="minorHAnsi"/>
                <w:b/>
                <w:sz w:val="20"/>
                <w:szCs w:val="20"/>
              </w:rPr>
            </w:pPr>
            <w:r w:rsidRPr="00080338">
              <w:rPr>
                <w:rFonts w:asciiTheme="minorHAnsi" w:hAnsiTheme="minorHAnsi"/>
                <w:b/>
                <w:sz w:val="20"/>
                <w:szCs w:val="20"/>
              </w:rPr>
              <w:t>3.50</w:t>
            </w:r>
          </w:p>
        </w:tc>
        <w:tc>
          <w:tcPr>
            <w:tcW w:w="589" w:type="dxa"/>
            <w:shd w:val="clear" w:color="auto" w:fill="DBE5F1" w:themeFill="accent1" w:themeFillTint="33"/>
            <w:vAlign w:val="center"/>
          </w:tcPr>
          <w:p w:rsidR="00F7738B" w:rsidRPr="00080338" w:rsidRDefault="00F7738B" w:rsidP="001A284F">
            <w:pPr>
              <w:spacing w:before="60" w:after="60"/>
              <w:jc w:val="center"/>
              <w:rPr>
                <w:rFonts w:asciiTheme="minorHAnsi" w:hAnsiTheme="minorHAnsi"/>
                <w:b/>
                <w:sz w:val="20"/>
                <w:szCs w:val="20"/>
              </w:rPr>
            </w:pPr>
            <w:r>
              <w:rPr>
                <w:rFonts w:asciiTheme="minorHAnsi" w:hAnsiTheme="minorHAnsi"/>
                <w:b/>
                <w:sz w:val="20"/>
                <w:szCs w:val="20"/>
              </w:rPr>
              <w:t>3.</w:t>
            </w:r>
            <w:r w:rsidR="001A284F">
              <w:rPr>
                <w:rFonts w:asciiTheme="minorHAnsi" w:hAnsiTheme="minorHAnsi"/>
                <w:b/>
                <w:sz w:val="20"/>
                <w:szCs w:val="20"/>
              </w:rPr>
              <w:t>75</w:t>
            </w:r>
          </w:p>
        </w:tc>
      </w:tr>
      <w:tr w:rsidR="00F80C6C" w:rsidRPr="00851EC7" w:rsidTr="00F80C6C">
        <w:trPr>
          <w:trHeight w:val="567"/>
          <w:jc w:val="center"/>
        </w:trPr>
        <w:tc>
          <w:tcPr>
            <w:tcW w:w="1087" w:type="dxa"/>
            <w:tcBorders>
              <w:right w:val="single" w:sz="18" w:space="0" w:color="auto"/>
            </w:tcBorders>
            <w:vAlign w:val="center"/>
          </w:tcPr>
          <w:p w:rsidR="00F7738B" w:rsidRPr="00080338" w:rsidRDefault="00F7738B" w:rsidP="00D67E41">
            <w:pPr>
              <w:spacing w:before="60" w:after="60"/>
              <w:rPr>
                <w:rFonts w:asciiTheme="minorHAnsi" w:hAnsiTheme="minorHAnsi"/>
                <w:b/>
                <w:sz w:val="20"/>
                <w:szCs w:val="20"/>
              </w:rPr>
            </w:pPr>
            <w:r w:rsidRPr="00080338">
              <w:rPr>
                <w:rFonts w:asciiTheme="minorHAnsi" w:hAnsiTheme="minorHAnsi"/>
                <w:b/>
                <w:sz w:val="20"/>
                <w:szCs w:val="20"/>
              </w:rPr>
              <w:t>Sustain</w:t>
            </w:r>
            <w:r>
              <w:rPr>
                <w:rFonts w:asciiTheme="minorHAnsi" w:hAnsiTheme="minorHAnsi"/>
                <w:b/>
                <w:sz w:val="20"/>
                <w:szCs w:val="20"/>
              </w:rPr>
              <w:t>.</w:t>
            </w:r>
          </w:p>
        </w:tc>
        <w:tc>
          <w:tcPr>
            <w:tcW w:w="522" w:type="dxa"/>
            <w:tcBorders>
              <w:top w:val="single" w:sz="8" w:space="0" w:color="auto"/>
              <w:left w:val="single" w:sz="18" w:space="0" w:color="auto"/>
              <w:bottom w:val="single" w:sz="8" w:space="0" w:color="auto"/>
              <w:right w:val="single" w:sz="8" w:space="0" w:color="auto"/>
            </w:tcBorders>
            <w:shd w:val="clear" w:color="auto" w:fill="FFFF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4</w:t>
            </w:r>
          </w:p>
        </w:tc>
        <w:tc>
          <w:tcPr>
            <w:tcW w:w="505" w:type="dxa"/>
            <w:tcBorders>
              <w:top w:val="single" w:sz="8" w:space="0" w:color="auto"/>
              <w:left w:val="single" w:sz="8" w:space="0" w:color="auto"/>
              <w:bottom w:val="single" w:sz="8" w:space="0" w:color="auto"/>
              <w:right w:val="single" w:sz="8" w:space="0" w:color="auto"/>
            </w:tcBorders>
            <w:shd w:val="clear" w:color="auto" w:fill="FFFF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4</w:t>
            </w:r>
          </w:p>
        </w:tc>
        <w:tc>
          <w:tcPr>
            <w:tcW w:w="524" w:type="dxa"/>
            <w:tcBorders>
              <w:top w:val="single" w:sz="8" w:space="0" w:color="auto"/>
              <w:left w:val="single" w:sz="8" w:space="0" w:color="auto"/>
              <w:bottom w:val="single" w:sz="8" w:space="0" w:color="auto"/>
              <w:right w:val="single" w:sz="18" w:space="0" w:color="auto"/>
            </w:tcBorders>
            <w:shd w:val="clear" w:color="auto" w:fill="92D050"/>
            <w:vAlign w:val="center"/>
          </w:tcPr>
          <w:p w:rsidR="00F7738B" w:rsidRPr="00080338" w:rsidRDefault="00F7738B" w:rsidP="00D67E41">
            <w:pPr>
              <w:spacing w:before="60" w:after="60"/>
              <w:jc w:val="center"/>
              <w:rPr>
                <w:rFonts w:asciiTheme="minorHAnsi" w:hAnsiTheme="minorHAnsi"/>
                <w:sz w:val="20"/>
                <w:szCs w:val="20"/>
              </w:rPr>
            </w:pPr>
            <w:r>
              <w:rPr>
                <w:rFonts w:asciiTheme="minorHAnsi" w:hAnsiTheme="minorHAnsi"/>
                <w:sz w:val="20"/>
                <w:szCs w:val="20"/>
              </w:rPr>
              <w:t>5</w:t>
            </w:r>
          </w:p>
        </w:tc>
        <w:tc>
          <w:tcPr>
            <w:tcW w:w="502" w:type="dxa"/>
            <w:tcBorders>
              <w:top w:val="single" w:sz="8" w:space="0" w:color="auto"/>
              <w:left w:val="single" w:sz="18" w:space="0" w:color="auto"/>
              <w:bottom w:val="single" w:sz="8" w:space="0" w:color="auto"/>
              <w:right w:val="single" w:sz="8" w:space="0" w:color="auto"/>
            </w:tcBorders>
            <w:shd w:val="clear" w:color="auto" w:fill="FFC0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3</w:t>
            </w:r>
          </w:p>
        </w:tc>
        <w:tc>
          <w:tcPr>
            <w:tcW w:w="516" w:type="dxa"/>
            <w:tcBorders>
              <w:top w:val="single" w:sz="8" w:space="0" w:color="auto"/>
              <w:left w:val="single" w:sz="8" w:space="0" w:color="auto"/>
              <w:bottom w:val="single" w:sz="8" w:space="0" w:color="auto"/>
              <w:right w:val="single" w:sz="8" w:space="0" w:color="auto"/>
            </w:tcBorders>
            <w:shd w:val="clear" w:color="auto" w:fill="FFFF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4</w:t>
            </w:r>
          </w:p>
        </w:tc>
        <w:tc>
          <w:tcPr>
            <w:tcW w:w="569" w:type="dxa"/>
            <w:tcBorders>
              <w:top w:val="single" w:sz="8" w:space="0" w:color="auto"/>
              <w:left w:val="single" w:sz="8" w:space="0" w:color="auto"/>
              <w:bottom w:val="single" w:sz="8" w:space="0" w:color="auto"/>
              <w:right w:val="single" w:sz="18" w:space="0" w:color="auto"/>
            </w:tcBorders>
            <w:shd w:val="clear" w:color="auto" w:fill="FFFF00"/>
            <w:vAlign w:val="center"/>
          </w:tcPr>
          <w:p w:rsidR="00F7738B" w:rsidRPr="00080338" w:rsidRDefault="00F7738B" w:rsidP="00D67E41">
            <w:pPr>
              <w:spacing w:before="60" w:after="60"/>
              <w:jc w:val="center"/>
              <w:rPr>
                <w:rFonts w:asciiTheme="minorHAnsi" w:hAnsiTheme="minorHAnsi"/>
                <w:sz w:val="20"/>
                <w:szCs w:val="20"/>
              </w:rPr>
            </w:pPr>
            <w:r>
              <w:rPr>
                <w:rFonts w:asciiTheme="minorHAnsi" w:hAnsiTheme="minorHAnsi"/>
                <w:sz w:val="20"/>
                <w:szCs w:val="20"/>
              </w:rPr>
              <w:t>4</w:t>
            </w:r>
          </w:p>
        </w:tc>
        <w:tc>
          <w:tcPr>
            <w:tcW w:w="535" w:type="dxa"/>
            <w:tcBorders>
              <w:top w:val="single" w:sz="8" w:space="0" w:color="auto"/>
              <w:left w:val="single" w:sz="18" w:space="0" w:color="auto"/>
              <w:bottom w:val="single" w:sz="8" w:space="0" w:color="auto"/>
              <w:right w:val="single" w:sz="8" w:space="0" w:color="auto"/>
            </w:tcBorders>
            <w:shd w:val="clear" w:color="auto" w:fill="FF00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2</w:t>
            </w:r>
          </w:p>
        </w:tc>
        <w:tc>
          <w:tcPr>
            <w:tcW w:w="504" w:type="dxa"/>
            <w:tcBorders>
              <w:top w:val="single" w:sz="8" w:space="0" w:color="auto"/>
              <w:left w:val="single" w:sz="8" w:space="0" w:color="auto"/>
              <w:bottom w:val="single" w:sz="8" w:space="0" w:color="auto"/>
              <w:right w:val="single" w:sz="8" w:space="0" w:color="auto"/>
            </w:tcBorders>
            <w:shd w:val="clear" w:color="auto" w:fill="FFC000"/>
            <w:vAlign w:val="center"/>
          </w:tcPr>
          <w:p w:rsidR="00F7738B" w:rsidRPr="00080338" w:rsidRDefault="00F7738B" w:rsidP="00D67E41">
            <w:pPr>
              <w:jc w:val="center"/>
              <w:rPr>
                <w:rFonts w:asciiTheme="minorHAnsi" w:hAnsiTheme="minorHAnsi"/>
                <w:sz w:val="20"/>
                <w:szCs w:val="20"/>
              </w:rPr>
            </w:pPr>
            <w:r w:rsidRPr="00080338">
              <w:rPr>
                <w:rFonts w:asciiTheme="minorHAnsi" w:hAnsiTheme="minorHAnsi"/>
                <w:sz w:val="20"/>
                <w:szCs w:val="20"/>
              </w:rPr>
              <w:t>3</w:t>
            </w:r>
          </w:p>
        </w:tc>
        <w:tc>
          <w:tcPr>
            <w:tcW w:w="507" w:type="dxa"/>
            <w:tcBorders>
              <w:top w:val="single" w:sz="8" w:space="0" w:color="auto"/>
              <w:left w:val="single" w:sz="8" w:space="0" w:color="auto"/>
              <w:bottom w:val="single" w:sz="8" w:space="0" w:color="auto"/>
              <w:right w:val="single" w:sz="18" w:space="0" w:color="auto"/>
            </w:tcBorders>
            <w:shd w:val="clear" w:color="auto" w:fill="FFFF00"/>
            <w:vAlign w:val="center"/>
          </w:tcPr>
          <w:p w:rsidR="00F7738B" w:rsidRPr="00080338" w:rsidRDefault="00F7738B" w:rsidP="00D67E41">
            <w:pPr>
              <w:spacing w:before="60" w:after="60"/>
              <w:jc w:val="center"/>
              <w:rPr>
                <w:rFonts w:asciiTheme="minorHAnsi" w:hAnsiTheme="minorHAnsi"/>
                <w:sz w:val="20"/>
                <w:szCs w:val="20"/>
              </w:rPr>
            </w:pPr>
            <w:r>
              <w:rPr>
                <w:rFonts w:asciiTheme="minorHAnsi" w:hAnsiTheme="minorHAnsi"/>
                <w:sz w:val="20"/>
                <w:szCs w:val="20"/>
              </w:rPr>
              <w:t>4</w:t>
            </w:r>
          </w:p>
        </w:tc>
        <w:tc>
          <w:tcPr>
            <w:tcW w:w="524" w:type="dxa"/>
            <w:tcBorders>
              <w:top w:val="single" w:sz="8" w:space="0" w:color="auto"/>
              <w:left w:val="single" w:sz="18" w:space="0" w:color="auto"/>
              <w:bottom w:val="single" w:sz="8" w:space="0" w:color="auto"/>
              <w:right w:val="single" w:sz="8" w:space="0" w:color="auto"/>
            </w:tcBorders>
            <w:shd w:val="clear" w:color="auto" w:fill="FFFF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4</w:t>
            </w:r>
          </w:p>
        </w:tc>
        <w:tc>
          <w:tcPr>
            <w:tcW w:w="506" w:type="dxa"/>
            <w:tcBorders>
              <w:top w:val="single" w:sz="8" w:space="0" w:color="auto"/>
              <w:left w:val="single" w:sz="8" w:space="0" w:color="auto"/>
              <w:bottom w:val="single" w:sz="8" w:space="0" w:color="auto"/>
              <w:right w:val="single" w:sz="4" w:space="0" w:color="auto"/>
            </w:tcBorders>
            <w:shd w:val="clear" w:color="auto" w:fill="FF00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2</w:t>
            </w:r>
          </w:p>
        </w:tc>
        <w:tc>
          <w:tcPr>
            <w:tcW w:w="518" w:type="dxa"/>
            <w:tcBorders>
              <w:left w:val="single" w:sz="4" w:space="0" w:color="auto"/>
              <w:right w:val="single" w:sz="18" w:space="0" w:color="auto"/>
            </w:tcBorders>
            <w:shd w:val="clear" w:color="auto" w:fill="FF0000"/>
            <w:vAlign w:val="center"/>
          </w:tcPr>
          <w:p w:rsidR="00F7738B" w:rsidRPr="00080338" w:rsidRDefault="00F7738B" w:rsidP="00D67E41">
            <w:pPr>
              <w:spacing w:before="60" w:after="60"/>
              <w:jc w:val="center"/>
              <w:rPr>
                <w:rFonts w:asciiTheme="minorHAnsi" w:hAnsiTheme="minorHAnsi"/>
                <w:sz w:val="20"/>
                <w:szCs w:val="20"/>
              </w:rPr>
            </w:pPr>
            <w:r w:rsidRPr="00080338">
              <w:rPr>
                <w:rFonts w:asciiTheme="minorHAnsi" w:hAnsiTheme="minorHAnsi"/>
                <w:sz w:val="20"/>
                <w:szCs w:val="20"/>
              </w:rPr>
              <w:t>2</w:t>
            </w:r>
          </w:p>
        </w:tc>
        <w:tc>
          <w:tcPr>
            <w:tcW w:w="591" w:type="dxa"/>
            <w:tcBorders>
              <w:left w:val="single" w:sz="18" w:space="0" w:color="auto"/>
            </w:tcBorders>
            <w:shd w:val="clear" w:color="auto" w:fill="DBE5F1" w:themeFill="accent1" w:themeFillTint="33"/>
            <w:vAlign w:val="center"/>
          </w:tcPr>
          <w:p w:rsidR="00F7738B" w:rsidRPr="00080338" w:rsidRDefault="00F7738B" w:rsidP="00D67E41">
            <w:pPr>
              <w:spacing w:before="60" w:after="60"/>
              <w:jc w:val="center"/>
              <w:rPr>
                <w:rFonts w:asciiTheme="minorHAnsi" w:hAnsiTheme="minorHAnsi"/>
                <w:b/>
                <w:sz w:val="20"/>
                <w:szCs w:val="20"/>
              </w:rPr>
            </w:pPr>
            <w:r w:rsidRPr="00080338">
              <w:rPr>
                <w:rFonts w:asciiTheme="minorHAnsi" w:hAnsiTheme="minorHAnsi"/>
                <w:b/>
                <w:sz w:val="20"/>
                <w:szCs w:val="20"/>
              </w:rPr>
              <w:t>3.25</w:t>
            </w:r>
          </w:p>
        </w:tc>
        <w:tc>
          <w:tcPr>
            <w:tcW w:w="591" w:type="dxa"/>
            <w:shd w:val="clear" w:color="auto" w:fill="DBE5F1" w:themeFill="accent1" w:themeFillTint="33"/>
            <w:vAlign w:val="center"/>
          </w:tcPr>
          <w:p w:rsidR="00F7738B" w:rsidRPr="00080338" w:rsidRDefault="00F7738B" w:rsidP="00D67E41">
            <w:pPr>
              <w:spacing w:before="60" w:after="60"/>
              <w:jc w:val="center"/>
              <w:rPr>
                <w:rFonts w:asciiTheme="minorHAnsi" w:hAnsiTheme="minorHAnsi"/>
                <w:b/>
                <w:sz w:val="20"/>
                <w:szCs w:val="20"/>
              </w:rPr>
            </w:pPr>
            <w:r w:rsidRPr="00080338">
              <w:rPr>
                <w:rFonts w:asciiTheme="minorHAnsi" w:hAnsiTheme="minorHAnsi"/>
                <w:b/>
                <w:sz w:val="20"/>
                <w:szCs w:val="20"/>
              </w:rPr>
              <w:t>3.25</w:t>
            </w:r>
          </w:p>
        </w:tc>
        <w:tc>
          <w:tcPr>
            <w:tcW w:w="589" w:type="dxa"/>
            <w:shd w:val="clear" w:color="auto" w:fill="DBE5F1" w:themeFill="accent1" w:themeFillTint="33"/>
            <w:vAlign w:val="center"/>
          </w:tcPr>
          <w:p w:rsidR="00F7738B" w:rsidRPr="00080338" w:rsidRDefault="00F7738B" w:rsidP="00D67E41">
            <w:pPr>
              <w:spacing w:before="60" w:after="60"/>
              <w:jc w:val="center"/>
              <w:rPr>
                <w:rFonts w:asciiTheme="minorHAnsi" w:hAnsiTheme="minorHAnsi"/>
                <w:b/>
                <w:sz w:val="20"/>
                <w:szCs w:val="20"/>
              </w:rPr>
            </w:pPr>
            <w:r>
              <w:rPr>
                <w:rFonts w:asciiTheme="minorHAnsi" w:hAnsiTheme="minorHAnsi"/>
                <w:b/>
                <w:sz w:val="20"/>
                <w:szCs w:val="20"/>
              </w:rPr>
              <w:t>3.75</w:t>
            </w:r>
          </w:p>
        </w:tc>
      </w:tr>
    </w:tbl>
    <w:p w:rsidR="00206953" w:rsidRDefault="00D915BC" w:rsidP="00D915BC">
      <w:r>
        <w:br/>
      </w:r>
      <w:r w:rsidR="00206953">
        <w:t xml:space="preserve">The broad investment themes of the EP – improved access, improved service delivery, more evidence-based policy - </w:t>
      </w:r>
      <w:r w:rsidR="00206953" w:rsidRPr="00851EC7">
        <w:t xml:space="preserve">remain </w:t>
      </w:r>
      <w:r w:rsidR="00206953" w:rsidRPr="00851EC7">
        <w:rPr>
          <w:b/>
        </w:rPr>
        <w:t>relevant</w:t>
      </w:r>
      <w:r w:rsidR="00206953" w:rsidRPr="00851EC7">
        <w:t xml:space="preserve"> with respect to the national policies and priorities of the Government</w:t>
      </w:r>
      <w:r w:rsidR="00206953">
        <w:t xml:space="preserve">s of Indonesia and Australia, albeit with weighting moving away from access to quality. </w:t>
      </w:r>
      <w:r w:rsidR="00206953">
        <w:lastRenderedPageBreak/>
        <w:t xml:space="preserve">In fact, the mean score for </w:t>
      </w:r>
      <w:r w:rsidR="00206953" w:rsidRPr="00C07369">
        <w:t>relevance</w:t>
      </w:r>
      <w:r w:rsidR="00206953">
        <w:t xml:space="preserve"> has edged up from 2014 (Score 4.25) to 2015 (Score 4.5) despite the declining relevance of WiPs approaches as a delivery modality for Australian aid. The improved score is chiefly because improvements to the external and internal relevance of both C3 and C4 in 2015, which, statistically at least, off-sets concerns within C2 about the relative importance of principal CPD (vis-à-vis teachers).</w:t>
      </w:r>
    </w:p>
    <w:p w:rsidR="00206953" w:rsidRDefault="00206953" w:rsidP="00D915BC">
      <w:r w:rsidRPr="00851EC7">
        <w:t xml:space="preserve">Overall, the </w:t>
      </w:r>
      <w:r>
        <w:t>improvements made</w:t>
      </w:r>
      <w:r w:rsidRPr="00851EC7">
        <w:t xml:space="preserve"> to</w:t>
      </w:r>
      <w:r>
        <w:t xml:space="preserve"> EP</w:t>
      </w:r>
      <w:r w:rsidRPr="00851EC7">
        <w:t xml:space="preserve"> </w:t>
      </w:r>
      <w:r w:rsidRPr="000F2B72">
        <w:rPr>
          <w:b/>
        </w:rPr>
        <w:t>efficiency</w:t>
      </w:r>
      <w:r w:rsidRPr="00C07369">
        <w:t xml:space="preserve"> from 2013 (</w:t>
      </w:r>
      <w:r>
        <w:t xml:space="preserve">Score </w:t>
      </w:r>
      <w:r w:rsidRPr="00C07369">
        <w:t>4.00) to 2014 (</w:t>
      </w:r>
      <w:r>
        <w:t xml:space="preserve">Score </w:t>
      </w:r>
      <w:r w:rsidRPr="00C07369">
        <w:t>4.50) were reversed in 2015 (4.00).</w:t>
      </w:r>
      <w:r>
        <w:t xml:space="preserve"> While C3 performed very well and C4’s performance continued to be mixed, concerns about the extent to which EP managers might have better handled the projected delays to the completion of Cycle 4 schools and the long delays associated with the commencement of Grant Agreement-financed ProDEP delivery in 2015 combined to pull the mean score down (though it is noteworthy that C1’s Efficiency Score of 5 remains high).</w:t>
      </w:r>
      <w:r w:rsidR="002010DB">
        <w:t xml:space="preserve"> </w:t>
      </w:r>
    </w:p>
    <w:p w:rsidR="00206953" w:rsidRDefault="00206953" w:rsidP="00D915BC">
      <w:pPr>
        <w:rPr>
          <w:rFonts w:eastAsia="Calibri" w:cs="Times New Roman"/>
          <w:szCs w:val="24"/>
          <w:lang w:eastAsia="en-AU"/>
        </w:rPr>
      </w:pPr>
      <w:r w:rsidRPr="00851EC7">
        <w:t xml:space="preserve">Whilst overall comparison between </w:t>
      </w:r>
      <w:r>
        <w:t xml:space="preserve">the </w:t>
      </w:r>
      <w:r w:rsidRPr="00851EC7">
        <w:t>2013</w:t>
      </w:r>
      <w:r>
        <w:t xml:space="preserve">, </w:t>
      </w:r>
      <w:r w:rsidRPr="00851EC7">
        <w:t xml:space="preserve">2014 </w:t>
      </w:r>
      <w:r>
        <w:t xml:space="preserve">and 2015 </w:t>
      </w:r>
      <w:r w:rsidRPr="00851EC7">
        <w:t>scores</w:t>
      </w:r>
      <w:r>
        <w:t xml:space="preserve"> for </w:t>
      </w:r>
      <w:r w:rsidRPr="000F2B72">
        <w:rPr>
          <w:b/>
        </w:rPr>
        <w:t>effectiveness</w:t>
      </w:r>
      <w:r w:rsidRPr="00851EC7">
        <w:t xml:space="preserve"> is compromised to some degree by a number of TE (or “Too Early” to judge) scores in 2013, it is satisfying to note that mean scores </w:t>
      </w:r>
      <w:r>
        <w:t>for</w:t>
      </w:r>
      <w:r w:rsidRPr="00851EC7">
        <w:t xml:space="preserve"> </w:t>
      </w:r>
      <w:r w:rsidRPr="00206953">
        <w:t>effectiveness</w:t>
      </w:r>
      <w:r w:rsidRPr="00851EC7">
        <w:t xml:space="preserve"> have increased</w:t>
      </w:r>
      <w:r>
        <w:t xml:space="preserve"> over time, reaching a very good score of 4.50 in 2015</w:t>
      </w:r>
      <w:r w:rsidRPr="00851EC7">
        <w:t xml:space="preserve">. </w:t>
      </w:r>
      <w:r>
        <w:t xml:space="preserve">To an extent, this reflects the greater availability of evaluation evidence in 2015 and therefore the confidence with which POM can form an informed judgement. Nevertheless, it also reflects the extent to which some Components, most notably C1, have met or exceeded the EOPO-level targets for 2015. </w:t>
      </w:r>
      <w:r>
        <w:rPr>
          <w:rFonts w:eastAsia="Calibri" w:cs="Times New Roman"/>
          <w:szCs w:val="24"/>
          <w:lang w:eastAsia="en-AU"/>
        </w:rPr>
        <w:t>While this is praiseworthy, POM remains of the view that should the investments have been conceived solely as vehicles to achieve the stated End-of-Partnership-Outcome targets then the cost-effectiveness of the EP investment is worth some scrutiny, perhaps particularly in the case of C1.</w:t>
      </w:r>
    </w:p>
    <w:p w:rsidR="00206953" w:rsidRDefault="00206953" w:rsidP="00D915BC">
      <w:r w:rsidRPr="00851EC7">
        <w:t>POM distinguishes in its assessment of long-term benefits between those accrued at an individual level and those at an instit</w:t>
      </w:r>
      <w:r>
        <w:t xml:space="preserve">utional level. In so doing, POM </w:t>
      </w:r>
      <w:r w:rsidRPr="00851EC7">
        <w:t xml:space="preserve">assesses the prospects for long-term </w:t>
      </w:r>
      <w:r w:rsidRPr="00851EC7">
        <w:rPr>
          <w:b/>
        </w:rPr>
        <w:t>impact</w:t>
      </w:r>
      <w:r w:rsidRPr="00851EC7">
        <w:t xml:space="preserve"> at an individual school, student or principal level to be relatively strong</w:t>
      </w:r>
      <w:r>
        <w:t xml:space="preserve">, </w:t>
      </w:r>
      <w:r w:rsidR="001A284F">
        <w:t xml:space="preserve">reflecting an increased score </w:t>
      </w:r>
      <w:r>
        <w:t>from the 2014 APPR</w:t>
      </w:r>
      <w:r w:rsidRPr="00851EC7">
        <w:t>. POM</w:t>
      </w:r>
      <w:r>
        <w:t xml:space="preserve"> believes the outlook in terms of i</w:t>
      </w:r>
      <w:r w:rsidRPr="00851EC7">
        <w:t>nstitutional legacy</w:t>
      </w:r>
      <w:r>
        <w:t xml:space="preserve"> is mixed, though it is encouraged to see the sustained </w:t>
      </w:r>
      <w:r w:rsidRPr="00851EC7">
        <w:t>interest in measures that will facilitate systems strengthening</w:t>
      </w:r>
      <w:r>
        <w:t>, not least in C3</w:t>
      </w:r>
      <w:r w:rsidRPr="00851EC7">
        <w:t>.</w:t>
      </w:r>
      <w:r>
        <w:t xml:space="preserve"> The improved outlook in terms of the effectiveness of both C3 and C4 investments inevitably generate greater confidence about the potential for long-term impacts (therefore the Impact scores for both have risen to 4 in 2015). By contrast, the absence of a critical mass of participants in C2 and the continued uncertainty about the extent to which the technical credentials of ProDEP have or will translate to change in the quality of school management, create inevitable uncertainty about the potential for long-term impacts to accrue from the investment in C2. Importantly, POM is </w:t>
      </w:r>
      <w:r w:rsidRPr="00F154DD">
        <w:rPr>
          <w:i/>
        </w:rPr>
        <w:t>not</w:t>
      </w:r>
      <w:r>
        <w:t xml:space="preserve"> saying that there will be no long-term effects and neither is it saying that the ProDEP is either ineffective or not worthy of continued investment. Rather, it is pointing to the need for continued commitment until its effectiveness is established and at which point (and assuming it is worthy of continuation) lessons need to be applied, advocacy undertaken and measures to further adapt and sustain the CPD system be adopted.</w:t>
      </w:r>
      <w:r w:rsidR="002010DB">
        <w:t xml:space="preserve"> </w:t>
      </w:r>
    </w:p>
    <w:p w:rsidR="00206953" w:rsidRDefault="00206953" w:rsidP="00D915BC">
      <w:r>
        <w:t xml:space="preserve">Overall, </w:t>
      </w:r>
      <w:r w:rsidRPr="00851EC7">
        <w:t xml:space="preserve">POM </w:t>
      </w:r>
      <w:r>
        <w:t>is more optimistic</w:t>
      </w:r>
      <w:r w:rsidRPr="00851EC7">
        <w:t xml:space="preserve"> </w:t>
      </w:r>
      <w:r>
        <w:t xml:space="preserve">about </w:t>
      </w:r>
      <w:r w:rsidRPr="00851EC7">
        <w:t xml:space="preserve">the prospects for </w:t>
      </w:r>
      <w:r w:rsidRPr="00851EC7">
        <w:rPr>
          <w:b/>
        </w:rPr>
        <w:t>sustainability</w:t>
      </w:r>
      <w:r w:rsidRPr="00851EC7">
        <w:t xml:space="preserve">, at an institutional level, </w:t>
      </w:r>
      <w:r>
        <w:t xml:space="preserve">in 2015 (Score 3.75) than in 2014 (Score 3.25). MoEC’s apparent interest in adopting school construction guidelines is particularly positive and, should this occur, the benefits could be long-standing and far-reaching. Equally, MoEC’s interest in OLL learning and its financing of ProDEP replication in 40 non-EP districts in 2015-16 is noteworthy, even if it is unclear if that will be sufficient to generate the interest and appetite for broader interest in and commitment to the </w:t>
      </w:r>
      <w:r>
        <w:lastRenderedPageBreak/>
        <w:t>fledging ProDEP initiative. Moreover, the ongoing lack of clarity about what, if any, institutional legacy might be available to ACDP (C4) and how partners might wish to pursue those opportunities is cause for ongoing concern (Score 2).</w:t>
      </w:r>
    </w:p>
    <w:p w:rsidR="00F7738B" w:rsidRPr="00851EC7" w:rsidRDefault="00206953" w:rsidP="00D915BC">
      <w:r w:rsidRPr="00851EC7">
        <w:t xml:space="preserve">Overall, the EP made progress in </w:t>
      </w:r>
      <w:r>
        <w:t>2015 under challenging circumstances and the emerging evidence of a broadly effective EP is very encouraging</w:t>
      </w:r>
      <w:r w:rsidRPr="00851EC7">
        <w:t xml:space="preserve">. </w:t>
      </w:r>
      <w:r w:rsidRPr="00A74CC7">
        <w:t xml:space="preserve">With Components 2 and 3 closing in June 2016, Component </w:t>
      </w:r>
      <w:r>
        <w:t>1 probably being extended until t</w:t>
      </w:r>
      <w:r w:rsidRPr="00A74CC7">
        <w:t xml:space="preserve">he end of 2016 and Component 4 concluding in mid-2017, emphasis </w:t>
      </w:r>
      <w:r>
        <w:t>must now shift to undertaking those measures that will cement the gains secured to date, generating additional gains where possible and sustaining those benefits over time, i.e. the effectiveness, impact and sustainability of EP investments.</w:t>
      </w:r>
    </w:p>
    <w:p w:rsidR="00C870D5" w:rsidRPr="00851EC7" w:rsidRDefault="00C870D5" w:rsidP="00775568">
      <w:pPr>
        <w:sectPr w:rsidR="00C870D5" w:rsidRPr="00851EC7" w:rsidSect="00693E96">
          <w:type w:val="oddPage"/>
          <w:pgSz w:w="11909" w:h="16834" w:code="9"/>
          <w:pgMar w:top="1440" w:right="1440" w:bottom="1440" w:left="1440" w:header="431" w:footer="720" w:gutter="0"/>
          <w:cols w:space="720"/>
          <w:noEndnote/>
          <w:docGrid w:linePitch="360"/>
        </w:sectPr>
      </w:pPr>
    </w:p>
    <w:p w:rsidR="00720A3E" w:rsidRPr="00851EC7" w:rsidRDefault="00720A3E" w:rsidP="00775568">
      <w:pPr>
        <w:sectPr w:rsidR="00720A3E" w:rsidRPr="00851EC7" w:rsidSect="00E56459">
          <w:pgSz w:w="11909" w:h="16834" w:code="9"/>
          <w:pgMar w:top="1440" w:right="1440" w:bottom="1440" w:left="1440" w:header="432" w:footer="720" w:gutter="0"/>
          <w:cols w:space="720"/>
          <w:docGrid w:linePitch="360"/>
        </w:sectPr>
      </w:pPr>
    </w:p>
    <w:p w:rsidR="00D06F80" w:rsidRPr="00851EC7" w:rsidRDefault="00D06F80" w:rsidP="00C34871">
      <w:pPr>
        <w:pStyle w:val="DividerStyle"/>
      </w:pPr>
      <w:r w:rsidRPr="00851EC7">
        <w:rPr>
          <w:noProof/>
          <w:lang w:eastAsia="en-AU"/>
        </w:rPr>
        <w:lastRenderedPageBreak/>
        <w:drawing>
          <wp:anchor distT="0" distB="0" distL="114300" distR="114300" simplePos="0" relativeHeight="251684864" behindDoc="0" locked="1" layoutInCell="0" allowOverlap="1" wp14:anchorId="3529B62E" wp14:editId="1C3ECA32">
            <wp:simplePos x="0" y="0"/>
            <wp:positionH relativeFrom="column">
              <wp:posOffset>-714375</wp:posOffset>
            </wp:positionH>
            <wp:positionV relativeFrom="page">
              <wp:posOffset>9959340</wp:posOffset>
            </wp:positionV>
            <wp:extent cx="7086600" cy="4019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RK\EPOS\REPORT &amp; STATIONARY\emf\Watermark sky blue 50.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86600"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EC7">
        <w:rPr>
          <w:noProof/>
          <w:sz w:val="40"/>
          <w:szCs w:val="40"/>
          <w:lang w:eastAsia="en-AU"/>
        </w:rPr>
        <w:drawing>
          <wp:anchor distT="0" distB="0" distL="114300" distR="114300" simplePos="0" relativeHeight="251685888" behindDoc="0" locked="1" layoutInCell="0" allowOverlap="1" wp14:anchorId="2FDF9E95" wp14:editId="30D3795F">
            <wp:simplePos x="0" y="0"/>
            <wp:positionH relativeFrom="column">
              <wp:posOffset>3299460</wp:posOffset>
            </wp:positionH>
            <wp:positionV relativeFrom="page">
              <wp:posOffset>4949825</wp:posOffset>
            </wp:positionV>
            <wp:extent cx="3721100" cy="2190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RK\EPOS\REPORT &amp; STATIONARY\emf\Red stripe2.em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211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EC7">
        <w:rPr>
          <w:i/>
          <w:noProof/>
          <w:sz w:val="18"/>
          <w:szCs w:val="18"/>
          <w:lang w:eastAsia="en-AU"/>
        </w:rPr>
        <mc:AlternateContent>
          <mc:Choice Requires="wps">
            <w:drawing>
              <wp:anchor distT="0" distB="0" distL="114300" distR="114300" simplePos="0" relativeHeight="251683840" behindDoc="1" locked="1" layoutInCell="1" allowOverlap="1" wp14:anchorId="3BE3F0AD" wp14:editId="3294FB69">
                <wp:simplePos x="0" y="0"/>
                <wp:positionH relativeFrom="column">
                  <wp:posOffset>-914400</wp:posOffset>
                </wp:positionH>
                <wp:positionV relativeFrom="page">
                  <wp:posOffset>0</wp:posOffset>
                </wp:positionV>
                <wp:extent cx="7790180" cy="10713085"/>
                <wp:effectExtent l="0" t="0" r="1270" b="0"/>
                <wp:wrapNone/>
                <wp:docPr id="37" name="Rectangle 37"/>
                <wp:cNvGraphicFramePr/>
                <a:graphic xmlns:a="http://schemas.openxmlformats.org/drawingml/2006/main">
                  <a:graphicData uri="http://schemas.microsoft.com/office/word/2010/wordprocessingShape">
                    <wps:wsp>
                      <wps:cNvSpPr/>
                      <wps:spPr>
                        <a:xfrm>
                          <a:off x="0" y="0"/>
                          <a:ext cx="7790180" cy="10713085"/>
                        </a:xfrm>
                        <a:prstGeom prst="rect">
                          <a:avLst/>
                        </a:prstGeom>
                        <a:solidFill>
                          <a:srgbClr val="68BAD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1in;margin-top:0;width:613.4pt;height:843.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" fillcolor="#68bad6" stroked="f" strokeweight="2pt">
                <w10:wrap anchory="page"/>
                <w10:anchorlock/>
              </v:rect>
            </w:pict>
          </mc:Fallback>
        </mc:AlternateContent>
      </w:r>
    </w:p>
    <w:p w:rsidR="00D06F80" w:rsidRPr="00851EC7" w:rsidRDefault="00D06F80" w:rsidP="00C34871">
      <w:pPr>
        <w:pStyle w:val="DividerStyle"/>
      </w:pPr>
    </w:p>
    <w:p w:rsidR="00D06F80" w:rsidRPr="00851EC7" w:rsidRDefault="00D06F80" w:rsidP="00C34871">
      <w:pPr>
        <w:pStyle w:val="DividerStyle"/>
      </w:pPr>
    </w:p>
    <w:p w:rsidR="00D06F80" w:rsidRPr="00851EC7" w:rsidRDefault="00D06F80" w:rsidP="00C34871">
      <w:pPr>
        <w:pStyle w:val="DividerStyle"/>
      </w:pPr>
    </w:p>
    <w:p w:rsidR="00D06F80" w:rsidRPr="00851EC7" w:rsidRDefault="00D06F80" w:rsidP="00C34871">
      <w:pPr>
        <w:pStyle w:val="DividerStyle"/>
      </w:pPr>
    </w:p>
    <w:p w:rsidR="00D06F80" w:rsidRDefault="00D06F80" w:rsidP="00C34871">
      <w:pPr>
        <w:pStyle w:val="DividerStyle"/>
      </w:pPr>
    </w:p>
    <w:p w:rsidR="00C34871" w:rsidRPr="00851EC7" w:rsidRDefault="00C34871" w:rsidP="00C34871">
      <w:pPr>
        <w:pStyle w:val="DividerStyle"/>
      </w:pPr>
    </w:p>
    <w:p w:rsidR="00D06F80" w:rsidRPr="00851EC7" w:rsidRDefault="00D06F80" w:rsidP="00C34871">
      <w:pPr>
        <w:pStyle w:val="DividerStyle"/>
      </w:pPr>
    </w:p>
    <w:p w:rsidR="00D06F80" w:rsidRPr="00851EC7" w:rsidRDefault="00D06F80" w:rsidP="00C34871">
      <w:pPr>
        <w:pStyle w:val="DividerStyle"/>
      </w:pPr>
    </w:p>
    <w:p w:rsidR="00D06F80" w:rsidRPr="00851EC7" w:rsidRDefault="00D06F80" w:rsidP="00C34871">
      <w:pPr>
        <w:pStyle w:val="DividerStyle"/>
      </w:pPr>
    </w:p>
    <w:p w:rsidR="00D06F80" w:rsidRPr="00851EC7" w:rsidRDefault="00D06F80" w:rsidP="00C34871">
      <w:pPr>
        <w:pStyle w:val="DividerStyle"/>
      </w:pPr>
    </w:p>
    <w:p w:rsidR="00D06F80" w:rsidRPr="00851EC7" w:rsidRDefault="00D06F80" w:rsidP="00C34871">
      <w:pPr>
        <w:pStyle w:val="DividerStyle"/>
        <w:rPr>
          <w:szCs w:val="20"/>
        </w:rPr>
      </w:pPr>
      <w:r w:rsidRPr="00851EC7">
        <w:t>Annexes</w:t>
      </w:r>
    </w:p>
    <w:p w:rsidR="00D06F80" w:rsidRPr="00851EC7" w:rsidRDefault="00D06F80" w:rsidP="00775568">
      <w:pPr>
        <w:sectPr w:rsidR="00D06F80" w:rsidRPr="00851EC7" w:rsidSect="002D1F5B">
          <w:headerReference w:type="default" r:id="rId44"/>
          <w:type w:val="oddPage"/>
          <w:pgSz w:w="11907" w:h="16839" w:code="9"/>
          <w:pgMar w:top="1712" w:right="1440" w:bottom="1440" w:left="1440" w:header="720" w:footer="720" w:gutter="0"/>
          <w:cols w:space="720"/>
          <w:docGrid w:linePitch="360"/>
        </w:sectPr>
      </w:pPr>
    </w:p>
    <w:p w:rsidR="00D06F80" w:rsidRPr="00851EC7" w:rsidRDefault="00D06F80" w:rsidP="00C34871">
      <w:pPr>
        <w:pStyle w:val="Heading1-NoNumber"/>
      </w:pPr>
      <w:bookmarkStart w:id="125" w:name="_Toc379548513"/>
      <w:bookmarkStart w:id="126" w:name="_Toc448156331"/>
      <w:r w:rsidRPr="00851EC7">
        <w:lastRenderedPageBreak/>
        <w:t>Annex I</w:t>
      </w:r>
      <w:r w:rsidR="00877147" w:rsidRPr="00851EC7">
        <w:t xml:space="preserve">: </w:t>
      </w:r>
      <w:r w:rsidRPr="00851EC7">
        <w:t>EP Logic Architecture</w:t>
      </w:r>
      <w:bookmarkEnd w:id="125"/>
      <w:bookmarkEnd w:id="126"/>
    </w:p>
    <w:p w:rsidR="00930A73" w:rsidRPr="00851EC7" w:rsidRDefault="00F955AD" w:rsidP="00C34871">
      <w:pPr>
        <w:jc w:val="center"/>
      </w:pPr>
      <w:r w:rsidRPr="00F955AD">
        <w:rPr>
          <w:noProof/>
          <w:lang w:eastAsia="en-AU"/>
        </w:rPr>
        <w:drawing>
          <wp:inline distT="0" distB="0" distL="0" distR="0" wp14:anchorId="187DA777" wp14:editId="278E3C2D">
            <wp:extent cx="7440264" cy="5236234"/>
            <wp:effectExtent l="0" t="0" r="889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45549" cy="5239953"/>
                    </a:xfrm>
                    <a:prstGeom prst="rect">
                      <a:avLst/>
                    </a:prstGeom>
                    <a:noFill/>
                    <a:ln>
                      <a:noFill/>
                    </a:ln>
                  </pic:spPr>
                </pic:pic>
              </a:graphicData>
            </a:graphic>
          </wp:inline>
        </w:drawing>
      </w:r>
      <w:r w:rsidR="00930A73" w:rsidRPr="00851EC7">
        <w:br w:type="page"/>
      </w:r>
    </w:p>
    <w:p w:rsidR="00930A73" w:rsidRPr="00851EC7" w:rsidRDefault="00930A73" w:rsidP="00C34871">
      <w:pPr>
        <w:pStyle w:val="Heading1-NoNumber"/>
      </w:pPr>
      <w:bookmarkStart w:id="127" w:name="_Toc448156332"/>
      <w:r w:rsidRPr="00851EC7">
        <w:lastRenderedPageBreak/>
        <w:t>A</w:t>
      </w:r>
      <w:r w:rsidR="007269E9" w:rsidRPr="00851EC7">
        <w:t>nnex II</w:t>
      </w:r>
      <w:r w:rsidR="00877147" w:rsidRPr="00851EC7">
        <w:t xml:space="preserve">: </w:t>
      </w:r>
      <w:r w:rsidR="007269E9" w:rsidRPr="00851EC7">
        <w:t>Interpretation of DAC Criteria</w:t>
      </w:r>
      <w:bookmarkEnd w:id="127"/>
      <w:r w:rsidR="007269E9" w:rsidRPr="00851EC7">
        <w:t xml:space="preserve"> </w:t>
      </w:r>
    </w:p>
    <w:tbl>
      <w:tblPr>
        <w:tblW w:w="535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9"/>
        <w:gridCol w:w="1653"/>
        <w:gridCol w:w="12023"/>
      </w:tblGrid>
      <w:tr w:rsidR="002850F7" w:rsidTr="002850F7">
        <w:trPr>
          <w:trHeight w:val="607"/>
        </w:trPr>
        <w:tc>
          <w:tcPr>
            <w:tcW w:w="93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850F7" w:rsidRDefault="002850F7">
            <w:pPr>
              <w:spacing w:before="60" w:after="60"/>
              <w:rPr>
                <w:rFonts w:asciiTheme="minorHAnsi" w:eastAsiaTheme="minorHAnsi" w:hAnsiTheme="minorHAnsi"/>
                <w:b/>
                <w:sz w:val="20"/>
                <w:szCs w:val="20"/>
              </w:rPr>
            </w:pPr>
            <w:r>
              <w:rPr>
                <w:rFonts w:asciiTheme="minorHAnsi" w:eastAsiaTheme="minorHAnsi" w:hAnsiTheme="minorHAnsi"/>
                <w:b/>
                <w:sz w:val="20"/>
                <w:szCs w:val="20"/>
              </w:rPr>
              <w:t>Relevance</w:t>
            </w:r>
          </w:p>
        </w:tc>
        <w:tc>
          <w:tcPr>
            <w:tcW w:w="406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850F7" w:rsidRDefault="002850F7">
            <w:pPr>
              <w:widowControl w:val="0"/>
              <w:autoSpaceDE w:val="0"/>
              <w:autoSpaceDN w:val="0"/>
              <w:adjustRightInd w:val="0"/>
              <w:spacing w:before="60" w:after="60"/>
              <w:rPr>
                <w:rFonts w:asciiTheme="minorHAnsi" w:eastAsiaTheme="minorHAnsi" w:hAnsiTheme="minorHAnsi"/>
                <w:sz w:val="20"/>
                <w:szCs w:val="20"/>
              </w:rPr>
            </w:pPr>
            <w:r>
              <w:rPr>
                <w:rFonts w:asciiTheme="minorHAnsi" w:eastAsiaTheme="minorHAnsi" w:hAnsiTheme="minorHAnsi"/>
                <w:sz w:val="20"/>
                <w:szCs w:val="20"/>
              </w:rPr>
              <w:t>The extent to which the investment is suited to program goals and objectives and to the policies and priorities of the GoI and GoA</w:t>
            </w:r>
          </w:p>
        </w:tc>
      </w:tr>
      <w:tr w:rsidR="002850F7" w:rsidTr="002850F7">
        <w:trPr>
          <w:trHeight w:val="795"/>
        </w:trPr>
        <w:tc>
          <w:tcPr>
            <w:tcW w:w="3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850F7" w:rsidRDefault="002850F7">
            <w:pPr>
              <w:widowControl w:val="0"/>
              <w:autoSpaceDE w:val="0"/>
              <w:autoSpaceDN w:val="0"/>
              <w:adjustRightInd w:val="0"/>
              <w:spacing w:before="60" w:after="60"/>
              <w:rPr>
                <w:rFonts w:asciiTheme="minorHAnsi" w:eastAsiaTheme="minorHAnsi" w:hAnsiTheme="minorHAnsi"/>
                <w:b/>
                <w:sz w:val="20"/>
                <w:szCs w:val="20"/>
              </w:rPr>
            </w:pPr>
            <w:r>
              <w:rPr>
                <w:rFonts w:asciiTheme="minorHAnsi" w:eastAsiaTheme="minorHAnsi" w:hAnsiTheme="minorHAnsi"/>
                <w:b/>
                <w:sz w:val="20"/>
                <w:szCs w:val="20"/>
              </w:rPr>
              <w:t>Headline questions</w:t>
            </w:r>
          </w:p>
        </w:tc>
        <w:tc>
          <w:tcPr>
            <w:tcW w:w="4625" w:type="pct"/>
            <w:gridSpan w:val="2"/>
            <w:tcBorders>
              <w:top w:val="single" w:sz="4" w:space="0" w:color="auto"/>
              <w:left w:val="single" w:sz="4" w:space="0" w:color="auto"/>
              <w:bottom w:val="single" w:sz="4" w:space="0" w:color="auto"/>
              <w:right w:val="single" w:sz="4" w:space="0" w:color="auto"/>
            </w:tcBorders>
            <w:vAlign w:val="center"/>
            <w:hideMark/>
          </w:tcPr>
          <w:p w:rsidR="002850F7" w:rsidRDefault="002850F7" w:rsidP="00B14021">
            <w:pPr>
              <w:widowControl w:val="0"/>
              <w:numPr>
                <w:ilvl w:val="0"/>
                <w:numId w:val="11"/>
              </w:numPr>
              <w:autoSpaceDE w:val="0"/>
              <w:autoSpaceDN w:val="0"/>
              <w:adjustRightInd w:val="0"/>
              <w:spacing w:before="60" w:after="60"/>
              <w:jc w:val="left"/>
              <w:rPr>
                <w:rFonts w:eastAsia="Calibri"/>
                <w:sz w:val="20"/>
                <w:szCs w:val="20"/>
                <w:lang w:eastAsia="en-AU"/>
              </w:rPr>
            </w:pPr>
            <w:r>
              <w:rPr>
                <w:rFonts w:eastAsia="Calibri"/>
                <w:sz w:val="20"/>
                <w:szCs w:val="20"/>
                <w:lang w:eastAsia="en-AU"/>
              </w:rPr>
              <w:t>To what extent are EP interventions appropriate to the Indonesian education sector? (External)</w:t>
            </w:r>
          </w:p>
          <w:p w:rsidR="002850F7" w:rsidRDefault="002850F7" w:rsidP="00B14021">
            <w:pPr>
              <w:widowControl w:val="0"/>
              <w:numPr>
                <w:ilvl w:val="0"/>
                <w:numId w:val="11"/>
              </w:numPr>
              <w:autoSpaceDE w:val="0"/>
              <w:autoSpaceDN w:val="0"/>
              <w:adjustRightInd w:val="0"/>
              <w:spacing w:before="60" w:after="60"/>
              <w:jc w:val="left"/>
              <w:rPr>
                <w:rFonts w:eastAsia="Calibri"/>
                <w:sz w:val="20"/>
                <w:szCs w:val="20"/>
                <w:lang w:eastAsia="en-AU"/>
              </w:rPr>
            </w:pPr>
            <w:r>
              <w:rPr>
                <w:rFonts w:eastAsia="Calibri"/>
                <w:sz w:val="20"/>
                <w:szCs w:val="20"/>
                <w:lang w:eastAsia="en-AU"/>
              </w:rPr>
              <w:t>To what extent are the EP interventions in line with Australian development policy and priorities? (External)</w:t>
            </w:r>
          </w:p>
          <w:p w:rsidR="002850F7" w:rsidRDefault="002850F7" w:rsidP="00B14021">
            <w:pPr>
              <w:widowControl w:val="0"/>
              <w:numPr>
                <w:ilvl w:val="0"/>
                <w:numId w:val="11"/>
              </w:numPr>
              <w:autoSpaceDE w:val="0"/>
              <w:autoSpaceDN w:val="0"/>
              <w:adjustRightInd w:val="0"/>
              <w:spacing w:before="60" w:after="60"/>
              <w:jc w:val="left"/>
              <w:rPr>
                <w:rFonts w:eastAsia="Calibri"/>
                <w:sz w:val="20"/>
                <w:szCs w:val="20"/>
                <w:lang w:eastAsia="en-AU"/>
              </w:rPr>
            </w:pPr>
            <w:r>
              <w:rPr>
                <w:rFonts w:eastAsia="Calibri" w:cs="Times New Roman"/>
                <w:sz w:val="20"/>
                <w:szCs w:val="20"/>
                <w:lang w:eastAsia="en-AU"/>
              </w:rPr>
              <w:t>To what extent are the activities and outputs consistent with the attainment of EOCOs and EOPOs and goals? (Internal)</w:t>
            </w:r>
          </w:p>
        </w:tc>
      </w:tr>
      <w:tr w:rsidR="002850F7" w:rsidTr="002850F7">
        <w:trPr>
          <w:trHeight w:val="575"/>
        </w:trPr>
        <w:tc>
          <w:tcPr>
            <w:tcW w:w="93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850F7" w:rsidRDefault="002850F7">
            <w:pPr>
              <w:spacing w:before="60" w:after="60"/>
              <w:rPr>
                <w:rFonts w:asciiTheme="minorHAnsi" w:eastAsiaTheme="minorHAnsi" w:hAnsiTheme="minorHAnsi"/>
                <w:b/>
                <w:sz w:val="20"/>
                <w:szCs w:val="20"/>
              </w:rPr>
            </w:pPr>
            <w:r>
              <w:rPr>
                <w:rFonts w:asciiTheme="minorHAnsi" w:eastAsiaTheme="minorHAnsi" w:hAnsiTheme="minorHAnsi" w:cstheme="minorBidi"/>
                <w:sz w:val="20"/>
                <w:szCs w:val="20"/>
              </w:rPr>
              <w:br w:type="page"/>
            </w:r>
            <w:r>
              <w:rPr>
                <w:rFonts w:asciiTheme="minorHAnsi" w:eastAsiaTheme="minorHAnsi" w:hAnsiTheme="minorHAnsi"/>
                <w:b/>
                <w:sz w:val="20"/>
                <w:szCs w:val="20"/>
              </w:rPr>
              <w:t>Efficiency</w:t>
            </w:r>
          </w:p>
        </w:tc>
        <w:tc>
          <w:tcPr>
            <w:tcW w:w="406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850F7" w:rsidRDefault="002850F7">
            <w:pPr>
              <w:widowControl w:val="0"/>
              <w:autoSpaceDE w:val="0"/>
              <w:autoSpaceDN w:val="0"/>
              <w:adjustRightInd w:val="0"/>
              <w:spacing w:before="60" w:after="60"/>
              <w:rPr>
                <w:rFonts w:asciiTheme="minorHAnsi" w:eastAsiaTheme="minorHAnsi" w:hAnsiTheme="minorHAnsi"/>
                <w:sz w:val="20"/>
                <w:szCs w:val="20"/>
              </w:rPr>
            </w:pPr>
            <w:r>
              <w:rPr>
                <w:rFonts w:asciiTheme="minorHAnsi" w:eastAsiaTheme="minorHAnsi" w:hAnsiTheme="minorHAnsi"/>
                <w:sz w:val="20"/>
                <w:szCs w:val="20"/>
              </w:rPr>
              <w:t>A measure of how economically (in relation to time and cost) inputs are converted to outputs (and EOCOs)</w:t>
            </w:r>
          </w:p>
        </w:tc>
      </w:tr>
      <w:tr w:rsidR="002850F7" w:rsidTr="002850F7">
        <w:trPr>
          <w:trHeight w:val="795"/>
        </w:trPr>
        <w:tc>
          <w:tcPr>
            <w:tcW w:w="3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850F7" w:rsidRDefault="002850F7">
            <w:pPr>
              <w:widowControl w:val="0"/>
              <w:autoSpaceDE w:val="0"/>
              <w:autoSpaceDN w:val="0"/>
              <w:adjustRightInd w:val="0"/>
              <w:spacing w:before="60" w:after="60"/>
              <w:rPr>
                <w:rFonts w:asciiTheme="minorHAnsi" w:eastAsiaTheme="minorHAnsi" w:hAnsiTheme="minorHAnsi"/>
                <w:b/>
                <w:sz w:val="20"/>
                <w:szCs w:val="20"/>
              </w:rPr>
            </w:pPr>
            <w:r>
              <w:rPr>
                <w:rFonts w:asciiTheme="minorHAnsi" w:eastAsiaTheme="minorHAnsi" w:hAnsiTheme="minorHAnsi"/>
                <w:b/>
                <w:sz w:val="20"/>
                <w:szCs w:val="20"/>
              </w:rPr>
              <w:t>Headline questions</w:t>
            </w:r>
          </w:p>
        </w:tc>
        <w:tc>
          <w:tcPr>
            <w:tcW w:w="4625" w:type="pct"/>
            <w:gridSpan w:val="2"/>
            <w:tcBorders>
              <w:top w:val="single" w:sz="4" w:space="0" w:color="auto"/>
              <w:left w:val="single" w:sz="4" w:space="0" w:color="auto"/>
              <w:bottom w:val="single" w:sz="4" w:space="0" w:color="auto"/>
              <w:right w:val="single" w:sz="4" w:space="0" w:color="auto"/>
            </w:tcBorders>
            <w:vAlign w:val="center"/>
            <w:hideMark/>
          </w:tcPr>
          <w:p w:rsidR="002850F7" w:rsidRDefault="002850F7" w:rsidP="00B14021">
            <w:pPr>
              <w:widowControl w:val="0"/>
              <w:numPr>
                <w:ilvl w:val="0"/>
                <w:numId w:val="11"/>
              </w:numPr>
              <w:autoSpaceDE w:val="0"/>
              <w:autoSpaceDN w:val="0"/>
              <w:adjustRightInd w:val="0"/>
              <w:spacing w:before="60" w:after="60"/>
              <w:jc w:val="left"/>
              <w:rPr>
                <w:rFonts w:eastAsia="Calibri" w:cs="Times New Roman"/>
                <w:sz w:val="20"/>
                <w:szCs w:val="20"/>
                <w:lang w:eastAsia="en-AU"/>
              </w:rPr>
            </w:pPr>
            <w:r>
              <w:rPr>
                <w:rFonts w:eastAsia="Calibri" w:cs="Times New Roman"/>
                <w:sz w:val="20"/>
                <w:szCs w:val="20"/>
                <w:lang w:eastAsia="en-AU"/>
              </w:rPr>
              <w:t xml:space="preserve">To what extent are the output- and EOCO-level milestones being achieved on time? And in accordance with agreed budget envelopes? </w:t>
            </w:r>
          </w:p>
          <w:p w:rsidR="002850F7" w:rsidRDefault="002850F7" w:rsidP="00B14021">
            <w:pPr>
              <w:widowControl w:val="0"/>
              <w:numPr>
                <w:ilvl w:val="0"/>
                <w:numId w:val="11"/>
              </w:numPr>
              <w:autoSpaceDE w:val="0"/>
              <w:autoSpaceDN w:val="0"/>
              <w:adjustRightInd w:val="0"/>
              <w:spacing w:before="60" w:after="60"/>
              <w:jc w:val="left"/>
              <w:rPr>
                <w:rFonts w:asciiTheme="minorHAnsi" w:eastAsiaTheme="minorHAnsi" w:hAnsiTheme="minorHAnsi" w:cstheme="minorBidi"/>
                <w:sz w:val="20"/>
                <w:szCs w:val="20"/>
              </w:rPr>
            </w:pPr>
            <w:r>
              <w:rPr>
                <w:rFonts w:eastAsia="Calibri"/>
                <w:sz w:val="20"/>
                <w:szCs w:val="20"/>
                <w:lang w:eastAsia="en-AU"/>
              </w:rPr>
              <w:t>Could</w:t>
            </w:r>
            <w:r>
              <w:rPr>
                <w:rFonts w:eastAsia="Calibri" w:cs="Times New Roman"/>
                <w:sz w:val="20"/>
                <w:szCs w:val="20"/>
                <w:lang w:eastAsia="en-AU"/>
              </w:rPr>
              <w:t xml:space="preserve"> the same quality and quantity of deliverables and the same level of change/results have been achieved with less investment?</w:t>
            </w:r>
          </w:p>
        </w:tc>
      </w:tr>
      <w:tr w:rsidR="002850F7" w:rsidTr="002850F7">
        <w:trPr>
          <w:trHeight w:val="608"/>
        </w:trPr>
        <w:tc>
          <w:tcPr>
            <w:tcW w:w="93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850F7" w:rsidRDefault="002850F7">
            <w:pPr>
              <w:spacing w:before="60" w:after="60"/>
              <w:rPr>
                <w:rFonts w:asciiTheme="minorHAnsi" w:eastAsiaTheme="minorHAnsi" w:hAnsiTheme="minorHAnsi"/>
                <w:b/>
                <w:sz w:val="20"/>
                <w:szCs w:val="20"/>
              </w:rPr>
            </w:pPr>
            <w:r>
              <w:rPr>
                <w:rFonts w:asciiTheme="minorHAnsi" w:eastAsiaTheme="minorHAnsi" w:hAnsiTheme="minorHAnsi"/>
                <w:b/>
                <w:sz w:val="20"/>
                <w:szCs w:val="20"/>
              </w:rPr>
              <w:t>Effectiveness</w:t>
            </w:r>
          </w:p>
        </w:tc>
        <w:tc>
          <w:tcPr>
            <w:tcW w:w="406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850F7" w:rsidRDefault="002850F7">
            <w:pPr>
              <w:widowControl w:val="0"/>
              <w:autoSpaceDE w:val="0"/>
              <w:autoSpaceDN w:val="0"/>
              <w:adjustRightInd w:val="0"/>
              <w:spacing w:before="60" w:after="60"/>
              <w:rPr>
                <w:rFonts w:asciiTheme="minorHAnsi" w:eastAsiaTheme="minorHAnsi" w:hAnsiTheme="minorHAnsi"/>
                <w:sz w:val="20"/>
                <w:szCs w:val="20"/>
              </w:rPr>
            </w:pPr>
            <w:r>
              <w:rPr>
                <w:rFonts w:asciiTheme="minorHAnsi" w:eastAsiaTheme="minorHAnsi" w:hAnsiTheme="minorHAnsi"/>
                <w:sz w:val="20"/>
                <w:szCs w:val="20"/>
              </w:rPr>
              <w:t>The extent to which an investment attains its end-of-partnership targets</w:t>
            </w:r>
          </w:p>
        </w:tc>
      </w:tr>
      <w:tr w:rsidR="002850F7" w:rsidTr="002850F7">
        <w:trPr>
          <w:trHeight w:val="436"/>
        </w:trPr>
        <w:tc>
          <w:tcPr>
            <w:tcW w:w="3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850F7" w:rsidRDefault="002850F7">
            <w:pPr>
              <w:widowControl w:val="0"/>
              <w:autoSpaceDE w:val="0"/>
              <w:autoSpaceDN w:val="0"/>
              <w:adjustRightInd w:val="0"/>
              <w:spacing w:before="60" w:after="60"/>
              <w:rPr>
                <w:rFonts w:asciiTheme="minorHAnsi" w:eastAsiaTheme="minorHAnsi" w:hAnsiTheme="minorHAnsi"/>
                <w:b/>
                <w:sz w:val="20"/>
                <w:szCs w:val="20"/>
              </w:rPr>
            </w:pPr>
            <w:r>
              <w:rPr>
                <w:rFonts w:asciiTheme="minorHAnsi" w:eastAsiaTheme="minorHAnsi" w:hAnsiTheme="minorHAnsi"/>
                <w:b/>
                <w:sz w:val="20"/>
                <w:szCs w:val="20"/>
              </w:rPr>
              <w:t>Headline questions</w:t>
            </w:r>
          </w:p>
        </w:tc>
        <w:tc>
          <w:tcPr>
            <w:tcW w:w="4625" w:type="pct"/>
            <w:gridSpan w:val="2"/>
            <w:tcBorders>
              <w:top w:val="single" w:sz="4" w:space="0" w:color="auto"/>
              <w:left w:val="single" w:sz="4" w:space="0" w:color="auto"/>
              <w:bottom w:val="single" w:sz="4" w:space="0" w:color="auto"/>
              <w:right w:val="single" w:sz="4" w:space="0" w:color="auto"/>
            </w:tcBorders>
            <w:vAlign w:val="center"/>
            <w:hideMark/>
          </w:tcPr>
          <w:p w:rsidR="002850F7" w:rsidRDefault="002850F7" w:rsidP="00B14021">
            <w:pPr>
              <w:widowControl w:val="0"/>
              <w:numPr>
                <w:ilvl w:val="0"/>
                <w:numId w:val="11"/>
              </w:numPr>
              <w:autoSpaceDE w:val="0"/>
              <w:autoSpaceDN w:val="0"/>
              <w:adjustRightInd w:val="0"/>
              <w:spacing w:before="60" w:after="60"/>
              <w:jc w:val="left"/>
              <w:rPr>
                <w:rFonts w:eastAsia="Calibri"/>
                <w:sz w:val="20"/>
                <w:szCs w:val="20"/>
                <w:lang w:eastAsia="en-AU"/>
              </w:rPr>
            </w:pPr>
            <w:r>
              <w:rPr>
                <w:rFonts w:eastAsia="Calibri"/>
                <w:sz w:val="20"/>
                <w:szCs w:val="20"/>
                <w:lang w:eastAsia="en-AU"/>
              </w:rPr>
              <w:t xml:space="preserve">To what extent and how has JSE enrolment in public schools increased in EP targeted districts? </w:t>
            </w:r>
          </w:p>
          <w:p w:rsidR="002850F7" w:rsidRDefault="002850F7" w:rsidP="00B14021">
            <w:pPr>
              <w:widowControl w:val="0"/>
              <w:numPr>
                <w:ilvl w:val="0"/>
                <w:numId w:val="11"/>
              </w:numPr>
              <w:autoSpaceDE w:val="0"/>
              <w:autoSpaceDN w:val="0"/>
              <w:adjustRightInd w:val="0"/>
              <w:spacing w:before="60" w:after="60"/>
              <w:jc w:val="left"/>
              <w:rPr>
                <w:rFonts w:eastAsia="Calibri"/>
                <w:sz w:val="20"/>
                <w:szCs w:val="20"/>
                <w:lang w:eastAsia="en-AU"/>
              </w:rPr>
            </w:pPr>
            <w:r>
              <w:rPr>
                <w:rFonts w:eastAsia="Calibri"/>
                <w:sz w:val="20"/>
                <w:szCs w:val="20"/>
                <w:lang w:eastAsia="en-AU"/>
              </w:rPr>
              <w:t>To what extent and how have EP-funded professional development initiatives improved the management of schools and Madrasah?</w:t>
            </w:r>
          </w:p>
          <w:p w:rsidR="002850F7" w:rsidRDefault="002850F7" w:rsidP="00B14021">
            <w:pPr>
              <w:widowControl w:val="0"/>
              <w:numPr>
                <w:ilvl w:val="0"/>
                <w:numId w:val="11"/>
              </w:numPr>
              <w:autoSpaceDE w:val="0"/>
              <w:autoSpaceDN w:val="0"/>
              <w:adjustRightInd w:val="0"/>
              <w:spacing w:before="60" w:after="60"/>
              <w:jc w:val="left"/>
              <w:rPr>
                <w:rFonts w:eastAsia="Calibri"/>
                <w:sz w:val="20"/>
                <w:szCs w:val="20"/>
                <w:lang w:eastAsia="en-AU"/>
              </w:rPr>
            </w:pPr>
            <w:r>
              <w:rPr>
                <w:rFonts w:eastAsia="Calibri"/>
                <w:sz w:val="20"/>
                <w:szCs w:val="20"/>
                <w:lang w:eastAsia="en-AU"/>
              </w:rPr>
              <w:t xml:space="preserve">To what extent and how has EP-funded support improved the quality of </w:t>
            </w:r>
            <w:r w:rsidR="004729E4">
              <w:rPr>
                <w:rFonts w:eastAsia="Calibri"/>
                <w:sz w:val="20"/>
                <w:szCs w:val="20"/>
                <w:lang w:eastAsia="en-AU"/>
              </w:rPr>
              <w:t>Madrasah</w:t>
            </w:r>
            <w:r>
              <w:rPr>
                <w:rFonts w:eastAsia="Calibri"/>
                <w:sz w:val="20"/>
                <w:szCs w:val="20"/>
                <w:lang w:eastAsia="en-AU"/>
              </w:rPr>
              <w:t xml:space="preserve"> service provision?</w:t>
            </w:r>
          </w:p>
          <w:p w:rsidR="002850F7" w:rsidRDefault="002850F7" w:rsidP="00B14021">
            <w:pPr>
              <w:widowControl w:val="0"/>
              <w:numPr>
                <w:ilvl w:val="0"/>
                <w:numId w:val="11"/>
              </w:numPr>
              <w:autoSpaceDE w:val="0"/>
              <w:autoSpaceDN w:val="0"/>
              <w:adjustRightInd w:val="0"/>
              <w:spacing w:before="60" w:after="60"/>
              <w:jc w:val="left"/>
              <w:rPr>
                <w:rFonts w:eastAsia="Calibri"/>
                <w:sz w:val="20"/>
                <w:szCs w:val="20"/>
                <w:lang w:eastAsia="en-AU"/>
              </w:rPr>
            </w:pPr>
            <w:r>
              <w:rPr>
                <w:rFonts w:eastAsia="Calibri"/>
                <w:sz w:val="20"/>
                <w:szCs w:val="20"/>
                <w:lang w:eastAsia="en-AU"/>
              </w:rPr>
              <w:t xml:space="preserve">To what extent is systemic change occurring within C3’s targeted districts (and elsewhere, and what is the EP’s contribution to the same? </w:t>
            </w:r>
          </w:p>
          <w:p w:rsidR="002850F7" w:rsidRDefault="002850F7" w:rsidP="00B14021">
            <w:pPr>
              <w:widowControl w:val="0"/>
              <w:numPr>
                <w:ilvl w:val="0"/>
                <w:numId w:val="11"/>
              </w:numPr>
              <w:autoSpaceDE w:val="0"/>
              <w:autoSpaceDN w:val="0"/>
              <w:adjustRightInd w:val="0"/>
              <w:spacing w:before="60" w:after="60"/>
              <w:jc w:val="left"/>
              <w:rPr>
                <w:rFonts w:eastAsia="Calibri"/>
                <w:sz w:val="20"/>
                <w:szCs w:val="20"/>
                <w:lang w:eastAsia="en-AU"/>
              </w:rPr>
            </w:pPr>
            <w:r>
              <w:rPr>
                <w:rFonts w:eastAsia="Calibri"/>
                <w:sz w:val="20"/>
                <w:szCs w:val="20"/>
                <w:lang w:eastAsia="en-AU"/>
              </w:rPr>
              <w:t xml:space="preserve">To what extent and how is ACDP evidence that relates to the EP incorporated in relevant education sector policies, regulations plans and budgets? </w:t>
            </w:r>
          </w:p>
          <w:p w:rsidR="002850F7" w:rsidRDefault="002850F7" w:rsidP="00B14021">
            <w:pPr>
              <w:widowControl w:val="0"/>
              <w:numPr>
                <w:ilvl w:val="0"/>
                <w:numId w:val="11"/>
              </w:numPr>
              <w:autoSpaceDE w:val="0"/>
              <w:autoSpaceDN w:val="0"/>
              <w:adjustRightInd w:val="0"/>
              <w:spacing w:before="60" w:after="60"/>
              <w:jc w:val="left"/>
              <w:rPr>
                <w:rFonts w:eastAsia="Calibri"/>
                <w:sz w:val="20"/>
                <w:szCs w:val="20"/>
                <w:lang w:eastAsia="en-AU"/>
              </w:rPr>
            </w:pPr>
            <w:r>
              <w:rPr>
                <w:rFonts w:eastAsia="Calibri"/>
                <w:sz w:val="20"/>
                <w:szCs w:val="20"/>
                <w:lang w:eastAsia="en-AU"/>
              </w:rPr>
              <w:t xml:space="preserve">To what extent has the EP delivered or contributed to unforeseen results that could be deemed to be on a par with EOCOs and EOPOs? </w:t>
            </w:r>
          </w:p>
          <w:p w:rsidR="002850F7" w:rsidRDefault="002850F7" w:rsidP="00B14021">
            <w:pPr>
              <w:widowControl w:val="0"/>
              <w:numPr>
                <w:ilvl w:val="0"/>
                <w:numId w:val="11"/>
              </w:numPr>
              <w:autoSpaceDE w:val="0"/>
              <w:autoSpaceDN w:val="0"/>
              <w:adjustRightInd w:val="0"/>
              <w:spacing w:before="60" w:after="60"/>
              <w:jc w:val="left"/>
              <w:rPr>
                <w:rFonts w:eastAsia="Calibri"/>
                <w:sz w:val="20"/>
                <w:szCs w:val="20"/>
                <w:lang w:eastAsia="en-AU"/>
              </w:rPr>
            </w:pPr>
            <w:r>
              <w:rPr>
                <w:rFonts w:eastAsia="Calibri"/>
                <w:sz w:val="20"/>
                <w:szCs w:val="20"/>
                <w:lang w:eastAsia="en-AU"/>
              </w:rPr>
              <w:t xml:space="preserve">Is there evidence that the EP has generated unforeseen costs and are they deemed to be at an acceptable or unacceptable level? </w:t>
            </w:r>
          </w:p>
        </w:tc>
      </w:tr>
      <w:tr w:rsidR="002850F7" w:rsidTr="002850F7">
        <w:trPr>
          <w:trHeight w:val="795"/>
        </w:trPr>
        <w:tc>
          <w:tcPr>
            <w:tcW w:w="93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850F7" w:rsidRDefault="002850F7">
            <w:pPr>
              <w:spacing w:before="60" w:after="60"/>
              <w:rPr>
                <w:rFonts w:asciiTheme="minorHAnsi" w:eastAsiaTheme="minorHAnsi" w:hAnsiTheme="minorHAnsi"/>
                <w:b/>
                <w:sz w:val="20"/>
                <w:szCs w:val="20"/>
              </w:rPr>
            </w:pPr>
            <w:r>
              <w:rPr>
                <w:rFonts w:asciiTheme="minorHAnsi" w:eastAsiaTheme="minorHAnsi" w:hAnsiTheme="minorHAnsi"/>
                <w:b/>
                <w:sz w:val="20"/>
                <w:szCs w:val="20"/>
              </w:rPr>
              <w:t>Impact</w:t>
            </w:r>
          </w:p>
        </w:tc>
        <w:tc>
          <w:tcPr>
            <w:tcW w:w="406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850F7" w:rsidRDefault="002850F7">
            <w:pPr>
              <w:widowControl w:val="0"/>
              <w:autoSpaceDE w:val="0"/>
              <w:autoSpaceDN w:val="0"/>
              <w:adjustRightInd w:val="0"/>
              <w:spacing w:before="60" w:after="60"/>
              <w:rPr>
                <w:rFonts w:asciiTheme="minorHAnsi" w:eastAsiaTheme="minorHAnsi" w:hAnsiTheme="minorHAnsi"/>
                <w:b/>
                <w:sz w:val="20"/>
                <w:szCs w:val="20"/>
              </w:rPr>
            </w:pPr>
            <w:r>
              <w:rPr>
                <w:rFonts w:asciiTheme="minorHAnsi" w:eastAsiaTheme="minorHAnsi" w:hAnsiTheme="minorHAnsi"/>
                <w:sz w:val="20"/>
                <w:szCs w:val="20"/>
              </w:rPr>
              <w:t xml:space="preserve">The overall </w:t>
            </w:r>
            <w:r>
              <w:rPr>
                <w:rFonts w:asciiTheme="minorHAnsi" w:eastAsiaTheme="minorHAnsi" w:hAnsiTheme="minorHAnsi"/>
                <w:i/>
                <w:sz w:val="20"/>
                <w:szCs w:val="20"/>
              </w:rPr>
              <w:t>long-term effect</w:t>
            </w:r>
            <w:r>
              <w:rPr>
                <w:rFonts w:asciiTheme="minorHAnsi" w:eastAsiaTheme="minorHAnsi" w:hAnsiTheme="minorHAnsi"/>
                <w:sz w:val="20"/>
                <w:szCs w:val="20"/>
              </w:rPr>
              <w:t xml:space="preserve"> produced by an investment. This includes positive and negative changes produced by a development investment (directly or indirectly, intended or unintended).</w:t>
            </w:r>
          </w:p>
        </w:tc>
      </w:tr>
      <w:tr w:rsidR="002850F7" w:rsidTr="002850F7">
        <w:trPr>
          <w:trHeight w:val="64"/>
        </w:trPr>
        <w:tc>
          <w:tcPr>
            <w:tcW w:w="3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850F7" w:rsidRDefault="002850F7">
            <w:pPr>
              <w:widowControl w:val="0"/>
              <w:autoSpaceDE w:val="0"/>
              <w:autoSpaceDN w:val="0"/>
              <w:adjustRightInd w:val="0"/>
              <w:spacing w:before="60" w:after="60"/>
              <w:rPr>
                <w:rFonts w:asciiTheme="minorHAnsi" w:eastAsiaTheme="minorHAnsi" w:hAnsiTheme="minorHAnsi"/>
                <w:b/>
                <w:sz w:val="20"/>
                <w:szCs w:val="20"/>
              </w:rPr>
            </w:pPr>
            <w:r>
              <w:rPr>
                <w:rFonts w:asciiTheme="minorHAnsi" w:eastAsiaTheme="minorHAnsi" w:hAnsiTheme="minorHAnsi"/>
                <w:b/>
                <w:sz w:val="20"/>
                <w:szCs w:val="20"/>
              </w:rPr>
              <w:t>Headline questions</w:t>
            </w:r>
          </w:p>
        </w:tc>
        <w:tc>
          <w:tcPr>
            <w:tcW w:w="4625" w:type="pct"/>
            <w:gridSpan w:val="2"/>
            <w:tcBorders>
              <w:top w:val="single" w:sz="4" w:space="0" w:color="auto"/>
              <w:left w:val="single" w:sz="4" w:space="0" w:color="auto"/>
              <w:bottom w:val="single" w:sz="4" w:space="0" w:color="auto"/>
              <w:right w:val="single" w:sz="4" w:space="0" w:color="auto"/>
            </w:tcBorders>
            <w:vAlign w:val="center"/>
            <w:hideMark/>
          </w:tcPr>
          <w:p w:rsidR="002850F7" w:rsidRDefault="002850F7" w:rsidP="00B14021">
            <w:pPr>
              <w:widowControl w:val="0"/>
              <w:numPr>
                <w:ilvl w:val="0"/>
                <w:numId w:val="11"/>
              </w:numPr>
              <w:autoSpaceDE w:val="0"/>
              <w:autoSpaceDN w:val="0"/>
              <w:adjustRightInd w:val="0"/>
              <w:spacing w:before="60" w:after="60"/>
              <w:jc w:val="left"/>
              <w:rPr>
                <w:rFonts w:eastAsia="Calibri"/>
                <w:sz w:val="20"/>
                <w:szCs w:val="20"/>
                <w:lang w:eastAsia="en-AU"/>
              </w:rPr>
            </w:pPr>
            <w:r>
              <w:rPr>
                <w:rFonts w:eastAsia="Calibri"/>
                <w:sz w:val="20"/>
                <w:szCs w:val="20"/>
                <w:lang w:eastAsia="en-AU"/>
              </w:rPr>
              <w:t>To what extent have EP interventions contributed to student participation in JSE? (Goal 1)</w:t>
            </w:r>
          </w:p>
          <w:p w:rsidR="002850F7" w:rsidRDefault="002850F7" w:rsidP="00B14021">
            <w:pPr>
              <w:widowControl w:val="0"/>
              <w:numPr>
                <w:ilvl w:val="0"/>
                <w:numId w:val="11"/>
              </w:numPr>
              <w:autoSpaceDE w:val="0"/>
              <w:autoSpaceDN w:val="0"/>
              <w:adjustRightInd w:val="0"/>
              <w:spacing w:before="60" w:after="60"/>
              <w:jc w:val="left"/>
              <w:rPr>
                <w:rFonts w:eastAsia="Calibri"/>
                <w:sz w:val="20"/>
                <w:szCs w:val="20"/>
                <w:lang w:eastAsia="en-AU"/>
              </w:rPr>
            </w:pPr>
            <w:r>
              <w:rPr>
                <w:rFonts w:eastAsia="Calibri"/>
                <w:sz w:val="20"/>
                <w:szCs w:val="20"/>
                <w:lang w:eastAsia="en-AU"/>
              </w:rPr>
              <w:t>To what extent have EP interventions contributed to the improvement of the quality of education in public and private schools? (Goal 2)</w:t>
            </w:r>
          </w:p>
          <w:p w:rsidR="002850F7" w:rsidRDefault="002850F7" w:rsidP="00B14021">
            <w:pPr>
              <w:widowControl w:val="0"/>
              <w:numPr>
                <w:ilvl w:val="0"/>
                <w:numId w:val="11"/>
              </w:numPr>
              <w:autoSpaceDE w:val="0"/>
              <w:autoSpaceDN w:val="0"/>
              <w:adjustRightInd w:val="0"/>
              <w:spacing w:before="60" w:after="60"/>
              <w:jc w:val="left"/>
              <w:rPr>
                <w:rFonts w:eastAsia="Calibri"/>
                <w:sz w:val="20"/>
                <w:szCs w:val="20"/>
                <w:lang w:eastAsia="en-AU"/>
              </w:rPr>
            </w:pPr>
            <w:r>
              <w:rPr>
                <w:rFonts w:eastAsia="Calibri"/>
                <w:sz w:val="20"/>
                <w:szCs w:val="20"/>
                <w:lang w:eastAsia="en-AU"/>
              </w:rPr>
              <w:t>To what extent have EP interventions contributed to increased use of evidence for education sector decision making? (Goal 3)</w:t>
            </w:r>
          </w:p>
        </w:tc>
      </w:tr>
      <w:tr w:rsidR="002850F7" w:rsidTr="002850F7">
        <w:trPr>
          <w:trHeight w:val="795"/>
        </w:trPr>
        <w:tc>
          <w:tcPr>
            <w:tcW w:w="93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850F7" w:rsidRDefault="002850F7">
            <w:pPr>
              <w:spacing w:before="60" w:after="60"/>
              <w:rPr>
                <w:rFonts w:asciiTheme="minorHAnsi" w:eastAsiaTheme="minorHAnsi" w:hAnsiTheme="minorHAnsi"/>
                <w:b/>
                <w:sz w:val="20"/>
                <w:szCs w:val="20"/>
              </w:rPr>
            </w:pPr>
            <w:r>
              <w:rPr>
                <w:rFonts w:asciiTheme="minorHAnsi" w:eastAsiaTheme="minorHAnsi" w:hAnsiTheme="minorHAnsi" w:cstheme="minorBidi"/>
                <w:sz w:val="20"/>
                <w:szCs w:val="20"/>
              </w:rPr>
              <w:lastRenderedPageBreak/>
              <w:br w:type="page"/>
            </w:r>
            <w:r>
              <w:rPr>
                <w:rFonts w:asciiTheme="minorHAnsi" w:eastAsiaTheme="minorHAnsi" w:hAnsiTheme="minorHAnsi"/>
                <w:b/>
                <w:sz w:val="20"/>
                <w:szCs w:val="20"/>
              </w:rPr>
              <w:t>Sustainability</w:t>
            </w:r>
          </w:p>
        </w:tc>
        <w:tc>
          <w:tcPr>
            <w:tcW w:w="406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850F7" w:rsidRDefault="002850F7">
            <w:pPr>
              <w:widowControl w:val="0"/>
              <w:autoSpaceDE w:val="0"/>
              <w:autoSpaceDN w:val="0"/>
              <w:adjustRightInd w:val="0"/>
              <w:spacing w:before="60" w:after="60"/>
              <w:rPr>
                <w:rFonts w:asciiTheme="minorHAnsi" w:eastAsiaTheme="minorHAnsi" w:hAnsiTheme="minorHAnsi"/>
                <w:sz w:val="20"/>
                <w:szCs w:val="20"/>
              </w:rPr>
            </w:pPr>
            <w:r>
              <w:rPr>
                <w:rFonts w:asciiTheme="minorHAnsi" w:eastAsiaTheme="minorHAnsi" w:hAnsiTheme="minorHAnsi"/>
                <w:sz w:val="20"/>
                <w:szCs w:val="20"/>
              </w:rPr>
              <w:t xml:space="preserve">The extent to which the benefits are likely to continue after DFAT funding to the EP has been withdrawn </w:t>
            </w:r>
          </w:p>
        </w:tc>
      </w:tr>
      <w:tr w:rsidR="002850F7" w:rsidTr="002850F7">
        <w:trPr>
          <w:trHeight w:val="795"/>
        </w:trPr>
        <w:tc>
          <w:tcPr>
            <w:tcW w:w="3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850F7" w:rsidRDefault="002850F7">
            <w:pPr>
              <w:widowControl w:val="0"/>
              <w:autoSpaceDE w:val="0"/>
              <w:autoSpaceDN w:val="0"/>
              <w:adjustRightInd w:val="0"/>
              <w:spacing w:before="60" w:after="60"/>
              <w:rPr>
                <w:rFonts w:asciiTheme="minorHAnsi" w:eastAsiaTheme="minorHAnsi" w:hAnsiTheme="minorHAnsi"/>
                <w:b/>
                <w:sz w:val="20"/>
                <w:szCs w:val="20"/>
              </w:rPr>
            </w:pPr>
            <w:r>
              <w:rPr>
                <w:rFonts w:asciiTheme="minorHAnsi" w:eastAsiaTheme="minorHAnsi" w:hAnsiTheme="minorHAnsi"/>
                <w:b/>
                <w:sz w:val="20"/>
                <w:szCs w:val="20"/>
              </w:rPr>
              <w:t>Headline questions</w:t>
            </w:r>
          </w:p>
        </w:tc>
        <w:tc>
          <w:tcPr>
            <w:tcW w:w="4625" w:type="pct"/>
            <w:gridSpan w:val="2"/>
            <w:tcBorders>
              <w:top w:val="single" w:sz="4" w:space="0" w:color="auto"/>
              <w:left w:val="single" w:sz="4" w:space="0" w:color="auto"/>
              <w:bottom w:val="single" w:sz="4" w:space="0" w:color="auto"/>
              <w:right w:val="single" w:sz="4" w:space="0" w:color="auto"/>
            </w:tcBorders>
            <w:vAlign w:val="center"/>
            <w:hideMark/>
          </w:tcPr>
          <w:p w:rsidR="002850F7" w:rsidRDefault="002850F7" w:rsidP="00B14021">
            <w:pPr>
              <w:widowControl w:val="0"/>
              <w:numPr>
                <w:ilvl w:val="0"/>
                <w:numId w:val="11"/>
              </w:numPr>
              <w:autoSpaceDE w:val="0"/>
              <w:autoSpaceDN w:val="0"/>
              <w:adjustRightInd w:val="0"/>
              <w:spacing w:before="60" w:after="60"/>
              <w:jc w:val="left"/>
              <w:rPr>
                <w:rFonts w:eastAsia="Calibri"/>
                <w:sz w:val="20"/>
                <w:szCs w:val="20"/>
                <w:lang w:eastAsia="en-AU"/>
              </w:rPr>
            </w:pPr>
            <w:r>
              <w:rPr>
                <w:rFonts w:eastAsia="Calibri"/>
                <w:sz w:val="20"/>
                <w:szCs w:val="20"/>
                <w:lang w:eastAsia="en-AU"/>
              </w:rPr>
              <w:t xml:space="preserve">To what extent will the key benefits be sustained once GoA’s investment ceases? </w:t>
            </w:r>
          </w:p>
          <w:p w:rsidR="002850F7" w:rsidRDefault="002850F7" w:rsidP="00B14021">
            <w:pPr>
              <w:widowControl w:val="0"/>
              <w:numPr>
                <w:ilvl w:val="0"/>
                <w:numId w:val="11"/>
              </w:numPr>
              <w:autoSpaceDE w:val="0"/>
              <w:autoSpaceDN w:val="0"/>
              <w:adjustRightInd w:val="0"/>
              <w:spacing w:before="60" w:after="60"/>
              <w:jc w:val="left"/>
              <w:rPr>
                <w:rFonts w:eastAsia="Calibri"/>
                <w:sz w:val="20"/>
                <w:szCs w:val="20"/>
                <w:lang w:eastAsia="en-AU"/>
              </w:rPr>
            </w:pPr>
            <w:r>
              <w:rPr>
                <w:rFonts w:eastAsia="Calibri"/>
                <w:sz w:val="20"/>
                <w:szCs w:val="20"/>
                <w:lang w:eastAsia="en-AU"/>
              </w:rPr>
              <w:t>Is there evidence of partners adopting, adapting, taking to scale and financing the outputs, approaches, tools, etc. implemented in the EP?</w:t>
            </w:r>
          </w:p>
          <w:p w:rsidR="002850F7" w:rsidRDefault="002850F7" w:rsidP="00B14021">
            <w:pPr>
              <w:widowControl w:val="0"/>
              <w:numPr>
                <w:ilvl w:val="0"/>
                <w:numId w:val="11"/>
              </w:numPr>
              <w:autoSpaceDE w:val="0"/>
              <w:autoSpaceDN w:val="0"/>
              <w:adjustRightInd w:val="0"/>
              <w:spacing w:before="60" w:after="60"/>
              <w:jc w:val="left"/>
              <w:rPr>
                <w:rFonts w:eastAsia="Calibri"/>
                <w:sz w:val="20"/>
                <w:szCs w:val="20"/>
                <w:lang w:eastAsia="en-AU"/>
              </w:rPr>
            </w:pPr>
            <w:r>
              <w:rPr>
                <w:rFonts w:eastAsia="Calibri"/>
                <w:sz w:val="20"/>
                <w:szCs w:val="20"/>
                <w:lang w:eastAsia="en-AU"/>
              </w:rPr>
              <w:t>Do beneficiaries have sufficient ownership, capacity and resources to maintain the benefits after GoA funding has ceased?</w:t>
            </w:r>
          </w:p>
        </w:tc>
      </w:tr>
    </w:tbl>
    <w:p w:rsidR="00930A73" w:rsidRPr="00851EC7" w:rsidRDefault="00930A73" w:rsidP="00775568">
      <w:pPr>
        <w:rPr>
          <w:rFonts w:eastAsiaTheme="minorHAnsi"/>
        </w:rPr>
      </w:pPr>
      <w:r w:rsidRPr="00851EC7">
        <w:rPr>
          <w:rFonts w:eastAsiaTheme="minorHAnsi"/>
        </w:rPr>
        <w:br w:type="page"/>
      </w:r>
    </w:p>
    <w:p w:rsidR="007269E9" w:rsidRPr="00851EC7" w:rsidRDefault="007269E9" w:rsidP="00C34871">
      <w:pPr>
        <w:pStyle w:val="Heading1-NoNumber"/>
      </w:pPr>
      <w:bookmarkStart w:id="128" w:name="_Toc448156333"/>
      <w:r w:rsidRPr="00851EC7">
        <w:lastRenderedPageBreak/>
        <w:t>Annex III</w:t>
      </w:r>
      <w:r w:rsidR="00877147" w:rsidRPr="00851EC7">
        <w:t xml:space="preserve">: </w:t>
      </w:r>
      <w:r w:rsidRPr="00851EC7">
        <w:t>APPR Rating Scale</w:t>
      </w:r>
      <w:bookmarkEnd w:id="128"/>
      <w:r w:rsidRPr="00851EC7">
        <w:t xml:space="preserve"> </w:t>
      </w:r>
    </w:p>
    <w:tbl>
      <w:tblPr>
        <w:tblW w:w="0" w:type="auto"/>
        <w:jc w:val="center"/>
        <w:tblCellMar>
          <w:left w:w="0" w:type="dxa"/>
          <w:right w:w="0" w:type="dxa"/>
        </w:tblCellMar>
        <w:tblLook w:val="04A0" w:firstRow="1" w:lastRow="0" w:firstColumn="1" w:lastColumn="0" w:noHBand="0" w:noVBand="1"/>
      </w:tblPr>
      <w:tblGrid>
        <w:gridCol w:w="3887"/>
        <w:gridCol w:w="4232"/>
      </w:tblGrid>
      <w:tr w:rsidR="00F955AD" w:rsidTr="00F955AD">
        <w:trPr>
          <w:trHeight w:val="850"/>
          <w:jc w:val="center"/>
        </w:trPr>
        <w:tc>
          <w:tcPr>
            <w:tcW w:w="8119" w:type="dxa"/>
            <w:gridSpan w:val="2"/>
            <w:tcBorders>
              <w:top w:val="single" w:sz="8" w:space="0" w:color="auto"/>
              <w:left w:val="single" w:sz="8" w:space="0" w:color="auto"/>
              <w:bottom w:val="single" w:sz="8" w:space="0" w:color="auto"/>
              <w:right w:val="single" w:sz="8" w:space="0" w:color="auto"/>
            </w:tcBorders>
            <w:shd w:val="clear" w:color="auto" w:fill="365F91"/>
            <w:tcMar>
              <w:top w:w="0" w:type="dxa"/>
              <w:left w:w="108" w:type="dxa"/>
              <w:bottom w:w="0" w:type="dxa"/>
              <w:right w:w="108" w:type="dxa"/>
            </w:tcMar>
            <w:vAlign w:val="center"/>
            <w:hideMark/>
          </w:tcPr>
          <w:p w:rsidR="00F955AD" w:rsidRDefault="00F955AD" w:rsidP="00F955AD">
            <w:pPr>
              <w:spacing w:before="60" w:after="60"/>
              <w:jc w:val="center"/>
              <w:rPr>
                <w:b/>
                <w:bCs/>
                <w:color w:val="FFFFFF"/>
                <w:sz w:val="24"/>
                <w:szCs w:val="24"/>
              </w:rPr>
            </w:pPr>
            <w:r>
              <w:rPr>
                <w:b/>
                <w:bCs/>
                <w:color w:val="FFFFFF"/>
                <w:sz w:val="24"/>
                <w:szCs w:val="24"/>
              </w:rPr>
              <w:t>Rating scale</w:t>
            </w:r>
          </w:p>
        </w:tc>
      </w:tr>
      <w:tr w:rsidR="00F955AD" w:rsidTr="00F955AD">
        <w:trPr>
          <w:trHeight w:val="850"/>
          <w:jc w:val="center"/>
        </w:trPr>
        <w:tc>
          <w:tcPr>
            <w:tcW w:w="3887"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hideMark/>
          </w:tcPr>
          <w:p w:rsidR="00F955AD" w:rsidRDefault="00F955AD" w:rsidP="00F955AD">
            <w:pPr>
              <w:spacing w:before="60" w:after="60"/>
              <w:jc w:val="center"/>
            </w:pPr>
            <w:r>
              <w:t>Less than satisfactory</w:t>
            </w:r>
          </w:p>
        </w:tc>
        <w:tc>
          <w:tcPr>
            <w:tcW w:w="4232" w:type="dxa"/>
            <w:tcBorders>
              <w:top w:val="nil"/>
              <w:left w:val="nil"/>
              <w:bottom w:val="single" w:sz="8" w:space="0" w:color="auto"/>
              <w:right w:val="single" w:sz="8" w:space="0" w:color="auto"/>
            </w:tcBorders>
            <w:shd w:val="clear" w:color="auto" w:fill="B8CCE4"/>
            <w:tcMar>
              <w:top w:w="0" w:type="dxa"/>
              <w:left w:w="108" w:type="dxa"/>
              <w:bottom w:w="0" w:type="dxa"/>
              <w:right w:w="108" w:type="dxa"/>
            </w:tcMar>
            <w:vAlign w:val="center"/>
            <w:hideMark/>
          </w:tcPr>
          <w:p w:rsidR="00F955AD" w:rsidRDefault="00F955AD" w:rsidP="00F955AD">
            <w:pPr>
              <w:spacing w:before="60" w:after="60"/>
              <w:jc w:val="center"/>
            </w:pPr>
            <w:r>
              <w:t>Satisfactory</w:t>
            </w:r>
          </w:p>
        </w:tc>
      </w:tr>
      <w:tr w:rsidR="00F955AD" w:rsidTr="00F955AD">
        <w:trPr>
          <w:trHeight w:val="850"/>
          <w:jc w:val="center"/>
        </w:trPr>
        <w:tc>
          <w:tcPr>
            <w:tcW w:w="3887" w:type="dxa"/>
            <w:tcBorders>
              <w:top w:val="nil"/>
              <w:left w:val="single" w:sz="8" w:space="0" w:color="auto"/>
              <w:bottom w:val="single" w:sz="8" w:space="0" w:color="auto"/>
              <w:right w:val="single" w:sz="8" w:space="0" w:color="auto"/>
            </w:tcBorders>
            <w:shd w:val="clear" w:color="auto" w:fill="C00000"/>
            <w:tcMar>
              <w:top w:w="0" w:type="dxa"/>
              <w:left w:w="108" w:type="dxa"/>
              <w:bottom w:w="0" w:type="dxa"/>
              <w:right w:w="108" w:type="dxa"/>
            </w:tcMar>
            <w:vAlign w:val="center"/>
            <w:hideMark/>
          </w:tcPr>
          <w:p w:rsidR="00F955AD" w:rsidRDefault="00F955AD" w:rsidP="00F955AD">
            <w:pPr>
              <w:spacing w:before="60" w:after="60"/>
              <w:jc w:val="center"/>
            </w:pPr>
            <w:r>
              <w:t xml:space="preserve">1: </w:t>
            </w:r>
            <w:r w:rsidRPr="00466C85">
              <w:t>Very poor; does not satisfy criteria in any major area</w:t>
            </w:r>
          </w:p>
        </w:tc>
        <w:tc>
          <w:tcPr>
            <w:tcW w:w="4232"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F955AD" w:rsidRDefault="00F955AD" w:rsidP="00F955AD">
            <w:pPr>
              <w:spacing w:before="60" w:after="60"/>
              <w:jc w:val="center"/>
            </w:pPr>
            <w:r>
              <w:t xml:space="preserve">4: </w:t>
            </w:r>
            <w:r w:rsidRPr="00466C85">
              <w:t>Adequate; on balance satisfies criteria; does not fail in any major area</w:t>
            </w:r>
          </w:p>
        </w:tc>
      </w:tr>
      <w:tr w:rsidR="00F955AD" w:rsidTr="00F955AD">
        <w:trPr>
          <w:trHeight w:val="850"/>
          <w:jc w:val="center"/>
        </w:trPr>
        <w:tc>
          <w:tcPr>
            <w:tcW w:w="3887" w:type="dxa"/>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vAlign w:val="center"/>
            <w:hideMark/>
          </w:tcPr>
          <w:p w:rsidR="00F955AD" w:rsidRDefault="00F955AD" w:rsidP="00F955AD">
            <w:pPr>
              <w:spacing w:before="60" w:after="60"/>
              <w:jc w:val="center"/>
            </w:pPr>
            <w:r>
              <w:t xml:space="preserve">2: </w:t>
            </w:r>
            <w:r w:rsidRPr="00466C85">
              <w:t>Poor; does not satisfy criteria in several major areas</w:t>
            </w:r>
          </w:p>
        </w:tc>
        <w:tc>
          <w:tcPr>
            <w:tcW w:w="4232"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F955AD" w:rsidRDefault="00F955AD" w:rsidP="00F955AD">
            <w:pPr>
              <w:spacing w:before="60" w:after="60"/>
              <w:jc w:val="center"/>
            </w:pPr>
            <w:r>
              <w:t xml:space="preserve">5: </w:t>
            </w:r>
            <w:r w:rsidRPr="00466C85">
              <w:t>Good; satisfies criteria in almost all areas</w:t>
            </w:r>
          </w:p>
        </w:tc>
      </w:tr>
      <w:tr w:rsidR="00F955AD" w:rsidTr="00F955AD">
        <w:trPr>
          <w:trHeight w:val="850"/>
          <w:jc w:val="center"/>
        </w:trPr>
        <w:tc>
          <w:tcPr>
            <w:tcW w:w="3887"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vAlign w:val="center"/>
            <w:hideMark/>
          </w:tcPr>
          <w:p w:rsidR="00F955AD" w:rsidRDefault="00F955AD" w:rsidP="00F955AD">
            <w:pPr>
              <w:spacing w:before="60" w:after="60"/>
              <w:jc w:val="center"/>
            </w:pPr>
            <w:r>
              <w:t xml:space="preserve">3: </w:t>
            </w:r>
            <w:r w:rsidRPr="00466C85">
              <w:t>Less than adequate; on balance does not satisfy criteria and/or fails in at least one major area</w:t>
            </w:r>
          </w:p>
        </w:tc>
        <w:tc>
          <w:tcPr>
            <w:tcW w:w="4232" w:type="dxa"/>
            <w:tcBorders>
              <w:top w:val="nil"/>
              <w:left w:val="nil"/>
              <w:bottom w:val="single" w:sz="8" w:space="0" w:color="auto"/>
              <w:right w:val="single" w:sz="8" w:space="0" w:color="auto"/>
            </w:tcBorders>
            <w:shd w:val="clear" w:color="auto" w:fill="00B050"/>
            <w:tcMar>
              <w:top w:w="0" w:type="dxa"/>
              <w:left w:w="108" w:type="dxa"/>
              <w:bottom w:w="0" w:type="dxa"/>
              <w:right w:w="108" w:type="dxa"/>
            </w:tcMar>
            <w:vAlign w:val="center"/>
            <w:hideMark/>
          </w:tcPr>
          <w:p w:rsidR="00F955AD" w:rsidRDefault="00F955AD" w:rsidP="00F955AD">
            <w:pPr>
              <w:spacing w:before="60" w:after="60"/>
              <w:jc w:val="center"/>
            </w:pPr>
            <w:r>
              <w:t xml:space="preserve">6: </w:t>
            </w:r>
            <w:r w:rsidRPr="00466C85">
              <w:t>Very good; satisfies criteria in all areas</w:t>
            </w:r>
          </w:p>
        </w:tc>
      </w:tr>
      <w:tr w:rsidR="00F955AD" w:rsidTr="00F955AD">
        <w:trPr>
          <w:trHeight w:val="850"/>
          <w:jc w:val="center"/>
        </w:trPr>
        <w:tc>
          <w:tcPr>
            <w:tcW w:w="811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955AD" w:rsidRDefault="00F955AD" w:rsidP="00F955AD">
            <w:pPr>
              <w:spacing w:before="60" w:after="60"/>
              <w:jc w:val="center"/>
            </w:pPr>
            <w:r>
              <w:t>TE: Too early to rate</w:t>
            </w:r>
          </w:p>
        </w:tc>
      </w:tr>
    </w:tbl>
    <w:p w:rsidR="007269E9" w:rsidRPr="00851EC7" w:rsidRDefault="007269E9" w:rsidP="00775568"/>
    <w:p w:rsidR="00D06F80" w:rsidRPr="0069023F" w:rsidRDefault="00EC4A53" w:rsidP="0069023F">
      <w:pPr>
        <w:jc w:val="center"/>
        <w:rPr>
          <w:i/>
          <w:sz w:val="20"/>
          <w:szCs w:val="20"/>
        </w:rPr>
      </w:pPr>
      <w:r>
        <w:rPr>
          <w:i/>
          <w:sz w:val="20"/>
          <w:szCs w:val="20"/>
        </w:rPr>
        <w:t>B</w:t>
      </w:r>
      <w:r w:rsidRPr="0069023F">
        <w:rPr>
          <w:i/>
          <w:sz w:val="20"/>
          <w:szCs w:val="20"/>
        </w:rPr>
        <w:t>ased on DFAT’s Investment Quality Reporting and the associated Aid Quality Checks (AQC)</w:t>
      </w:r>
    </w:p>
    <w:p w:rsidR="00EC4A53" w:rsidRPr="0069023F" w:rsidRDefault="00EC4A53" w:rsidP="0069023F">
      <w:pPr>
        <w:jc w:val="center"/>
        <w:rPr>
          <w:i/>
          <w:sz w:val="20"/>
          <w:szCs w:val="20"/>
        </w:rPr>
        <w:sectPr w:rsidR="00EC4A53" w:rsidRPr="0069023F" w:rsidSect="002D1F5B">
          <w:type w:val="oddPage"/>
          <w:pgSz w:w="16839" w:h="11907" w:orient="landscape" w:code="9"/>
          <w:pgMar w:top="1440" w:right="1797" w:bottom="1440" w:left="1440" w:header="720" w:footer="720" w:gutter="0"/>
          <w:cols w:space="720"/>
          <w:docGrid w:linePitch="360"/>
        </w:sectPr>
      </w:pPr>
    </w:p>
    <w:p w:rsidR="003F3A08" w:rsidRPr="00851EC7" w:rsidRDefault="003F3A08" w:rsidP="003F3A08">
      <w:pPr>
        <w:pStyle w:val="Heading1-NoNumber"/>
      </w:pPr>
      <w:bookmarkStart w:id="129" w:name="_Toc448156334"/>
      <w:bookmarkStart w:id="130" w:name="_Toc379548515"/>
      <w:r w:rsidRPr="00851EC7">
        <w:lastRenderedPageBreak/>
        <w:t xml:space="preserve">Annex IV: List of </w:t>
      </w:r>
      <w:r>
        <w:t xml:space="preserve">Key </w:t>
      </w:r>
      <w:r w:rsidRPr="00851EC7">
        <w:t>Documents Reviewed</w:t>
      </w:r>
      <w:bookmarkEnd w:id="129"/>
    </w:p>
    <w:p w:rsidR="003F3A08" w:rsidRPr="00851EC7" w:rsidRDefault="003F3A08" w:rsidP="003F3A08">
      <w:pPr>
        <w:rPr>
          <w:rFonts w:asciiTheme="minorHAnsi" w:eastAsiaTheme="minorHAnsi" w:hAnsiTheme="minorHAnsi" w:cstheme="minorBidi"/>
          <w:b/>
          <w:sz w:val="24"/>
        </w:rPr>
      </w:pPr>
      <w:r w:rsidRPr="00851EC7">
        <w:rPr>
          <w:szCs w:val="20"/>
        </w:rPr>
        <w:t xml:space="preserve">This annex lists </w:t>
      </w:r>
      <w:r>
        <w:rPr>
          <w:szCs w:val="20"/>
        </w:rPr>
        <w:t>key</w:t>
      </w:r>
      <w:r w:rsidRPr="00851EC7">
        <w:rPr>
          <w:szCs w:val="20"/>
        </w:rPr>
        <w:t xml:space="preserve"> </w:t>
      </w:r>
      <w:r w:rsidRPr="00851EC7">
        <w:t xml:space="preserve">reports reviewed by POM relating to EP performance as Step 2 of the APPR preparation process (see Section </w:t>
      </w:r>
      <w:r w:rsidR="00021E52">
        <w:fldChar w:fldCharType="begin"/>
      </w:r>
      <w:r w:rsidR="00021E52">
        <w:instrText xml:space="preserve"> REF _Ref448145487 \w \h </w:instrText>
      </w:r>
      <w:r w:rsidR="00021E52">
        <w:fldChar w:fldCharType="separate"/>
      </w:r>
      <w:r w:rsidR="00693E96">
        <w:t>1.2.3</w:t>
      </w:r>
      <w:r w:rsidR="00021E52">
        <w:fldChar w:fldCharType="end"/>
      </w:r>
      <w:r w:rsidRPr="00851EC7">
        <w:t xml:space="preserve">). </w:t>
      </w:r>
    </w:p>
    <w:tbl>
      <w:tblPr>
        <w:tblW w:w="9072" w:type="dxa"/>
        <w:tblInd w:w="108" w:type="dxa"/>
        <w:tblCellMar>
          <w:top w:w="57" w:type="dxa"/>
          <w:left w:w="57" w:type="dxa"/>
          <w:bottom w:w="57" w:type="dxa"/>
          <w:right w:w="57" w:type="dxa"/>
        </w:tblCellMar>
        <w:tblLook w:val="04A0" w:firstRow="1" w:lastRow="0" w:firstColumn="1" w:lastColumn="0" w:noHBand="0" w:noVBand="1"/>
      </w:tblPr>
      <w:tblGrid>
        <w:gridCol w:w="9072"/>
      </w:tblGrid>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shd w:val="clear" w:color="auto" w:fill="365F91"/>
            <w:noWrap/>
            <w:tcMar>
              <w:top w:w="0" w:type="dxa"/>
              <w:left w:w="108" w:type="dxa"/>
              <w:bottom w:w="0" w:type="dxa"/>
              <w:right w:w="108" w:type="dxa"/>
            </w:tcMar>
            <w:vAlign w:val="center"/>
            <w:hideMark/>
          </w:tcPr>
          <w:p w:rsidR="003F3A08" w:rsidRDefault="003F3A08" w:rsidP="00876863">
            <w:pPr>
              <w:jc w:val="center"/>
              <w:rPr>
                <w:rFonts w:eastAsiaTheme="minorHAnsi" w:cs="Times New Roman"/>
                <w:b/>
              </w:rPr>
            </w:pPr>
            <w:r>
              <w:rPr>
                <w:rFonts w:eastAsiaTheme="minorHAnsi" w:cs="Times New Roman"/>
                <w:b/>
                <w:color w:val="FFFFFF"/>
              </w:rPr>
              <w:t>Report</w:t>
            </w:r>
          </w:p>
        </w:tc>
      </w:tr>
      <w:tr w:rsidR="003F3A08" w:rsidTr="00876863">
        <w:trPr>
          <w:trHeight w:val="454"/>
        </w:trPr>
        <w:tc>
          <w:tcPr>
            <w:tcW w:w="9072"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3F3A08" w:rsidRDefault="003F3A08" w:rsidP="00876863">
            <w:pPr>
              <w:rPr>
                <w:rFonts w:eastAsiaTheme="minorHAnsi" w:cs="Times New Roman"/>
                <w:b/>
              </w:rPr>
            </w:pPr>
            <w:r>
              <w:rPr>
                <w:rFonts w:eastAsiaTheme="minorHAnsi" w:cs="Times New Roman"/>
                <w:b/>
              </w:rPr>
              <w:t>Government of Indonesia (GoI)</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F3A08" w:rsidRDefault="003F3A08" w:rsidP="00876863">
            <w:pPr>
              <w:rPr>
                <w:rFonts w:asciiTheme="minorHAnsi" w:eastAsia="Calibri" w:hAnsiTheme="minorHAnsi" w:cs="Times New Roman"/>
                <w:szCs w:val="24"/>
                <w:highlight w:val="yellow"/>
                <w:lang w:eastAsia="en-AU"/>
              </w:rPr>
            </w:pPr>
            <w:r>
              <w:rPr>
                <w:rFonts w:asciiTheme="minorHAnsi" w:eastAsia="Calibri" w:hAnsiTheme="minorHAnsi" w:cs="Times New Roman"/>
                <w:szCs w:val="24"/>
                <w:lang w:eastAsia="en-AU"/>
              </w:rPr>
              <w:t>Anies Baswedan, Letter to the President, 22 December 2015</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F3A08" w:rsidRDefault="003F3A08" w:rsidP="00876863">
            <w:pPr>
              <w:rPr>
                <w:highlight w:val="yellow"/>
                <w:lang w:val="en-US"/>
              </w:rPr>
            </w:pPr>
            <w:r>
              <w:rPr>
                <w:rFonts w:asciiTheme="minorHAnsi" w:eastAsia="Calibri" w:hAnsiTheme="minorHAnsi" w:cs="Times New Roman"/>
                <w:szCs w:val="24"/>
                <w:lang w:eastAsia="en-AU"/>
              </w:rPr>
              <w:t>Strategic Plan 2014 – 2019, Ministry of Education and Culture</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F3A08" w:rsidRDefault="003F3A08" w:rsidP="00876863">
            <w:pPr>
              <w:rPr>
                <w:rFonts w:eastAsiaTheme="minorHAnsi" w:cs="Times New Roman"/>
                <w:b/>
              </w:rPr>
            </w:pPr>
            <w:r>
              <w:rPr>
                <w:rFonts w:asciiTheme="minorHAnsi" w:eastAsia="Calibri" w:hAnsiTheme="minorHAnsi" w:cs="Times New Roman"/>
                <w:i/>
                <w:szCs w:val="24"/>
                <w:lang w:eastAsia="en-AU"/>
              </w:rPr>
              <w:t>Arah Kebijakan dan Strategi Pendidikan Islam Tahun 2015 – 2019</w:t>
            </w:r>
            <w:r>
              <w:rPr>
                <w:rFonts w:asciiTheme="minorHAnsi" w:eastAsia="Calibri" w:hAnsiTheme="minorHAnsi" w:cs="Times New Roman"/>
                <w:szCs w:val="24"/>
                <w:lang w:eastAsia="en-AU"/>
              </w:rPr>
              <w:t>, MoRA, 2016 (</w:t>
            </w:r>
            <w:r>
              <w:rPr>
                <w:rFonts w:asciiTheme="minorHAnsi" w:eastAsia="Calibri" w:hAnsiTheme="minorHAnsi" w:cs="Times New Roman"/>
                <w:i/>
                <w:szCs w:val="24"/>
                <w:lang w:eastAsia="en-AU"/>
              </w:rPr>
              <w:t>http://pendis.kemenag.go.id</w:t>
            </w:r>
            <w:r>
              <w:rPr>
                <w:rFonts w:asciiTheme="minorHAnsi" w:eastAsia="Calibri" w:hAnsiTheme="minorHAnsi" w:cs="Times New Roman"/>
                <w:szCs w:val="24"/>
                <w:lang w:eastAsia="en-AU"/>
              </w:rPr>
              <w:t>)</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F3A08" w:rsidRDefault="003F3A08" w:rsidP="00876863">
            <w:pPr>
              <w:rPr>
                <w:rFonts w:asciiTheme="minorHAnsi" w:eastAsia="Calibri" w:hAnsiTheme="minorHAnsi" w:cs="Times New Roman"/>
                <w:szCs w:val="24"/>
                <w:highlight w:val="yellow"/>
                <w:lang w:eastAsia="en-AU"/>
              </w:rPr>
            </w:pPr>
            <w:r>
              <w:rPr>
                <w:rFonts w:asciiTheme="minorHAnsi" w:eastAsia="Calibri" w:hAnsiTheme="minorHAnsi" w:cs="Times New Roman"/>
                <w:i/>
                <w:szCs w:val="24"/>
                <w:lang w:eastAsia="en-AU"/>
              </w:rPr>
              <w:t>Profil Direktorat Jenderal Pendidikan Islam Tahun Anggaran 2012/2013</w:t>
            </w:r>
            <w:r>
              <w:rPr>
                <w:rFonts w:asciiTheme="minorHAnsi" w:eastAsia="Calibri" w:hAnsiTheme="minorHAnsi" w:cs="Times New Roman"/>
                <w:szCs w:val="24"/>
                <w:lang w:eastAsia="en-AU"/>
              </w:rPr>
              <w:t>, Ministry of Religious Affairs (MoRA)</w:t>
            </w:r>
          </w:p>
        </w:tc>
      </w:tr>
      <w:tr w:rsidR="003F3A08" w:rsidTr="00876863">
        <w:trPr>
          <w:trHeight w:val="454"/>
        </w:trPr>
        <w:tc>
          <w:tcPr>
            <w:tcW w:w="9072"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rsidR="003F3A08" w:rsidRDefault="003F3A08" w:rsidP="00876863">
            <w:pPr>
              <w:rPr>
                <w:rFonts w:eastAsiaTheme="minorHAnsi" w:cs="Times New Roman"/>
                <w:b/>
              </w:rPr>
            </w:pPr>
            <w:r>
              <w:rPr>
                <w:rFonts w:eastAsiaTheme="minorHAnsi" w:cs="Times New Roman"/>
                <w:b/>
              </w:rPr>
              <w:t>Department of Foreign Affairs and Trade (DFAT)</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F3A08" w:rsidRDefault="003F3A08" w:rsidP="00876863">
            <w:pPr>
              <w:rPr>
                <w:rFonts w:eastAsiaTheme="minorHAnsi" w:cs="Times New Roman"/>
                <w:b/>
                <w:highlight w:val="yellow"/>
              </w:rPr>
            </w:pPr>
            <w:r>
              <w:rPr>
                <w:rFonts w:eastAsiaTheme="minorHAnsi" w:cs="Times New Roman"/>
              </w:rPr>
              <w:t>An Agreement for Grant Financing Junior Secondary School Construction and Expansion through Australia’s Education Partnership with Indonesia. A contribution to the Government of Indonesia’s Education Sector Support Program, AusAID Agreement No. 60472</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F3A08" w:rsidRDefault="003F3A08" w:rsidP="00876863">
            <w:pPr>
              <w:rPr>
                <w:rFonts w:eastAsiaTheme="minorHAnsi" w:cs="Times New Roman"/>
                <w:b/>
                <w:highlight w:val="yellow"/>
              </w:rPr>
            </w:pPr>
            <w:r>
              <w:rPr>
                <w:rFonts w:eastAsiaTheme="minorHAnsi" w:cs="Times New Roman"/>
              </w:rPr>
              <w:t>Education Partnership Theory of Change, Version 12, 2013</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F3A08" w:rsidRDefault="003F3A08" w:rsidP="00876863">
            <w:pPr>
              <w:rPr>
                <w:rFonts w:eastAsiaTheme="minorHAnsi" w:cs="Times New Roman"/>
              </w:rPr>
            </w:pPr>
            <w:r>
              <w:rPr>
                <w:rFonts w:eastAsiaTheme="minorHAnsi" w:cs="Times New Roman"/>
              </w:rPr>
              <w:t>EP Program Logic, May 2014</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F3A08" w:rsidRDefault="003F3A08" w:rsidP="00876863">
            <w:pPr>
              <w:rPr>
                <w:rFonts w:eastAsiaTheme="minorHAnsi" w:cs="Times New Roman"/>
              </w:rPr>
            </w:pPr>
            <w:r>
              <w:rPr>
                <w:rFonts w:eastAsiaTheme="minorHAnsi" w:cs="Times New Roman"/>
              </w:rPr>
              <w:t>Procedures Manual National System of Professional Development for Education Personnel, June 2014</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F3A08" w:rsidRDefault="003F3A08" w:rsidP="00876863">
            <w:pPr>
              <w:rPr>
                <w:rFonts w:eastAsiaTheme="minorHAnsi" w:cs="Times New Roman"/>
                <w:highlight w:val="yellow"/>
              </w:rPr>
            </w:pPr>
            <w:r>
              <w:rPr>
                <w:rFonts w:eastAsiaTheme="minorHAnsi" w:cs="Times New Roman"/>
              </w:rPr>
              <w:t>Management Response: Education Partnership Annual Partnership Performance Report 2014</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F3A08" w:rsidRDefault="003F3A08" w:rsidP="00876863">
            <w:pPr>
              <w:rPr>
                <w:rFonts w:eastAsiaTheme="minorHAnsi" w:cs="Times New Roman"/>
                <w:highlight w:val="yellow"/>
              </w:rPr>
            </w:pPr>
            <w:r>
              <w:rPr>
                <w:rFonts w:eastAsiaTheme="minorHAnsi" w:cs="Times New Roman"/>
              </w:rPr>
              <w:t>Making Performance Count: Enhancing the Accountability and Effectiveness of Australian Aid, 2015</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F3A08" w:rsidRDefault="003F3A08" w:rsidP="00876863">
            <w:pPr>
              <w:rPr>
                <w:rFonts w:eastAsiaTheme="minorHAnsi" w:cs="Times New Roman"/>
                <w:highlight w:val="yellow"/>
                <w:lang w:eastAsia="en-AU"/>
              </w:rPr>
            </w:pPr>
            <w:r>
              <w:rPr>
                <w:rFonts w:eastAsiaTheme="minorHAnsi" w:cs="Times New Roman"/>
                <w:lang w:eastAsia="en-AU"/>
              </w:rPr>
              <w:t>Strategy for Australia’s Aid Investment in Education 2015 -2020, September 2015</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F3A08" w:rsidRDefault="003F3A08" w:rsidP="00876863">
            <w:pPr>
              <w:rPr>
                <w:rFonts w:eastAsiaTheme="minorHAnsi" w:cs="Times New Roman"/>
                <w:highlight w:val="yellow"/>
                <w:lang w:eastAsia="en-AU"/>
              </w:rPr>
            </w:pPr>
            <w:r w:rsidRPr="008C0D40">
              <w:rPr>
                <w:rFonts w:eastAsiaTheme="minorHAnsi" w:cs="Times New Roman"/>
                <w:lang w:eastAsia="en-AU"/>
              </w:rPr>
              <w:t>Performance Assessment Framework (PAF) Update</w:t>
            </w:r>
            <w:r>
              <w:rPr>
                <w:rFonts w:eastAsiaTheme="minorHAnsi" w:cs="Times New Roman"/>
                <w:lang w:eastAsia="en-AU"/>
              </w:rPr>
              <w:t xml:space="preserve">, presentation by </w:t>
            </w:r>
            <w:r w:rsidRPr="008C0D40">
              <w:rPr>
                <w:rFonts w:eastAsiaTheme="minorHAnsi" w:cs="Times New Roman"/>
                <w:lang w:eastAsia="en-AU"/>
              </w:rPr>
              <w:t>Murray O’Hanlon</w:t>
            </w:r>
            <w:r>
              <w:rPr>
                <w:rFonts w:eastAsiaTheme="minorHAnsi" w:cs="Times New Roman"/>
                <w:lang w:eastAsia="en-AU"/>
              </w:rPr>
              <w:t>,</w:t>
            </w:r>
            <w:r w:rsidRPr="008C0D40">
              <w:rPr>
                <w:rFonts w:eastAsiaTheme="minorHAnsi" w:cs="Times New Roman"/>
                <w:lang w:eastAsia="en-AU"/>
              </w:rPr>
              <w:t xml:space="preserve"> First Secretary, Development Cooperation February 2016</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F3A08" w:rsidRPr="008C0D40" w:rsidRDefault="003F3A08" w:rsidP="00876863">
            <w:pPr>
              <w:rPr>
                <w:rFonts w:eastAsiaTheme="minorHAnsi" w:cs="Times New Roman"/>
                <w:lang w:eastAsia="en-AU"/>
              </w:rPr>
            </w:pPr>
            <w:r>
              <w:rPr>
                <w:rFonts w:eastAsiaTheme="minorHAnsi" w:cs="Times New Roman"/>
                <w:lang w:eastAsia="en-AU"/>
              </w:rPr>
              <w:t>ESSP Governance and Oversight Group Minutes of Meeting 2015, December 2015</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F3A08" w:rsidRDefault="003F3A08" w:rsidP="00876863">
            <w:pPr>
              <w:rPr>
                <w:rFonts w:asciiTheme="minorHAnsi" w:eastAsiaTheme="minorHAnsi" w:hAnsiTheme="minorHAnsi" w:cs="Times New Roman"/>
              </w:rPr>
            </w:pPr>
            <w:r>
              <w:rPr>
                <w:rFonts w:asciiTheme="minorHAnsi" w:eastAsiaTheme="minorHAnsi" w:hAnsiTheme="minorHAnsi" w:cs="Times New Roman"/>
              </w:rPr>
              <w:t>Various Weekly and Fortnightly Updates</w:t>
            </w:r>
          </w:p>
        </w:tc>
      </w:tr>
      <w:tr w:rsidR="003101A6" w:rsidTr="00876863">
        <w:trPr>
          <w:trHeight w:val="454"/>
        </w:trPr>
        <w:tc>
          <w:tcPr>
            <w:tcW w:w="907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101A6" w:rsidRDefault="003101A6" w:rsidP="003101A6">
            <w:pPr>
              <w:rPr>
                <w:rFonts w:asciiTheme="minorHAnsi" w:eastAsiaTheme="minorHAnsi" w:hAnsiTheme="minorHAnsi" w:cs="Times New Roman"/>
              </w:rPr>
            </w:pPr>
            <w:r>
              <w:t xml:space="preserve">Wood, T, Burkot, C, Howes, S., Australian Aid: Signs of Risk – the 2015 Australian Aid Stakeholder </w:t>
            </w:r>
            <w:r>
              <w:lastRenderedPageBreak/>
              <w:t>Survey, The Development Policy Centre, Canberra, 2016</w:t>
            </w:r>
          </w:p>
        </w:tc>
      </w:tr>
      <w:tr w:rsidR="003F3A08" w:rsidTr="00876863">
        <w:trPr>
          <w:trHeight w:val="454"/>
        </w:trPr>
        <w:tc>
          <w:tcPr>
            <w:tcW w:w="9072"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rsidR="003F3A08" w:rsidRPr="00EB7E51" w:rsidRDefault="003F3A08" w:rsidP="00876863">
            <w:pPr>
              <w:rPr>
                <w:rFonts w:asciiTheme="minorHAnsi" w:eastAsiaTheme="minorHAnsi" w:hAnsiTheme="minorHAnsi" w:cs="Times New Roman"/>
                <w:b/>
              </w:rPr>
            </w:pPr>
            <w:r w:rsidRPr="00EB7E51">
              <w:rPr>
                <w:rFonts w:asciiTheme="minorHAnsi" w:eastAsiaTheme="minorHAnsi" w:hAnsiTheme="minorHAnsi" w:cs="Times New Roman"/>
                <w:b/>
              </w:rPr>
              <w:lastRenderedPageBreak/>
              <w:t xml:space="preserve">Analytical and </w:t>
            </w:r>
            <w:r w:rsidRPr="002144B4">
              <w:rPr>
                <w:b/>
              </w:rPr>
              <w:t>Analytical and Capacity Development Partnership (A</w:t>
            </w:r>
            <w:r w:rsidRPr="002144B4">
              <w:rPr>
                <w:rFonts w:eastAsiaTheme="minorHAnsi"/>
                <w:b/>
              </w:rPr>
              <w:t>CDP)</w:t>
            </w:r>
          </w:p>
        </w:tc>
      </w:tr>
      <w:tr w:rsidR="003F3A08" w:rsidTr="00876863">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rFonts w:asciiTheme="minorHAnsi" w:eastAsia="Calibri" w:hAnsiTheme="minorHAnsi" w:cs="Times New Roman"/>
                <w:szCs w:val="24"/>
                <w:lang w:eastAsia="en-AU"/>
              </w:rPr>
            </w:pPr>
            <w:r>
              <w:rPr>
                <w:rFonts w:cs="Cambria"/>
                <w:bCs/>
              </w:rPr>
              <w:t>Six Monthly Progress Report, Mid-2014, 2014</w:t>
            </w:r>
          </w:p>
        </w:tc>
      </w:tr>
      <w:tr w:rsidR="003F3A08" w:rsidTr="00876863">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rFonts w:cs="Cambria"/>
                <w:bCs/>
                <w:color w:val="000000"/>
                <w:highlight w:val="yellow"/>
              </w:rPr>
            </w:pPr>
            <w:r>
              <w:rPr>
                <w:rFonts w:cs="Cambria"/>
                <w:bCs/>
              </w:rPr>
              <w:t>Six Monthly Progress Report, End-2014, 2015</w:t>
            </w:r>
          </w:p>
        </w:tc>
      </w:tr>
      <w:tr w:rsidR="003F3A08" w:rsidTr="00876863">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rFonts w:cs="Cambria"/>
                <w:bCs/>
                <w:color w:val="000000"/>
                <w:highlight w:val="yellow"/>
              </w:rPr>
            </w:pPr>
            <w:r>
              <w:rPr>
                <w:rFonts w:cs="Cambria"/>
                <w:bCs/>
              </w:rPr>
              <w:t>Six Monthly Progress Report, Mid-2015, 2015</w:t>
            </w:r>
          </w:p>
        </w:tc>
      </w:tr>
      <w:tr w:rsidR="003F3A08" w:rsidTr="00876863">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rFonts w:eastAsiaTheme="minorHAnsi" w:cs="Times New Roman"/>
                <w:highlight w:val="yellow"/>
              </w:rPr>
            </w:pPr>
            <w:r>
              <w:rPr>
                <w:rFonts w:eastAsiaTheme="minorHAnsi" w:cs="Times New Roman"/>
              </w:rPr>
              <w:t>ACDP 001 – Early Childhood Development Strategy Study, 2013</w:t>
            </w:r>
          </w:p>
        </w:tc>
      </w:tr>
      <w:tr w:rsidR="003F3A08" w:rsidTr="00876863">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rFonts w:eastAsiaTheme="minorHAnsi" w:cs="Times New Roman"/>
                <w:highlight w:val="yellow"/>
              </w:rPr>
            </w:pPr>
            <w:r>
              <w:rPr>
                <w:rFonts w:eastAsiaTheme="minorHAnsi" w:cs="Times New Roman"/>
              </w:rPr>
              <w:t>ACDP 004 – General Senior Secondary Education Financing in Indonesia, 2013</w:t>
            </w:r>
          </w:p>
        </w:tc>
      </w:tr>
      <w:tr w:rsidR="003F3A08" w:rsidTr="00876863">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rFonts w:asciiTheme="minorHAnsi" w:eastAsia="Calibri" w:hAnsiTheme="minorHAnsi" w:cs="Times New Roman"/>
                <w:szCs w:val="24"/>
                <w:highlight w:val="yellow"/>
                <w:lang w:eastAsia="en-AU"/>
              </w:rPr>
            </w:pPr>
            <w:r>
              <w:rPr>
                <w:rFonts w:asciiTheme="minorHAnsi" w:eastAsia="Calibri" w:hAnsiTheme="minorHAnsi" w:cs="Times New Roman"/>
                <w:szCs w:val="24"/>
                <w:lang w:eastAsia="en-AU"/>
              </w:rPr>
              <w:t>ACDP 007 - School and Madrasah Principals and Supervisors Competencies Baseline Study, 2013</w:t>
            </w:r>
          </w:p>
        </w:tc>
      </w:tr>
      <w:tr w:rsidR="003F3A08" w:rsidTr="00876863">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rFonts w:eastAsiaTheme="minorHAnsi" w:cs="Times New Roman"/>
              </w:rPr>
            </w:pPr>
            <w:r>
              <w:rPr>
                <w:rFonts w:eastAsiaTheme="minorHAnsi" w:cs="Times New Roman"/>
              </w:rPr>
              <w:t>ACDP 013A – Support to Textbook Development, 2013</w:t>
            </w:r>
          </w:p>
        </w:tc>
      </w:tr>
      <w:tr w:rsidR="003F3A08" w:rsidTr="00876863">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rFonts w:eastAsiaTheme="minorHAnsi" w:cs="Times New Roman"/>
              </w:rPr>
            </w:pPr>
            <w:r>
              <w:rPr>
                <w:rFonts w:eastAsiaTheme="minorHAnsi" w:cs="Times New Roman"/>
              </w:rPr>
              <w:t>ACDP 015 – Mid-Term Review of the Education Renstra 2010 – 2014, 2013</w:t>
            </w:r>
          </w:p>
        </w:tc>
      </w:tr>
      <w:tr w:rsidR="003F3A08" w:rsidTr="00876863">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rFonts w:eastAsiaTheme="minorHAnsi" w:cs="Times New Roman"/>
              </w:rPr>
            </w:pPr>
            <w:r>
              <w:rPr>
                <w:rFonts w:eastAsiaTheme="minorHAnsi" w:cs="Times New Roman"/>
              </w:rPr>
              <w:t>ACDP 015A – Support to Development of MoEC Renstra 2015 -2019, 2013</w:t>
            </w:r>
          </w:p>
        </w:tc>
      </w:tr>
      <w:tr w:rsidR="003F3A08" w:rsidTr="00876863">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rFonts w:eastAsiaTheme="minorHAnsi" w:cs="Times New Roman"/>
              </w:rPr>
            </w:pPr>
            <w:r>
              <w:rPr>
                <w:rFonts w:eastAsiaTheme="minorHAnsi" w:cs="Times New Roman"/>
              </w:rPr>
              <w:t>ACDP 016 – Linking National Plans for Acceleration and Expansion of Economic Development to programming in the Education Sector, 2013</w:t>
            </w:r>
          </w:p>
        </w:tc>
      </w:tr>
      <w:tr w:rsidR="003F3A08" w:rsidTr="00876863">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rFonts w:eastAsiaTheme="minorHAnsi" w:cs="Times New Roman"/>
              </w:rPr>
            </w:pPr>
            <w:r>
              <w:rPr>
                <w:rFonts w:eastAsiaTheme="minorHAnsi" w:cs="Times New Roman"/>
              </w:rPr>
              <w:t>ACDP 020 – Evaluation of International Standard Schools, 2013</w:t>
            </w:r>
          </w:p>
        </w:tc>
      </w:tr>
      <w:tr w:rsidR="003F3A08" w:rsidTr="00876863">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rFonts w:eastAsiaTheme="minorHAnsi" w:cs="Times New Roman"/>
              </w:rPr>
            </w:pPr>
            <w:r>
              <w:rPr>
                <w:rFonts w:eastAsiaTheme="minorHAnsi" w:cs="Times New Roman"/>
              </w:rPr>
              <w:t>ACDP 021 – Overview of Islamic Education Sub-Sector in Indonesia, 2013</w:t>
            </w:r>
          </w:p>
        </w:tc>
      </w:tr>
      <w:tr w:rsidR="003F3A08" w:rsidTr="00876863">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rFonts w:eastAsiaTheme="minorHAnsi" w:cs="Times New Roman"/>
                <w:highlight w:val="yellow"/>
              </w:rPr>
            </w:pPr>
            <w:r>
              <w:rPr>
                <w:rFonts w:asciiTheme="minorHAnsi" w:eastAsiaTheme="minorHAnsi" w:hAnsiTheme="minorHAnsi" w:cs="Times New Roman"/>
              </w:rPr>
              <w:t xml:space="preserve">ACDP 022 – </w:t>
            </w:r>
            <w:r>
              <w:rPr>
                <w:rFonts w:asciiTheme="minorHAnsi" w:hAnsiTheme="minorHAnsi" w:cs="MyriadPro-Bold"/>
                <w:bCs/>
              </w:rPr>
              <w:t>Final Report on the Development of Quality Assurance for Early Childhood Education, 2013</w:t>
            </w:r>
          </w:p>
        </w:tc>
      </w:tr>
      <w:tr w:rsidR="003F3A08" w:rsidTr="00876863">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rFonts w:asciiTheme="minorHAnsi" w:eastAsiaTheme="minorHAnsi" w:hAnsiTheme="minorHAnsi" w:cs="Times New Roman"/>
                <w:highlight w:val="yellow"/>
              </w:rPr>
            </w:pPr>
            <w:r>
              <w:rPr>
                <w:rFonts w:asciiTheme="minorHAnsi" w:eastAsiaTheme="minorHAnsi" w:hAnsiTheme="minorHAnsi" w:cs="Times New Roman"/>
              </w:rPr>
              <w:t>ACDP 034D – Paper on MSS and the Quality of the Learning Environment, 2014</w:t>
            </w:r>
          </w:p>
        </w:tc>
      </w:tr>
      <w:tr w:rsidR="003F3A08" w:rsidTr="00876863">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rFonts w:asciiTheme="minorHAnsi" w:eastAsiaTheme="minorHAnsi" w:hAnsiTheme="minorHAnsi" w:cs="Times New Roman"/>
                <w:highlight w:val="yellow"/>
              </w:rPr>
            </w:pPr>
            <w:r>
              <w:rPr>
                <w:rFonts w:asciiTheme="minorHAnsi" w:eastAsiaTheme="minorHAnsi" w:hAnsiTheme="minorHAnsi" w:cs="Times New Roman"/>
              </w:rPr>
              <w:t>ACDP 034F – Paper on Higher Education</w:t>
            </w:r>
            <w:r w:rsidR="002010DB">
              <w:rPr>
                <w:rFonts w:asciiTheme="minorHAnsi" w:eastAsiaTheme="minorHAnsi" w:hAnsiTheme="minorHAnsi" w:cs="Times New Roman"/>
              </w:rPr>
              <w:t xml:space="preserve"> </w:t>
            </w:r>
            <w:r>
              <w:rPr>
                <w:rFonts w:asciiTheme="minorHAnsi" w:eastAsiaTheme="minorHAnsi" w:hAnsiTheme="minorHAnsi" w:cs="Times New Roman"/>
              </w:rPr>
              <w:t>Governance and Management, 2014</w:t>
            </w:r>
          </w:p>
        </w:tc>
      </w:tr>
      <w:tr w:rsidR="003F3A08" w:rsidTr="00876863">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rFonts w:asciiTheme="minorHAnsi" w:eastAsiaTheme="minorHAnsi" w:hAnsiTheme="minorHAnsi" w:cs="Times New Roman"/>
              </w:rPr>
            </w:pPr>
            <w:r>
              <w:rPr>
                <w:rFonts w:asciiTheme="minorHAnsi" w:eastAsiaTheme="minorHAnsi" w:hAnsiTheme="minorHAnsi" w:cs="Times New Roman"/>
              </w:rPr>
              <w:t>ACDP 037 – Capacity Building for Evaluation of Education Policies, Strategies and Programs Through Overseas Course and Workshop, 2014</w:t>
            </w:r>
          </w:p>
        </w:tc>
      </w:tr>
      <w:tr w:rsidR="003F3A08" w:rsidTr="00876863">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rFonts w:asciiTheme="minorHAnsi" w:eastAsiaTheme="minorHAnsi" w:hAnsiTheme="minorHAnsi" w:cs="Times New Roman"/>
              </w:rPr>
            </w:pPr>
            <w:r>
              <w:rPr>
                <w:rFonts w:asciiTheme="minorHAnsi" w:eastAsiaTheme="minorHAnsi" w:hAnsiTheme="minorHAnsi" w:cs="Times New Roman"/>
              </w:rPr>
              <w:t>Minutes of Roundtable APPR Discussions on POM’s Draft Findings of ACDP, November 2014</w:t>
            </w:r>
          </w:p>
        </w:tc>
      </w:tr>
      <w:tr w:rsidR="003F3A08" w:rsidTr="00876863">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rFonts w:asciiTheme="minorHAnsi" w:eastAsiaTheme="minorHAnsi" w:hAnsiTheme="minorHAnsi" w:cs="Times New Roman"/>
              </w:rPr>
            </w:pPr>
            <w:r>
              <w:rPr>
                <w:rFonts w:asciiTheme="minorHAnsi" w:eastAsiaTheme="minorHAnsi" w:hAnsiTheme="minorHAnsi" w:cs="Times New Roman"/>
              </w:rPr>
              <w:t>Minutes of ACDP Technical Oversight Group Meeting, March 2015</w:t>
            </w:r>
          </w:p>
        </w:tc>
      </w:tr>
      <w:tr w:rsidR="003F3A08" w:rsidTr="00876863">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rFonts w:asciiTheme="minorHAnsi" w:eastAsiaTheme="minorHAnsi" w:hAnsiTheme="minorHAnsi" w:cs="Times New Roman"/>
              </w:rPr>
            </w:pPr>
            <w:r>
              <w:rPr>
                <w:rFonts w:asciiTheme="minorHAnsi" w:eastAsiaTheme="minorHAnsi" w:hAnsiTheme="minorHAnsi" w:cs="Times New Roman"/>
              </w:rPr>
              <w:t>Various Weekly and Fortnightly Updates</w:t>
            </w:r>
          </w:p>
        </w:tc>
      </w:tr>
      <w:tr w:rsidR="003F3A08" w:rsidTr="00876863">
        <w:trPr>
          <w:trHeight w:val="454"/>
        </w:trPr>
        <w:tc>
          <w:tcPr>
            <w:tcW w:w="9072"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3F3A08" w:rsidRDefault="003F3A08" w:rsidP="00876863">
            <w:pPr>
              <w:rPr>
                <w:rFonts w:eastAsiaTheme="minorHAnsi" w:cs="Times New Roman"/>
                <w:b/>
              </w:rPr>
            </w:pPr>
            <w:r>
              <w:rPr>
                <w:rFonts w:eastAsiaTheme="minorHAnsi" w:cs="Times New Roman"/>
                <w:b/>
              </w:rPr>
              <w:t>School System and Quality (SSQ)</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F3A08" w:rsidRDefault="003F3A08" w:rsidP="00876863">
            <w:pPr>
              <w:rPr>
                <w:rFonts w:eastAsiaTheme="minorHAnsi" w:cs="Times New Roman"/>
                <w:lang w:eastAsia="en-AU"/>
              </w:rPr>
            </w:pPr>
            <w:r>
              <w:rPr>
                <w:rFonts w:eastAsiaTheme="minorHAnsi" w:cs="Times New Roman"/>
                <w:lang w:eastAsia="en-AU"/>
              </w:rPr>
              <w:t>Annual Progress Report, 2014</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F3A08" w:rsidRDefault="003F3A08" w:rsidP="00876863">
            <w:pPr>
              <w:rPr>
                <w:highlight w:val="yellow"/>
                <w:lang w:val="en-US"/>
              </w:rPr>
            </w:pPr>
            <w:r>
              <w:lastRenderedPageBreak/>
              <w:t>Annual Progress Report, 2015</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F3A08" w:rsidRDefault="003F3A08" w:rsidP="00876863">
            <w:pPr>
              <w:rPr>
                <w:rFonts w:eastAsiaTheme="minorHAnsi" w:cs="Times New Roman"/>
                <w:lang w:eastAsia="en-AU"/>
              </w:rPr>
            </w:pPr>
            <w:r>
              <w:rPr>
                <w:rFonts w:eastAsiaTheme="minorHAnsi" w:cs="Times New Roman"/>
                <w:lang w:eastAsia="en-AU"/>
              </w:rPr>
              <w:t>ME011: Evaluation of Component 3 Phase 1, 2013</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F3A08" w:rsidRDefault="003F3A08" w:rsidP="00876863">
            <w:pPr>
              <w:rPr>
                <w:highlight w:val="yellow"/>
                <w:lang w:val="en-US"/>
              </w:rPr>
            </w:pPr>
            <w:r>
              <w:t>New School Induction Program (NSIP) School Visits Reports, 2014</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F3A08" w:rsidRDefault="003F3A08" w:rsidP="00876863">
            <w:pPr>
              <w:jc w:val="left"/>
              <w:rPr>
                <w:lang w:val="en-US"/>
              </w:rPr>
            </w:pPr>
            <w:r>
              <w:t>A Strategy To Establish A Continuous Program of Madrasah Quality Improvement: the “Grand Design”, 2015</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F3A08" w:rsidRDefault="003F3A08" w:rsidP="00876863">
            <w:pPr>
              <w:rPr>
                <w:rFonts w:asciiTheme="minorHAnsi" w:eastAsiaTheme="minorHAnsi" w:hAnsiTheme="minorHAnsi" w:cs="Times New Roman"/>
              </w:rPr>
            </w:pPr>
            <w:r>
              <w:rPr>
                <w:rFonts w:asciiTheme="minorHAnsi" w:eastAsiaTheme="minorHAnsi" w:hAnsiTheme="minorHAnsi" w:cs="Times New Roman"/>
              </w:rPr>
              <w:t>Various Weekly and Fortnightly Updates</w:t>
            </w:r>
          </w:p>
        </w:tc>
      </w:tr>
      <w:tr w:rsidR="003F3A08" w:rsidTr="00876863">
        <w:trPr>
          <w:trHeight w:val="454"/>
        </w:trPr>
        <w:tc>
          <w:tcPr>
            <w:tcW w:w="9072"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rsidR="003F3A08" w:rsidRDefault="003F3A08" w:rsidP="00876863">
            <w:pPr>
              <w:rPr>
                <w:rFonts w:eastAsiaTheme="minorHAnsi" w:cs="Times New Roman"/>
                <w:b/>
              </w:rPr>
            </w:pPr>
            <w:r>
              <w:rPr>
                <w:rFonts w:eastAsiaTheme="minorHAnsi" w:cs="Times New Roman"/>
                <w:b/>
              </w:rPr>
              <w:t>Performance Oversight and Monitoring (POM)</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rFonts w:eastAsiaTheme="minorHAnsi" w:cs="Times New Roman"/>
              </w:rPr>
            </w:pPr>
            <w:r>
              <w:rPr>
                <w:rFonts w:eastAsiaTheme="minorHAnsi" w:cs="Times New Roman"/>
              </w:rPr>
              <w:t>Annual Sector Monitoring Report, 2013</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rFonts w:eastAsiaTheme="minorHAnsi" w:cs="Times New Roman"/>
              </w:rPr>
            </w:pPr>
            <w:r>
              <w:rPr>
                <w:rFonts w:eastAsiaTheme="minorHAnsi" w:cs="Times New Roman"/>
              </w:rPr>
              <w:t>Annual Partnership Performance Report 2013</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rFonts w:eastAsiaTheme="minorHAnsi" w:cs="Times New Roman"/>
              </w:rPr>
            </w:pPr>
            <w:r>
              <w:rPr>
                <w:rFonts w:eastAsiaTheme="minorHAnsi" w:cs="Times New Roman"/>
              </w:rPr>
              <w:t>Thematic Literature Review for Component 2, 2014</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lang w:val="en-US"/>
              </w:rPr>
            </w:pPr>
            <w:r>
              <w:rPr>
                <w:rFonts w:eastAsiaTheme="minorHAnsi" w:cs="Times New Roman"/>
              </w:rPr>
              <w:t>Annual Partnership Performance Report, 2014</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F3A08" w:rsidRDefault="003F3A08" w:rsidP="00876863">
            <w:pPr>
              <w:rPr>
                <w:rFonts w:eastAsiaTheme="minorHAnsi" w:cs="Times New Roman"/>
              </w:rPr>
            </w:pPr>
            <w:r>
              <w:rPr>
                <w:rFonts w:eastAsiaTheme="minorHAnsi" w:cs="Times New Roman"/>
              </w:rPr>
              <w:t>Interim Critical Issues Report, 2014</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lang w:val="en-US"/>
              </w:rPr>
            </w:pPr>
            <w:r>
              <w:t>EOPO 1 – Evaluation Study Baseline Report, 2014</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F3A08" w:rsidRDefault="003F3A08" w:rsidP="00876863">
            <w:r>
              <w:t>EOPO 2 – Evaluation Study, 2015</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lang w:val="en-US"/>
              </w:rPr>
            </w:pPr>
            <w:r>
              <w:t>EOPO 3 – Evaluation Study: Endline Report, 2015</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F3A08" w:rsidRDefault="003F3A08" w:rsidP="00876863">
            <w:r>
              <w:t>EOPO 4 – Evaluation Study (Draft), May 2016</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lang w:val="en-US"/>
              </w:rPr>
            </w:pPr>
            <w:r>
              <w:t>Comparative Study of Madrasah Development Centres, 2015</w:t>
            </w:r>
          </w:p>
        </w:tc>
      </w:tr>
      <w:tr w:rsidR="003F3A08" w:rsidTr="00876863">
        <w:trPr>
          <w:trHeight w:val="454"/>
        </w:trPr>
        <w:tc>
          <w:tcPr>
            <w:tcW w:w="90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3A08" w:rsidRDefault="003F3A08" w:rsidP="00876863">
            <w:pPr>
              <w:rPr>
                <w:rFonts w:eastAsiaTheme="minorHAnsi" w:cs="Times New Roman"/>
                <w:highlight w:val="yellow"/>
              </w:rPr>
            </w:pPr>
            <w:r>
              <w:rPr>
                <w:rFonts w:eastAsiaTheme="minorHAnsi" w:cs="Times New Roman"/>
              </w:rPr>
              <w:t>Performance Milestone Framework (PMF) Report, 2015</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shd w:val="clear" w:color="auto" w:fill="C6D9F1" w:themeFill="text2" w:themeFillTint="33"/>
            <w:noWrap/>
            <w:tcMar>
              <w:top w:w="0" w:type="dxa"/>
              <w:left w:w="108" w:type="dxa"/>
              <w:bottom w:w="0" w:type="dxa"/>
              <w:right w:w="108" w:type="dxa"/>
            </w:tcMar>
            <w:vAlign w:val="center"/>
            <w:hideMark/>
          </w:tcPr>
          <w:p w:rsidR="003F3A08" w:rsidRDefault="003F3A08" w:rsidP="00876863">
            <w:pPr>
              <w:rPr>
                <w:rFonts w:eastAsiaTheme="minorHAnsi" w:cs="Times New Roman"/>
                <w:b/>
              </w:rPr>
            </w:pPr>
            <w:r>
              <w:rPr>
                <w:rFonts w:eastAsiaTheme="minorHAnsi" w:cs="Times New Roman"/>
                <w:b/>
              </w:rPr>
              <w:t>Others</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F3A08" w:rsidRDefault="003F3A08" w:rsidP="00876863">
            <w:pPr>
              <w:rPr>
                <w:rFonts w:asciiTheme="minorHAnsi" w:eastAsia="Calibri" w:hAnsiTheme="minorHAnsi" w:cs="Times New Roman"/>
                <w:szCs w:val="24"/>
                <w:lang w:eastAsia="en-AU"/>
              </w:rPr>
            </w:pPr>
            <w:r>
              <w:rPr>
                <w:rFonts w:asciiTheme="minorHAnsi" w:eastAsia="Calibri" w:hAnsiTheme="minorHAnsi" w:cs="Times New Roman"/>
                <w:szCs w:val="24"/>
                <w:lang w:eastAsia="en-AU"/>
              </w:rPr>
              <w:t>Education in Indonesia: Rising to the Challenge, OECD</w:t>
            </w:r>
          </w:p>
        </w:tc>
      </w:tr>
      <w:tr w:rsidR="003F3A08" w:rsidTr="00876863">
        <w:trPr>
          <w:trHeight w:val="454"/>
        </w:trPr>
        <w:tc>
          <w:tcPr>
            <w:tcW w:w="907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F3A08" w:rsidRDefault="003F3A08" w:rsidP="00876863">
            <w:pPr>
              <w:rPr>
                <w:rFonts w:asciiTheme="minorHAnsi" w:eastAsia="Calibri" w:hAnsiTheme="minorHAnsi" w:cs="Times New Roman"/>
                <w:szCs w:val="24"/>
                <w:lang w:eastAsia="en-AU"/>
              </w:rPr>
            </w:pPr>
            <w:r>
              <w:rPr>
                <w:rFonts w:asciiTheme="minorHAnsi" w:eastAsia="Calibri" w:hAnsiTheme="minorHAnsi" w:cs="Times New Roman"/>
                <w:szCs w:val="24"/>
                <w:lang w:eastAsia="en-AU"/>
              </w:rPr>
              <w:t>Media Indonesia, “</w:t>
            </w:r>
            <w:r>
              <w:rPr>
                <w:rFonts w:asciiTheme="minorHAnsi" w:eastAsia="Calibri" w:hAnsiTheme="minorHAnsi" w:cs="Times New Roman"/>
                <w:i/>
                <w:szCs w:val="24"/>
                <w:lang w:eastAsia="en-AU"/>
              </w:rPr>
              <w:t>Pengawas Sekolah Harus Ubah Paradigma</w:t>
            </w:r>
            <w:r>
              <w:rPr>
                <w:rFonts w:asciiTheme="minorHAnsi" w:eastAsia="Calibri" w:hAnsiTheme="minorHAnsi" w:cs="Times New Roman"/>
                <w:szCs w:val="24"/>
                <w:lang w:eastAsia="en-AU"/>
              </w:rPr>
              <w:t>”, 10 December 2015</w:t>
            </w:r>
          </w:p>
        </w:tc>
      </w:tr>
      <w:bookmarkEnd w:id="130"/>
    </w:tbl>
    <w:p w:rsidR="00D06F80" w:rsidRPr="00851EC7" w:rsidRDefault="00D06F80" w:rsidP="00775568"/>
    <w:p w:rsidR="007269E9" w:rsidRPr="00851EC7" w:rsidRDefault="007269E9" w:rsidP="00775568">
      <w:pPr>
        <w:sectPr w:rsidR="007269E9" w:rsidRPr="00851EC7" w:rsidSect="00D06F80">
          <w:headerReference w:type="default" r:id="rId46"/>
          <w:pgSz w:w="11906" w:h="16838"/>
          <w:pgMar w:top="1440" w:right="1440" w:bottom="1440" w:left="1440" w:header="708" w:footer="708" w:gutter="0"/>
          <w:cols w:space="708"/>
          <w:docGrid w:linePitch="360"/>
        </w:sectPr>
      </w:pPr>
      <w:bookmarkStart w:id="131" w:name="_Toc379548514"/>
    </w:p>
    <w:p w:rsidR="007269E9" w:rsidRPr="00851EC7" w:rsidRDefault="007269E9" w:rsidP="00C34871">
      <w:pPr>
        <w:pStyle w:val="Heading1-NoNumber"/>
      </w:pPr>
      <w:bookmarkStart w:id="132" w:name="_Toc448156335"/>
      <w:r w:rsidRPr="00851EC7">
        <w:lastRenderedPageBreak/>
        <w:t>Annex V</w:t>
      </w:r>
      <w:r w:rsidR="00877147" w:rsidRPr="00851EC7">
        <w:t xml:space="preserve">: </w:t>
      </w:r>
      <w:r w:rsidRPr="00851EC7">
        <w:t>EP Analytical Framework 201</w:t>
      </w:r>
      <w:bookmarkEnd w:id="131"/>
      <w:r w:rsidR="00F955AD">
        <w:t>5</w:t>
      </w:r>
      <w:bookmarkEnd w:id="132"/>
    </w:p>
    <w:tbl>
      <w:tblPr>
        <w:tblW w:w="535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5"/>
        <w:gridCol w:w="710"/>
        <w:gridCol w:w="1561"/>
        <w:gridCol w:w="12344"/>
      </w:tblGrid>
      <w:tr w:rsidR="00F955AD" w:rsidRPr="00DA129B" w:rsidTr="00F955AD">
        <w:trPr>
          <w:trHeight w:val="567"/>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1F497D" w:themeFill="text2"/>
            <w:vAlign w:val="center"/>
          </w:tcPr>
          <w:p w:rsidR="00F955AD" w:rsidRPr="00DA129B" w:rsidRDefault="00F955AD" w:rsidP="00F955AD">
            <w:pPr>
              <w:spacing w:after="0"/>
              <w:jc w:val="center"/>
              <w:rPr>
                <w:b/>
                <w:color w:val="FFFFFF" w:themeColor="background1"/>
                <w:sz w:val="24"/>
                <w:szCs w:val="24"/>
              </w:rPr>
            </w:pPr>
            <w:r>
              <w:rPr>
                <w:b/>
                <w:color w:val="FFFFFF" w:themeColor="background1"/>
                <w:sz w:val="24"/>
                <w:szCs w:val="24"/>
              </w:rPr>
              <w:t>Section 1</w:t>
            </w:r>
            <w:r w:rsidRPr="00DA129B">
              <w:rPr>
                <w:b/>
                <w:color w:val="FFFFFF" w:themeColor="background1"/>
                <w:sz w:val="24"/>
                <w:szCs w:val="24"/>
              </w:rPr>
              <w:t xml:space="preserve">: Context and </w:t>
            </w:r>
            <w:r>
              <w:rPr>
                <w:b/>
                <w:color w:val="FFFFFF" w:themeColor="background1"/>
                <w:sz w:val="24"/>
                <w:szCs w:val="24"/>
              </w:rPr>
              <w:t>H</w:t>
            </w:r>
            <w:r w:rsidRPr="00DA129B">
              <w:rPr>
                <w:b/>
                <w:color w:val="FFFFFF" w:themeColor="background1"/>
                <w:sz w:val="24"/>
                <w:szCs w:val="24"/>
              </w:rPr>
              <w:t xml:space="preserve">eadline </w:t>
            </w:r>
            <w:r>
              <w:rPr>
                <w:b/>
                <w:color w:val="FFFFFF" w:themeColor="background1"/>
                <w:sz w:val="24"/>
                <w:szCs w:val="24"/>
              </w:rPr>
              <w:t>Results</w:t>
            </w:r>
          </w:p>
        </w:tc>
      </w:tr>
      <w:tr w:rsidR="00F955AD" w:rsidRPr="00B97E9E" w:rsidTr="00F955AD">
        <w:trPr>
          <w:trHeight w:val="795"/>
        </w:trPr>
        <w:tc>
          <w:tcPr>
            <w:tcW w:w="186"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AB29FC" w:rsidRDefault="00F955AD" w:rsidP="00F955AD">
            <w:pPr>
              <w:spacing w:before="60" w:after="60" w:line="240" w:lineRule="auto"/>
              <w:jc w:val="center"/>
              <w:rPr>
                <w:b/>
                <w:sz w:val="20"/>
                <w:szCs w:val="20"/>
              </w:rPr>
            </w:pPr>
            <w:r>
              <w:rPr>
                <w:b/>
                <w:sz w:val="20"/>
                <w:szCs w:val="20"/>
              </w:rPr>
              <w:t>1.</w:t>
            </w:r>
            <w:r w:rsidRPr="00AB29FC">
              <w:rPr>
                <w:b/>
                <w:sz w:val="20"/>
                <w:szCs w:val="20"/>
              </w:rPr>
              <w:t>1</w:t>
            </w:r>
          </w:p>
        </w:tc>
        <w:tc>
          <w:tcPr>
            <w:tcW w:w="748" w:type="pct"/>
            <w:gridSpan w:val="2"/>
            <w:tcBorders>
              <w:top w:val="single" w:sz="4" w:space="0" w:color="auto"/>
              <w:left w:val="single" w:sz="4" w:space="0" w:color="auto"/>
              <w:right w:val="single" w:sz="4" w:space="0" w:color="auto"/>
            </w:tcBorders>
            <w:shd w:val="clear" w:color="auto" w:fill="B8CCE4" w:themeFill="accent1" w:themeFillTint="66"/>
            <w:vAlign w:val="center"/>
          </w:tcPr>
          <w:p w:rsidR="00F955AD" w:rsidRPr="00A15C95" w:rsidRDefault="00F955AD" w:rsidP="00F955AD">
            <w:pPr>
              <w:spacing w:before="60" w:after="60" w:line="240" w:lineRule="auto"/>
              <w:rPr>
                <w:b/>
                <w:sz w:val="20"/>
                <w:szCs w:val="20"/>
              </w:rPr>
            </w:pPr>
            <w:r w:rsidRPr="00A15C95">
              <w:rPr>
                <w:b/>
                <w:sz w:val="20"/>
                <w:szCs w:val="20"/>
              </w:rPr>
              <w:t>Context</w:t>
            </w:r>
          </w:p>
        </w:tc>
        <w:tc>
          <w:tcPr>
            <w:tcW w:w="4066"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A15C95" w:rsidRDefault="00F955AD" w:rsidP="00F955AD">
            <w:pPr>
              <w:widowControl w:val="0"/>
              <w:autoSpaceDE w:val="0"/>
              <w:autoSpaceDN w:val="0"/>
              <w:adjustRightInd w:val="0"/>
              <w:spacing w:before="60" w:after="60" w:line="240" w:lineRule="auto"/>
              <w:rPr>
                <w:sz w:val="20"/>
                <w:szCs w:val="20"/>
              </w:rPr>
            </w:pPr>
            <w:r w:rsidRPr="00A15C95">
              <w:rPr>
                <w:sz w:val="20"/>
                <w:szCs w:val="20"/>
              </w:rPr>
              <w:t>Key sectoral changes from Jun</w:t>
            </w:r>
            <w:r>
              <w:rPr>
                <w:sz w:val="20"/>
                <w:szCs w:val="20"/>
              </w:rPr>
              <w:t>e</w:t>
            </w:r>
            <w:r w:rsidRPr="00A15C95">
              <w:rPr>
                <w:sz w:val="20"/>
                <w:szCs w:val="20"/>
              </w:rPr>
              <w:t xml:space="preserve"> 2011</w:t>
            </w:r>
            <w:r>
              <w:rPr>
                <w:sz w:val="20"/>
                <w:szCs w:val="20"/>
              </w:rPr>
              <w:t xml:space="preserve"> to </w:t>
            </w:r>
            <w:r w:rsidRPr="00A15C95">
              <w:rPr>
                <w:sz w:val="20"/>
                <w:szCs w:val="20"/>
              </w:rPr>
              <w:t>date, particularly in the last calendar year</w:t>
            </w:r>
          </w:p>
        </w:tc>
      </w:tr>
      <w:tr w:rsidR="00F955AD" w:rsidRPr="00B97E9E" w:rsidTr="00E753BE">
        <w:trPr>
          <w:trHeight w:val="712"/>
        </w:trPr>
        <w:tc>
          <w:tcPr>
            <w:tcW w:w="420" w:type="pct"/>
            <w:gridSpan w:val="2"/>
            <w:tcBorders>
              <w:top w:val="single" w:sz="4" w:space="0" w:color="auto"/>
              <w:left w:val="single" w:sz="4" w:space="0" w:color="auto"/>
              <w:right w:val="single" w:sz="4" w:space="0" w:color="auto"/>
            </w:tcBorders>
            <w:shd w:val="clear" w:color="auto" w:fill="DBE5F1" w:themeFill="accent1" w:themeFillTint="33"/>
            <w:vAlign w:val="center"/>
          </w:tcPr>
          <w:p w:rsidR="00F955AD" w:rsidRPr="00B97E9E" w:rsidRDefault="00F955AD" w:rsidP="00F955AD">
            <w:pPr>
              <w:widowControl w:val="0"/>
              <w:autoSpaceDE w:val="0"/>
              <w:autoSpaceDN w:val="0"/>
              <w:adjustRightInd w:val="0"/>
              <w:spacing w:before="60" w:after="60"/>
              <w:rPr>
                <w:b/>
                <w:sz w:val="20"/>
                <w:szCs w:val="20"/>
              </w:rPr>
            </w:pPr>
            <w:r w:rsidRPr="00B97E9E">
              <w:rPr>
                <w:b/>
                <w:sz w:val="20"/>
                <w:szCs w:val="20"/>
              </w:rPr>
              <w:t>Headline questions</w:t>
            </w:r>
          </w:p>
        </w:tc>
        <w:tc>
          <w:tcPr>
            <w:tcW w:w="4580" w:type="pct"/>
            <w:gridSpan w:val="2"/>
            <w:tcBorders>
              <w:top w:val="single" w:sz="4" w:space="0" w:color="auto"/>
              <w:left w:val="single" w:sz="4" w:space="0" w:color="auto"/>
              <w:bottom w:val="single" w:sz="4" w:space="0" w:color="auto"/>
              <w:right w:val="single" w:sz="4" w:space="0" w:color="auto"/>
            </w:tcBorders>
            <w:vAlign w:val="center"/>
          </w:tcPr>
          <w:p w:rsidR="00F955AD" w:rsidRPr="00B97E9E"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rPr>
            </w:pPr>
            <w:r w:rsidRPr="00A76187">
              <w:rPr>
                <w:sz w:val="20"/>
                <w:szCs w:val="20"/>
              </w:rPr>
              <w:t>Have there been notable changes to the sectoral</w:t>
            </w:r>
            <w:r>
              <w:rPr>
                <w:sz w:val="20"/>
                <w:szCs w:val="20"/>
              </w:rPr>
              <w:t xml:space="preserve">, policy, political and staffing </w:t>
            </w:r>
            <w:r w:rsidRPr="00A76187">
              <w:rPr>
                <w:sz w:val="20"/>
                <w:szCs w:val="20"/>
              </w:rPr>
              <w:t>context</w:t>
            </w:r>
            <w:r>
              <w:rPr>
                <w:sz w:val="20"/>
                <w:szCs w:val="20"/>
              </w:rPr>
              <w:t>s</w:t>
            </w:r>
            <w:r w:rsidRPr="00A76187">
              <w:rPr>
                <w:sz w:val="20"/>
                <w:szCs w:val="20"/>
              </w:rPr>
              <w:t>, particularly in the last 12 months?</w:t>
            </w:r>
          </w:p>
        </w:tc>
      </w:tr>
      <w:tr w:rsidR="00F955AD" w:rsidRPr="003D02F1" w:rsidTr="00F955AD">
        <w:trPr>
          <w:trHeight w:val="795"/>
        </w:trPr>
        <w:tc>
          <w:tcPr>
            <w:tcW w:w="186"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3D02F1" w:rsidRDefault="00F955AD" w:rsidP="00F955AD">
            <w:pPr>
              <w:spacing w:before="60" w:after="60"/>
              <w:jc w:val="center"/>
              <w:rPr>
                <w:b/>
                <w:smallCaps/>
                <w:sz w:val="20"/>
                <w:szCs w:val="20"/>
              </w:rPr>
            </w:pPr>
            <w:r>
              <w:rPr>
                <w:b/>
                <w:smallCaps/>
                <w:sz w:val="20"/>
                <w:szCs w:val="20"/>
              </w:rPr>
              <w:t>1.</w:t>
            </w:r>
            <w:r w:rsidRPr="003D02F1">
              <w:rPr>
                <w:b/>
                <w:smallCaps/>
                <w:sz w:val="20"/>
                <w:szCs w:val="20"/>
              </w:rPr>
              <w:t>2</w:t>
            </w:r>
          </w:p>
        </w:tc>
        <w:tc>
          <w:tcPr>
            <w:tcW w:w="748" w:type="pct"/>
            <w:gridSpan w:val="2"/>
            <w:tcBorders>
              <w:top w:val="single" w:sz="4" w:space="0" w:color="auto"/>
              <w:left w:val="single" w:sz="4" w:space="0" w:color="auto"/>
              <w:right w:val="single" w:sz="4" w:space="0" w:color="auto"/>
            </w:tcBorders>
            <w:shd w:val="clear" w:color="auto" w:fill="B8CCE4" w:themeFill="accent1" w:themeFillTint="66"/>
            <w:vAlign w:val="center"/>
          </w:tcPr>
          <w:p w:rsidR="00F955AD" w:rsidRPr="003D02F1" w:rsidRDefault="00F955AD" w:rsidP="00F955AD">
            <w:pPr>
              <w:spacing w:before="60" w:after="60" w:line="240" w:lineRule="auto"/>
              <w:rPr>
                <w:b/>
                <w:sz w:val="20"/>
                <w:szCs w:val="20"/>
              </w:rPr>
            </w:pPr>
            <w:r>
              <w:rPr>
                <w:b/>
                <w:sz w:val="20"/>
                <w:szCs w:val="20"/>
              </w:rPr>
              <w:t>R</w:t>
            </w:r>
            <w:r w:rsidRPr="003D02F1">
              <w:rPr>
                <w:b/>
                <w:sz w:val="20"/>
                <w:szCs w:val="20"/>
              </w:rPr>
              <w:t xml:space="preserve">esults </w:t>
            </w:r>
          </w:p>
        </w:tc>
        <w:tc>
          <w:tcPr>
            <w:tcW w:w="4066"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A15C95" w:rsidRDefault="00F955AD" w:rsidP="00F955AD">
            <w:pPr>
              <w:widowControl w:val="0"/>
              <w:autoSpaceDE w:val="0"/>
              <w:autoSpaceDN w:val="0"/>
              <w:adjustRightInd w:val="0"/>
              <w:spacing w:before="60" w:after="60" w:line="240" w:lineRule="auto"/>
              <w:rPr>
                <w:sz w:val="20"/>
                <w:szCs w:val="20"/>
              </w:rPr>
            </w:pPr>
            <w:r w:rsidRPr="00A15C95">
              <w:rPr>
                <w:sz w:val="20"/>
                <w:szCs w:val="20"/>
              </w:rPr>
              <w:t>Planned</w:t>
            </w:r>
            <w:r>
              <w:rPr>
                <w:sz w:val="20"/>
                <w:szCs w:val="20"/>
              </w:rPr>
              <w:t xml:space="preserve"> and actual</w:t>
            </w:r>
            <w:r w:rsidRPr="00A15C95">
              <w:rPr>
                <w:sz w:val="20"/>
                <w:szCs w:val="20"/>
              </w:rPr>
              <w:t xml:space="preserve"> results </w:t>
            </w:r>
          </w:p>
        </w:tc>
      </w:tr>
      <w:tr w:rsidR="00F955AD" w:rsidRPr="003D02F1" w:rsidTr="00E753BE">
        <w:trPr>
          <w:trHeight w:val="795"/>
        </w:trPr>
        <w:tc>
          <w:tcPr>
            <w:tcW w:w="420" w:type="pct"/>
            <w:gridSpan w:val="2"/>
            <w:tcBorders>
              <w:top w:val="single" w:sz="4" w:space="0" w:color="auto"/>
              <w:left w:val="single" w:sz="4" w:space="0" w:color="auto"/>
              <w:right w:val="single" w:sz="4" w:space="0" w:color="auto"/>
            </w:tcBorders>
            <w:shd w:val="clear" w:color="auto" w:fill="DBE5F1" w:themeFill="accent1" w:themeFillTint="33"/>
            <w:vAlign w:val="center"/>
          </w:tcPr>
          <w:p w:rsidR="00F955AD" w:rsidRPr="003D02F1" w:rsidRDefault="00F955AD" w:rsidP="00F955AD">
            <w:pPr>
              <w:widowControl w:val="0"/>
              <w:autoSpaceDE w:val="0"/>
              <w:autoSpaceDN w:val="0"/>
              <w:adjustRightInd w:val="0"/>
              <w:spacing w:before="60" w:after="60"/>
              <w:rPr>
                <w:b/>
                <w:sz w:val="20"/>
                <w:szCs w:val="20"/>
              </w:rPr>
            </w:pPr>
            <w:r w:rsidRPr="003D02F1">
              <w:rPr>
                <w:b/>
                <w:sz w:val="20"/>
                <w:szCs w:val="20"/>
              </w:rPr>
              <w:t>Headline questions</w:t>
            </w:r>
          </w:p>
        </w:tc>
        <w:tc>
          <w:tcPr>
            <w:tcW w:w="4580" w:type="pct"/>
            <w:gridSpan w:val="2"/>
            <w:tcBorders>
              <w:top w:val="single" w:sz="4" w:space="0" w:color="auto"/>
              <w:left w:val="single" w:sz="4" w:space="0" w:color="auto"/>
              <w:right w:val="single" w:sz="4" w:space="0" w:color="auto"/>
            </w:tcBorders>
            <w:vAlign w:val="center"/>
          </w:tcPr>
          <w:p w:rsidR="00F955AD" w:rsidRPr="003D02F1"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rPr>
            </w:pPr>
            <w:r w:rsidRPr="003D02F1">
              <w:rPr>
                <w:sz w:val="20"/>
                <w:szCs w:val="20"/>
              </w:rPr>
              <w:t xml:space="preserve">What anticipated results have been realized to date at output, EOCO and EOPO level? </w:t>
            </w:r>
          </w:p>
          <w:p w:rsidR="00F955AD" w:rsidRPr="00D84508"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rPr>
            </w:pPr>
            <w:r w:rsidRPr="003D02F1">
              <w:rPr>
                <w:sz w:val="20"/>
                <w:szCs w:val="20"/>
              </w:rPr>
              <w:t>What anticipated results did we expect to realize at output, EOCO and EOPO level by this time?</w:t>
            </w:r>
            <w:r w:rsidR="002010DB">
              <w:rPr>
                <w:sz w:val="20"/>
                <w:szCs w:val="20"/>
              </w:rPr>
              <w:t xml:space="preserve"> </w:t>
            </w:r>
          </w:p>
          <w:p w:rsidR="00F955AD" w:rsidRPr="00D84508"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rPr>
            </w:pPr>
            <w:r w:rsidRPr="003D02F1">
              <w:rPr>
                <w:sz w:val="20"/>
                <w:szCs w:val="20"/>
              </w:rPr>
              <w:t xml:space="preserve">What anticipated results do we expect to see at output, EOCO and EOPO level by the end of the EP? </w:t>
            </w:r>
          </w:p>
          <w:p w:rsidR="00F955AD" w:rsidRPr="009908BB"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rPr>
            </w:pPr>
            <w:r w:rsidRPr="003D02F1">
              <w:rPr>
                <w:sz w:val="20"/>
                <w:szCs w:val="20"/>
              </w:rPr>
              <w:t xml:space="preserve">What anticipated results do we expect to see at output, EOCO and EOPO level beyond the lifetime of the EP? </w:t>
            </w:r>
          </w:p>
          <w:p w:rsidR="00F955AD" w:rsidRPr="003D02F1"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rPr>
            </w:pPr>
            <w:r>
              <w:rPr>
                <w:sz w:val="20"/>
                <w:szCs w:val="20"/>
              </w:rPr>
              <w:t>Is there clarity and consensus about anticipated results?</w:t>
            </w:r>
          </w:p>
        </w:tc>
      </w:tr>
      <w:tr w:rsidR="00F955AD" w:rsidRPr="00B97E9E" w:rsidTr="00F955AD">
        <w:trPr>
          <w:trHeight w:val="795"/>
        </w:trPr>
        <w:tc>
          <w:tcPr>
            <w:tcW w:w="186"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B97E9E" w:rsidRDefault="00F955AD" w:rsidP="00F955AD">
            <w:pPr>
              <w:spacing w:before="60" w:after="60"/>
              <w:jc w:val="center"/>
              <w:rPr>
                <w:b/>
                <w:smallCaps/>
                <w:sz w:val="20"/>
                <w:szCs w:val="20"/>
              </w:rPr>
            </w:pPr>
            <w:r>
              <w:rPr>
                <w:b/>
                <w:smallCaps/>
                <w:sz w:val="20"/>
                <w:szCs w:val="20"/>
              </w:rPr>
              <w:t>1.</w:t>
            </w:r>
            <w:r w:rsidRPr="00B97E9E">
              <w:rPr>
                <w:b/>
                <w:smallCaps/>
                <w:sz w:val="20"/>
                <w:szCs w:val="20"/>
              </w:rPr>
              <w:t>3</w:t>
            </w:r>
          </w:p>
        </w:tc>
        <w:tc>
          <w:tcPr>
            <w:tcW w:w="748" w:type="pct"/>
            <w:gridSpan w:val="2"/>
            <w:tcBorders>
              <w:top w:val="single" w:sz="4" w:space="0" w:color="auto"/>
              <w:left w:val="single" w:sz="4" w:space="0" w:color="auto"/>
              <w:right w:val="single" w:sz="4" w:space="0" w:color="auto"/>
            </w:tcBorders>
            <w:shd w:val="clear" w:color="auto" w:fill="B8CCE4" w:themeFill="accent1" w:themeFillTint="66"/>
            <w:vAlign w:val="center"/>
          </w:tcPr>
          <w:p w:rsidR="00F955AD" w:rsidRPr="00B97E9E" w:rsidRDefault="00F955AD" w:rsidP="00F955AD">
            <w:pPr>
              <w:spacing w:before="60" w:after="60" w:line="240" w:lineRule="auto"/>
              <w:rPr>
                <w:b/>
                <w:sz w:val="20"/>
                <w:szCs w:val="20"/>
              </w:rPr>
            </w:pPr>
            <w:r w:rsidRPr="00B97E9E">
              <w:rPr>
                <w:b/>
                <w:sz w:val="20"/>
                <w:szCs w:val="20"/>
              </w:rPr>
              <w:t xml:space="preserve">Additional </w:t>
            </w:r>
            <w:r>
              <w:rPr>
                <w:b/>
                <w:sz w:val="20"/>
                <w:szCs w:val="20"/>
              </w:rPr>
              <w:t>change</w:t>
            </w:r>
          </w:p>
        </w:tc>
        <w:tc>
          <w:tcPr>
            <w:tcW w:w="4066"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240834" w:rsidRDefault="00F955AD" w:rsidP="00F955AD">
            <w:pPr>
              <w:widowControl w:val="0"/>
              <w:autoSpaceDE w:val="0"/>
              <w:autoSpaceDN w:val="0"/>
              <w:adjustRightInd w:val="0"/>
              <w:spacing w:before="60" w:after="60" w:line="240" w:lineRule="auto"/>
              <w:rPr>
                <w:sz w:val="20"/>
                <w:szCs w:val="20"/>
              </w:rPr>
            </w:pPr>
            <w:r w:rsidRPr="00240834">
              <w:rPr>
                <w:sz w:val="20"/>
                <w:szCs w:val="20"/>
              </w:rPr>
              <w:t xml:space="preserve">Unanticipated changes/results </w:t>
            </w:r>
          </w:p>
        </w:tc>
      </w:tr>
      <w:tr w:rsidR="00F955AD" w:rsidRPr="00B97E9E" w:rsidTr="00F955AD">
        <w:trPr>
          <w:trHeight w:val="795"/>
        </w:trPr>
        <w:tc>
          <w:tcPr>
            <w:tcW w:w="420" w:type="pct"/>
            <w:gridSpan w:val="2"/>
            <w:tcBorders>
              <w:top w:val="single" w:sz="4" w:space="0" w:color="auto"/>
              <w:left w:val="single" w:sz="4" w:space="0" w:color="auto"/>
              <w:right w:val="single" w:sz="4" w:space="0" w:color="auto"/>
            </w:tcBorders>
            <w:shd w:val="clear" w:color="auto" w:fill="DBE5F1" w:themeFill="accent1" w:themeFillTint="33"/>
            <w:vAlign w:val="center"/>
          </w:tcPr>
          <w:p w:rsidR="00F955AD" w:rsidRPr="00B97E9E" w:rsidRDefault="00F955AD" w:rsidP="00F955AD">
            <w:pPr>
              <w:widowControl w:val="0"/>
              <w:autoSpaceDE w:val="0"/>
              <w:autoSpaceDN w:val="0"/>
              <w:adjustRightInd w:val="0"/>
              <w:spacing w:before="60" w:after="60"/>
              <w:rPr>
                <w:b/>
                <w:sz w:val="20"/>
                <w:szCs w:val="20"/>
              </w:rPr>
            </w:pPr>
            <w:r w:rsidRPr="00B97E9E">
              <w:rPr>
                <w:b/>
                <w:sz w:val="20"/>
                <w:szCs w:val="20"/>
              </w:rPr>
              <w:t>Headline questions</w:t>
            </w:r>
          </w:p>
        </w:tc>
        <w:tc>
          <w:tcPr>
            <w:tcW w:w="4580" w:type="pct"/>
            <w:gridSpan w:val="2"/>
            <w:tcBorders>
              <w:top w:val="single" w:sz="4" w:space="0" w:color="auto"/>
              <w:left w:val="single" w:sz="4" w:space="0" w:color="auto"/>
              <w:bottom w:val="single" w:sz="4" w:space="0" w:color="auto"/>
              <w:right w:val="single" w:sz="4" w:space="0" w:color="auto"/>
            </w:tcBorders>
            <w:vAlign w:val="center"/>
          </w:tcPr>
          <w:p w:rsidR="00F955AD" w:rsidRPr="00E571D3"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D84508">
              <w:rPr>
                <w:sz w:val="20"/>
                <w:szCs w:val="20"/>
                <w:lang w:val="en-GB"/>
              </w:rPr>
              <w:t>Is there evidence of unanticipated changes/results arising from the</w:t>
            </w:r>
            <w:r>
              <w:rPr>
                <w:sz w:val="20"/>
                <w:szCs w:val="20"/>
                <w:lang w:val="en-GB"/>
              </w:rPr>
              <w:t xml:space="preserve"> EP investment</w:t>
            </w:r>
            <w:r w:rsidRPr="00D84508">
              <w:rPr>
                <w:sz w:val="20"/>
                <w:szCs w:val="20"/>
                <w:lang w:val="en-GB"/>
              </w:rPr>
              <w:t>?</w:t>
            </w:r>
          </w:p>
        </w:tc>
      </w:tr>
    </w:tbl>
    <w:p w:rsidR="00F955AD" w:rsidRDefault="00F955AD">
      <w:pPr>
        <w:spacing w:before="0" w:after="0" w:line="240" w:lineRule="auto"/>
        <w:jc w:val="left"/>
      </w:pPr>
      <w:r>
        <w:br w:type="page"/>
      </w:r>
    </w:p>
    <w:tbl>
      <w:tblPr>
        <w:tblW w:w="535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9"/>
        <w:gridCol w:w="1697"/>
        <w:gridCol w:w="12344"/>
      </w:tblGrid>
      <w:tr w:rsidR="00F955AD" w:rsidRPr="00DA129B" w:rsidTr="00F955AD">
        <w:trPr>
          <w:trHeight w:val="567"/>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1F497D" w:themeFill="text2"/>
            <w:vAlign w:val="center"/>
          </w:tcPr>
          <w:p w:rsidR="00F955AD" w:rsidRPr="00DA129B" w:rsidRDefault="00F955AD" w:rsidP="00F955AD">
            <w:pPr>
              <w:spacing w:before="60" w:after="60"/>
              <w:jc w:val="center"/>
              <w:rPr>
                <w:b/>
                <w:color w:val="FFFFFF" w:themeColor="background1"/>
                <w:sz w:val="24"/>
                <w:szCs w:val="24"/>
              </w:rPr>
            </w:pPr>
            <w:r w:rsidRPr="00DA129B">
              <w:rPr>
                <w:b/>
                <w:sz w:val="24"/>
                <w:szCs w:val="24"/>
              </w:rPr>
              <w:lastRenderedPageBreak/>
              <w:br w:type="page"/>
            </w:r>
            <w:r w:rsidRPr="0020575D">
              <w:rPr>
                <w:b/>
                <w:color w:val="FFFFFF" w:themeColor="background1"/>
                <w:sz w:val="24"/>
                <w:szCs w:val="24"/>
              </w:rPr>
              <w:t xml:space="preserve">Section 2: Performance </w:t>
            </w:r>
            <w:r>
              <w:rPr>
                <w:b/>
                <w:color w:val="FFFFFF" w:themeColor="background1"/>
                <w:sz w:val="24"/>
                <w:szCs w:val="24"/>
              </w:rPr>
              <w:t xml:space="preserve">against the </w:t>
            </w:r>
            <w:r w:rsidRPr="00DA129B">
              <w:rPr>
                <w:b/>
                <w:color w:val="FFFFFF" w:themeColor="background1"/>
                <w:sz w:val="24"/>
                <w:szCs w:val="24"/>
              </w:rPr>
              <w:t>DAC criteria</w:t>
            </w:r>
          </w:p>
        </w:tc>
      </w:tr>
      <w:tr w:rsidR="00F955AD" w:rsidRPr="00B97E9E" w:rsidTr="00F955AD">
        <w:trPr>
          <w:trHeight w:val="795"/>
        </w:trPr>
        <w:tc>
          <w:tcPr>
            <w:tcW w:w="375"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B97E9E" w:rsidRDefault="00F955AD" w:rsidP="00F955AD">
            <w:pPr>
              <w:spacing w:before="60" w:after="60"/>
              <w:jc w:val="center"/>
              <w:rPr>
                <w:b/>
                <w:smallCaps/>
                <w:sz w:val="20"/>
                <w:szCs w:val="20"/>
              </w:rPr>
            </w:pPr>
            <w:r>
              <w:rPr>
                <w:b/>
                <w:smallCaps/>
                <w:sz w:val="20"/>
                <w:szCs w:val="20"/>
              </w:rPr>
              <w:t>2.</w:t>
            </w:r>
            <w:r w:rsidRPr="00B97E9E">
              <w:rPr>
                <w:b/>
                <w:smallCaps/>
                <w:sz w:val="20"/>
                <w:szCs w:val="20"/>
              </w:rPr>
              <w:t>1</w:t>
            </w:r>
          </w:p>
        </w:tc>
        <w:tc>
          <w:tcPr>
            <w:tcW w:w="559"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B97E9E" w:rsidRDefault="00F955AD" w:rsidP="00F955AD">
            <w:pPr>
              <w:spacing w:before="60" w:after="60" w:line="240" w:lineRule="auto"/>
              <w:rPr>
                <w:b/>
                <w:sz w:val="20"/>
                <w:szCs w:val="20"/>
              </w:rPr>
            </w:pPr>
            <w:r w:rsidRPr="00B97E9E">
              <w:rPr>
                <w:b/>
                <w:sz w:val="20"/>
                <w:szCs w:val="20"/>
              </w:rPr>
              <w:t>Relevance</w:t>
            </w:r>
          </w:p>
        </w:tc>
        <w:tc>
          <w:tcPr>
            <w:tcW w:w="4066"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0A5F97" w:rsidRDefault="00F955AD" w:rsidP="00F955AD">
            <w:pPr>
              <w:widowControl w:val="0"/>
              <w:autoSpaceDE w:val="0"/>
              <w:autoSpaceDN w:val="0"/>
              <w:adjustRightInd w:val="0"/>
              <w:spacing w:before="60" w:after="60" w:line="240" w:lineRule="auto"/>
              <w:rPr>
                <w:sz w:val="20"/>
                <w:szCs w:val="20"/>
              </w:rPr>
            </w:pPr>
            <w:r w:rsidRPr="000A5F97">
              <w:rPr>
                <w:sz w:val="20"/>
                <w:szCs w:val="20"/>
              </w:rPr>
              <w:t xml:space="preserve">The extent to which the investment is suited to </w:t>
            </w:r>
            <w:r>
              <w:rPr>
                <w:sz w:val="20"/>
                <w:szCs w:val="20"/>
              </w:rPr>
              <w:t xml:space="preserve">program goals and objectives and </w:t>
            </w:r>
            <w:r w:rsidRPr="000A5F97">
              <w:rPr>
                <w:sz w:val="20"/>
                <w:szCs w:val="20"/>
              </w:rPr>
              <w:t xml:space="preserve">the policies and priorities of </w:t>
            </w:r>
            <w:r w:rsidRPr="00C655FC">
              <w:rPr>
                <w:sz w:val="20"/>
                <w:szCs w:val="20"/>
              </w:rPr>
              <w:t xml:space="preserve">the </w:t>
            </w:r>
            <w:r>
              <w:rPr>
                <w:sz w:val="20"/>
                <w:szCs w:val="20"/>
              </w:rPr>
              <w:t>GoI and GoA</w:t>
            </w:r>
          </w:p>
        </w:tc>
      </w:tr>
      <w:tr w:rsidR="00F955AD" w:rsidRPr="00B97E9E" w:rsidTr="00F955AD">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F955AD" w:rsidRPr="00B97E9E" w:rsidRDefault="00F955AD" w:rsidP="00F955AD">
            <w:pPr>
              <w:widowControl w:val="0"/>
              <w:autoSpaceDE w:val="0"/>
              <w:autoSpaceDN w:val="0"/>
              <w:adjustRightInd w:val="0"/>
              <w:spacing w:before="60" w:after="60"/>
              <w:rPr>
                <w:b/>
                <w:sz w:val="20"/>
                <w:szCs w:val="20"/>
              </w:rPr>
            </w:pPr>
            <w:r w:rsidRPr="00B97E9E">
              <w:rPr>
                <w:b/>
                <w:sz w:val="20"/>
                <w:szCs w:val="20"/>
              </w:rPr>
              <w:t>Headline questions</w:t>
            </w:r>
          </w:p>
        </w:tc>
        <w:tc>
          <w:tcPr>
            <w:tcW w:w="4625" w:type="pct"/>
            <w:gridSpan w:val="2"/>
            <w:tcBorders>
              <w:top w:val="single" w:sz="4" w:space="0" w:color="auto"/>
              <w:left w:val="single" w:sz="4" w:space="0" w:color="auto"/>
              <w:right w:val="single" w:sz="4" w:space="0" w:color="auto"/>
            </w:tcBorders>
            <w:vAlign w:val="center"/>
          </w:tcPr>
          <w:p w:rsidR="00F955AD"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9C5C24">
              <w:rPr>
                <w:sz w:val="20"/>
                <w:szCs w:val="20"/>
              </w:rPr>
              <w:t>Is this still the right thing to do?</w:t>
            </w:r>
            <w:r>
              <w:rPr>
                <w:sz w:val="20"/>
                <w:szCs w:val="20"/>
              </w:rPr>
              <w:t xml:space="preserve"> (AQC)</w:t>
            </w:r>
          </w:p>
          <w:p w:rsidR="00F955AD" w:rsidRPr="008439BF"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1864D1">
              <w:rPr>
                <w:sz w:val="20"/>
                <w:szCs w:val="20"/>
                <w:lang w:val="en-GB"/>
              </w:rPr>
              <w:t xml:space="preserve">To </w:t>
            </w:r>
            <w:r>
              <w:rPr>
                <w:sz w:val="20"/>
                <w:szCs w:val="20"/>
                <w:lang w:val="en-GB"/>
              </w:rPr>
              <w:t>what</w:t>
            </w:r>
            <w:r w:rsidRPr="001864D1">
              <w:rPr>
                <w:sz w:val="20"/>
                <w:szCs w:val="20"/>
              </w:rPr>
              <w:t xml:space="preserve"> extent a</w:t>
            </w:r>
            <w:r>
              <w:rPr>
                <w:sz w:val="20"/>
                <w:szCs w:val="20"/>
              </w:rPr>
              <w:t>re</w:t>
            </w:r>
            <w:r w:rsidRPr="001864D1">
              <w:rPr>
                <w:sz w:val="20"/>
                <w:szCs w:val="20"/>
              </w:rPr>
              <w:t xml:space="preserve"> EP interventions </w:t>
            </w:r>
            <w:r>
              <w:rPr>
                <w:sz w:val="20"/>
                <w:szCs w:val="20"/>
              </w:rPr>
              <w:t>a</w:t>
            </w:r>
            <w:r w:rsidRPr="001864D1">
              <w:rPr>
                <w:sz w:val="20"/>
                <w:szCs w:val="20"/>
              </w:rPr>
              <w:t>ppropriate to the Indonesian education sector</w:t>
            </w:r>
            <w:r>
              <w:rPr>
                <w:sz w:val="20"/>
                <w:szCs w:val="20"/>
              </w:rPr>
              <w:t>? (External)</w:t>
            </w:r>
          </w:p>
          <w:p w:rsidR="00F955AD" w:rsidRPr="001864D1"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Pr>
                <w:sz w:val="20"/>
                <w:szCs w:val="20"/>
              </w:rPr>
              <w:t xml:space="preserve">To what extent are the EP interventions in line with </w:t>
            </w:r>
            <w:r w:rsidRPr="001864D1">
              <w:rPr>
                <w:sz w:val="20"/>
                <w:szCs w:val="20"/>
              </w:rPr>
              <w:t xml:space="preserve">Australian </w:t>
            </w:r>
            <w:r>
              <w:rPr>
                <w:sz w:val="20"/>
                <w:szCs w:val="20"/>
              </w:rPr>
              <w:t>development</w:t>
            </w:r>
            <w:r w:rsidRPr="001864D1">
              <w:rPr>
                <w:sz w:val="20"/>
                <w:szCs w:val="20"/>
              </w:rPr>
              <w:t xml:space="preserve"> policy</w:t>
            </w:r>
            <w:r>
              <w:rPr>
                <w:sz w:val="20"/>
                <w:szCs w:val="20"/>
              </w:rPr>
              <w:t xml:space="preserve"> and priorities</w:t>
            </w:r>
            <w:r w:rsidRPr="001864D1">
              <w:rPr>
                <w:sz w:val="20"/>
                <w:szCs w:val="20"/>
              </w:rPr>
              <w:t>?</w:t>
            </w:r>
            <w:r>
              <w:rPr>
                <w:sz w:val="20"/>
                <w:szCs w:val="20"/>
              </w:rPr>
              <w:t xml:space="preserve"> (External)</w:t>
            </w:r>
          </w:p>
          <w:p w:rsidR="00F955AD" w:rsidRPr="00346679"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Pr>
                <w:sz w:val="20"/>
                <w:szCs w:val="20"/>
              </w:rPr>
              <w:t>To what extent are</w:t>
            </w:r>
            <w:r w:rsidRPr="00346679">
              <w:rPr>
                <w:sz w:val="20"/>
                <w:szCs w:val="20"/>
              </w:rPr>
              <w:t xml:space="preserve"> the activities and outputs </w:t>
            </w:r>
            <w:r w:rsidRPr="00770213">
              <w:rPr>
                <w:sz w:val="20"/>
                <w:szCs w:val="20"/>
              </w:rPr>
              <w:t>consistent with the attainment of EOCOs and EOPOs</w:t>
            </w:r>
            <w:r>
              <w:rPr>
                <w:sz w:val="20"/>
                <w:szCs w:val="20"/>
              </w:rPr>
              <w:t xml:space="preserve"> and goals</w:t>
            </w:r>
            <w:r w:rsidRPr="00770213">
              <w:rPr>
                <w:sz w:val="20"/>
                <w:szCs w:val="20"/>
              </w:rPr>
              <w:t>?</w:t>
            </w:r>
            <w:r>
              <w:rPr>
                <w:sz w:val="20"/>
                <w:szCs w:val="20"/>
              </w:rPr>
              <w:t xml:space="preserve"> (Internal)</w:t>
            </w:r>
          </w:p>
        </w:tc>
      </w:tr>
      <w:tr w:rsidR="00F955AD" w:rsidRPr="00B97E9E" w:rsidTr="00F955AD">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F955AD" w:rsidRPr="00B97E9E" w:rsidRDefault="00F955AD" w:rsidP="00F955AD">
            <w:pPr>
              <w:widowControl w:val="0"/>
              <w:autoSpaceDE w:val="0"/>
              <w:autoSpaceDN w:val="0"/>
              <w:adjustRightInd w:val="0"/>
              <w:spacing w:before="60" w:after="60"/>
              <w:rPr>
                <w:b/>
                <w:sz w:val="20"/>
                <w:szCs w:val="20"/>
              </w:rPr>
            </w:pPr>
            <w:r>
              <w:rPr>
                <w:b/>
                <w:sz w:val="20"/>
                <w:szCs w:val="20"/>
              </w:rPr>
              <w:t>AQC</w:t>
            </w:r>
            <w:r w:rsidRPr="00B97E9E">
              <w:rPr>
                <w:b/>
                <w:sz w:val="20"/>
                <w:szCs w:val="20"/>
              </w:rPr>
              <w:t xml:space="preserve"> </w:t>
            </w:r>
            <w:r>
              <w:rPr>
                <w:b/>
                <w:sz w:val="20"/>
                <w:szCs w:val="20"/>
              </w:rPr>
              <w:t>‘tests’</w:t>
            </w:r>
          </w:p>
        </w:tc>
        <w:tc>
          <w:tcPr>
            <w:tcW w:w="4625" w:type="pct"/>
            <w:gridSpan w:val="2"/>
            <w:tcBorders>
              <w:top w:val="single" w:sz="4" w:space="0" w:color="auto"/>
              <w:left w:val="single" w:sz="4" w:space="0" w:color="auto"/>
              <w:right w:val="single" w:sz="4" w:space="0" w:color="auto"/>
            </w:tcBorders>
            <w:vAlign w:val="center"/>
          </w:tcPr>
          <w:p w:rsidR="00F955AD" w:rsidRPr="009C5C2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rPr>
            </w:pPr>
            <w:r w:rsidRPr="009C5C24">
              <w:rPr>
                <w:sz w:val="20"/>
                <w:szCs w:val="20"/>
              </w:rPr>
              <w:t>The investment aligns with the purpose of the aid program, to promote Australia’s national interest by contributing to sustainable growth and poverty reduction.</w:t>
            </w:r>
          </w:p>
          <w:p w:rsidR="00F955AD" w:rsidRPr="009C5C2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rPr>
            </w:pPr>
            <w:r w:rsidRPr="009C5C24">
              <w:rPr>
                <w:sz w:val="20"/>
                <w:szCs w:val="20"/>
              </w:rPr>
              <w:t xml:space="preserve">The investment contributes to the Government’s Economic Diplomacy Agenda. </w:t>
            </w:r>
          </w:p>
          <w:p w:rsidR="00F955AD" w:rsidRPr="009C5C2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rPr>
            </w:pPr>
            <w:r w:rsidRPr="009C5C24">
              <w:rPr>
                <w:sz w:val="20"/>
                <w:szCs w:val="20"/>
              </w:rPr>
              <w:t xml:space="preserve">The investment is important for the partner government/s and aligns with their development priorities. </w:t>
            </w:r>
          </w:p>
          <w:p w:rsidR="00F955AD" w:rsidRPr="009C5C2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rPr>
            </w:pPr>
            <w:r w:rsidRPr="009C5C24">
              <w:rPr>
                <w:sz w:val="20"/>
                <w:szCs w:val="20"/>
              </w:rPr>
              <w:t>There is a clear link between what the investment plans to deliver and objectives outlined in an Aid Investment Plan or similar document.</w:t>
            </w:r>
          </w:p>
          <w:p w:rsidR="00F955AD" w:rsidRPr="009C5C2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rPr>
            </w:pPr>
            <w:r w:rsidRPr="009C5C24">
              <w:rPr>
                <w:sz w:val="20"/>
                <w:szCs w:val="20"/>
              </w:rPr>
              <w:t xml:space="preserve">The investment is in an area of Australia’s comparative advantage. Australia’s value-add is clear. </w:t>
            </w:r>
          </w:p>
          <w:p w:rsidR="00F955AD" w:rsidRPr="00346679"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9C5C24">
              <w:rPr>
                <w:sz w:val="20"/>
                <w:szCs w:val="20"/>
              </w:rPr>
              <w:t>Changes to the economic, social or political context have not affected the relevance of the investment.</w:t>
            </w:r>
          </w:p>
        </w:tc>
      </w:tr>
      <w:tr w:rsidR="00F955AD" w:rsidRPr="00B97E9E" w:rsidTr="00F955AD">
        <w:trPr>
          <w:trHeight w:val="795"/>
        </w:trPr>
        <w:tc>
          <w:tcPr>
            <w:tcW w:w="375"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20575D" w:rsidRDefault="00F955AD" w:rsidP="00F955AD">
            <w:pPr>
              <w:spacing w:before="60" w:after="60"/>
              <w:jc w:val="center"/>
              <w:rPr>
                <w:b/>
                <w:smallCaps/>
                <w:sz w:val="20"/>
                <w:szCs w:val="20"/>
              </w:rPr>
            </w:pPr>
            <w:r w:rsidRPr="00B97E9E">
              <w:rPr>
                <w:sz w:val="20"/>
                <w:szCs w:val="20"/>
              </w:rPr>
              <w:br w:type="page"/>
            </w:r>
            <w:r w:rsidRPr="0020575D">
              <w:rPr>
                <w:b/>
                <w:sz w:val="20"/>
                <w:szCs w:val="20"/>
              </w:rPr>
              <w:t>2.</w:t>
            </w:r>
            <w:r w:rsidRPr="0020575D">
              <w:rPr>
                <w:b/>
                <w:smallCaps/>
                <w:sz w:val="20"/>
                <w:szCs w:val="20"/>
              </w:rPr>
              <w:t>2</w:t>
            </w:r>
          </w:p>
        </w:tc>
        <w:tc>
          <w:tcPr>
            <w:tcW w:w="559"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B97E9E" w:rsidRDefault="00F955AD" w:rsidP="00F955AD">
            <w:pPr>
              <w:spacing w:before="60" w:after="60" w:line="240" w:lineRule="auto"/>
              <w:rPr>
                <w:b/>
                <w:sz w:val="20"/>
                <w:szCs w:val="20"/>
              </w:rPr>
            </w:pPr>
            <w:r w:rsidRPr="00B97E9E">
              <w:rPr>
                <w:b/>
                <w:sz w:val="20"/>
                <w:szCs w:val="20"/>
              </w:rPr>
              <w:t>Efficiency</w:t>
            </w:r>
          </w:p>
        </w:tc>
        <w:tc>
          <w:tcPr>
            <w:tcW w:w="4066"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514AE2" w:rsidRDefault="00F955AD" w:rsidP="00F955AD">
            <w:pPr>
              <w:widowControl w:val="0"/>
              <w:autoSpaceDE w:val="0"/>
              <w:autoSpaceDN w:val="0"/>
              <w:adjustRightInd w:val="0"/>
              <w:spacing w:before="60" w:after="60" w:line="240" w:lineRule="auto"/>
              <w:rPr>
                <w:sz w:val="20"/>
                <w:szCs w:val="20"/>
              </w:rPr>
            </w:pPr>
            <w:r w:rsidRPr="00514AE2">
              <w:rPr>
                <w:sz w:val="20"/>
                <w:szCs w:val="20"/>
              </w:rPr>
              <w:t xml:space="preserve">A measure of how economically </w:t>
            </w:r>
            <w:r>
              <w:rPr>
                <w:sz w:val="20"/>
                <w:szCs w:val="20"/>
              </w:rPr>
              <w:t xml:space="preserve">(in relation to </w:t>
            </w:r>
            <w:r w:rsidRPr="00770213">
              <w:rPr>
                <w:sz w:val="20"/>
                <w:szCs w:val="20"/>
              </w:rPr>
              <w:t>time and cost) inputs are converted to outputs (and EOCOs)</w:t>
            </w:r>
          </w:p>
        </w:tc>
      </w:tr>
      <w:tr w:rsidR="00F955AD" w:rsidRPr="00B97E9E" w:rsidTr="00F955AD">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F955AD" w:rsidRPr="00B97E9E" w:rsidRDefault="00F955AD" w:rsidP="00F955AD">
            <w:pPr>
              <w:widowControl w:val="0"/>
              <w:autoSpaceDE w:val="0"/>
              <w:autoSpaceDN w:val="0"/>
              <w:adjustRightInd w:val="0"/>
              <w:spacing w:before="60" w:after="60"/>
              <w:rPr>
                <w:b/>
                <w:sz w:val="20"/>
                <w:szCs w:val="20"/>
              </w:rPr>
            </w:pPr>
            <w:r w:rsidRPr="00B97E9E">
              <w:rPr>
                <w:b/>
                <w:sz w:val="20"/>
                <w:szCs w:val="20"/>
              </w:rPr>
              <w:t>Headline questions</w:t>
            </w:r>
          </w:p>
        </w:tc>
        <w:tc>
          <w:tcPr>
            <w:tcW w:w="4625" w:type="pct"/>
            <w:gridSpan w:val="2"/>
            <w:tcBorders>
              <w:top w:val="single" w:sz="4" w:space="0" w:color="auto"/>
              <w:left w:val="single" w:sz="4" w:space="0" w:color="auto"/>
              <w:bottom w:val="single" w:sz="4" w:space="0" w:color="auto"/>
              <w:right w:val="single" w:sz="4" w:space="0" w:color="auto"/>
            </w:tcBorders>
            <w:vAlign w:val="center"/>
          </w:tcPr>
          <w:p w:rsidR="00F955AD" w:rsidRPr="009C5C2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rPr>
            </w:pPr>
            <w:r w:rsidRPr="009C5C24">
              <w:rPr>
                <w:sz w:val="20"/>
                <w:szCs w:val="20"/>
              </w:rPr>
              <w:t>Is the investment making appropriate use of Australia’s and our partners’ time and resources to achieve</w:t>
            </w:r>
            <w:r>
              <w:rPr>
                <w:sz w:val="20"/>
                <w:szCs w:val="20"/>
              </w:rPr>
              <w:t xml:space="preserve"> </w:t>
            </w:r>
            <w:r w:rsidRPr="009C5C24">
              <w:rPr>
                <w:sz w:val="20"/>
                <w:szCs w:val="20"/>
              </w:rPr>
              <w:t>outcomes? (AQC)</w:t>
            </w:r>
          </w:p>
          <w:p w:rsidR="00F955AD"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rPr>
            </w:pPr>
            <w:r w:rsidRPr="00B97E9E">
              <w:rPr>
                <w:sz w:val="20"/>
                <w:szCs w:val="20"/>
              </w:rPr>
              <w:t>To what extent are the output</w:t>
            </w:r>
            <w:r>
              <w:rPr>
                <w:sz w:val="20"/>
                <w:szCs w:val="20"/>
              </w:rPr>
              <w:t>- and EOCO-level milestones being</w:t>
            </w:r>
            <w:r w:rsidRPr="00B97E9E">
              <w:rPr>
                <w:sz w:val="20"/>
                <w:szCs w:val="20"/>
              </w:rPr>
              <w:t xml:space="preserve"> achieved on time?</w:t>
            </w:r>
            <w:r>
              <w:rPr>
                <w:sz w:val="20"/>
                <w:szCs w:val="20"/>
              </w:rPr>
              <w:t xml:space="preserve"> And in accordance with agreed budget envelopes?</w:t>
            </w:r>
            <w:r w:rsidRPr="00BC38AF">
              <w:rPr>
                <w:sz w:val="20"/>
                <w:szCs w:val="20"/>
              </w:rPr>
              <w:t xml:space="preserve"> </w:t>
            </w:r>
          </w:p>
          <w:p w:rsidR="00F955AD" w:rsidRPr="00770213"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rFonts w:asciiTheme="minorHAnsi" w:eastAsiaTheme="minorHAnsi" w:hAnsiTheme="minorHAnsi" w:cstheme="minorBidi"/>
                <w:sz w:val="20"/>
                <w:szCs w:val="20"/>
                <w:lang w:val="en-GB"/>
              </w:rPr>
            </w:pPr>
            <w:r w:rsidRPr="009C5C24">
              <w:rPr>
                <w:sz w:val="20"/>
                <w:szCs w:val="20"/>
              </w:rPr>
              <w:t>Could</w:t>
            </w:r>
            <w:r w:rsidRPr="00BC38AF">
              <w:rPr>
                <w:sz w:val="20"/>
                <w:szCs w:val="20"/>
              </w:rPr>
              <w:t xml:space="preserve"> the same quality and quantity of deliverables and the same level of change/results have been achieved with less investment?</w:t>
            </w:r>
          </w:p>
        </w:tc>
      </w:tr>
      <w:tr w:rsidR="00F955AD" w:rsidRPr="00B97E9E" w:rsidTr="00F955AD">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F955AD" w:rsidRPr="00B97E9E" w:rsidRDefault="00F955AD" w:rsidP="00F955AD">
            <w:pPr>
              <w:widowControl w:val="0"/>
              <w:autoSpaceDE w:val="0"/>
              <w:autoSpaceDN w:val="0"/>
              <w:adjustRightInd w:val="0"/>
              <w:spacing w:before="60" w:after="60"/>
              <w:rPr>
                <w:b/>
                <w:sz w:val="20"/>
                <w:szCs w:val="20"/>
              </w:rPr>
            </w:pPr>
            <w:r>
              <w:rPr>
                <w:b/>
                <w:sz w:val="20"/>
                <w:szCs w:val="20"/>
              </w:rPr>
              <w:t>AQC</w:t>
            </w:r>
            <w:r w:rsidRPr="00B97E9E">
              <w:rPr>
                <w:b/>
                <w:sz w:val="20"/>
                <w:szCs w:val="20"/>
              </w:rPr>
              <w:t xml:space="preserve"> </w:t>
            </w:r>
            <w:r>
              <w:rPr>
                <w:b/>
                <w:sz w:val="20"/>
                <w:szCs w:val="20"/>
              </w:rPr>
              <w:t>‘tests’</w:t>
            </w:r>
          </w:p>
        </w:tc>
        <w:tc>
          <w:tcPr>
            <w:tcW w:w="4625" w:type="pct"/>
            <w:gridSpan w:val="2"/>
            <w:tcBorders>
              <w:top w:val="single" w:sz="4" w:space="0" w:color="auto"/>
              <w:left w:val="single" w:sz="4" w:space="0" w:color="auto"/>
              <w:right w:val="single" w:sz="4" w:space="0" w:color="auto"/>
            </w:tcBorders>
            <w:vAlign w:val="center"/>
          </w:tcPr>
          <w:p w:rsidR="00F955AD" w:rsidRPr="009C5C2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rPr>
            </w:pPr>
            <w:r w:rsidRPr="009C5C24">
              <w:rPr>
                <w:sz w:val="20"/>
                <w:szCs w:val="20"/>
              </w:rPr>
              <w:t xml:space="preserve">Activities and outputs are delivered on time and in a cost-effective manner. </w:t>
            </w:r>
          </w:p>
          <w:p w:rsidR="00F955AD" w:rsidRPr="009C5C2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rPr>
            </w:pPr>
            <w:r w:rsidRPr="009C5C24">
              <w:rPr>
                <w:sz w:val="20"/>
                <w:szCs w:val="20"/>
              </w:rPr>
              <w:t xml:space="preserve">Predicted budgets compare well to actual expenditure. </w:t>
            </w:r>
          </w:p>
          <w:p w:rsidR="00F955AD" w:rsidRPr="009C5C2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rPr>
            </w:pPr>
            <w:r w:rsidRPr="009C5C24">
              <w:rPr>
                <w:sz w:val="20"/>
                <w:szCs w:val="20"/>
              </w:rPr>
              <w:t xml:space="preserve">The investment's planned funding and timeframe are sufficient to achieve the intended outcomes. </w:t>
            </w:r>
          </w:p>
          <w:p w:rsidR="00F955AD" w:rsidRPr="009C5C2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rPr>
            </w:pPr>
            <w:r w:rsidRPr="009C5C24">
              <w:rPr>
                <w:sz w:val="20"/>
                <w:szCs w:val="20"/>
              </w:rPr>
              <w:t xml:space="preserve">There is sufficient staff (both DFAT and partners) with the necessary skills to manage the investment. </w:t>
            </w:r>
          </w:p>
          <w:p w:rsidR="00F955AD" w:rsidRPr="009C5C2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rPr>
            </w:pPr>
            <w:r w:rsidRPr="009C5C24">
              <w:rPr>
                <w:sz w:val="20"/>
                <w:szCs w:val="20"/>
              </w:rPr>
              <w:t xml:space="preserve">The investment modality and implementation arrangements are appropriate and proportional to the outcomes sought. </w:t>
            </w:r>
          </w:p>
          <w:p w:rsidR="00F955AD" w:rsidRPr="009C5C2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rPr>
            </w:pPr>
            <w:r w:rsidRPr="009C5C24">
              <w:rPr>
                <w:sz w:val="20"/>
                <w:szCs w:val="20"/>
              </w:rPr>
              <w:t xml:space="preserve">Implementation arrangements are well harmonised with other donors. </w:t>
            </w:r>
          </w:p>
          <w:p w:rsidR="00F955AD" w:rsidRPr="00346679"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9C5C24">
              <w:rPr>
                <w:sz w:val="20"/>
                <w:szCs w:val="20"/>
              </w:rPr>
              <w:t>Implementation arrangements are aligned with partner government systems.</w:t>
            </w:r>
          </w:p>
        </w:tc>
      </w:tr>
      <w:tr w:rsidR="00F955AD" w:rsidRPr="00A87FAB" w:rsidTr="00F955AD">
        <w:trPr>
          <w:trHeight w:val="795"/>
        </w:trPr>
        <w:tc>
          <w:tcPr>
            <w:tcW w:w="375"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A87FAB" w:rsidRDefault="00F955AD" w:rsidP="00F955AD">
            <w:pPr>
              <w:spacing w:before="60" w:after="60"/>
              <w:jc w:val="center"/>
              <w:rPr>
                <w:b/>
                <w:smallCaps/>
                <w:sz w:val="20"/>
                <w:szCs w:val="20"/>
              </w:rPr>
            </w:pPr>
            <w:r>
              <w:rPr>
                <w:b/>
                <w:smallCaps/>
                <w:sz w:val="20"/>
                <w:szCs w:val="20"/>
              </w:rPr>
              <w:lastRenderedPageBreak/>
              <w:t>2.</w:t>
            </w:r>
            <w:r w:rsidRPr="00A87FAB">
              <w:rPr>
                <w:b/>
                <w:smallCaps/>
                <w:sz w:val="20"/>
                <w:szCs w:val="20"/>
              </w:rPr>
              <w:t>3</w:t>
            </w:r>
          </w:p>
        </w:tc>
        <w:tc>
          <w:tcPr>
            <w:tcW w:w="559"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A87FAB" w:rsidRDefault="00F955AD" w:rsidP="00F955AD">
            <w:pPr>
              <w:spacing w:before="60" w:after="60" w:line="240" w:lineRule="auto"/>
              <w:rPr>
                <w:b/>
                <w:sz w:val="20"/>
                <w:szCs w:val="20"/>
              </w:rPr>
            </w:pPr>
            <w:r w:rsidRPr="00A87FAB">
              <w:rPr>
                <w:b/>
                <w:sz w:val="20"/>
                <w:szCs w:val="20"/>
              </w:rPr>
              <w:t>Effectiveness</w:t>
            </w:r>
          </w:p>
        </w:tc>
        <w:tc>
          <w:tcPr>
            <w:tcW w:w="4066"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C668BB" w:rsidRDefault="00F955AD" w:rsidP="00F955AD">
            <w:pPr>
              <w:widowControl w:val="0"/>
              <w:autoSpaceDE w:val="0"/>
              <w:autoSpaceDN w:val="0"/>
              <w:adjustRightInd w:val="0"/>
              <w:spacing w:before="60" w:after="60" w:line="240" w:lineRule="auto"/>
              <w:rPr>
                <w:sz w:val="20"/>
                <w:szCs w:val="20"/>
              </w:rPr>
            </w:pPr>
            <w:r w:rsidRPr="00C668BB">
              <w:rPr>
                <w:sz w:val="20"/>
                <w:szCs w:val="20"/>
              </w:rPr>
              <w:t xml:space="preserve">The extent to which an investment attains its end-of-partnership </w:t>
            </w:r>
            <w:r>
              <w:rPr>
                <w:sz w:val="20"/>
                <w:szCs w:val="20"/>
              </w:rPr>
              <w:t>targets</w:t>
            </w:r>
          </w:p>
        </w:tc>
      </w:tr>
      <w:tr w:rsidR="00F955AD" w:rsidRPr="00A87FAB" w:rsidTr="00F955AD">
        <w:trPr>
          <w:trHeight w:val="436"/>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F955AD" w:rsidRPr="00A87FAB" w:rsidRDefault="00F955AD" w:rsidP="00F955AD">
            <w:pPr>
              <w:widowControl w:val="0"/>
              <w:autoSpaceDE w:val="0"/>
              <w:autoSpaceDN w:val="0"/>
              <w:adjustRightInd w:val="0"/>
              <w:spacing w:before="60" w:after="60"/>
              <w:rPr>
                <w:b/>
                <w:sz w:val="20"/>
                <w:szCs w:val="20"/>
              </w:rPr>
            </w:pPr>
            <w:r w:rsidRPr="00A87FAB">
              <w:rPr>
                <w:b/>
                <w:sz w:val="20"/>
                <w:szCs w:val="20"/>
              </w:rPr>
              <w:t>Headline questions</w:t>
            </w:r>
          </w:p>
        </w:tc>
        <w:tc>
          <w:tcPr>
            <w:tcW w:w="4625" w:type="pct"/>
            <w:gridSpan w:val="2"/>
            <w:tcBorders>
              <w:top w:val="single" w:sz="4" w:space="0" w:color="auto"/>
              <w:left w:val="single" w:sz="4" w:space="0" w:color="auto"/>
              <w:right w:val="single" w:sz="4" w:space="0" w:color="auto"/>
            </w:tcBorders>
            <w:vAlign w:val="center"/>
          </w:tcPr>
          <w:p w:rsidR="00F955AD"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9C5C24">
              <w:rPr>
                <w:sz w:val="20"/>
                <w:szCs w:val="20"/>
                <w:lang w:val="en-GB"/>
              </w:rPr>
              <w:t>Are we achieving the results that we expected at this point in time?</w:t>
            </w:r>
            <w:r>
              <w:rPr>
                <w:sz w:val="20"/>
                <w:szCs w:val="20"/>
                <w:lang w:val="en-GB"/>
              </w:rPr>
              <w:t xml:space="preserve"> (AQC)</w:t>
            </w:r>
          </w:p>
          <w:p w:rsidR="00F955AD" w:rsidRPr="0069670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696704">
              <w:rPr>
                <w:sz w:val="20"/>
                <w:szCs w:val="20"/>
                <w:lang w:val="en-GB"/>
              </w:rPr>
              <w:t>To what extent and how has JSE enrolment in public schools increased in EP targeted districts?</w:t>
            </w:r>
            <w:r>
              <w:rPr>
                <w:sz w:val="20"/>
                <w:szCs w:val="20"/>
                <w:lang w:val="en-GB"/>
              </w:rPr>
              <w:t xml:space="preserve"> </w:t>
            </w:r>
          </w:p>
          <w:p w:rsidR="00F955AD" w:rsidRPr="0050289C"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D84508">
              <w:rPr>
                <w:sz w:val="20"/>
                <w:szCs w:val="20"/>
                <w:lang w:val="en-GB"/>
              </w:rPr>
              <w:t xml:space="preserve">To what extent and how have </w:t>
            </w:r>
            <w:r w:rsidRPr="0050289C">
              <w:rPr>
                <w:sz w:val="20"/>
                <w:szCs w:val="20"/>
                <w:lang w:val="en-GB"/>
              </w:rPr>
              <w:t>EP-funded professional development initiatives improved the management of schools and Madrasah?</w:t>
            </w:r>
          </w:p>
          <w:p w:rsidR="00F955AD" w:rsidRPr="0050289C"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50289C">
              <w:rPr>
                <w:sz w:val="20"/>
                <w:szCs w:val="20"/>
                <w:lang w:val="en-GB"/>
              </w:rPr>
              <w:t xml:space="preserve">To what extent and how has EP-funded support improved the quality of </w:t>
            </w:r>
            <w:r w:rsidR="004729E4">
              <w:rPr>
                <w:sz w:val="20"/>
                <w:szCs w:val="20"/>
                <w:lang w:val="en-GB"/>
              </w:rPr>
              <w:t>Madrasah</w:t>
            </w:r>
            <w:r w:rsidRPr="0050289C">
              <w:rPr>
                <w:sz w:val="20"/>
                <w:szCs w:val="20"/>
                <w:lang w:val="en-GB"/>
              </w:rPr>
              <w:t xml:space="preserve"> service provision?</w:t>
            </w:r>
          </w:p>
          <w:p w:rsidR="00F955AD" w:rsidRPr="0050289C"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50289C">
              <w:rPr>
                <w:sz w:val="20"/>
                <w:szCs w:val="20"/>
                <w:lang w:val="en-GB"/>
              </w:rPr>
              <w:t>To what extent is systemic change occurring within C3’s targeted districts (and elsewhere, and what is the EP’s contribution to the same?</w:t>
            </w:r>
            <w:r w:rsidR="002010DB">
              <w:rPr>
                <w:sz w:val="20"/>
                <w:szCs w:val="20"/>
                <w:lang w:val="en-GB"/>
              </w:rPr>
              <w:t xml:space="preserve"> </w:t>
            </w:r>
          </w:p>
          <w:p w:rsidR="00F955AD" w:rsidRPr="0055565E"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50289C">
              <w:rPr>
                <w:sz w:val="20"/>
                <w:szCs w:val="20"/>
                <w:lang w:val="en-GB"/>
              </w:rPr>
              <w:t>To what</w:t>
            </w:r>
            <w:r w:rsidRPr="0055565E">
              <w:rPr>
                <w:sz w:val="20"/>
                <w:szCs w:val="20"/>
                <w:lang w:val="en-GB"/>
              </w:rPr>
              <w:t xml:space="preserve"> extent and how is ACDP evidence that relates to the EP incorporated in relevant education sector policies, regulations plans and budgets? </w:t>
            </w:r>
          </w:p>
          <w:p w:rsidR="00F955AD"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Pr>
                <w:sz w:val="20"/>
                <w:szCs w:val="20"/>
                <w:lang w:val="en-GB"/>
              </w:rPr>
              <w:t xml:space="preserve">To what extent has the EP delivered or contributed to </w:t>
            </w:r>
            <w:r w:rsidRPr="00864EBE">
              <w:rPr>
                <w:sz w:val="20"/>
                <w:szCs w:val="20"/>
                <w:lang w:val="en-GB"/>
              </w:rPr>
              <w:t>unforeseen results</w:t>
            </w:r>
            <w:r>
              <w:rPr>
                <w:sz w:val="20"/>
                <w:szCs w:val="20"/>
                <w:lang w:val="en-GB"/>
              </w:rPr>
              <w:t xml:space="preserve"> that could be deemed to be on a par with EOCOs and EOPOs? </w:t>
            </w:r>
          </w:p>
          <w:p w:rsidR="00F955AD" w:rsidRPr="00C668BB"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rPr>
            </w:pPr>
            <w:r>
              <w:rPr>
                <w:sz w:val="20"/>
                <w:szCs w:val="20"/>
                <w:lang w:val="en-GB"/>
              </w:rPr>
              <w:t>Is there evidence that the EP has generated unforeseen costs and are they deemed to be at an acceptable or unacceptable level?</w:t>
            </w:r>
            <w:r w:rsidR="002010DB">
              <w:rPr>
                <w:sz w:val="20"/>
                <w:szCs w:val="20"/>
                <w:lang w:val="en-GB"/>
              </w:rPr>
              <w:t xml:space="preserve"> </w:t>
            </w:r>
          </w:p>
        </w:tc>
      </w:tr>
      <w:tr w:rsidR="00F955AD" w:rsidRPr="00B97E9E" w:rsidTr="00F955AD">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F955AD" w:rsidRPr="00B97E9E" w:rsidRDefault="00F955AD" w:rsidP="00F955AD">
            <w:pPr>
              <w:widowControl w:val="0"/>
              <w:autoSpaceDE w:val="0"/>
              <w:autoSpaceDN w:val="0"/>
              <w:adjustRightInd w:val="0"/>
              <w:spacing w:before="60" w:after="60"/>
              <w:rPr>
                <w:b/>
                <w:sz w:val="20"/>
                <w:szCs w:val="20"/>
              </w:rPr>
            </w:pPr>
            <w:r>
              <w:rPr>
                <w:b/>
                <w:sz w:val="20"/>
                <w:szCs w:val="20"/>
              </w:rPr>
              <w:t>AQC</w:t>
            </w:r>
            <w:r w:rsidRPr="00B97E9E">
              <w:rPr>
                <w:b/>
                <w:sz w:val="20"/>
                <w:szCs w:val="20"/>
              </w:rPr>
              <w:t xml:space="preserve"> </w:t>
            </w:r>
            <w:r>
              <w:rPr>
                <w:b/>
                <w:sz w:val="20"/>
                <w:szCs w:val="20"/>
              </w:rPr>
              <w:t>‘tests’</w:t>
            </w:r>
          </w:p>
        </w:tc>
        <w:tc>
          <w:tcPr>
            <w:tcW w:w="4625" w:type="pct"/>
            <w:gridSpan w:val="2"/>
            <w:tcBorders>
              <w:top w:val="single" w:sz="4" w:space="0" w:color="auto"/>
              <w:left w:val="single" w:sz="4" w:space="0" w:color="auto"/>
              <w:right w:val="single" w:sz="4" w:space="0" w:color="auto"/>
            </w:tcBorders>
            <w:vAlign w:val="center"/>
          </w:tcPr>
          <w:p w:rsidR="00F955AD" w:rsidRPr="009C5C2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9C5C24">
              <w:rPr>
                <w:sz w:val="20"/>
                <w:szCs w:val="20"/>
                <w:lang w:val="en-GB"/>
              </w:rPr>
              <w:t xml:space="preserve">The investment has clear and realistic outcomes, supported by a robust logic and theory of change. </w:t>
            </w:r>
          </w:p>
          <w:p w:rsidR="00F955AD" w:rsidRPr="009C5C2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9C5C24">
              <w:rPr>
                <w:sz w:val="20"/>
                <w:szCs w:val="20"/>
                <w:lang w:val="en-GB"/>
              </w:rPr>
              <w:t xml:space="preserve">The investment is on-track towards achieving its expected outcomes. </w:t>
            </w:r>
          </w:p>
          <w:p w:rsidR="00F955AD" w:rsidRPr="009C5C2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9C5C24">
              <w:rPr>
                <w:sz w:val="20"/>
                <w:szCs w:val="20"/>
                <w:lang w:val="en-GB"/>
              </w:rPr>
              <w:t xml:space="preserve">The quality of the investment's key outputs and activities is as expected. </w:t>
            </w:r>
          </w:p>
          <w:p w:rsidR="00F955AD" w:rsidRPr="009C5C2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9C5C24">
              <w:rPr>
                <w:sz w:val="20"/>
                <w:szCs w:val="20"/>
                <w:lang w:val="en-GB"/>
              </w:rPr>
              <w:t xml:space="preserve">Policy dialogue is used effectively to influence partners and support the investment's outcomes. </w:t>
            </w:r>
          </w:p>
          <w:p w:rsidR="00F955AD" w:rsidRPr="000C1BFE"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9C5C24">
              <w:rPr>
                <w:sz w:val="20"/>
                <w:szCs w:val="20"/>
                <w:lang w:val="en-GB"/>
              </w:rPr>
              <w:t>Intended beneficiaries are satisfied with the investment's results.</w:t>
            </w:r>
            <w:r w:rsidR="002010DB">
              <w:rPr>
                <w:sz w:val="20"/>
                <w:szCs w:val="20"/>
                <w:lang w:val="en-GB"/>
              </w:rPr>
              <w:t xml:space="preserve"> </w:t>
            </w:r>
          </w:p>
        </w:tc>
      </w:tr>
      <w:tr w:rsidR="00F955AD" w:rsidRPr="00B46E30" w:rsidTr="00F955AD">
        <w:trPr>
          <w:trHeight w:val="795"/>
        </w:trPr>
        <w:tc>
          <w:tcPr>
            <w:tcW w:w="375"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A87FAB" w:rsidRDefault="00F955AD" w:rsidP="00F955AD">
            <w:pPr>
              <w:spacing w:before="60" w:after="60"/>
              <w:jc w:val="center"/>
              <w:rPr>
                <w:b/>
                <w:smallCaps/>
                <w:sz w:val="20"/>
                <w:szCs w:val="20"/>
              </w:rPr>
            </w:pPr>
            <w:r>
              <w:rPr>
                <w:b/>
                <w:smallCaps/>
                <w:sz w:val="20"/>
                <w:szCs w:val="20"/>
              </w:rPr>
              <w:t>2.</w:t>
            </w:r>
            <w:r w:rsidRPr="00A87FAB">
              <w:rPr>
                <w:b/>
                <w:smallCaps/>
                <w:sz w:val="20"/>
                <w:szCs w:val="20"/>
              </w:rPr>
              <w:t>4</w:t>
            </w:r>
          </w:p>
        </w:tc>
        <w:tc>
          <w:tcPr>
            <w:tcW w:w="559"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A87FAB" w:rsidRDefault="00F955AD" w:rsidP="00F955AD">
            <w:pPr>
              <w:spacing w:before="60" w:after="60" w:line="240" w:lineRule="auto"/>
              <w:rPr>
                <w:b/>
                <w:sz w:val="20"/>
                <w:szCs w:val="20"/>
              </w:rPr>
            </w:pPr>
            <w:r w:rsidRPr="00A87FAB">
              <w:rPr>
                <w:b/>
                <w:sz w:val="20"/>
                <w:szCs w:val="20"/>
              </w:rPr>
              <w:t>Impact</w:t>
            </w:r>
          </w:p>
        </w:tc>
        <w:tc>
          <w:tcPr>
            <w:tcW w:w="4066"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0707A5" w:rsidRDefault="00F955AD" w:rsidP="00F955AD">
            <w:pPr>
              <w:widowControl w:val="0"/>
              <w:autoSpaceDE w:val="0"/>
              <w:autoSpaceDN w:val="0"/>
              <w:adjustRightInd w:val="0"/>
              <w:spacing w:before="60" w:after="60"/>
              <w:rPr>
                <w:b/>
                <w:sz w:val="20"/>
                <w:szCs w:val="20"/>
              </w:rPr>
            </w:pPr>
            <w:r w:rsidRPr="000707A5">
              <w:rPr>
                <w:sz w:val="20"/>
                <w:szCs w:val="20"/>
              </w:rPr>
              <w:t xml:space="preserve">The overall </w:t>
            </w:r>
            <w:r w:rsidRPr="00DC4AE6">
              <w:rPr>
                <w:i/>
                <w:sz w:val="20"/>
                <w:szCs w:val="20"/>
              </w:rPr>
              <w:t>long-term effect</w:t>
            </w:r>
            <w:r w:rsidRPr="000707A5">
              <w:rPr>
                <w:sz w:val="20"/>
                <w:szCs w:val="20"/>
              </w:rPr>
              <w:t xml:space="preserve"> produced by an investment. This includes positive and negative changes produced by a development investment (directly or indirectly</w:t>
            </w:r>
            <w:r>
              <w:rPr>
                <w:sz w:val="20"/>
                <w:szCs w:val="20"/>
              </w:rPr>
              <w:t>, intended or unintended)</w:t>
            </w:r>
            <w:r w:rsidRPr="000707A5">
              <w:rPr>
                <w:sz w:val="20"/>
                <w:szCs w:val="20"/>
              </w:rPr>
              <w:t>.</w:t>
            </w:r>
          </w:p>
        </w:tc>
      </w:tr>
      <w:tr w:rsidR="00F955AD" w:rsidRPr="00B46E30" w:rsidTr="00F955AD">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F955AD" w:rsidRPr="00A87FAB" w:rsidRDefault="00F955AD" w:rsidP="00F955AD">
            <w:pPr>
              <w:widowControl w:val="0"/>
              <w:autoSpaceDE w:val="0"/>
              <w:autoSpaceDN w:val="0"/>
              <w:adjustRightInd w:val="0"/>
              <w:spacing w:before="60" w:after="60"/>
              <w:rPr>
                <w:b/>
                <w:sz w:val="20"/>
                <w:szCs w:val="20"/>
              </w:rPr>
            </w:pPr>
            <w:r w:rsidRPr="00A87FAB">
              <w:rPr>
                <w:b/>
                <w:sz w:val="20"/>
                <w:szCs w:val="20"/>
              </w:rPr>
              <w:t>Headline questions</w:t>
            </w:r>
          </w:p>
        </w:tc>
        <w:tc>
          <w:tcPr>
            <w:tcW w:w="4625" w:type="pct"/>
            <w:gridSpan w:val="2"/>
            <w:tcBorders>
              <w:top w:val="single" w:sz="4" w:space="0" w:color="auto"/>
              <w:left w:val="single" w:sz="4" w:space="0" w:color="auto"/>
              <w:right w:val="single" w:sz="4" w:space="0" w:color="auto"/>
            </w:tcBorders>
            <w:vAlign w:val="center"/>
          </w:tcPr>
          <w:p w:rsidR="00F955AD" w:rsidRPr="00D84508"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D84508">
              <w:rPr>
                <w:sz w:val="20"/>
                <w:szCs w:val="20"/>
                <w:lang w:val="en-GB"/>
              </w:rPr>
              <w:t>To what extent have EP interventions contributed to student participation in JSE?</w:t>
            </w:r>
            <w:r>
              <w:rPr>
                <w:sz w:val="20"/>
                <w:szCs w:val="20"/>
                <w:lang w:val="en-GB"/>
              </w:rPr>
              <w:t xml:space="preserve"> (Goal 1)</w:t>
            </w:r>
          </w:p>
          <w:p w:rsidR="00F955AD" w:rsidRPr="00D84508"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D84508">
              <w:rPr>
                <w:sz w:val="20"/>
                <w:szCs w:val="20"/>
                <w:lang w:val="en-GB"/>
              </w:rPr>
              <w:t>To what extent have EP interventions contributed to the improvement of the quality of education in public and private schools?</w:t>
            </w:r>
            <w:r>
              <w:rPr>
                <w:sz w:val="20"/>
                <w:szCs w:val="20"/>
                <w:lang w:val="en-GB"/>
              </w:rPr>
              <w:t xml:space="preserve"> (Goal 2)</w:t>
            </w:r>
          </w:p>
          <w:p w:rsidR="00F955AD" w:rsidRPr="000707A5"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D84508">
              <w:rPr>
                <w:sz w:val="20"/>
                <w:szCs w:val="20"/>
                <w:lang w:val="en-GB"/>
              </w:rPr>
              <w:t>To what extent have EP</w:t>
            </w:r>
            <w:r w:rsidRPr="00A87FAB">
              <w:rPr>
                <w:sz w:val="20"/>
                <w:szCs w:val="20"/>
              </w:rPr>
              <w:t xml:space="preserve"> interventions contributed to increased use of evidence for education sector decision making?</w:t>
            </w:r>
            <w:r>
              <w:rPr>
                <w:sz w:val="20"/>
                <w:szCs w:val="20"/>
              </w:rPr>
              <w:t xml:space="preserve"> (Goal 3)</w:t>
            </w:r>
          </w:p>
        </w:tc>
      </w:tr>
      <w:tr w:rsidR="00F955AD" w:rsidRPr="00B97E9E" w:rsidTr="00F955AD">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F955AD" w:rsidRPr="00B97E9E" w:rsidRDefault="00F955AD" w:rsidP="00F955AD">
            <w:pPr>
              <w:widowControl w:val="0"/>
              <w:autoSpaceDE w:val="0"/>
              <w:autoSpaceDN w:val="0"/>
              <w:adjustRightInd w:val="0"/>
              <w:spacing w:before="60" w:after="60"/>
              <w:rPr>
                <w:b/>
                <w:sz w:val="20"/>
                <w:szCs w:val="20"/>
              </w:rPr>
            </w:pPr>
            <w:r>
              <w:rPr>
                <w:b/>
                <w:sz w:val="20"/>
                <w:szCs w:val="20"/>
              </w:rPr>
              <w:t>AQC</w:t>
            </w:r>
            <w:r w:rsidRPr="00B97E9E">
              <w:rPr>
                <w:b/>
                <w:sz w:val="20"/>
                <w:szCs w:val="20"/>
              </w:rPr>
              <w:t xml:space="preserve"> </w:t>
            </w:r>
            <w:r>
              <w:rPr>
                <w:b/>
                <w:sz w:val="20"/>
                <w:szCs w:val="20"/>
              </w:rPr>
              <w:t>‘tests’</w:t>
            </w:r>
          </w:p>
        </w:tc>
        <w:tc>
          <w:tcPr>
            <w:tcW w:w="4625" w:type="pct"/>
            <w:gridSpan w:val="2"/>
            <w:tcBorders>
              <w:top w:val="single" w:sz="4" w:space="0" w:color="auto"/>
              <w:left w:val="single" w:sz="4" w:space="0" w:color="auto"/>
              <w:right w:val="single" w:sz="4" w:space="0" w:color="auto"/>
            </w:tcBorders>
            <w:vAlign w:val="center"/>
          </w:tcPr>
          <w:p w:rsidR="00F955AD" w:rsidRPr="00346679"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Pr>
                <w:sz w:val="20"/>
                <w:szCs w:val="20"/>
                <w:lang w:val="en-GB"/>
              </w:rPr>
              <w:t>[None identified]</w:t>
            </w:r>
          </w:p>
        </w:tc>
      </w:tr>
      <w:tr w:rsidR="00F955AD" w:rsidRPr="00B97E9E" w:rsidTr="00F955AD">
        <w:trPr>
          <w:trHeight w:val="795"/>
        </w:trPr>
        <w:tc>
          <w:tcPr>
            <w:tcW w:w="375"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B97E9E" w:rsidRDefault="00F955AD" w:rsidP="00F955AD">
            <w:pPr>
              <w:spacing w:before="60" w:after="60"/>
              <w:jc w:val="center"/>
              <w:rPr>
                <w:b/>
                <w:smallCaps/>
                <w:sz w:val="20"/>
                <w:szCs w:val="20"/>
              </w:rPr>
            </w:pPr>
            <w:r w:rsidRPr="00B97E9E">
              <w:rPr>
                <w:sz w:val="20"/>
                <w:szCs w:val="20"/>
              </w:rPr>
              <w:lastRenderedPageBreak/>
              <w:br w:type="page"/>
            </w:r>
            <w:r>
              <w:rPr>
                <w:b/>
                <w:smallCaps/>
                <w:sz w:val="20"/>
                <w:szCs w:val="20"/>
              </w:rPr>
              <w:t>2.5</w:t>
            </w:r>
          </w:p>
        </w:tc>
        <w:tc>
          <w:tcPr>
            <w:tcW w:w="559"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B97E9E" w:rsidRDefault="00F955AD" w:rsidP="00F955AD">
            <w:pPr>
              <w:spacing w:before="60" w:after="60" w:line="240" w:lineRule="auto"/>
              <w:rPr>
                <w:b/>
                <w:sz w:val="20"/>
                <w:szCs w:val="20"/>
              </w:rPr>
            </w:pPr>
            <w:r>
              <w:rPr>
                <w:b/>
                <w:sz w:val="20"/>
                <w:szCs w:val="20"/>
              </w:rPr>
              <w:t>Sustainability</w:t>
            </w:r>
          </w:p>
        </w:tc>
        <w:tc>
          <w:tcPr>
            <w:tcW w:w="4066"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4D796E" w:rsidRDefault="00F955AD" w:rsidP="00F955AD">
            <w:pPr>
              <w:widowControl w:val="0"/>
              <w:autoSpaceDE w:val="0"/>
              <w:autoSpaceDN w:val="0"/>
              <w:adjustRightInd w:val="0"/>
              <w:spacing w:before="60" w:after="60" w:line="240" w:lineRule="auto"/>
              <w:rPr>
                <w:sz w:val="20"/>
                <w:szCs w:val="20"/>
              </w:rPr>
            </w:pPr>
            <w:r w:rsidRPr="004D796E">
              <w:rPr>
                <w:sz w:val="20"/>
                <w:szCs w:val="20"/>
              </w:rPr>
              <w:t xml:space="preserve">The extent to which the benefits are likely to continue after DFAT funding to the EP has been withdrawn </w:t>
            </w:r>
          </w:p>
        </w:tc>
      </w:tr>
      <w:tr w:rsidR="00F955AD" w:rsidRPr="00B97E9E" w:rsidTr="00F955AD">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F955AD" w:rsidRPr="00B97E9E" w:rsidRDefault="00F955AD" w:rsidP="00F955AD">
            <w:pPr>
              <w:widowControl w:val="0"/>
              <w:autoSpaceDE w:val="0"/>
              <w:autoSpaceDN w:val="0"/>
              <w:adjustRightInd w:val="0"/>
              <w:spacing w:before="60" w:after="60"/>
              <w:rPr>
                <w:b/>
                <w:sz w:val="20"/>
                <w:szCs w:val="20"/>
              </w:rPr>
            </w:pPr>
            <w:r w:rsidRPr="00B97E9E">
              <w:rPr>
                <w:b/>
                <w:sz w:val="20"/>
                <w:szCs w:val="20"/>
              </w:rPr>
              <w:t>Headline questions</w:t>
            </w:r>
          </w:p>
        </w:tc>
        <w:tc>
          <w:tcPr>
            <w:tcW w:w="4625" w:type="pct"/>
            <w:gridSpan w:val="2"/>
            <w:tcBorders>
              <w:top w:val="single" w:sz="4" w:space="0" w:color="auto"/>
              <w:left w:val="single" w:sz="4" w:space="0" w:color="auto"/>
              <w:bottom w:val="single" w:sz="4" w:space="0" w:color="auto"/>
              <w:right w:val="single" w:sz="4" w:space="0" w:color="auto"/>
            </w:tcBorders>
            <w:vAlign w:val="center"/>
          </w:tcPr>
          <w:p w:rsidR="00F955AD"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Pr>
                <w:sz w:val="20"/>
                <w:szCs w:val="20"/>
                <w:lang w:val="en-GB"/>
              </w:rPr>
              <w:t>Will the benefits last? (AQC)</w:t>
            </w:r>
          </w:p>
          <w:p w:rsidR="00F955AD"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Pr>
                <w:sz w:val="20"/>
                <w:szCs w:val="20"/>
                <w:lang w:val="en-GB"/>
              </w:rPr>
              <w:t>Is there evidence of partners adopting, adapting, taking to scale and financing the outputs, approaches, tools, etc. implemented in the EP?</w:t>
            </w:r>
          </w:p>
          <w:p w:rsidR="00F955AD" w:rsidRPr="004D796E"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2817E1">
              <w:rPr>
                <w:sz w:val="20"/>
                <w:szCs w:val="20"/>
                <w:lang w:val="en-GB"/>
              </w:rPr>
              <w:t xml:space="preserve">Do beneficiaries have sufficient ownership, capacity and resources to maintain </w:t>
            </w:r>
            <w:r>
              <w:rPr>
                <w:sz w:val="20"/>
                <w:szCs w:val="20"/>
                <w:lang w:val="en-GB"/>
              </w:rPr>
              <w:t>the benefits</w:t>
            </w:r>
            <w:r w:rsidRPr="002817E1">
              <w:rPr>
                <w:sz w:val="20"/>
                <w:szCs w:val="20"/>
                <w:lang w:val="en-GB"/>
              </w:rPr>
              <w:t xml:space="preserve"> after </w:t>
            </w:r>
            <w:r>
              <w:rPr>
                <w:sz w:val="20"/>
                <w:szCs w:val="20"/>
                <w:lang w:val="en-GB"/>
              </w:rPr>
              <w:t>GoA</w:t>
            </w:r>
            <w:r w:rsidRPr="002817E1">
              <w:rPr>
                <w:sz w:val="20"/>
                <w:szCs w:val="20"/>
                <w:lang w:val="en-GB"/>
              </w:rPr>
              <w:t xml:space="preserve"> funding has ceased?</w:t>
            </w:r>
          </w:p>
        </w:tc>
      </w:tr>
      <w:tr w:rsidR="00F955AD" w:rsidRPr="00B97E9E" w:rsidTr="00F955AD">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F955AD" w:rsidRPr="00B97E9E" w:rsidRDefault="00F955AD" w:rsidP="00F955AD">
            <w:pPr>
              <w:widowControl w:val="0"/>
              <w:autoSpaceDE w:val="0"/>
              <w:autoSpaceDN w:val="0"/>
              <w:adjustRightInd w:val="0"/>
              <w:spacing w:before="60" w:after="60"/>
              <w:rPr>
                <w:b/>
                <w:sz w:val="20"/>
                <w:szCs w:val="20"/>
              </w:rPr>
            </w:pPr>
            <w:r>
              <w:rPr>
                <w:b/>
                <w:sz w:val="20"/>
                <w:szCs w:val="20"/>
              </w:rPr>
              <w:t>AQC</w:t>
            </w:r>
            <w:r w:rsidRPr="00B97E9E">
              <w:rPr>
                <w:b/>
                <w:sz w:val="20"/>
                <w:szCs w:val="20"/>
              </w:rPr>
              <w:t xml:space="preserve"> </w:t>
            </w:r>
            <w:r>
              <w:rPr>
                <w:b/>
                <w:sz w:val="20"/>
                <w:szCs w:val="20"/>
              </w:rPr>
              <w:t>‘tests’</w:t>
            </w:r>
          </w:p>
        </w:tc>
        <w:tc>
          <w:tcPr>
            <w:tcW w:w="4625" w:type="pct"/>
            <w:gridSpan w:val="2"/>
            <w:tcBorders>
              <w:top w:val="single" w:sz="4" w:space="0" w:color="auto"/>
              <w:left w:val="single" w:sz="4" w:space="0" w:color="auto"/>
              <w:right w:val="single" w:sz="4" w:space="0" w:color="auto"/>
            </w:tcBorders>
            <w:vAlign w:val="center"/>
          </w:tcPr>
          <w:p w:rsidR="00F955AD" w:rsidRPr="009C5C2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9C5C24">
              <w:rPr>
                <w:sz w:val="20"/>
                <w:szCs w:val="20"/>
                <w:lang w:val="en-GB"/>
              </w:rPr>
              <w:t xml:space="preserve">There is evidence that benefits of the investment will continue after Australia's funding completes. </w:t>
            </w:r>
          </w:p>
          <w:p w:rsidR="00F955AD" w:rsidRPr="009C5C2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9C5C24">
              <w:rPr>
                <w:sz w:val="20"/>
                <w:szCs w:val="20"/>
                <w:lang w:val="en-GB"/>
              </w:rPr>
              <w:t xml:space="preserve">The investment uses local systems and processes and strengthens the capacity of local institutions. </w:t>
            </w:r>
          </w:p>
          <w:p w:rsidR="00F955AD" w:rsidRPr="009C5C2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9C5C24">
              <w:rPr>
                <w:sz w:val="20"/>
                <w:szCs w:val="20"/>
                <w:lang w:val="en-GB"/>
              </w:rPr>
              <w:t xml:space="preserve">The investment has a high level of ownership amongst developing country partners and beneficiaries. </w:t>
            </w:r>
          </w:p>
          <w:p w:rsidR="00F955AD" w:rsidRPr="009C5C2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9C5C24">
              <w:rPr>
                <w:sz w:val="20"/>
                <w:szCs w:val="20"/>
                <w:lang w:val="en-GB"/>
              </w:rPr>
              <w:t xml:space="preserve">Local, private sector or other non-ODA sources of funding are used to support the investment's outcomes. </w:t>
            </w:r>
          </w:p>
          <w:p w:rsidR="00F955AD" w:rsidRPr="009C5C2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9C5C24">
              <w:rPr>
                <w:sz w:val="20"/>
                <w:szCs w:val="20"/>
                <w:lang w:val="en-GB"/>
              </w:rPr>
              <w:t xml:space="preserve">The investment is resilient to the impacts of natural disasters and changing climatic conditions. </w:t>
            </w:r>
          </w:p>
          <w:p w:rsidR="00F955AD" w:rsidRPr="00346679"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9C5C24">
              <w:rPr>
                <w:sz w:val="20"/>
                <w:szCs w:val="20"/>
                <w:lang w:val="en-GB"/>
              </w:rPr>
              <w:t>There is a clear exit strategy, with risks to sustainability being appropriately managed.</w:t>
            </w:r>
          </w:p>
        </w:tc>
      </w:tr>
      <w:tr w:rsidR="00F955AD" w:rsidRPr="00B97E9E" w:rsidTr="00F955AD">
        <w:trPr>
          <w:trHeight w:val="795"/>
        </w:trPr>
        <w:tc>
          <w:tcPr>
            <w:tcW w:w="375"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BB6D9A" w:rsidRDefault="00F955AD" w:rsidP="00F955AD">
            <w:pPr>
              <w:spacing w:before="60" w:after="60"/>
              <w:jc w:val="center"/>
              <w:rPr>
                <w:b/>
                <w:smallCaps/>
                <w:sz w:val="20"/>
                <w:szCs w:val="20"/>
              </w:rPr>
            </w:pPr>
            <w:r w:rsidRPr="00BB6D9A">
              <w:rPr>
                <w:sz w:val="20"/>
                <w:szCs w:val="20"/>
              </w:rPr>
              <w:br w:type="page"/>
            </w:r>
            <w:r w:rsidRPr="00BB6D9A">
              <w:rPr>
                <w:b/>
                <w:smallCaps/>
                <w:sz w:val="20"/>
                <w:szCs w:val="20"/>
              </w:rPr>
              <w:t>2.6</w:t>
            </w:r>
          </w:p>
        </w:tc>
        <w:tc>
          <w:tcPr>
            <w:tcW w:w="559"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BB6D9A" w:rsidRDefault="00F955AD" w:rsidP="00F955AD">
            <w:pPr>
              <w:spacing w:before="60" w:after="60" w:line="240" w:lineRule="auto"/>
              <w:rPr>
                <w:b/>
                <w:sz w:val="20"/>
                <w:szCs w:val="20"/>
              </w:rPr>
            </w:pPr>
            <w:r w:rsidRPr="00BB6D9A">
              <w:rPr>
                <w:b/>
                <w:sz w:val="20"/>
                <w:szCs w:val="20"/>
              </w:rPr>
              <w:t>Lessons</w:t>
            </w:r>
          </w:p>
        </w:tc>
        <w:tc>
          <w:tcPr>
            <w:tcW w:w="4066"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BB6D9A" w:rsidRDefault="00F955AD" w:rsidP="00F955AD">
            <w:pPr>
              <w:widowControl w:val="0"/>
              <w:autoSpaceDE w:val="0"/>
              <w:autoSpaceDN w:val="0"/>
              <w:adjustRightInd w:val="0"/>
              <w:spacing w:before="60" w:after="60" w:line="240" w:lineRule="auto"/>
              <w:rPr>
                <w:sz w:val="20"/>
                <w:szCs w:val="20"/>
              </w:rPr>
            </w:pPr>
            <w:r w:rsidRPr="00BB6D9A">
              <w:rPr>
                <w:sz w:val="20"/>
                <w:szCs w:val="20"/>
              </w:rPr>
              <w:t>The lessons that</w:t>
            </w:r>
            <w:r>
              <w:rPr>
                <w:sz w:val="20"/>
                <w:szCs w:val="20"/>
              </w:rPr>
              <w:t xml:space="preserve"> DFAT</w:t>
            </w:r>
            <w:r w:rsidRPr="00BB6D9A">
              <w:rPr>
                <w:sz w:val="20"/>
                <w:szCs w:val="20"/>
              </w:rPr>
              <w:t xml:space="preserve"> might/should </w:t>
            </w:r>
            <w:r>
              <w:rPr>
                <w:sz w:val="20"/>
                <w:szCs w:val="20"/>
              </w:rPr>
              <w:t>apply</w:t>
            </w:r>
            <w:r w:rsidRPr="00BB6D9A">
              <w:rPr>
                <w:sz w:val="20"/>
                <w:szCs w:val="20"/>
              </w:rPr>
              <w:t xml:space="preserve"> as it implements its Forward Program </w:t>
            </w:r>
          </w:p>
        </w:tc>
      </w:tr>
      <w:tr w:rsidR="00F955AD" w:rsidRPr="00B97E9E" w:rsidTr="00F955AD">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F955AD" w:rsidRPr="009E754D" w:rsidRDefault="00F955AD" w:rsidP="00F955AD">
            <w:pPr>
              <w:widowControl w:val="0"/>
              <w:autoSpaceDE w:val="0"/>
              <w:autoSpaceDN w:val="0"/>
              <w:adjustRightInd w:val="0"/>
              <w:spacing w:before="60" w:after="60"/>
              <w:rPr>
                <w:b/>
                <w:sz w:val="20"/>
                <w:szCs w:val="20"/>
              </w:rPr>
            </w:pPr>
            <w:r w:rsidRPr="009E754D">
              <w:rPr>
                <w:b/>
                <w:sz w:val="20"/>
                <w:szCs w:val="20"/>
              </w:rPr>
              <w:t>Headline questions</w:t>
            </w:r>
          </w:p>
        </w:tc>
        <w:tc>
          <w:tcPr>
            <w:tcW w:w="4625" w:type="pct"/>
            <w:gridSpan w:val="2"/>
            <w:tcBorders>
              <w:top w:val="single" w:sz="4" w:space="0" w:color="auto"/>
              <w:left w:val="single" w:sz="4" w:space="0" w:color="auto"/>
              <w:bottom w:val="single" w:sz="4" w:space="0" w:color="auto"/>
              <w:right w:val="single" w:sz="4" w:space="0" w:color="auto"/>
            </w:tcBorders>
            <w:vAlign w:val="center"/>
          </w:tcPr>
          <w:p w:rsidR="00F955AD" w:rsidRPr="009E754D"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9E754D">
              <w:rPr>
                <w:sz w:val="20"/>
                <w:szCs w:val="20"/>
                <w:lang w:val="en-GB"/>
              </w:rPr>
              <w:t>What approaches to aid design, delivery, management and governance worked well during the EP and why?</w:t>
            </w:r>
          </w:p>
          <w:p w:rsidR="00F955AD" w:rsidRPr="009E754D"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9E754D">
              <w:rPr>
                <w:sz w:val="20"/>
                <w:szCs w:val="20"/>
                <w:lang w:val="en-GB"/>
              </w:rPr>
              <w:t>What approaches to aid design, delivery, management and governance did not work well during the EP and why?</w:t>
            </w:r>
          </w:p>
          <w:p w:rsidR="00F955AD" w:rsidRPr="009E754D"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9E754D">
              <w:rPr>
                <w:sz w:val="20"/>
                <w:szCs w:val="20"/>
                <w:lang w:val="en-GB"/>
              </w:rPr>
              <w:t xml:space="preserve">How might proven successes be applied/embraced in </w:t>
            </w:r>
            <w:r>
              <w:rPr>
                <w:sz w:val="20"/>
                <w:szCs w:val="20"/>
                <w:lang w:val="en-GB"/>
              </w:rPr>
              <w:t>the FP</w:t>
            </w:r>
            <w:r w:rsidRPr="009E754D">
              <w:rPr>
                <w:sz w:val="20"/>
                <w:szCs w:val="20"/>
                <w:lang w:val="en-GB"/>
              </w:rPr>
              <w:t>?</w:t>
            </w:r>
          </w:p>
          <w:p w:rsidR="00F955AD" w:rsidRPr="009E754D"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9E754D">
              <w:rPr>
                <w:sz w:val="20"/>
                <w:szCs w:val="20"/>
                <w:lang w:val="en-GB"/>
              </w:rPr>
              <w:t xml:space="preserve">How might pitfalls be avoided in </w:t>
            </w:r>
            <w:r>
              <w:rPr>
                <w:sz w:val="20"/>
                <w:szCs w:val="20"/>
                <w:lang w:val="en-GB"/>
              </w:rPr>
              <w:t>the FP</w:t>
            </w:r>
            <w:r w:rsidRPr="009E754D">
              <w:rPr>
                <w:sz w:val="20"/>
                <w:szCs w:val="20"/>
                <w:lang w:val="en-GB"/>
              </w:rPr>
              <w:t xml:space="preserve">? </w:t>
            </w:r>
          </w:p>
        </w:tc>
      </w:tr>
    </w:tbl>
    <w:p w:rsidR="00F955AD" w:rsidRDefault="00F955AD">
      <w:pPr>
        <w:spacing w:before="0" w:after="0" w:line="240" w:lineRule="auto"/>
        <w:jc w:val="left"/>
      </w:pPr>
      <w:r>
        <w:br w:type="page"/>
      </w:r>
    </w:p>
    <w:tbl>
      <w:tblPr>
        <w:tblW w:w="535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9"/>
        <w:gridCol w:w="1697"/>
        <w:gridCol w:w="12344"/>
      </w:tblGrid>
      <w:tr w:rsidR="00F955AD" w:rsidRPr="00DC1B5D" w:rsidTr="00F955AD">
        <w:trPr>
          <w:trHeight w:val="567"/>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1F497D" w:themeFill="text2"/>
            <w:vAlign w:val="center"/>
          </w:tcPr>
          <w:p w:rsidR="00F955AD" w:rsidRPr="00DC1B5D" w:rsidRDefault="00F955AD" w:rsidP="00F955AD">
            <w:pPr>
              <w:spacing w:before="60" w:after="60"/>
              <w:jc w:val="center"/>
              <w:rPr>
                <w:b/>
                <w:color w:val="FFFFFF" w:themeColor="background1"/>
                <w:sz w:val="24"/>
                <w:szCs w:val="24"/>
              </w:rPr>
            </w:pPr>
            <w:r>
              <w:rPr>
                <w:b/>
                <w:color w:val="FFFFFF" w:themeColor="background1"/>
                <w:sz w:val="24"/>
                <w:szCs w:val="24"/>
              </w:rPr>
              <w:lastRenderedPageBreak/>
              <w:t>Section 3</w:t>
            </w:r>
            <w:r w:rsidRPr="00DC1B5D">
              <w:rPr>
                <w:b/>
                <w:color w:val="FFFFFF" w:themeColor="background1"/>
                <w:sz w:val="24"/>
                <w:szCs w:val="24"/>
              </w:rPr>
              <w:t xml:space="preserve">: </w:t>
            </w:r>
            <w:r>
              <w:rPr>
                <w:b/>
                <w:color w:val="FFFFFF" w:themeColor="background1"/>
                <w:sz w:val="24"/>
                <w:szCs w:val="24"/>
              </w:rPr>
              <w:t>Program oversight</w:t>
            </w:r>
          </w:p>
        </w:tc>
      </w:tr>
      <w:tr w:rsidR="00F955AD" w:rsidRPr="00B97E9E" w:rsidTr="00F955AD">
        <w:trPr>
          <w:trHeight w:val="737"/>
        </w:trPr>
        <w:tc>
          <w:tcPr>
            <w:tcW w:w="375"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20575D" w:rsidRDefault="00F955AD" w:rsidP="00F955AD">
            <w:pPr>
              <w:spacing w:before="60" w:after="60"/>
              <w:jc w:val="center"/>
              <w:rPr>
                <w:b/>
                <w:smallCaps/>
                <w:sz w:val="20"/>
                <w:szCs w:val="20"/>
              </w:rPr>
            </w:pPr>
            <w:r w:rsidRPr="00B97E9E">
              <w:rPr>
                <w:sz w:val="20"/>
                <w:szCs w:val="20"/>
              </w:rPr>
              <w:br w:type="page"/>
            </w:r>
            <w:r w:rsidRPr="0020575D">
              <w:rPr>
                <w:b/>
                <w:sz w:val="20"/>
                <w:szCs w:val="20"/>
              </w:rPr>
              <w:t>3.</w:t>
            </w:r>
            <w:r>
              <w:rPr>
                <w:b/>
                <w:smallCaps/>
                <w:sz w:val="20"/>
                <w:szCs w:val="20"/>
              </w:rPr>
              <w:t>1</w:t>
            </w:r>
          </w:p>
        </w:tc>
        <w:tc>
          <w:tcPr>
            <w:tcW w:w="559"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B97E9E" w:rsidRDefault="00F955AD" w:rsidP="00F955AD">
            <w:pPr>
              <w:spacing w:before="60" w:after="60" w:line="240" w:lineRule="auto"/>
              <w:rPr>
                <w:b/>
                <w:sz w:val="20"/>
                <w:szCs w:val="20"/>
              </w:rPr>
            </w:pPr>
            <w:r>
              <w:rPr>
                <w:b/>
                <w:sz w:val="20"/>
                <w:szCs w:val="20"/>
              </w:rPr>
              <w:t xml:space="preserve">Program delivery </w:t>
            </w:r>
          </w:p>
        </w:tc>
        <w:tc>
          <w:tcPr>
            <w:tcW w:w="4066"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514AE2" w:rsidRDefault="00F955AD" w:rsidP="00F955AD">
            <w:pPr>
              <w:widowControl w:val="0"/>
              <w:autoSpaceDE w:val="0"/>
              <w:autoSpaceDN w:val="0"/>
              <w:adjustRightInd w:val="0"/>
              <w:spacing w:before="60" w:after="60" w:line="240" w:lineRule="auto"/>
              <w:rPr>
                <w:sz w:val="20"/>
                <w:szCs w:val="20"/>
              </w:rPr>
            </w:pPr>
            <w:r>
              <w:rPr>
                <w:sz w:val="20"/>
                <w:szCs w:val="20"/>
              </w:rPr>
              <w:t>The ways in which the investment is delivered</w:t>
            </w:r>
          </w:p>
        </w:tc>
      </w:tr>
      <w:tr w:rsidR="00F955AD" w:rsidRPr="00B97E9E" w:rsidTr="00F955AD">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F955AD" w:rsidRPr="00B97E9E" w:rsidRDefault="00F955AD" w:rsidP="00F955AD">
            <w:pPr>
              <w:widowControl w:val="0"/>
              <w:autoSpaceDE w:val="0"/>
              <w:autoSpaceDN w:val="0"/>
              <w:adjustRightInd w:val="0"/>
              <w:spacing w:before="60" w:after="60"/>
              <w:rPr>
                <w:b/>
                <w:sz w:val="20"/>
                <w:szCs w:val="20"/>
              </w:rPr>
            </w:pPr>
            <w:r w:rsidRPr="00B97E9E">
              <w:rPr>
                <w:b/>
                <w:sz w:val="20"/>
                <w:szCs w:val="20"/>
              </w:rPr>
              <w:t>Headline questions</w:t>
            </w:r>
          </w:p>
        </w:tc>
        <w:tc>
          <w:tcPr>
            <w:tcW w:w="4625" w:type="pct"/>
            <w:gridSpan w:val="2"/>
            <w:tcBorders>
              <w:top w:val="single" w:sz="4" w:space="0" w:color="auto"/>
              <w:left w:val="single" w:sz="4" w:space="0" w:color="auto"/>
              <w:bottom w:val="single" w:sz="4" w:space="0" w:color="auto"/>
              <w:right w:val="single" w:sz="4" w:space="0" w:color="auto"/>
            </w:tcBorders>
            <w:vAlign w:val="center"/>
          </w:tcPr>
          <w:p w:rsidR="00F955AD" w:rsidRPr="007A0146"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rPr>
            </w:pPr>
            <w:r w:rsidRPr="0055565E">
              <w:rPr>
                <w:sz w:val="20"/>
                <w:szCs w:val="20"/>
                <w:lang w:val="en-GB"/>
              </w:rPr>
              <w:t>Have</w:t>
            </w:r>
            <w:r>
              <w:rPr>
                <w:sz w:val="20"/>
                <w:szCs w:val="20"/>
              </w:rPr>
              <w:t xml:space="preserve"> the most appropriate implementation arrangements, modalities and/or delivery mechanisms been utilised to maximise results?</w:t>
            </w:r>
          </w:p>
        </w:tc>
      </w:tr>
      <w:tr w:rsidR="00F955AD" w:rsidRPr="00B97E9E" w:rsidTr="00F955AD">
        <w:trPr>
          <w:trHeight w:val="737"/>
        </w:trPr>
        <w:tc>
          <w:tcPr>
            <w:tcW w:w="375"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5A6B54" w:rsidRDefault="00F955AD" w:rsidP="00F955AD">
            <w:pPr>
              <w:spacing w:before="60" w:after="60"/>
              <w:jc w:val="center"/>
              <w:rPr>
                <w:b/>
                <w:smallCaps/>
                <w:sz w:val="20"/>
                <w:szCs w:val="20"/>
              </w:rPr>
            </w:pPr>
            <w:r w:rsidRPr="005A6B54">
              <w:rPr>
                <w:sz w:val="20"/>
                <w:szCs w:val="20"/>
              </w:rPr>
              <w:br w:type="page"/>
            </w:r>
            <w:r w:rsidRPr="005A6B54">
              <w:rPr>
                <w:b/>
                <w:sz w:val="20"/>
                <w:szCs w:val="20"/>
              </w:rPr>
              <w:t>3.</w:t>
            </w:r>
            <w:r w:rsidRPr="005A6B54">
              <w:rPr>
                <w:b/>
                <w:smallCaps/>
                <w:sz w:val="20"/>
                <w:szCs w:val="20"/>
              </w:rPr>
              <w:t>2</w:t>
            </w:r>
          </w:p>
        </w:tc>
        <w:tc>
          <w:tcPr>
            <w:tcW w:w="559"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5A6B54" w:rsidRDefault="00F955AD" w:rsidP="00F955AD">
            <w:pPr>
              <w:spacing w:before="60" w:after="60" w:line="240" w:lineRule="auto"/>
              <w:rPr>
                <w:b/>
                <w:sz w:val="20"/>
                <w:szCs w:val="20"/>
              </w:rPr>
            </w:pPr>
            <w:r w:rsidRPr="005A6B54">
              <w:rPr>
                <w:b/>
                <w:sz w:val="20"/>
                <w:szCs w:val="20"/>
              </w:rPr>
              <w:t xml:space="preserve">Program management </w:t>
            </w:r>
          </w:p>
        </w:tc>
        <w:tc>
          <w:tcPr>
            <w:tcW w:w="4066"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5A6B54" w:rsidRDefault="00F955AD" w:rsidP="00F955AD">
            <w:pPr>
              <w:widowControl w:val="0"/>
              <w:autoSpaceDE w:val="0"/>
              <w:autoSpaceDN w:val="0"/>
              <w:adjustRightInd w:val="0"/>
              <w:spacing w:before="60" w:after="60" w:line="240" w:lineRule="auto"/>
              <w:rPr>
                <w:sz w:val="20"/>
                <w:szCs w:val="20"/>
              </w:rPr>
            </w:pPr>
            <w:r w:rsidRPr="005A6B54">
              <w:rPr>
                <w:sz w:val="20"/>
                <w:szCs w:val="20"/>
              </w:rPr>
              <w:t>The formal and informal arrangements and processes by which the EP is managed by the partnership.</w:t>
            </w:r>
          </w:p>
        </w:tc>
      </w:tr>
      <w:tr w:rsidR="00F955AD" w:rsidRPr="00B97E9E" w:rsidTr="00F955AD">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F955AD" w:rsidRPr="005A6B54" w:rsidRDefault="00F955AD" w:rsidP="00F955AD">
            <w:pPr>
              <w:widowControl w:val="0"/>
              <w:autoSpaceDE w:val="0"/>
              <w:autoSpaceDN w:val="0"/>
              <w:adjustRightInd w:val="0"/>
              <w:spacing w:before="60" w:after="60"/>
              <w:rPr>
                <w:b/>
                <w:sz w:val="20"/>
                <w:szCs w:val="20"/>
              </w:rPr>
            </w:pPr>
            <w:r w:rsidRPr="005A6B54">
              <w:rPr>
                <w:b/>
                <w:sz w:val="20"/>
                <w:szCs w:val="20"/>
              </w:rPr>
              <w:t>Headline questions</w:t>
            </w:r>
          </w:p>
        </w:tc>
        <w:tc>
          <w:tcPr>
            <w:tcW w:w="4625" w:type="pct"/>
            <w:gridSpan w:val="2"/>
            <w:tcBorders>
              <w:top w:val="single" w:sz="4" w:space="0" w:color="auto"/>
              <w:left w:val="single" w:sz="4" w:space="0" w:color="auto"/>
              <w:bottom w:val="single" w:sz="4" w:space="0" w:color="auto"/>
              <w:right w:val="single" w:sz="4" w:space="0" w:color="auto"/>
            </w:tcBorders>
            <w:vAlign w:val="center"/>
          </w:tcPr>
          <w:p w:rsidR="00F955AD" w:rsidRPr="005A6B5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5A6B54">
              <w:rPr>
                <w:sz w:val="20"/>
                <w:szCs w:val="20"/>
                <w:lang w:val="en-GB"/>
              </w:rPr>
              <w:t>Is there evidence that management arrangements are effective?</w:t>
            </w:r>
          </w:p>
          <w:p w:rsidR="00F955AD" w:rsidRPr="005A6B5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5A6B54">
              <w:rPr>
                <w:sz w:val="20"/>
                <w:szCs w:val="20"/>
                <w:lang w:val="en-GB"/>
              </w:rPr>
              <w:t>Is there evidence to suggest that the program is managed in the spirit of the “partnership”?</w:t>
            </w:r>
          </w:p>
          <w:p w:rsidR="00F955AD" w:rsidRPr="005A6B5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5A6B54">
              <w:rPr>
                <w:sz w:val="20"/>
                <w:szCs w:val="20"/>
                <w:lang w:val="en-GB"/>
              </w:rPr>
              <w:t xml:space="preserve">Are there alternative views, especially as they concern important, controversial or disappointing findings? </w:t>
            </w:r>
          </w:p>
        </w:tc>
      </w:tr>
      <w:tr w:rsidR="00F955AD" w:rsidRPr="00B97E9E" w:rsidTr="00F955AD">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F955AD" w:rsidRPr="005A6B54" w:rsidRDefault="00F955AD" w:rsidP="00F955AD">
            <w:pPr>
              <w:widowControl w:val="0"/>
              <w:autoSpaceDE w:val="0"/>
              <w:autoSpaceDN w:val="0"/>
              <w:adjustRightInd w:val="0"/>
              <w:spacing w:before="60" w:after="60"/>
              <w:rPr>
                <w:b/>
                <w:sz w:val="20"/>
                <w:szCs w:val="20"/>
              </w:rPr>
            </w:pPr>
            <w:r w:rsidRPr="005A6B54">
              <w:rPr>
                <w:b/>
                <w:sz w:val="20"/>
                <w:szCs w:val="20"/>
              </w:rPr>
              <w:t>AQC ‘tests’ (selected)</w:t>
            </w:r>
          </w:p>
        </w:tc>
        <w:tc>
          <w:tcPr>
            <w:tcW w:w="4625" w:type="pct"/>
            <w:gridSpan w:val="2"/>
            <w:tcBorders>
              <w:top w:val="single" w:sz="4" w:space="0" w:color="auto"/>
              <w:left w:val="single" w:sz="4" w:space="0" w:color="auto"/>
              <w:right w:val="single" w:sz="4" w:space="0" w:color="auto"/>
            </w:tcBorders>
            <w:vAlign w:val="center"/>
          </w:tcPr>
          <w:p w:rsidR="00F955AD" w:rsidRPr="005A6B54"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5A6B54">
              <w:rPr>
                <w:sz w:val="20"/>
                <w:szCs w:val="20"/>
                <w:lang w:val="en-GB"/>
              </w:rPr>
              <w:t>Risk</w:t>
            </w:r>
            <w:r>
              <w:rPr>
                <w:sz w:val="20"/>
                <w:szCs w:val="20"/>
                <w:lang w:val="en-GB"/>
              </w:rPr>
              <w:t xml:space="preserve"> management and safeguards</w:t>
            </w:r>
          </w:p>
          <w:p w:rsidR="00F955AD" w:rsidRPr="005A6B54" w:rsidRDefault="00F955AD" w:rsidP="00B14021">
            <w:pPr>
              <w:pStyle w:val="ListParagraph"/>
              <w:widowControl w:val="0"/>
              <w:numPr>
                <w:ilvl w:val="1"/>
                <w:numId w:val="9"/>
              </w:numPr>
              <w:autoSpaceDE w:val="0"/>
              <w:autoSpaceDN w:val="0"/>
              <w:adjustRightInd w:val="0"/>
              <w:spacing w:before="60" w:after="60" w:line="240" w:lineRule="auto"/>
              <w:contextualSpacing w:val="0"/>
              <w:jc w:val="left"/>
              <w:rPr>
                <w:sz w:val="20"/>
                <w:szCs w:val="20"/>
                <w:lang w:val="en-GB"/>
              </w:rPr>
            </w:pPr>
            <w:r w:rsidRPr="005A6B54">
              <w:rPr>
                <w:sz w:val="20"/>
                <w:szCs w:val="20"/>
                <w:lang w:val="en-GB"/>
              </w:rPr>
              <w:t xml:space="preserve">The risk profile of this investment has not significantly changed during the last 12 months. </w:t>
            </w:r>
          </w:p>
          <w:p w:rsidR="00F955AD" w:rsidRPr="005A6B54" w:rsidRDefault="00F955AD" w:rsidP="00B14021">
            <w:pPr>
              <w:pStyle w:val="ListParagraph"/>
              <w:widowControl w:val="0"/>
              <w:numPr>
                <w:ilvl w:val="1"/>
                <w:numId w:val="9"/>
              </w:numPr>
              <w:autoSpaceDE w:val="0"/>
              <w:autoSpaceDN w:val="0"/>
              <w:adjustRightInd w:val="0"/>
              <w:spacing w:before="60" w:after="60" w:line="240" w:lineRule="auto"/>
              <w:contextualSpacing w:val="0"/>
              <w:jc w:val="left"/>
              <w:rPr>
                <w:sz w:val="20"/>
                <w:szCs w:val="20"/>
                <w:lang w:val="en-GB"/>
              </w:rPr>
            </w:pPr>
            <w:r w:rsidRPr="005A6B54">
              <w:rPr>
                <w:sz w:val="20"/>
                <w:szCs w:val="20"/>
                <w:lang w:val="en-GB"/>
              </w:rPr>
              <w:t>The controls and treatments for the management for the identified risks are effective.</w:t>
            </w:r>
          </w:p>
          <w:p w:rsidR="00F955AD" w:rsidRDefault="00F955AD" w:rsidP="00B14021">
            <w:pPr>
              <w:pStyle w:val="ListParagraph"/>
              <w:widowControl w:val="0"/>
              <w:numPr>
                <w:ilvl w:val="1"/>
                <w:numId w:val="9"/>
              </w:numPr>
              <w:autoSpaceDE w:val="0"/>
              <w:autoSpaceDN w:val="0"/>
              <w:adjustRightInd w:val="0"/>
              <w:spacing w:before="60" w:after="60" w:line="240" w:lineRule="auto"/>
              <w:contextualSpacing w:val="0"/>
              <w:jc w:val="left"/>
              <w:rPr>
                <w:sz w:val="20"/>
                <w:szCs w:val="20"/>
                <w:lang w:val="en-GB"/>
              </w:rPr>
            </w:pPr>
            <w:r w:rsidRPr="005A6B54">
              <w:rPr>
                <w:sz w:val="20"/>
                <w:szCs w:val="20"/>
                <w:lang w:val="en-GB"/>
              </w:rPr>
              <w:t xml:space="preserve">The investment has appropriate and effective measures in place to prevent, detect and deal with fraud and corruption. </w:t>
            </w:r>
          </w:p>
          <w:p w:rsidR="00F955AD"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Pr>
                <w:sz w:val="20"/>
                <w:szCs w:val="20"/>
                <w:lang w:val="en-GB"/>
              </w:rPr>
              <w:t>Innovation and private sector</w:t>
            </w:r>
          </w:p>
          <w:p w:rsidR="00F955AD" w:rsidRPr="00372CFE" w:rsidRDefault="00F955AD" w:rsidP="00B14021">
            <w:pPr>
              <w:pStyle w:val="ListParagraph"/>
              <w:widowControl w:val="0"/>
              <w:numPr>
                <w:ilvl w:val="1"/>
                <w:numId w:val="9"/>
              </w:numPr>
              <w:autoSpaceDE w:val="0"/>
              <w:autoSpaceDN w:val="0"/>
              <w:adjustRightInd w:val="0"/>
              <w:spacing w:before="60" w:after="60" w:line="240" w:lineRule="auto"/>
              <w:contextualSpacing w:val="0"/>
              <w:jc w:val="left"/>
              <w:rPr>
                <w:sz w:val="20"/>
                <w:szCs w:val="20"/>
                <w:lang w:val="en-GB"/>
              </w:rPr>
            </w:pPr>
            <w:r w:rsidRPr="00372CFE">
              <w:rPr>
                <w:sz w:val="20"/>
                <w:szCs w:val="20"/>
                <w:lang w:val="en-GB"/>
              </w:rPr>
              <w:t>The investment's M&amp;E system is collecting `real-time' data and using this information to adapt the investment during implementation.</w:t>
            </w:r>
          </w:p>
        </w:tc>
      </w:tr>
      <w:tr w:rsidR="00F955AD" w:rsidRPr="00B97E9E" w:rsidTr="00F955AD">
        <w:trPr>
          <w:trHeight w:val="737"/>
        </w:trPr>
        <w:tc>
          <w:tcPr>
            <w:tcW w:w="375"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5A6B54" w:rsidRDefault="00F955AD" w:rsidP="00F955AD">
            <w:pPr>
              <w:spacing w:before="60" w:after="60"/>
              <w:jc w:val="center"/>
              <w:rPr>
                <w:b/>
                <w:smallCaps/>
                <w:sz w:val="20"/>
                <w:szCs w:val="20"/>
              </w:rPr>
            </w:pPr>
            <w:r w:rsidRPr="005A6B54">
              <w:rPr>
                <w:sz w:val="20"/>
                <w:szCs w:val="20"/>
              </w:rPr>
              <w:br w:type="page"/>
            </w:r>
            <w:r w:rsidRPr="005A6B54">
              <w:rPr>
                <w:b/>
                <w:sz w:val="20"/>
                <w:szCs w:val="20"/>
              </w:rPr>
              <w:t>3.</w:t>
            </w:r>
            <w:r w:rsidRPr="005A6B54">
              <w:rPr>
                <w:b/>
                <w:smallCaps/>
                <w:sz w:val="20"/>
                <w:szCs w:val="20"/>
              </w:rPr>
              <w:t>3</w:t>
            </w:r>
          </w:p>
        </w:tc>
        <w:tc>
          <w:tcPr>
            <w:tcW w:w="559"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5A6B54" w:rsidRDefault="00F955AD" w:rsidP="00F955AD">
            <w:pPr>
              <w:spacing w:before="60" w:after="60" w:line="240" w:lineRule="auto"/>
              <w:rPr>
                <w:b/>
                <w:sz w:val="20"/>
                <w:szCs w:val="20"/>
              </w:rPr>
            </w:pPr>
            <w:r w:rsidRPr="005A6B54">
              <w:rPr>
                <w:b/>
                <w:sz w:val="20"/>
                <w:szCs w:val="20"/>
              </w:rPr>
              <w:t xml:space="preserve">Program governance </w:t>
            </w:r>
          </w:p>
        </w:tc>
        <w:tc>
          <w:tcPr>
            <w:tcW w:w="4066"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5A6B54" w:rsidRDefault="00F955AD" w:rsidP="00F955AD">
            <w:pPr>
              <w:widowControl w:val="0"/>
              <w:autoSpaceDE w:val="0"/>
              <w:autoSpaceDN w:val="0"/>
              <w:adjustRightInd w:val="0"/>
              <w:spacing w:before="60" w:after="60" w:line="240" w:lineRule="auto"/>
              <w:rPr>
                <w:sz w:val="20"/>
                <w:szCs w:val="20"/>
              </w:rPr>
            </w:pPr>
            <w:r w:rsidRPr="005A6B54">
              <w:rPr>
                <w:sz w:val="20"/>
                <w:szCs w:val="20"/>
              </w:rPr>
              <w:t>The formal and informal arrangements and processes by which the EP is governed by the partnership.</w:t>
            </w:r>
          </w:p>
        </w:tc>
      </w:tr>
      <w:tr w:rsidR="00F955AD" w:rsidRPr="00B97E9E" w:rsidTr="00F955AD">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F955AD" w:rsidRPr="00B97E9E" w:rsidRDefault="00F955AD" w:rsidP="00F955AD">
            <w:pPr>
              <w:widowControl w:val="0"/>
              <w:autoSpaceDE w:val="0"/>
              <w:autoSpaceDN w:val="0"/>
              <w:adjustRightInd w:val="0"/>
              <w:spacing w:before="60" w:after="60"/>
              <w:rPr>
                <w:b/>
                <w:sz w:val="20"/>
                <w:szCs w:val="20"/>
              </w:rPr>
            </w:pPr>
            <w:r w:rsidRPr="00B97E9E">
              <w:rPr>
                <w:b/>
                <w:sz w:val="20"/>
                <w:szCs w:val="20"/>
              </w:rPr>
              <w:t>Headline questions</w:t>
            </w:r>
          </w:p>
        </w:tc>
        <w:tc>
          <w:tcPr>
            <w:tcW w:w="4625" w:type="pct"/>
            <w:gridSpan w:val="2"/>
            <w:tcBorders>
              <w:top w:val="single" w:sz="4" w:space="0" w:color="auto"/>
              <w:left w:val="single" w:sz="4" w:space="0" w:color="auto"/>
              <w:bottom w:val="single" w:sz="4" w:space="0" w:color="auto"/>
              <w:right w:val="single" w:sz="4" w:space="0" w:color="auto"/>
            </w:tcBorders>
            <w:vAlign w:val="center"/>
          </w:tcPr>
          <w:p w:rsidR="00F955AD" w:rsidRPr="00DF1043"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DF1043">
              <w:rPr>
                <w:sz w:val="20"/>
                <w:szCs w:val="20"/>
                <w:lang w:val="en-GB"/>
              </w:rPr>
              <w:t>Is there evidence that governance arrangements are effective?</w:t>
            </w:r>
          </w:p>
          <w:p w:rsidR="00F955AD" w:rsidRPr="00DF1043"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DF1043">
              <w:rPr>
                <w:sz w:val="20"/>
                <w:szCs w:val="20"/>
                <w:lang w:val="en-GB"/>
              </w:rPr>
              <w:t>Is there evidence to suggest that the program is governed in the spirit of the “partnership”?</w:t>
            </w:r>
          </w:p>
          <w:p w:rsidR="00F955AD" w:rsidRPr="00DF1043" w:rsidRDefault="00F955AD" w:rsidP="00B14021">
            <w:pPr>
              <w:pStyle w:val="ListParagraph"/>
              <w:widowControl w:val="0"/>
              <w:numPr>
                <w:ilvl w:val="0"/>
                <w:numId w:val="9"/>
              </w:numPr>
              <w:autoSpaceDE w:val="0"/>
              <w:autoSpaceDN w:val="0"/>
              <w:adjustRightInd w:val="0"/>
              <w:spacing w:before="60" w:after="60" w:line="240" w:lineRule="auto"/>
              <w:contextualSpacing w:val="0"/>
              <w:jc w:val="left"/>
              <w:rPr>
                <w:sz w:val="20"/>
                <w:szCs w:val="20"/>
                <w:lang w:val="en-GB"/>
              </w:rPr>
            </w:pPr>
            <w:r w:rsidRPr="00DF1043">
              <w:rPr>
                <w:sz w:val="20"/>
                <w:szCs w:val="20"/>
                <w:lang w:val="en-GB"/>
              </w:rPr>
              <w:t xml:space="preserve">Are there alternative views, especially as they concern important, controversial or disappointing findings? </w:t>
            </w:r>
          </w:p>
        </w:tc>
      </w:tr>
      <w:tr w:rsidR="00F955AD" w:rsidRPr="00B97E9E" w:rsidTr="00F955AD">
        <w:trPr>
          <w:trHeight w:val="397"/>
        </w:trPr>
        <w:tc>
          <w:tcPr>
            <w:tcW w:w="375"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20575D" w:rsidRDefault="00F955AD" w:rsidP="00F955AD">
            <w:pPr>
              <w:spacing w:before="60" w:after="60"/>
              <w:jc w:val="center"/>
              <w:rPr>
                <w:b/>
                <w:smallCaps/>
                <w:sz w:val="20"/>
                <w:szCs w:val="20"/>
              </w:rPr>
            </w:pPr>
            <w:r w:rsidRPr="00B97E9E">
              <w:rPr>
                <w:sz w:val="20"/>
                <w:szCs w:val="20"/>
              </w:rPr>
              <w:br w:type="page"/>
            </w:r>
            <w:r w:rsidRPr="0020575D">
              <w:rPr>
                <w:b/>
                <w:sz w:val="20"/>
                <w:szCs w:val="20"/>
              </w:rPr>
              <w:t>3.</w:t>
            </w:r>
            <w:r>
              <w:rPr>
                <w:b/>
                <w:smallCaps/>
                <w:sz w:val="20"/>
                <w:szCs w:val="20"/>
              </w:rPr>
              <w:t>4</w:t>
            </w:r>
          </w:p>
        </w:tc>
        <w:tc>
          <w:tcPr>
            <w:tcW w:w="559"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B97E9E" w:rsidRDefault="00F955AD" w:rsidP="00F955AD">
            <w:pPr>
              <w:spacing w:before="60" w:after="60" w:line="240" w:lineRule="auto"/>
              <w:rPr>
                <w:b/>
                <w:sz w:val="20"/>
                <w:szCs w:val="20"/>
              </w:rPr>
            </w:pPr>
            <w:r>
              <w:rPr>
                <w:b/>
                <w:sz w:val="20"/>
                <w:szCs w:val="20"/>
              </w:rPr>
              <w:t xml:space="preserve">Cross-cutting issues </w:t>
            </w:r>
          </w:p>
        </w:tc>
        <w:tc>
          <w:tcPr>
            <w:tcW w:w="4066" w:type="pct"/>
            <w:tcBorders>
              <w:top w:val="single" w:sz="4" w:space="0" w:color="auto"/>
              <w:left w:val="single" w:sz="4" w:space="0" w:color="auto"/>
              <w:right w:val="single" w:sz="4" w:space="0" w:color="auto"/>
            </w:tcBorders>
            <w:shd w:val="clear" w:color="auto" w:fill="B8CCE4" w:themeFill="accent1" w:themeFillTint="66"/>
            <w:vAlign w:val="center"/>
          </w:tcPr>
          <w:p w:rsidR="00F955AD" w:rsidRPr="0020575D" w:rsidRDefault="00F955AD" w:rsidP="00B14021">
            <w:pPr>
              <w:pStyle w:val="ListParagraph"/>
              <w:widowControl w:val="0"/>
              <w:numPr>
                <w:ilvl w:val="0"/>
                <w:numId w:val="8"/>
              </w:numPr>
              <w:autoSpaceDE w:val="0"/>
              <w:autoSpaceDN w:val="0"/>
              <w:adjustRightInd w:val="0"/>
              <w:spacing w:before="60" w:after="60" w:line="240" w:lineRule="auto"/>
              <w:ind w:left="227" w:hanging="284"/>
              <w:contextualSpacing w:val="0"/>
              <w:jc w:val="left"/>
              <w:rPr>
                <w:sz w:val="20"/>
                <w:szCs w:val="20"/>
                <w:lang w:val="en-GB"/>
              </w:rPr>
            </w:pPr>
            <w:r w:rsidRPr="0020575D">
              <w:rPr>
                <w:sz w:val="20"/>
                <w:szCs w:val="20"/>
                <w:lang w:val="en-GB"/>
              </w:rPr>
              <w:t>The immediate beneficiaries of EP investment, e.g. the eligible entities in C2, the SNIPs in C3, and those making requests of ACDP in C4.</w:t>
            </w:r>
          </w:p>
          <w:p w:rsidR="00F955AD" w:rsidRPr="0020575D" w:rsidRDefault="00F955AD" w:rsidP="00B14021">
            <w:pPr>
              <w:pStyle w:val="ListParagraph"/>
              <w:widowControl w:val="0"/>
              <w:numPr>
                <w:ilvl w:val="0"/>
                <w:numId w:val="8"/>
              </w:numPr>
              <w:autoSpaceDE w:val="0"/>
              <w:autoSpaceDN w:val="0"/>
              <w:adjustRightInd w:val="0"/>
              <w:spacing w:before="60" w:after="60" w:line="240" w:lineRule="auto"/>
              <w:ind w:left="227" w:hanging="284"/>
              <w:contextualSpacing w:val="0"/>
              <w:jc w:val="left"/>
              <w:rPr>
                <w:sz w:val="20"/>
                <w:szCs w:val="20"/>
                <w:lang w:val="en-GB"/>
              </w:rPr>
            </w:pPr>
            <w:r w:rsidRPr="0020575D">
              <w:rPr>
                <w:sz w:val="20"/>
                <w:szCs w:val="20"/>
                <w:lang w:val="en-GB"/>
              </w:rPr>
              <w:t xml:space="preserve">The intermediate beneficiaries, e.g. the principals and supervisors securing PD (C2) and the </w:t>
            </w:r>
            <w:r w:rsidR="004729E4">
              <w:rPr>
                <w:sz w:val="20"/>
                <w:szCs w:val="20"/>
                <w:lang w:val="en-GB"/>
              </w:rPr>
              <w:t>Madrasah</w:t>
            </w:r>
            <w:r w:rsidRPr="0020575D">
              <w:rPr>
                <w:sz w:val="20"/>
                <w:szCs w:val="20"/>
                <w:lang w:val="en-GB"/>
              </w:rPr>
              <w:t xml:space="preserve"> receiving support from the SNIPs in C3.</w:t>
            </w:r>
          </w:p>
          <w:p w:rsidR="00F955AD" w:rsidRPr="00DA070C" w:rsidRDefault="00F955AD" w:rsidP="00B14021">
            <w:pPr>
              <w:pStyle w:val="ListParagraph"/>
              <w:widowControl w:val="0"/>
              <w:numPr>
                <w:ilvl w:val="0"/>
                <w:numId w:val="8"/>
              </w:numPr>
              <w:autoSpaceDE w:val="0"/>
              <w:autoSpaceDN w:val="0"/>
              <w:adjustRightInd w:val="0"/>
              <w:spacing w:before="60" w:after="60" w:line="240" w:lineRule="auto"/>
              <w:ind w:left="227" w:hanging="284"/>
              <w:contextualSpacing w:val="0"/>
              <w:jc w:val="left"/>
              <w:rPr>
                <w:sz w:val="19"/>
                <w:szCs w:val="19"/>
                <w:lang w:val="en-GB"/>
              </w:rPr>
            </w:pPr>
            <w:r w:rsidRPr="0020575D">
              <w:rPr>
                <w:sz w:val="20"/>
                <w:szCs w:val="20"/>
                <w:lang w:val="en-GB"/>
              </w:rPr>
              <w:t>The ultimate beneficiaries, i.e. the students.</w:t>
            </w:r>
          </w:p>
          <w:p w:rsidR="00F955AD" w:rsidRPr="00DA070C" w:rsidRDefault="00F955AD" w:rsidP="00B14021">
            <w:pPr>
              <w:pStyle w:val="ListParagraph"/>
              <w:widowControl w:val="0"/>
              <w:numPr>
                <w:ilvl w:val="0"/>
                <w:numId w:val="8"/>
              </w:numPr>
              <w:autoSpaceDE w:val="0"/>
              <w:autoSpaceDN w:val="0"/>
              <w:adjustRightInd w:val="0"/>
              <w:spacing w:before="60" w:after="60" w:line="240" w:lineRule="auto"/>
              <w:ind w:left="227" w:hanging="284"/>
              <w:contextualSpacing w:val="0"/>
              <w:jc w:val="left"/>
              <w:rPr>
                <w:sz w:val="19"/>
                <w:szCs w:val="19"/>
                <w:lang w:val="en-GB"/>
              </w:rPr>
            </w:pPr>
            <w:r>
              <w:rPr>
                <w:sz w:val="20"/>
                <w:szCs w:val="20"/>
                <w:lang w:val="en-GB"/>
              </w:rPr>
              <w:t>VFM, i.e. e</w:t>
            </w:r>
            <w:r w:rsidRPr="00DA070C">
              <w:rPr>
                <w:sz w:val="20"/>
                <w:szCs w:val="20"/>
                <w:lang w:val="en-GB"/>
              </w:rPr>
              <w:t>nsuring the best results possible are obtained from the money spent</w:t>
            </w:r>
          </w:p>
        </w:tc>
      </w:tr>
      <w:tr w:rsidR="00F955AD" w:rsidRPr="00B97E9E" w:rsidTr="00F955AD">
        <w:trPr>
          <w:trHeight w:val="680"/>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F955AD" w:rsidRPr="00B97E9E" w:rsidRDefault="00F955AD" w:rsidP="00F955AD">
            <w:pPr>
              <w:widowControl w:val="0"/>
              <w:autoSpaceDE w:val="0"/>
              <w:autoSpaceDN w:val="0"/>
              <w:adjustRightInd w:val="0"/>
              <w:spacing w:before="40" w:after="40"/>
              <w:rPr>
                <w:b/>
                <w:sz w:val="20"/>
                <w:szCs w:val="20"/>
              </w:rPr>
            </w:pPr>
            <w:r w:rsidRPr="00B97E9E">
              <w:rPr>
                <w:b/>
                <w:sz w:val="20"/>
                <w:szCs w:val="20"/>
              </w:rPr>
              <w:lastRenderedPageBreak/>
              <w:t>Headline questions</w:t>
            </w:r>
          </w:p>
        </w:tc>
        <w:tc>
          <w:tcPr>
            <w:tcW w:w="4625" w:type="pct"/>
            <w:gridSpan w:val="2"/>
            <w:tcBorders>
              <w:top w:val="single" w:sz="4" w:space="0" w:color="auto"/>
              <w:left w:val="single" w:sz="4" w:space="0" w:color="auto"/>
              <w:bottom w:val="single" w:sz="4" w:space="0" w:color="auto"/>
              <w:right w:val="single" w:sz="4" w:space="0" w:color="auto"/>
            </w:tcBorders>
            <w:vAlign w:val="center"/>
          </w:tcPr>
          <w:p w:rsidR="00F955AD" w:rsidRDefault="00F955AD" w:rsidP="00B14021">
            <w:pPr>
              <w:pStyle w:val="ListParagraph"/>
              <w:widowControl w:val="0"/>
              <w:numPr>
                <w:ilvl w:val="0"/>
                <w:numId w:val="9"/>
              </w:numPr>
              <w:autoSpaceDE w:val="0"/>
              <w:autoSpaceDN w:val="0"/>
              <w:adjustRightInd w:val="0"/>
              <w:spacing w:before="40" w:after="40" w:line="240" w:lineRule="auto"/>
              <w:contextualSpacing w:val="0"/>
              <w:jc w:val="left"/>
              <w:rPr>
                <w:sz w:val="20"/>
                <w:szCs w:val="20"/>
                <w:lang w:val="en-GB"/>
              </w:rPr>
            </w:pPr>
            <w:r>
              <w:rPr>
                <w:sz w:val="20"/>
                <w:szCs w:val="20"/>
                <w:lang w:val="en-GB"/>
              </w:rPr>
              <w:t>Disadvantaged groups</w:t>
            </w:r>
          </w:p>
          <w:p w:rsidR="00F955AD" w:rsidRDefault="00F955AD" w:rsidP="00B14021">
            <w:pPr>
              <w:pStyle w:val="ListParagraph"/>
              <w:widowControl w:val="0"/>
              <w:numPr>
                <w:ilvl w:val="1"/>
                <w:numId w:val="9"/>
              </w:numPr>
              <w:autoSpaceDE w:val="0"/>
              <w:autoSpaceDN w:val="0"/>
              <w:adjustRightInd w:val="0"/>
              <w:spacing w:before="40" w:after="40" w:line="240" w:lineRule="auto"/>
              <w:contextualSpacing w:val="0"/>
              <w:jc w:val="left"/>
              <w:rPr>
                <w:sz w:val="20"/>
                <w:szCs w:val="20"/>
                <w:lang w:val="en-GB"/>
              </w:rPr>
            </w:pPr>
            <w:r w:rsidRPr="00DA070C">
              <w:rPr>
                <w:sz w:val="20"/>
                <w:szCs w:val="20"/>
                <w:lang w:val="en-GB"/>
              </w:rPr>
              <w:t>Is the investment making a difference to gender equality and empowering women and girls?</w:t>
            </w:r>
            <w:r>
              <w:rPr>
                <w:sz w:val="20"/>
                <w:szCs w:val="20"/>
                <w:lang w:val="en-GB"/>
              </w:rPr>
              <w:t xml:space="preserve"> (AQC)</w:t>
            </w:r>
          </w:p>
          <w:p w:rsidR="00F955AD" w:rsidRDefault="00F955AD" w:rsidP="00B14021">
            <w:pPr>
              <w:pStyle w:val="ListParagraph"/>
              <w:widowControl w:val="0"/>
              <w:numPr>
                <w:ilvl w:val="1"/>
                <w:numId w:val="9"/>
              </w:numPr>
              <w:autoSpaceDE w:val="0"/>
              <w:autoSpaceDN w:val="0"/>
              <w:adjustRightInd w:val="0"/>
              <w:spacing w:before="40" w:after="40" w:line="240" w:lineRule="auto"/>
              <w:contextualSpacing w:val="0"/>
              <w:jc w:val="left"/>
              <w:rPr>
                <w:sz w:val="20"/>
                <w:szCs w:val="20"/>
                <w:lang w:val="en-GB"/>
              </w:rPr>
            </w:pPr>
            <w:r w:rsidRPr="00DA070C">
              <w:rPr>
                <w:sz w:val="20"/>
                <w:szCs w:val="20"/>
                <w:lang w:val="en-GB"/>
              </w:rPr>
              <w:t xml:space="preserve">To what extent was the promotion of equality between men and women a principal </w:t>
            </w:r>
            <w:r>
              <w:rPr>
                <w:sz w:val="20"/>
                <w:szCs w:val="20"/>
                <w:lang w:val="en-GB"/>
              </w:rPr>
              <w:t xml:space="preserve">or significant objective of this investment? (AQC variant) </w:t>
            </w:r>
          </w:p>
          <w:p w:rsidR="00F955AD" w:rsidRPr="00C04B7E" w:rsidRDefault="00F955AD" w:rsidP="00B14021">
            <w:pPr>
              <w:pStyle w:val="ListParagraph"/>
              <w:widowControl w:val="0"/>
              <w:numPr>
                <w:ilvl w:val="1"/>
                <w:numId w:val="9"/>
              </w:numPr>
              <w:autoSpaceDE w:val="0"/>
              <w:autoSpaceDN w:val="0"/>
              <w:adjustRightInd w:val="0"/>
              <w:spacing w:before="40" w:after="40" w:line="240" w:lineRule="auto"/>
              <w:contextualSpacing w:val="0"/>
              <w:jc w:val="left"/>
              <w:rPr>
                <w:sz w:val="20"/>
                <w:szCs w:val="20"/>
                <w:lang w:val="en-GB"/>
              </w:rPr>
            </w:pPr>
            <w:r w:rsidRPr="00C04B7E">
              <w:rPr>
                <w:sz w:val="20"/>
                <w:szCs w:val="20"/>
                <w:lang w:val="en-GB"/>
              </w:rPr>
              <w:t>How have EP interventions affected different beneficiaries?</w:t>
            </w:r>
          </w:p>
          <w:p w:rsidR="00F955AD" w:rsidRDefault="00F955AD" w:rsidP="00B14021">
            <w:pPr>
              <w:pStyle w:val="ListParagraph"/>
              <w:widowControl w:val="0"/>
              <w:numPr>
                <w:ilvl w:val="1"/>
                <w:numId w:val="9"/>
              </w:numPr>
              <w:autoSpaceDE w:val="0"/>
              <w:autoSpaceDN w:val="0"/>
              <w:adjustRightInd w:val="0"/>
              <w:spacing w:before="40" w:after="40" w:line="240" w:lineRule="auto"/>
              <w:contextualSpacing w:val="0"/>
              <w:jc w:val="left"/>
              <w:rPr>
                <w:sz w:val="20"/>
                <w:szCs w:val="20"/>
                <w:lang w:val="en-GB"/>
              </w:rPr>
            </w:pPr>
            <w:r>
              <w:rPr>
                <w:sz w:val="20"/>
                <w:szCs w:val="20"/>
                <w:lang w:val="en-GB"/>
              </w:rPr>
              <w:t>Do targeting measures exist and, if so, are these applied and have they been successful</w:t>
            </w:r>
            <w:r w:rsidRPr="00D84508">
              <w:rPr>
                <w:sz w:val="20"/>
                <w:szCs w:val="20"/>
                <w:lang w:val="en-GB"/>
              </w:rPr>
              <w:t>?</w:t>
            </w:r>
          </w:p>
          <w:p w:rsidR="00F955AD" w:rsidRDefault="00F955AD" w:rsidP="00B14021">
            <w:pPr>
              <w:pStyle w:val="ListParagraph"/>
              <w:widowControl w:val="0"/>
              <w:numPr>
                <w:ilvl w:val="0"/>
                <w:numId w:val="9"/>
              </w:numPr>
              <w:autoSpaceDE w:val="0"/>
              <w:autoSpaceDN w:val="0"/>
              <w:adjustRightInd w:val="0"/>
              <w:spacing w:before="40" w:after="40" w:line="240" w:lineRule="auto"/>
              <w:contextualSpacing w:val="0"/>
              <w:jc w:val="left"/>
              <w:rPr>
                <w:sz w:val="20"/>
                <w:szCs w:val="20"/>
                <w:lang w:val="en-GB"/>
              </w:rPr>
            </w:pPr>
            <w:r>
              <w:rPr>
                <w:sz w:val="20"/>
                <w:szCs w:val="20"/>
                <w:lang w:val="en-GB"/>
              </w:rPr>
              <w:t>Broader developmental agenda</w:t>
            </w:r>
          </w:p>
          <w:p w:rsidR="00F955AD" w:rsidRDefault="00F955AD" w:rsidP="00B14021">
            <w:pPr>
              <w:pStyle w:val="ListParagraph"/>
              <w:widowControl w:val="0"/>
              <w:numPr>
                <w:ilvl w:val="1"/>
                <w:numId w:val="9"/>
              </w:numPr>
              <w:autoSpaceDE w:val="0"/>
              <w:autoSpaceDN w:val="0"/>
              <w:adjustRightInd w:val="0"/>
              <w:spacing w:before="40" w:after="40" w:line="240" w:lineRule="auto"/>
              <w:contextualSpacing w:val="0"/>
              <w:jc w:val="left"/>
              <w:rPr>
                <w:sz w:val="20"/>
                <w:szCs w:val="20"/>
                <w:lang w:val="en-GB"/>
              </w:rPr>
            </w:pPr>
            <w:r>
              <w:rPr>
                <w:sz w:val="20"/>
                <w:szCs w:val="20"/>
                <w:lang w:val="en-GB"/>
              </w:rPr>
              <w:t>VFM:</w:t>
            </w:r>
          </w:p>
          <w:p w:rsidR="00F955AD" w:rsidRPr="0055565E" w:rsidRDefault="00F955AD" w:rsidP="00B14021">
            <w:pPr>
              <w:pStyle w:val="ListParagraph"/>
              <w:widowControl w:val="0"/>
              <w:numPr>
                <w:ilvl w:val="2"/>
                <w:numId w:val="9"/>
              </w:numPr>
              <w:autoSpaceDE w:val="0"/>
              <w:autoSpaceDN w:val="0"/>
              <w:adjustRightInd w:val="0"/>
              <w:spacing w:before="40" w:after="40" w:line="240" w:lineRule="auto"/>
              <w:contextualSpacing w:val="0"/>
              <w:jc w:val="left"/>
              <w:rPr>
                <w:sz w:val="20"/>
                <w:szCs w:val="20"/>
                <w:lang w:val="en-GB"/>
              </w:rPr>
            </w:pPr>
            <w:r w:rsidRPr="0055565E">
              <w:rPr>
                <w:sz w:val="20"/>
                <w:szCs w:val="20"/>
                <w:lang w:val="en-GB"/>
              </w:rPr>
              <w:t>Has the holistic and long-term value of the EP been adequately articulated?</w:t>
            </w:r>
          </w:p>
          <w:p w:rsidR="00F955AD" w:rsidRPr="0055565E" w:rsidRDefault="00F955AD" w:rsidP="00B14021">
            <w:pPr>
              <w:pStyle w:val="ListParagraph"/>
              <w:widowControl w:val="0"/>
              <w:numPr>
                <w:ilvl w:val="2"/>
                <w:numId w:val="9"/>
              </w:numPr>
              <w:autoSpaceDE w:val="0"/>
              <w:autoSpaceDN w:val="0"/>
              <w:adjustRightInd w:val="0"/>
              <w:spacing w:before="40" w:after="40" w:line="240" w:lineRule="auto"/>
              <w:contextualSpacing w:val="0"/>
              <w:jc w:val="left"/>
              <w:rPr>
                <w:sz w:val="20"/>
                <w:szCs w:val="20"/>
                <w:lang w:val="en-GB"/>
              </w:rPr>
            </w:pPr>
            <w:r w:rsidRPr="0055565E">
              <w:rPr>
                <w:sz w:val="20"/>
                <w:szCs w:val="20"/>
                <w:lang w:val="en-GB"/>
              </w:rPr>
              <w:t xml:space="preserve">How much has been spent to achieve the results described? </w:t>
            </w:r>
          </w:p>
          <w:p w:rsidR="00F955AD" w:rsidRDefault="00F955AD" w:rsidP="00B14021">
            <w:pPr>
              <w:pStyle w:val="ListParagraph"/>
              <w:widowControl w:val="0"/>
              <w:numPr>
                <w:ilvl w:val="2"/>
                <w:numId w:val="9"/>
              </w:numPr>
              <w:autoSpaceDE w:val="0"/>
              <w:autoSpaceDN w:val="0"/>
              <w:adjustRightInd w:val="0"/>
              <w:spacing w:before="40" w:after="40" w:line="240" w:lineRule="auto"/>
              <w:contextualSpacing w:val="0"/>
              <w:jc w:val="left"/>
              <w:rPr>
                <w:sz w:val="20"/>
                <w:szCs w:val="20"/>
                <w:lang w:val="en-GB"/>
              </w:rPr>
            </w:pPr>
            <w:r>
              <w:rPr>
                <w:sz w:val="20"/>
                <w:szCs w:val="20"/>
                <w:lang w:val="en-GB"/>
              </w:rPr>
              <w:t>Is there evidence to suggest that the EP (and its individual components)</w:t>
            </w:r>
            <w:r w:rsidRPr="00AC61B7">
              <w:rPr>
                <w:sz w:val="20"/>
                <w:szCs w:val="20"/>
                <w:lang w:val="en-GB"/>
              </w:rPr>
              <w:t xml:space="preserve"> </w:t>
            </w:r>
            <w:r>
              <w:rPr>
                <w:sz w:val="20"/>
                <w:szCs w:val="20"/>
                <w:lang w:val="en-GB"/>
              </w:rPr>
              <w:t>offers</w:t>
            </w:r>
            <w:r w:rsidRPr="00AC61B7">
              <w:rPr>
                <w:sz w:val="20"/>
                <w:szCs w:val="20"/>
                <w:lang w:val="en-GB"/>
              </w:rPr>
              <w:t xml:space="preserve"> Value for Money?</w:t>
            </w:r>
          </w:p>
          <w:p w:rsidR="00F955AD" w:rsidRDefault="00F955AD" w:rsidP="00B14021">
            <w:pPr>
              <w:pStyle w:val="ListParagraph"/>
              <w:widowControl w:val="0"/>
              <w:numPr>
                <w:ilvl w:val="1"/>
                <w:numId w:val="9"/>
              </w:numPr>
              <w:autoSpaceDE w:val="0"/>
              <w:autoSpaceDN w:val="0"/>
              <w:adjustRightInd w:val="0"/>
              <w:spacing w:before="40" w:after="40" w:line="240" w:lineRule="auto"/>
              <w:contextualSpacing w:val="0"/>
              <w:jc w:val="left"/>
              <w:rPr>
                <w:sz w:val="20"/>
                <w:szCs w:val="20"/>
                <w:lang w:val="en-GB"/>
              </w:rPr>
            </w:pPr>
            <w:r>
              <w:rPr>
                <w:sz w:val="20"/>
                <w:szCs w:val="20"/>
                <w:lang w:val="en-GB"/>
              </w:rPr>
              <w:t>Innovation and private sector</w:t>
            </w:r>
          </w:p>
          <w:p w:rsidR="00F955AD" w:rsidRDefault="00F955AD" w:rsidP="00B14021">
            <w:pPr>
              <w:pStyle w:val="ListParagraph"/>
              <w:widowControl w:val="0"/>
              <w:numPr>
                <w:ilvl w:val="2"/>
                <w:numId w:val="9"/>
              </w:numPr>
              <w:autoSpaceDE w:val="0"/>
              <w:autoSpaceDN w:val="0"/>
              <w:adjustRightInd w:val="0"/>
              <w:spacing w:before="40" w:after="40" w:line="240" w:lineRule="auto"/>
              <w:contextualSpacing w:val="0"/>
              <w:jc w:val="left"/>
              <w:rPr>
                <w:sz w:val="20"/>
                <w:szCs w:val="20"/>
                <w:lang w:val="en-GB"/>
              </w:rPr>
            </w:pPr>
            <w:r>
              <w:rPr>
                <w:sz w:val="20"/>
                <w:szCs w:val="20"/>
                <w:lang w:val="en-GB"/>
              </w:rPr>
              <w:t>To what extent does the investment reflect DFAT’s interest in supporting innovation and engaging the private sector?</w:t>
            </w:r>
          </w:p>
          <w:p w:rsidR="00F955AD" w:rsidRPr="00372CFE" w:rsidRDefault="00F955AD" w:rsidP="00B14021">
            <w:pPr>
              <w:pStyle w:val="ListParagraph"/>
              <w:widowControl w:val="0"/>
              <w:numPr>
                <w:ilvl w:val="0"/>
                <w:numId w:val="9"/>
              </w:numPr>
              <w:autoSpaceDE w:val="0"/>
              <w:autoSpaceDN w:val="0"/>
              <w:adjustRightInd w:val="0"/>
              <w:spacing w:before="40" w:after="40" w:line="240" w:lineRule="auto"/>
              <w:contextualSpacing w:val="0"/>
              <w:jc w:val="left"/>
              <w:rPr>
                <w:sz w:val="20"/>
                <w:szCs w:val="20"/>
                <w:lang w:val="en-GB"/>
              </w:rPr>
            </w:pPr>
            <w:r w:rsidRPr="00D84508">
              <w:rPr>
                <w:sz w:val="20"/>
                <w:szCs w:val="20"/>
                <w:lang w:val="en-GB"/>
              </w:rPr>
              <w:t>Are there alternative views, especially as the</w:t>
            </w:r>
            <w:r>
              <w:rPr>
                <w:sz w:val="20"/>
                <w:szCs w:val="20"/>
                <w:lang w:val="en-GB"/>
              </w:rPr>
              <w:t>se views</w:t>
            </w:r>
            <w:r w:rsidRPr="00D84508">
              <w:rPr>
                <w:sz w:val="20"/>
                <w:szCs w:val="20"/>
                <w:lang w:val="en-GB"/>
              </w:rPr>
              <w:t xml:space="preserve"> concern important, controversial or disappointing findings</w:t>
            </w:r>
            <w:r>
              <w:rPr>
                <w:sz w:val="20"/>
                <w:szCs w:val="20"/>
                <w:lang w:val="en-GB"/>
              </w:rPr>
              <w:t>? Broader developmental agenda</w:t>
            </w:r>
          </w:p>
        </w:tc>
      </w:tr>
      <w:tr w:rsidR="00F955AD" w:rsidRPr="00B97E9E" w:rsidTr="00F955AD">
        <w:trPr>
          <w:trHeight w:val="795"/>
        </w:trPr>
        <w:tc>
          <w:tcPr>
            <w:tcW w:w="375" w:type="pct"/>
            <w:tcBorders>
              <w:top w:val="single" w:sz="4" w:space="0" w:color="auto"/>
              <w:left w:val="single" w:sz="4" w:space="0" w:color="auto"/>
              <w:right w:val="single" w:sz="4" w:space="0" w:color="auto"/>
            </w:tcBorders>
            <w:shd w:val="clear" w:color="auto" w:fill="DBE5F1" w:themeFill="accent1" w:themeFillTint="33"/>
            <w:vAlign w:val="center"/>
          </w:tcPr>
          <w:p w:rsidR="00F955AD" w:rsidRDefault="00F955AD" w:rsidP="00F955AD">
            <w:pPr>
              <w:widowControl w:val="0"/>
              <w:autoSpaceDE w:val="0"/>
              <w:autoSpaceDN w:val="0"/>
              <w:adjustRightInd w:val="0"/>
              <w:spacing w:before="40" w:after="40"/>
              <w:rPr>
                <w:b/>
                <w:sz w:val="20"/>
                <w:szCs w:val="20"/>
              </w:rPr>
            </w:pPr>
            <w:r>
              <w:rPr>
                <w:b/>
                <w:sz w:val="20"/>
                <w:szCs w:val="20"/>
              </w:rPr>
              <w:t>AQC ‘tests’</w:t>
            </w:r>
          </w:p>
          <w:p w:rsidR="00F955AD" w:rsidRPr="00B97E9E" w:rsidRDefault="00F955AD" w:rsidP="00F955AD">
            <w:pPr>
              <w:widowControl w:val="0"/>
              <w:autoSpaceDE w:val="0"/>
              <w:autoSpaceDN w:val="0"/>
              <w:adjustRightInd w:val="0"/>
              <w:spacing w:before="40" w:after="40"/>
              <w:rPr>
                <w:b/>
                <w:sz w:val="20"/>
                <w:szCs w:val="20"/>
              </w:rPr>
            </w:pPr>
            <w:r>
              <w:rPr>
                <w:b/>
                <w:sz w:val="20"/>
                <w:szCs w:val="20"/>
              </w:rPr>
              <w:t>(selected)</w:t>
            </w:r>
          </w:p>
        </w:tc>
        <w:tc>
          <w:tcPr>
            <w:tcW w:w="4625" w:type="pct"/>
            <w:gridSpan w:val="2"/>
            <w:tcBorders>
              <w:top w:val="single" w:sz="4" w:space="0" w:color="auto"/>
              <w:left w:val="single" w:sz="4" w:space="0" w:color="auto"/>
              <w:bottom w:val="single" w:sz="4" w:space="0" w:color="auto"/>
              <w:right w:val="single" w:sz="4" w:space="0" w:color="auto"/>
            </w:tcBorders>
            <w:vAlign w:val="center"/>
          </w:tcPr>
          <w:p w:rsidR="00F955AD" w:rsidRDefault="00F955AD" w:rsidP="00B14021">
            <w:pPr>
              <w:pStyle w:val="ListParagraph"/>
              <w:widowControl w:val="0"/>
              <w:numPr>
                <w:ilvl w:val="0"/>
                <w:numId w:val="9"/>
              </w:numPr>
              <w:autoSpaceDE w:val="0"/>
              <w:autoSpaceDN w:val="0"/>
              <w:adjustRightInd w:val="0"/>
              <w:spacing w:before="40" w:after="40" w:line="240" w:lineRule="auto"/>
              <w:contextualSpacing w:val="0"/>
              <w:jc w:val="left"/>
              <w:rPr>
                <w:sz w:val="20"/>
                <w:szCs w:val="20"/>
                <w:lang w:val="en-GB"/>
              </w:rPr>
            </w:pPr>
            <w:r>
              <w:rPr>
                <w:sz w:val="20"/>
                <w:szCs w:val="20"/>
                <w:lang w:val="en-GB"/>
              </w:rPr>
              <w:t>Beneficiary-related:</w:t>
            </w:r>
          </w:p>
          <w:p w:rsidR="00F955AD" w:rsidRPr="009C5C24" w:rsidRDefault="00F955AD" w:rsidP="00B14021">
            <w:pPr>
              <w:pStyle w:val="ListParagraph"/>
              <w:widowControl w:val="0"/>
              <w:numPr>
                <w:ilvl w:val="1"/>
                <w:numId w:val="9"/>
              </w:numPr>
              <w:autoSpaceDE w:val="0"/>
              <w:autoSpaceDN w:val="0"/>
              <w:adjustRightInd w:val="0"/>
              <w:spacing w:before="40" w:after="40" w:line="240" w:lineRule="auto"/>
              <w:contextualSpacing w:val="0"/>
              <w:jc w:val="left"/>
              <w:rPr>
                <w:sz w:val="20"/>
                <w:szCs w:val="20"/>
                <w:lang w:val="en-GB"/>
              </w:rPr>
            </w:pPr>
            <w:r w:rsidRPr="009C5C24">
              <w:rPr>
                <w:sz w:val="20"/>
                <w:szCs w:val="20"/>
                <w:lang w:val="en-GB"/>
              </w:rPr>
              <w:t xml:space="preserve">The investment actively involves disabled peoples’ organisations in planning, implementation and monitoring and evaluation. </w:t>
            </w:r>
          </w:p>
          <w:p w:rsidR="00F955AD" w:rsidRPr="000C1BFE" w:rsidRDefault="00F955AD" w:rsidP="00B14021">
            <w:pPr>
              <w:pStyle w:val="ListParagraph"/>
              <w:widowControl w:val="0"/>
              <w:numPr>
                <w:ilvl w:val="1"/>
                <w:numId w:val="9"/>
              </w:numPr>
              <w:autoSpaceDE w:val="0"/>
              <w:autoSpaceDN w:val="0"/>
              <w:adjustRightInd w:val="0"/>
              <w:spacing w:before="40" w:after="40" w:line="240" w:lineRule="auto"/>
              <w:contextualSpacing w:val="0"/>
              <w:jc w:val="left"/>
              <w:rPr>
                <w:sz w:val="20"/>
                <w:szCs w:val="20"/>
                <w:lang w:val="en-GB"/>
              </w:rPr>
            </w:pPr>
            <w:r w:rsidRPr="000C1BFE">
              <w:rPr>
                <w:sz w:val="20"/>
                <w:szCs w:val="20"/>
                <w:lang w:val="en-GB"/>
              </w:rPr>
              <w:t>The investment identifies and addresses barriers to inclusion and opportunities for people with disability, indigenous peoples and/or ethnic minorities.</w:t>
            </w:r>
          </w:p>
          <w:p w:rsidR="00F955AD" w:rsidRPr="00DA070C" w:rsidRDefault="00F955AD" w:rsidP="00B14021">
            <w:pPr>
              <w:pStyle w:val="ListParagraph"/>
              <w:widowControl w:val="0"/>
              <w:numPr>
                <w:ilvl w:val="1"/>
                <w:numId w:val="9"/>
              </w:numPr>
              <w:autoSpaceDE w:val="0"/>
              <w:autoSpaceDN w:val="0"/>
              <w:adjustRightInd w:val="0"/>
              <w:spacing w:before="40" w:after="40" w:line="240" w:lineRule="auto"/>
              <w:contextualSpacing w:val="0"/>
              <w:jc w:val="left"/>
              <w:rPr>
                <w:sz w:val="20"/>
                <w:szCs w:val="20"/>
                <w:lang w:val="en-GB"/>
              </w:rPr>
            </w:pPr>
            <w:r w:rsidRPr="00DA070C">
              <w:rPr>
                <w:sz w:val="20"/>
                <w:szCs w:val="20"/>
                <w:lang w:val="en-GB"/>
              </w:rPr>
              <w:t xml:space="preserve">Analysis of gender equality gaps and opportunities substantially informs the investment. </w:t>
            </w:r>
          </w:p>
          <w:p w:rsidR="00F955AD" w:rsidRPr="00DA070C" w:rsidRDefault="00F955AD" w:rsidP="00B14021">
            <w:pPr>
              <w:pStyle w:val="ListParagraph"/>
              <w:widowControl w:val="0"/>
              <w:numPr>
                <w:ilvl w:val="1"/>
                <w:numId w:val="9"/>
              </w:numPr>
              <w:autoSpaceDE w:val="0"/>
              <w:autoSpaceDN w:val="0"/>
              <w:adjustRightInd w:val="0"/>
              <w:spacing w:before="40" w:after="40" w:line="240" w:lineRule="auto"/>
              <w:contextualSpacing w:val="0"/>
              <w:jc w:val="left"/>
              <w:rPr>
                <w:sz w:val="20"/>
                <w:szCs w:val="20"/>
                <w:lang w:val="en-GB"/>
              </w:rPr>
            </w:pPr>
            <w:r w:rsidRPr="00DA070C">
              <w:rPr>
                <w:sz w:val="20"/>
                <w:szCs w:val="20"/>
                <w:lang w:val="en-GB"/>
              </w:rPr>
              <w:t xml:space="preserve">Risks to gender equality are identified and appropriately managed. </w:t>
            </w:r>
          </w:p>
          <w:p w:rsidR="00F955AD" w:rsidRPr="00372CFE" w:rsidRDefault="00F955AD" w:rsidP="00B14021">
            <w:pPr>
              <w:pStyle w:val="ListParagraph"/>
              <w:widowControl w:val="0"/>
              <w:numPr>
                <w:ilvl w:val="1"/>
                <w:numId w:val="9"/>
              </w:numPr>
              <w:autoSpaceDE w:val="0"/>
              <w:autoSpaceDN w:val="0"/>
              <w:adjustRightInd w:val="0"/>
              <w:spacing w:before="40" w:after="40" w:line="240" w:lineRule="auto"/>
              <w:contextualSpacing w:val="0"/>
              <w:jc w:val="left"/>
              <w:rPr>
                <w:sz w:val="20"/>
                <w:szCs w:val="20"/>
                <w:lang w:val="en-GB"/>
              </w:rPr>
            </w:pPr>
            <w:r w:rsidRPr="00372CFE">
              <w:rPr>
                <w:sz w:val="20"/>
                <w:szCs w:val="20"/>
                <w:lang w:val="en-GB"/>
              </w:rPr>
              <w:t>The investment is making progress as expected in effectively implementing strategies to promote gender equality and women's empowerment.</w:t>
            </w:r>
          </w:p>
          <w:p w:rsidR="00F955AD" w:rsidRPr="00DA070C" w:rsidRDefault="00F955AD" w:rsidP="00B14021">
            <w:pPr>
              <w:pStyle w:val="ListParagraph"/>
              <w:widowControl w:val="0"/>
              <w:numPr>
                <w:ilvl w:val="1"/>
                <w:numId w:val="9"/>
              </w:numPr>
              <w:autoSpaceDE w:val="0"/>
              <w:autoSpaceDN w:val="0"/>
              <w:adjustRightInd w:val="0"/>
              <w:spacing w:before="40" w:after="40" w:line="240" w:lineRule="auto"/>
              <w:contextualSpacing w:val="0"/>
              <w:jc w:val="left"/>
              <w:rPr>
                <w:sz w:val="20"/>
                <w:szCs w:val="20"/>
                <w:lang w:val="en-GB"/>
              </w:rPr>
            </w:pPr>
            <w:r w:rsidRPr="00DA070C">
              <w:rPr>
                <w:sz w:val="20"/>
                <w:szCs w:val="20"/>
                <w:lang w:val="en-GB"/>
              </w:rPr>
              <w:t xml:space="preserve">There is sufficient expertise and budget allocation to achieve gender equality related outputs of the investment. </w:t>
            </w:r>
          </w:p>
          <w:p w:rsidR="00F955AD" w:rsidRPr="00372CFE" w:rsidRDefault="00F955AD" w:rsidP="00B14021">
            <w:pPr>
              <w:pStyle w:val="ListParagraph"/>
              <w:widowControl w:val="0"/>
              <w:numPr>
                <w:ilvl w:val="1"/>
                <w:numId w:val="9"/>
              </w:numPr>
              <w:autoSpaceDE w:val="0"/>
              <w:autoSpaceDN w:val="0"/>
              <w:adjustRightInd w:val="0"/>
              <w:spacing w:before="40" w:after="40" w:line="240" w:lineRule="auto"/>
              <w:contextualSpacing w:val="0"/>
              <w:jc w:val="left"/>
              <w:rPr>
                <w:sz w:val="20"/>
                <w:szCs w:val="20"/>
                <w:lang w:val="en-GB"/>
              </w:rPr>
            </w:pPr>
            <w:r w:rsidRPr="00372CFE">
              <w:rPr>
                <w:sz w:val="20"/>
                <w:szCs w:val="20"/>
                <w:lang w:val="en-GB"/>
              </w:rPr>
              <w:t xml:space="preserve">As a result of the investment, partners increasingly treat gender equality as a priority through their own policies and processes. </w:t>
            </w:r>
          </w:p>
          <w:p w:rsidR="00F955AD" w:rsidRDefault="00F955AD" w:rsidP="00B14021">
            <w:pPr>
              <w:pStyle w:val="ListParagraph"/>
              <w:widowControl w:val="0"/>
              <w:numPr>
                <w:ilvl w:val="0"/>
                <w:numId w:val="9"/>
              </w:numPr>
              <w:autoSpaceDE w:val="0"/>
              <w:autoSpaceDN w:val="0"/>
              <w:adjustRightInd w:val="0"/>
              <w:spacing w:before="40" w:after="40" w:line="240" w:lineRule="auto"/>
              <w:contextualSpacing w:val="0"/>
              <w:jc w:val="left"/>
              <w:rPr>
                <w:sz w:val="20"/>
                <w:szCs w:val="20"/>
                <w:lang w:val="en-GB"/>
              </w:rPr>
            </w:pPr>
            <w:r>
              <w:rPr>
                <w:sz w:val="20"/>
                <w:szCs w:val="20"/>
                <w:lang w:val="en-GB"/>
              </w:rPr>
              <w:t>Innovation and private sector-related:</w:t>
            </w:r>
          </w:p>
          <w:p w:rsidR="00F955AD" w:rsidRPr="00894E63" w:rsidRDefault="00F955AD" w:rsidP="00B14021">
            <w:pPr>
              <w:pStyle w:val="ListParagraph"/>
              <w:widowControl w:val="0"/>
              <w:numPr>
                <w:ilvl w:val="1"/>
                <w:numId w:val="9"/>
              </w:numPr>
              <w:autoSpaceDE w:val="0"/>
              <w:autoSpaceDN w:val="0"/>
              <w:adjustRightInd w:val="0"/>
              <w:spacing w:before="40" w:after="40" w:line="240" w:lineRule="auto"/>
              <w:contextualSpacing w:val="0"/>
              <w:jc w:val="left"/>
              <w:rPr>
                <w:sz w:val="20"/>
                <w:szCs w:val="20"/>
                <w:lang w:val="en-GB"/>
              </w:rPr>
            </w:pPr>
            <w:r w:rsidRPr="00894E63">
              <w:rPr>
                <w:sz w:val="20"/>
                <w:szCs w:val="20"/>
                <w:lang w:val="en-GB"/>
              </w:rPr>
              <w:t xml:space="preserve">The investment is results-based (i.e. </w:t>
            </w:r>
            <w:r>
              <w:rPr>
                <w:sz w:val="20"/>
                <w:szCs w:val="20"/>
                <w:lang w:val="en-GB"/>
              </w:rPr>
              <w:t>DFAT</w:t>
            </w:r>
            <w:r w:rsidRPr="00894E63">
              <w:rPr>
                <w:sz w:val="20"/>
                <w:szCs w:val="20"/>
                <w:lang w:val="en-GB"/>
              </w:rPr>
              <w:t xml:space="preserve"> pay</w:t>
            </w:r>
            <w:r>
              <w:rPr>
                <w:sz w:val="20"/>
                <w:szCs w:val="20"/>
                <w:lang w:val="en-GB"/>
              </w:rPr>
              <w:t>s</w:t>
            </w:r>
            <w:r w:rsidRPr="00894E63">
              <w:rPr>
                <w:sz w:val="20"/>
                <w:szCs w:val="20"/>
                <w:lang w:val="en-GB"/>
              </w:rPr>
              <w:t xml:space="preserve"> only on delivery of an agreed set of outpu</w:t>
            </w:r>
            <w:r>
              <w:rPr>
                <w:sz w:val="20"/>
                <w:szCs w:val="20"/>
                <w:lang w:val="en-GB"/>
              </w:rPr>
              <w:t xml:space="preserve">ts). </w:t>
            </w:r>
          </w:p>
          <w:p w:rsidR="00F955AD" w:rsidRPr="00372CFE" w:rsidRDefault="00F955AD" w:rsidP="00B14021">
            <w:pPr>
              <w:pStyle w:val="ListParagraph"/>
              <w:widowControl w:val="0"/>
              <w:numPr>
                <w:ilvl w:val="1"/>
                <w:numId w:val="9"/>
              </w:numPr>
              <w:autoSpaceDE w:val="0"/>
              <w:autoSpaceDN w:val="0"/>
              <w:adjustRightInd w:val="0"/>
              <w:spacing w:before="40" w:after="40" w:line="240" w:lineRule="auto"/>
              <w:contextualSpacing w:val="0"/>
              <w:jc w:val="left"/>
              <w:rPr>
                <w:sz w:val="20"/>
                <w:szCs w:val="20"/>
                <w:lang w:val="en-GB"/>
              </w:rPr>
            </w:pPr>
            <w:r w:rsidRPr="00372CFE">
              <w:rPr>
                <w:sz w:val="20"/>
                <w:szCs w:val="20"/>
                <w:lang w:val="en-GB"/>
              </w:rPr>
              <w:t>The investment is applying a new approach to aid delivery that has not been used in this region/country or sector previously.</w:t>
            </w:r>
          </w:p>
          <w:p w:rsidR="00F955AD" w:rsidRPr="00372CFE" w:rsidRDefault="00F955AD" w:rsidP="00B14021">
            <w:pPr>
              <w:pStyle w:val="ListParagraph"/>
              <w:widowControl w:val="0"/>
              <w:numPr>
                <w:ilvl w:val="1"/>
                <w:numId w:val="9"/>
              </w:numPr>
              <w:autoSpaceDE w:val="0"/>
              <w:autoSpaceDN w:val="0"/>
              <w:adjustRightInd w:val="0"/>
              <w:spacing w:before="40" w:after="40" w:line="240" w:lineRule="auto"/>
              <w:contextualSpacing w:val="0"/>
              <w:jc w:val="left"/>
              <w:rPr>
                <w:sz w:val="20"/>
                <w:szCs w:val="20"/>
                <w:lang w:val="en-GB"/>
              </w:rPr>
            </w:pPr>
            <w:r>
              <w:rPr>
                <w:sz w:val="20"/>
                <w:szCs w:val="20"/>
                <w:lang w:val="en-GB"/>
              </w:rPr>
              <w:t xml:space="preserve">The investment is trialling, </w:t>
            </w:r>
            <w:r w:rsidRPr="00372CFE">
              <w:rPr>
                <w:sz w:val="20"/>
                <w:szCs w:val="20"/>
                <w:lang w:val="en-GB"/>
              </w:rPr>
              <w:t>adapting new technologies that, if successful, offer clear potential for improved cost effectiveness</w:t>
            </w:r>
            <w:r>
              <w:rPr>
                <w:sz w:val="20"/>
                <w:szCs w:val="20"/>
                <w:lang w:val="en-GB"/>
              </w:rPr>
              <w:t xml:space="preserve">, </w:t>
            </w:r>
            <w:r w:rsidRPr="00372CFE">
              <w:rPr>
                <w:sz w:val="20"/>
                <w:szCs w:val="20"/>
                <w:lang w:val="en-GB"/>
              </w:rPr>
              <w:t>achieving impact at scale.</w:t>
            </w:r>
          </w:p>
          <w:p w:rsidR="00F955AD" w:rsidRPr="00372CFE" w:rsidRDefault="00F955AD" w:rsidP="00B14021">
            <w:pPr>
              <w:pStyle w:val="ListParagraph"/>
              <w:widowControl w:val="0"/>
              <w:numPr>
                <w:ilvl w:val="1"/>
                <w:numId w:val="9"/>
              </w:numPr>
              <w:autoSpaceDE w:val="0"/>
              <w:autoSpaceDN w:val="0"/>
              <w:adjustRightInd w:val="0"/>
              <w:spacing w:before="40" w:after="40" w:line="240" w:lineRule="auto"/>
              <w:contextualSpacing w:val="0"/>
              <w:jc w:val="left"/>
              <w:rPr>
                <w:sz w:val="20"/>
                <w:szCs w:val="20"/>
                <w:lang w:val="en-GB"/>
              </w:rPr>
            </w:pPr>
            <w:r w:rsidRPr="00372CFE">
              <w:rPr>
                <w:sz w:val="20"/>
                <w:szCs w:val="20"/>
                <w:lang w:val="en-GB"/>
              </w:rPr>
              <w:t>The investment is a new collaboration / partnership between DFAT and the private sector (excludes standard commercial supply contracts).</w:t>
            </w:r>
          </w:p>
          <w:p w:rsidR="00F955AD" w:rsidRPr="00894E63" w:rsidRDefault="00F955AD" w:rsidP="00B14021">
            <w:pPr>
              <w:pStyle w:val="ListParagraph"/>
              <w:widowControl w:val="0"/>
              <w:numPr>
                <w:ilvl w:val="1"/>
                <w:numId w:val="9"/>
              </w:numPr>
              <w:autoSpaceDE w:val="0"/>
              <w:autoSpaceDN w:val="0"/>
              <w:adjustRightInd w:val="0"/>
              <w:spacing w:before="40" w:after="40" w:line="240" w:lineRule="auto"/>
              <w:contextualSpacing w:val="0"/>
              <w:jc w:val="left"/>
              <w:rPr>
                <w:sz w:val="20"/>
                <w:szCs w:val="20"/>
                <w:lang w:val="en-GB"/>
              </w:rPr>
            </w:pPr>
            <w:r w:rsidRPr="00894E63">
              <w:rPr>
                <w:sz w:val="20"/>
                <w:szCs w:val="20"/>
                <w:lang w:val="en-GB"/>
              </w:rPr>
              <w:t xml:space="preserve">The investment has potential to be scaled-up and/or replicated if successful. </w:t>
            </w:r>
          </w:p>
          <w:p w:rsidR="00F955AD" w:rsidRPr="000C1BFE" w:rsidRDefault="00F955AD" w:rsidP="00B14021">
            <w:pPr>
              <w:pStyle w:val="ListParagraph"/>
              <w:widowControl w:val="0"/>
              <w:numPr>
                <w:ilvl w:val="1"/>
                <w:numId w:val="9"/>
              </w:numPr>
              <w:autoSpaceDE w:val="0"/>
              <w:autoSpaceDN w:val="0"/>
              <w:adjustRightInd w:val="0"/>
              <w:spacing w:before="40" w:after="40" w:line="240" w:lineRule="auto"/>
              <w:contextualSpacing w:val="0"/>
              <w:jc w:val="left"/>
              <w:rPr>
                <w:sz w:val="20"/>
                <w:szCs w:val="20"/>
                <w:lang w:val="en-GB"/>
              </w:rPr>
            </w:pPr>
            <w:r w:rsidRPr="00894E63">
              <w:rPr>
                <w:sz w:val="20"/>
                <w:szCs w:val="20"/>
                <w:lang w:val="en-GB"/>
              </w:rPr>
              <w:t xml:space="preserve">The investment engaged with the private sector in its design, delivery, governance or evaluation. </w:t>
            </w:r>
          </w:p>
        </w:tc>
      </w:tr>
    </w:tbl>
    <w:p w:rsidR="00E753BE" w:rsidRDefault="00E753BE" w:rsidP="002C7EC2">
      <w:pPr>
        <w:pStyle w:val="Heading1-NoNumber"/>
        <w:sectPr w:rsidR="00E753BE" w:rsidSect="00D06F80">
          <w:headerReference w:type="default" r:id="rId47"/>
          <w:pgSz w:w="16838" w:h="11906" w:orient="landscape"/>
          <w:pgMar w:top="1440" w:right="1440" w:bottom="1440" w:left="1440" w:header="708" w:footer="708" w:gutter="0"/>
          <w:cols w:space="708"/>
          <w:docGrid w:linePitch="360"/>
        </w:sectPr>
      </w:pPr>
    </w:p>
    <w:p w:rsidR="00E753BE" w:rsidRDefault="002C7EC2" w:rsidP="002C7EC2">
      <w:pPr>
        <w:pStyle w:val="Heading1-NoNumber"/>
      </w:pPr>
      <w:bookmarkStart w:id="133" w:name="_Toc448156336"/>
      <w:r w:rsidRPr="00851EC7">
        <w:lastRenderedPageBreak/>
        <w:t>Annex VI: List of Persons Consulted</w:t>
      </w:r>
      <w:bookmarkEnd w:id="133"/>
    </w:p>
    <w:tbl>
      <w:tblPr>
        <w:tblStyle w:val="TableGrid18"/>
        <w:tblW w:w="14142" w:type="dxa"/>
        <w:tblLook w:val="04A0" w:firstRow="1" w:lastRow="0" w:firstColumn="1" w:lastColumn="0" w:noHBand="0" w:noVBand="1"/>
      </w:tblPr>
      <w:tblGrid>
        <w:gridCol w:w="2376"/>
        <w:gridCol w:w="8080"/>
        <w:gridCol w:w="1984"/>
        <w:gridCol w:w="1702"/>
      </w:tblGrid>
      <w:tr w:rsidR="00482A39" w:rsidRPr="00851EC7" w:rsidTr="00876863">
        <w:trPr>
          <w:trHeight w:val="591"/>
          <w:tblHeader/>
        </w:trPr>
        <w:tc>
          <w:tcPr>
            <w:tcW w:w="2376" w:type="dxa"/>
            <w:shd w:val="clear" w:color="auto" w:fill="365F91" w:themeFill="accent1" w:themeFillShade="BF"/>
            <w:vAlign w:val="center"/>
          </w:tcPr>
          <w:p w:rsidR="00482A39" w:rsidRPr="00B21C20" w:rsidRDefault="00482A39" w:rsidP="00876863">
            <w:pPr>
              <w:pStyle w:val="TableParagraph"/>
              <w:jc w:val="center"/>
              <w:rPr>
                <w:b/>
                <w:color w:val="FFFFFF" w:themeColor="background1"/>
              </w:rPr>
            </w:pPr>
            <w:r w:rsidRPr="00B21C20">
              <w:rPr>
                <w:b/>
                <w:color w:val="FFFFFF" w:themeColor="background1"/>
              </w:rPr>
              <w:t>Name</w:t>
            </w:r>
          </w:p>
        </w:tc>
        <w:tc>
          <w:tcPr>
            <w:tcW w:w="8080" w:type="dxa"/>
            <w:shd w:val="clear" w:color="auto" w:fill="365F91" w:themeFill="accent1" w:themeFillShade="BF"/>
            <w:vAlign w:val="center"/>
          </w:tcPr>
          <w:p w:rsidR="00482A39" w:rsidRPr="00B21C20" w:rsidRDefault="00482A39" w:rsidP="00876863">
            <w:pPr>
              <w:pStyle w:val="TableParagraph"/>
              <w:jc w:val="center"/>
              <w:rPr>
                <w:b/>
                <w:color w:val="FFFFFF" w:themeColor="background1"/>
              </w:rPr>
            </w:pPr>
            <w:r w:rsidRPr="00B21C20">
              <w:rPr>
                <w:b/>
                <w:color w:val="FFFFFF" w:themeColor="background1"/>
              </w:rPr>
              <w:t>Title</w:t>
            </w:r>
          </w:p>
        </w:tc>
        <w:tc>
          <w:tcPr>
            <w:tcW w:w="1984" w:type="dxa"/>
            <w:shd w:val="clear" w:color="auto" w:fill="365F91" w:themeFill="accent1" w:themeFillShade="BF"/>
            <w:vAlign w:val="center"/>
          </w:tcPr>
          <w:p w:rsidR="00482A39" w:rsidRPr="00B21C20" w:rsidRDefault="00482A39" w:rsidP="00876863">
            <w:pPr>
              <w:pStyle w:val="TableParagraph"/>
              <w:jc w:val="center"/>
              <w:rPr>
                <w:b/>
                <w:color w:val="FFFFFF" w:themeColor="background1"/>
              </w:rPr>
            </w:pPr>
            <w:r w:rsidRPr="00B21C20">
              <w:rPr>
                <w:b/>
                <w:color w:val="FFFFFF" w:themeColor="background1"/>
              </w:rPr>
              <w:t xml:space="preserve">Date of </w:t>
            </w:r>
            <w:r>
              <w:rPr>
                <w:b/>
                <w:color w:val="FFFFFF" w:themeColor="background1"/>
              </w:rPr>
              <w:br/>
            </w:r>
            <w:r w:rsidRPr="00B21C20">
              <w:rPr>
                <w:b/>
                <w:color w:val="FFFFFF" w:themeColor="background1"/>
              </w:rPr>
              <w:t>Consultation</w:t>
            </w:r>
          </w:p>
        </w:tc>
        <w:tc>
          <w:tcPr>
            <w:tcW w:w="1702" w:type="dxa"/>
            <w:shd w:val="clear" w:color="auto" w:fill="365F91" w:themeFill="accent1" w:themeFillShade="BF"/>
            <w:vAlign w:val="center"/>
          </w:tcPr>
          <w:p w:rsidR="00482A39" w:rsidRPr="00B21C20" w:rsidRDefault="00482A39" w:rsidP="00876863">
            <w:pPr>
              <w:pStyle w:val="TableParagraph"/>
              <w:jc w:val="center"/>
              <w:rPr>
                <w:b/>
                <w:color w:val="FFFFFF" w:themeColor="background1"/>
              </w:rPr>
            </w:pPr>
            <w:r w:rsidRPr="00B21C20">
              <w:rPr>
                <w:b/>
                <w:color w:val="FFFFFF" w:themeColor="background1"/>
              </w:rPr>
              <w:t>POM Staff Present*</w:t>
            </w:r>
          </w:p>
        </w:tc>
      </w:tr>
      <w:tr w:rsidR="00482A39" w:rsidRPr="00851EC7" w:rsidTr="00876863">
        <w:trPr>
          <w:trHeight w:val="537"/>
        </w:trPr>
        <w:tc>
          <w:tcPr>
            <w:tcW w:w="2376" w:type="dxa"/>
            <w:vAlign w:val="center"/>
          </w:tcPr>
          <w:p w:rsidR="00482A39" w:rsidRPr="00851EC7" w:rsidRDefault="00482A39" w:rsidP="00876863">
            <w:pPr>
              <w:pStyle w:val="TableParagraph"/>
            </w:pPr>
            <w:r>
              <w:t>Supriano</w:t>
            </w:r>
          </w:p>
        </w:tc>
        <w:tc>
          <w:tcPr>
            <w:tcW w:w="8080" w:type="dxa"/>
            <w:vAlign w:val="center"/>
          </w:tcPr>
          <w:p w:rsidR="00482A39" w:rsidRPr="005F7B89" w:rsidRDefault="00482A39" w:rsidP="00876863">
            <w:pPr>
              <w:pStyle w:val="TableParagraph"/>
            </w:pPr>
            <w:r w:rsidRPr="005F7B89">
              <w:t>Director for the Development of Junior Secondary Education</w:t>
            </w:r>
            <w:r>
              <w:t>, Ministry of Education and Culture (MoEC)</w:t>
            </w:r>
          </w:p>
        </w:tc>
        <w:tc>
          <w:tcPr>
            <w:tcW w:w="1984" w:type="dxa"/>
            <w:vAlign w:val="center"/>
          </w:tcPr>
          <w:p w:rsidR="00482A39" w:rsidRPr="00851EC7" w:rsidRDefault="00482A39" w:rsidP="00876863">
            <w:pPr>
              <w:pStyle w:val="TableParagraph"/>
              <w:jc w:val="center"/>
            </w:pPr>
            <w:r>
              <w:t>22/01/16</w:t>
            </w:r>
          </w:p>
        </w:tc>
        <w:tc>
          <w:tcPr>
            <w:tcW w:w="1702" w:type="dxa"/>
            <w:vAlign w:val="center"/>
          </w:tcPr>
          <w:p w:rsidR="00482A39" w:rsidRPr="00851EC7" w:rsidRDefault="00482A39" w:rsidP="00876863">
            <w:pPr>
              <w:pStyle w:val="TableParagraph"/>
              <w:jc w:val="center"/>
            </w:pPr>
            <w:r>
              <w:rPr>
                <w:b/>
              </w:rPr>
              <w:t xml:space="preserve">JD, </w:t>
            </w:r>
            <w:r w:rsidRPr="00F4017C">
              <w:t>IV</w:t>
            </w:r>
          </w:p>
        </w:tc>
      </w:tr>
      <w:tr w:rsidR="00482A39" w:rsidRPr="00851EC7" w:rsidTr="00876863">
        <w:trPr>
          <w:trHeight w:val="537"/>
        </w:trPr>
        <w:tc>
          <w:tcPr>
            <w:tcW w:w="2376" w:type="dxa"/>
            <w:vAlign w:val="center"/>
          </w:tcPr>
          <w:p w:rsidR="00482A39" w:rsidRPr="00851EC7" w:rsidRDefault="00482A39" w:rsidP="00876863">
            <w:pPr>
              <w:pStyle w:val="TableParagraph"/>
            </w:pPr>
            <w:r>
              <w:t>Didik Suhardi</w:t>
            </w:r>
          </w:p>
        </w:tc>
        <w:tc>
          <w:tcPr>
            <w:tcW w:w="8080" w:type="dxa"/>
            <w:vAlign w:val="center"/>
          </w:tcPr>
          <w:p w:rsidR="00482A39" w:rsidRPr="00851EC7" w:rsidRDefault="00482A39" w:rsidP="00876863">
            <w:pPr>
              <w:pStyle w:val="TableParagraph"/>
            </w:pPr>
            <w:r>
              <w:t>Secretary General, Ministry of Education and Culture (MoEC)</w:t>
            </w:r>
          </w:p>
        </w:tc>
        <w:tc>
          <w:tcPr>
            <w:tcW w:w="1984" w:type="dxa"/>
            <w:vAlign w:val="center"/>
          </w:tcPr>
          <w:p w:rsidR="00482A39" w:rsidRPr="00851EC7" w:rsidRDefault="00482A39" w:rsidP="00876863">
            <w:pPr>
              <w:pStyle w:val="TableParagraph"/>
              <w:jc w:val="center"/>
            </w:pPr>
            <w:r>
              <w:t>26/01/16</w:t>
            </w:r>
          </w:p>
        </w:tc>
        <w:tc>
          <w:tcPr>
            <w:tcW w:w="1702" w:type="dxa"/>
            <w:vAlign w:val="center"/>
          </w:tcPr>
          <w:p w:rsidR="00482A39" w:rsidRPr="00851EC7" w:rsidRDefault="00482A39" w:rsidP="00876863">
            <w:pPr>
              <w:pStyle w:val="TableParagraph"/>
              <w:jc w:val="center"/>
            </w:pPr>
            <w:r>
              <w:rPr>
                <w:b/>
              </w:rPr>
              <w:t xml:space="preserve">JD, </w:t>
            </w:r>
            <w:r w:rsidRPr="00F4017C">
              <w:t>IV</w:t>
            </w:r>
          </w:p>
        </w:tc>
      </w:tr>
      <w:tr w:rsidR="00482A39" w:rsidRPr="00851EC7" w:rsidTr="00876863">
        <w:trPr>
          <w:trHeight w:val="537"/>
        </w:trPr>
        <w:tc>
          <w:tcPr>
            <w:tcW w:w="2376" w:type="dxa"/>
            <w:vAlign w:val="center"/>
          </w:tcPr>
          <w:p w:rsidR="00482A39" w:rsidRPr="00851EC7" w:rsidRDefault="00482A39" w:rsidP="00876863">
            <w:pPr>
              <w:pStyle w:val="TableParagraph"/>
            </w:pPr>
            <w:r>
              <w:t>Susetyo Widiasmoro</w:t>
            </w:r>
          </w:p>
        </w:tc>
        <w:tc>
          <w:tcPr>
            <w:tcW w:w="8080" w:type="dxa"/>
            <w:vAlign w:val="center"/>
          </w:tcPr>
          <w:p w:rsidR="00482A39" w:rsidRPr="00851EC7" w:rsidRDefault="00482A39" w:rsidP="00876863">
            <w:pPr>
              <w:pStyle w:val="TableParagraph"/>
            </w:pPr>
            <w:r>
              <w:t xml:space="preserve">Head of Sub-Directorate of Institutions, Facilities and Infrastructure Unit, Ministry of Education and Culture (MoEC) </w:t>
            </w:r>
          </w:p>
        </w:tc>
        <w:tc>
          <w:tcPr>
            <w:tcW w:w="1984" w:type="dxa"/>
            <w:vAlign w:val="center"/>
          </w:tcPr>
          <w:p w:rsidR="00482A39" w:rsidRPr="00851EC7" w:rsidRDefault="00482A39" w:rsidP="00876863">
            <w:pPr>
              <w:pStyle w:val="TableParagraph"/>
              <w:jc w:val="center"/>
            </w:pPr>
            <w:r>
              <w:t>29/01/16</w:t>
            </w:r>
          </w:p>
        </w:tc>
        <w:tc>
          <w:tcPr>
            <w:tcW w:w="1702" w:type="dxa"/>
            <w:vAlign w:val="center"/>
          </w:tcPr>
          <w:p w:rsidR="00482A39" w:rsidRPr="00851EC7" w:rsidRDefault="00482A39" w:rsidP="00876863">
            <w:pPr>
              <w:pStyle w:val="TableParagraph"/>
              <w:jc w:val="center"/>
              <w:rPr>
                <w:b/>
              </w:rPr>
            </w:pPr>
            <w:r>
              <w:rPr>
                <w:b/>
              </w:rPr>
              <w:t xml:space="preserve">JD, </w:t>
            </w:r>
            <w:r w:rsidRPr="00F4017C">
              <w:t>IV</w:t>
            </w:r>
          </w:p>
        </w:tc>
      </w:tr>
      <w:tr w:rsidR="00482A39" w:rsidRPr="00851EC7" w:rsidTr="00876863">
        <w:trPr>
          <w:trHeight w:val="537"/>
        </w:trPr>
        <w:tc>
          <w:tcPr>
            <w:tcW w:w="2376" w:type="dxa"/>
            <w:vAlign w:val="center"/>
          </w:tcPr>
          <w:p w:rsidR="00482A39" w:rsidRPr="00851EC7" w:rsidRDefault="00482A39" w:rsidP="00876863">
            <w:pPr>
              <w:pStyle w:val="TableParagraph"/>
            </w:pPr>
            <w:r>
              <w:rPr>
                <w:color w:val="000000"/>
                <w:lang w:eastAsia="en-GB"/>
              </w:rPr>
              <w:t>Rob Kingham</w:t>
            </w:r>
          </w:p>
        </w:tc>
        <w:tc>
          <w:tcPr>
            <w:tcW w:w="8080" w:type="dxa"/>
            <w:vAlign w:val="center"/>
          </w:tcPr>
          <w:p w:rsidR="00482A39" w:rsidRPr="00851EC7" w:rsidRDefault="00482A39" w:rsidP="00876863">
            <w:pPr>
              <w:pStyle w:val="TableParagraph"/>
            </w:pPr>
            <w:r>
              <w:t xml:space="preserve">Islamic Education Specialist, </w:t>
            </w:r>
            <w:r w:rsidRPr="0074090F">
              <w:t>School System</w:t>
            </w:r>
            <w:r>
              <w:t>s</w:t>
            </w:r>
            <w:r w:rsidRPr="0074090F">
              <w:t xml:space="preserve"> and Quality</w:t>
            </w:r>
            <w:r>
              <w:t xml:space="preserve"> (SSQ)</w:t>
            </w:r>
          </w:p>
        </w:tc>
        <w:tc>
          <w:tcPr>
            <w:tcW w:w="1984" w:type="dxa"/>
            <w:vAlign w:val="center"/>
          </w:tcPr>
          <w:p w:rsidR="00482A39" w:rsidRPr="00851EC7" w:rsidRDefault="00482A39" w:rsidP="00876863">
            <w:pPr>
              <w:pStyle w:val="TableParagraph"/>
              <w:jc w:val="center"/>
            </w:pPr>
            <w:r>
              <w:t>02/02/16</w:t>
            </w:r>
          </w:p>
        </w:tc>
        <w:tc>
          <w:tcPr>
            <w:tcW w:w="1702" w:type="dxa"/>
            <w:vAlign w:val="center"/>
          </w:tcPr>
          <w:p w:rsidR="00482A39" w:rsidRPr="00851EC7" w:rsidRDefault="00482A39" w:rsidP="00876863">
            <w:pPr>
              <w:pStyle w:val="TableParagraph"/>
              <w:jc w:val="center"/>
            </w:pPr>
            <w:r>
              <w:rPr>
                <w:b/>
              </w:rPr>
              <w:t xml:space="preserve">SM, </w:t>
            </w:r>
            <w:r w:rsidRPr="00F4017C">
              <w:t>NC</w:t>
            </w:r>
            <w:r>
              <w:t>, IV</w:t>
            </w:r>
          </w:p>
        </w:tc>
      </w:tr>
      <w:tr w:rsidR="00482A39" w:rsidRPr="00851EC7" w:rsidTr="00876863">
        <w:trPr>
          <w:trHeight w:val="537"/>
        </w:trPr>
        <w:tc>
          <w:tcPr>
            <w:tcW w:w="2376" w:type="dxa"/>
            <w:vAlign w:val="center"/>
          </w:tcPr>
          <w:p w:rsidR="00482A39" w:rsidRPr="00851EC7" w:rsidRDefault="00482A39" w:rsidP="00876863">
            <w:pPr>
              <w:pStyle w:val="TableParagraph"/>
            </w:pPr>
            <w:r>
              <w:t>Basilius Bengoteku</w:t>
            </w:r>
          </w:p>
        </w:tc>
        <w:tc>
          <w:tcPr>
            <w:tcW w:w="8080" w:type="dxa"/>
            <w:vAlign w:val="center"/>
          </w:tcPr>
          <w:p w:rsidR="00482A39" w:rsidRPr="00851EC7" w:rsidRDefault="00482A39" w:rsidP="00876863">
            <w:pPr>
              <w:pStyle w:val="TableParagraph"/>
            </w:pPr>
            <w:r>
              <w:t>Deputy Program Director, INOVASI (DFAT) and former Lead Advisor,</w:t>
            </w:r>
            <w:r w:rsidR="002010DB">
              <w:t xml:space="preserve"> </w:t>
            </w:r>
            <w:r w:rsidRPr="0074090F">
              <w:t>Analytical and Capacity Development Partnership (ACDP</w:t>
            </w:r>
            <w:r>
              <w:t>)</w:t>
            </w:r>
          </w:p>
        </w:tc>
        <w:tc>
          <w:tcPr>
            <w:tcW w:w="1984" w:type="dxa"/>
            <w:vAlign w:val="center"/>
          </w:tcPr>
          <w:p w:rsidR="00482A39" w:rsidRPr="00851EC7" w:rsidRDefault="00482A39" w:rsidP="00876863">
            <w:pPr>
              <w:pStyle w:val="TableParagraph"/>
              <w:jc w:val="center"/>
            </w:pPr>
            <w:r>
              <w:t>03/02/16</w:t>
            </w:r>
          </w:p>
        </w:tc>
        <w:tc>
          <w:tcPr>
            <w:tcW w:w="1702" w:type="dxa"/>
            <w:vAlign w:val="center"/>
          </w:tcPr>
          <w:p w:rsidR="00482A39" w:rsidRPr="00851EC7" w:rsidRDefault="00482A39" w:rsidP="00876863">
            <w:pPr>
              <w:pStyle w:val="TableParagraph"/>
              <w:jc w:val="center"/>
            </w:pPr>
            <w:r>
              <w:rPr>
                <w:b/>
              </w:rPr>
              <w:t xml:space="preserve">SM, </w:t>
            </w:r>
            <w:r w:rsidRPr="00F4017C">
              <w:t>NC</w:t>
            </w:r>
          </w:p>
        </w:tc>
      </w:tr>
      <w:tr w:rsidR="00482A39" w:rsidRPr="00851EC7" w:rsidTr="00876863">
        <w:trPr>
          <w:trHeight w:val="537"/>
        </w:trPr>
        <w:tc>
          <w:tcPr>
            <w:tcW w:w="2376" w:type="dxa"/>
            <w:vAlign w:val="center"/>
          </w:tcPr>
          <w:p w:rsidR="00482A39" w:rsidRPr="00851EC7" w:rsidRDefault="00482A39" w:rsidP="00876863">
            <w:pPr>
              <w:pStyle w:val="TableParagraph"/>
            </w:pPr>
            <w:r>
              <w:t xml:space="preserve">Garti Sri Utami </w:t>
            </w:r>
          </w:p>
        </w:tc>
        <w:tc>
          <w:tcPr>
            <w:tcW w:w="8080" w:type="dxa"/>
            <w:vAlign w:val="center"/>
          </w:tcPr>
          <w:p w:rsidR="00482A39" w:rsidRPr="005F7B89" w:rsidRDefault="00482A39" w:rsidP="00876863">
            <w:pPr>
              <w:pStyle w:val="TableParagraph"/>
            </w:pPr>
            <w:r w:rsidRPr="005F7B89">
              <w:t>Director for the Development of Basic and Secondary Education Personnel</w:t>
            </w:r>
            <w:r>
              <w:t>, Ministry of Education and Culture (MoEC)</w:t>
            </w:r>
          </w:p>
        </w:tc>
        <w:tc>
          <w:tcPr>
            <w:tcW w:w="1984" w:type="dxa"/>
            <w:vAlign w:val="center"/>
          </w:tcPr>
          <w:p w:rsidR="00482A39" w:rsidRPr="00851EC7" w:rsidRDefault="00482A39" w:rsidP="00876863">
            <w:pPr>
              <w:pStyle w:val="TableParagraph"/>
              <w:jc w:val="center"/>
            </w:pPr>
            <w:r>
              <w:t>03/02/16</w:t>
            </w:r>
          </w:p>
        </w:tc>
        <w:tc>
          <w:tcPr>
            <w:tcW w:w="1702" w:type="dxa"/>
            <w:vAlign w:val="center"/>
          </w:tcPr>
          <w:p w:rsidR="00482A39" w:rsidRPr="00851EC7" w:rsidRDefault="00482A39" w:rsidP="00876863">
            <w:pPr>
              <w:pStyle w:val="TableParagraph"/>
              <w:jc w:val="center"/>
            </w:pPr>
            <w:r w:rsidRPr="00171B14">
              <w:rPr>
                <w:b/>
              </w:rPr>
              <w:t>PK</w:t>
            </w:r>
            <w:r>
              <w:t>, NC</w:t>
            </w:r>
          </w:p>
        </w:tc>
      </w:tr>
      <w:tr w:rsidR="00482A39" w:rsidRPr="00851EC7" w:rsidTr="00876863">
        <w:trPr>
          <w:trHeight w:val="537"/>
        </w:trPr>
        <w:tc>
          <w:tcPr>
            <w:tcW w:w="2376" w:type="dxa"/>
            <w:vAlign w:val="center"/>
          </w:tcPr>
          <w:p w:rsidR="00482A39" w:rsidRPr="00851EC7" w:rsidRDefault="00482A39" w:rsidP="00876863">
            <w:pPr>
              <w:pStyle w:val="TableParagraph"/>
            </w:pPr>
            <w:r>
              <w:t>Yudi Herman</w:t>
            </w:r>
          </w:p>
        </w:tc>
        <w:tc>
          <w:tcPr>
            <w:tcW w:w="8080" w:type="dxa"/>
            <w:vAlign w:val="center"/>
          </w:tcPr>
          <w:p w:rsidR="00482A39" w:rsidRPr="00851EC7" w:rsidRDefault="00482A39" w:rsidP="00876863">
            <w:pPr>
              <w:pStyle w:val="TableParagraph"/>
            </w:pPr>
            <w:r>
              <w:t>Head of Planning Section, Ministry of Education and Culture (MoEC)</w:t>
            </w:r>
          </w:p>
        </w:tc>
        <w:tc>
          <w:tcPr>
            <w:tcW w:w="1984" w:type="dxa"/>
            <w:vAlign w:val="center"/>
          </w:tcPr>
          <w:p w:rsidR="00482A39" w:rsidRPr="00851EC7" w:rsidRDefault="00482A39" w:rsidP="00876863">
            <w:pPr>
              <w:pStyle w:val="TableParagraph"/>
              <w:jc w:val="center"/>
            </w:pPr>
            <w:r>
              <w:t>03/02/16</w:t>
            </w:r>
          </w:p>
        </w:tc>
        <w:tc>
          <w:tcPr>
            <w:tcW w:w="1702" w:type="dxa"/>
            <w:vAlign w:val="center"/>
          </w:tcPr>
          <w:p w:rsidR="00482A39" w:rsidRPr="00851EC7" w:rsidRDefault="00482A39" w:rsidP="00876863">
            <w:pPr>
              <w:pStyle w:val="TableParagraph"/>
              <w:jc w:val="center"/>
            </w:pPr>
            <w:r w:rsidRPr="00171B14">
              <w:rPr>
                <w:b/>
              </w:rPr>
              <w:t>PK</w:t>
            </w:r>
            <w:r>
              <w:t>, NC</w:t>
            </w:r>
          </w:p>
        </w:tc>
      </w:tr>
      <w:tr w:rsidR="00482A39" w:rsidRPr="00851EC7" w:rsidTr="00876863">
        <w:trPr>
          <w:trHeight w:val="537"/>
        </w:trPr>
        <w:tc>
          <w:tcPr>
            <w:tcW w:w="2376" w:type="dxa"/>
            <w:vAlign w:val="center"/>
          </w:tcPr>
          <w:p w:rsidR="00482A39" w:rsidRDefault="00482A39" w:rsidP="00876863">
            <w:pPr>
              <w:pStyle w:val="TableParagraph"/>
            </w:pPr>
            <w:r>
              <w:t>Budi Suprayitno</w:t>
            </w:r>
          </w:p>
        </w:tc>
        <w:tc>
          <w:tcPr>
            <w:tcW w:w="8080" w:type="dxa"/>
            <w:vAlign w:val="center"/>
          </w:tcPr>
          <w:p w:rsidR="00482A39" w:rsidRDefault="00482A39" w:rsidP="00876863">
            <w:pPr>
              <w:pStyle w:val="TableParagraph"/>
            </w:pPr>
            <w:r>
              <w:t>Staff for Development of Basic and Secondary Education Personnel, Ministry of Education and Culture (MoEC)</w:t>
            </w:r>
          </w:p>
        </w:tc>
        <w:tc>
          <w:tcPr>
            <w:tcW w:w="1984" w:type="dxa"/>
            <w:vAlign w:val="center"/>
          </w:tcPr>
          <w:p w:rsidR="00482A39" w:rsidRDefault="00482A39" w:rsidP="00876863">
            <w:pPr>
              <w:pStyle w:val="TableParagraph"/>
              <w:jc w:val="center"/>
            </w:pPr>
            <w:r>
              <w:t>03/02/16</w:t>
            </w:r>
          </w:p>
        </w:tc>
        <w:tc>
          <w:tcPr>
            <w:tcW w:w="1702" w:type="dxa"/>
            <w:vAlign w:val="center"/>
          </w:tcPr>
          <w:p w:rsidR="00482A39" w:rsidRPr="00171B14" w:rsidRDefault="00482A39" w:rsidP="00876863">
            <w:pPr>
              <w:pStyle w:val="TableParagraph"/>
              <w:jc w:val="center"/>
              <w:rPr>
                <w:b/>
              </w:rPr>
            </w:pPr>
            <w:r>
              <w:rPr>
                <w:b/>
              </w:rPr>
              <w:t>PK</w:t>
            </w:r>
          </w:p>
        </w:tc>
      </w:tr>
      <w:tr w:rsidR="00482A39" w:rsidRPr="00851EC7" w:rsidTr="00876863">
        <w:trPr>
          <w:trHeight w:val="537"/>
        </w:trPr>
        <w:tc>
          <w:tcPr>
            <w:tcW w:w="2376" w:type="dxa"/>
            <w:vAlign w:val="center"/>
          </w:tcPr>
          <w:p w:rsidR="00482A39" w:rsidRPr="00851EC7" w:rsidRDefault="00482A39" w:rsidP="00876863">
            <w:pPr>
              <w:pStyle w:val="TableParagraph"/>
              <w:rPr>
                <w:highlight w:val="yellow"/>
              </w:rPr>
            </w:pPr>
            <w:r w:rsidRPr="00171B14">
              <w:t>Yaya Kardiawarman</w:t>
            </w:r>
          </w:p>
        </w:tc>
        <w:tc>
          <w:tcPr>
            <w:tcW w:w="8080" w:type="dxa"/>
            <w:vAlign w:val="center"/>
          </w:tcPr>
          <w:p w:rsidR="00482A39" w:rsidRPr="00851EC7" w:rsidRDefault="00482A39" w:rsidP="00876863">
            <w:pPr>
              <w:pStyle w:val="TableParagraph"/>
            </w:pPr>
            <w:r>
              <w:t xml:space="preserve">Component 2 Manager, Education Quality, </w:t>
            </w:r>
            <w:r w:rsidRPr="0074090F">
              <w:t>School System</w:t>
            </w:r>
            <w:r>
              <w:t>s</w:t>
            </w:r>
            <w:r w:rsidRPr="0074090F">
              <w:t xml:space="preserve"> and Quality</w:t>
            </w:r>
            <w:r>
              <w:t xml:space="preserve"> (SSQ)</w:t>
            </w:r>
          </w:p>
        </w:tc>
        <w:tc>
          <w:tcPr>
            <w:tcW w:w="1984" w:type="dxa"/>
            <w:vAlign w:val="center"/>
          </w:tcPr>
          <w:p w:rsidR="00482A39" w:rsidRPr="00851EC7" w:rsidRDefault="00482A39" w:rsidP="00876863">
            <w:pPr>
              <w:pStyle w:val="TableParagraph"/>
              <w:jc w:val="center"/>
            </w:pPr>
            <w:r>
              <w:t>03/02/16</w:t>
            </w:r>
          </w:p>
        </w:tc>
        <w:tc>
          <w:tcPr>
            <w:tcW w:w="1702" w:type="dxa"/>
            <w:vAlign w:val="center"/>
          </w:tcPr>
          <w:p w:rsidR="00482A39" w:rsidRPr="00851EC7" w:rsidRDefault="00482A39" w:rsidP="00876863">
            <w:pPr>
              <w:pStyle w:val="TableParagraph"/>
              <w:jc w:val="center"/>
            </w:pPr>
            <w:r w:rsidRPr="00171B14">
              <w:rPr>
                <w:b/>
              </w:rPr>
              <w:t>PK</w:t>
            </w:r>
            <w:r>
              <w:t>, NC</w:t>
            </w:r>
          </w:p>
        </w:tc>
      </w:tr>
      <w:tr w:rsidR="00482A39" w:rsidRPr="00851EC7" w:rsidTr="00876863">
        <w:trPr>
          <w:trHeight w:val="537"/>
        </w:trPr>
        <w:tc>
          <w:tcPr>
            <w:tcW w:w="2376" w:type="dxa"/>
            <w:vAlign w:val="center"/>
          </w:tcPr>
          <w:p w:rsidR="00482A39" w:rsidRPr="00851EC7" w:rsidRDefault="00482A39" w:rsidP="00876863">
            <w:pPr>
              <w:pStyle w:val="TableParagraph"/>
            </w:pPr>
            <w:r>
              <w:t>Kerri Amos</w:t>
            </w:r>
          </w:p>
        </w:tc>
        <w:tc>
          <w:tcPr>
            <w:tcW w:w="8080" w:type="dxa"/>
            <w:vAlign w:val="center"/>
          </w:tcPr>
          <w:p w:rsidR="00482A39" w:rsidRPr="00851EC7" w:rsidRDefault="00482A39" w:rsidP="00876863">
            <w:pPr>
              <w:pStyle w:val="TableParagraph"/>
            </w:pPr>
            <w:r>
              <w:t xml:space="preserve">Operations Manager, </w:t>
            </w:r>
            <w:r w:rsidRPr="0074090F">
              <w:t>School System</w:t>
            </w:r>
            <w:r>
              <w:t>s</w:t>
            </w:r>
            <w:r w:rsidRPr="0074090F">
              <w:t xml:space="preserve"> and Quality</w:t>
            </w:r>
            <w:r>
              <w:t xml:space="preserve"> (SSQ)</w:t>
            </w:r>
          </w:p>
        </w:tc>
        <w:tc>
          <w:tcPr>
            <w:tcW w:w="1984" w:type="dxa"/>
            <w:vAlign w:val="center"/>
          </w:tcPr>
          <w:p w:rsidR="00482A39" w:rsidRPr="00851EC7" w:rsidRDefault="00482A39" w:rsidP="00876863">
            <w:pPr>
              <w:pStyle w:val="TableParagraph"/>
              <w:jc w:val="center"/>
            </w:pPr>
            <w:r>
              <w:t>03/02/16</w:t>
            </w:r>
          </w:p>
        </w:tc>
        <w:tc>
          <w:tcPr>
            <w:tcW w:w="1702" w:type="dxa"/>
            <w:vAlign w:val="center"/>
          </w:tcPr>
          <w:p w:rsidR="00482A39" w:rsidRPr="00851EC7" w:rsidRDefault="00482A39" w:rsidP="00876863">
            <w:pPr>
              <w:pStyle w:val="TableParagraph"/>
              <w:jc w:val="center"/>
              <w:rPr>
                <w:b/>
              </w:rPr>
            </w:pPr>
            <w:r>
              <w:rPr>
                <w:b/>
              </w:rPr>
              <w:t xml:space="preserve">NC, </w:t>
            </w:r>
            <w:r w:rsidRPr="00171B14">
              <w:t>SM</w:t>
            </w:r>
          </w:p>
        </w:tc>
      </w:tr>
      <w:tr w:rsidR="00482A39" w:rsidRPr="00851EC7" w:rsidTr="00876863">
        <w:trPr>
          <w:trHeight w:val="537"/>
        </w:trPr>
        <w:tc>
          <w:tcPr>
            <w:tcW w:w="2376" w:type="dxa"/>
            <w:vAlign w:val="center"/>
          </w:tcPr>
          <w:p w:rsidR="00482A39" w:rsidRPr="00851EC7" w:rsidRDefault="00482A39" w:rsidP="00876863">
            <w:pPr>
              <w:pStyle w:val="TableParagraph"/>
            </w:pPr>
            <w:r>
              <w:t>Aryanti</w:t>
            </w:r>
            <w:r w:rsidR="00A56BDD">
              <w:t xml:space="preserve"> Savitri</w:t>
            </w:r>
          </w:p>
        </w:tc>
        <w:tc>
          <w:tcPr>
            <w:tcW w:w="8080" w:type="dxa"/>
            <w:vAlign w:val="center"/>
          </w:tcPr>
          <w:p w:rsidR="00482A39" w:rsidRPr="00851EC7" w:rsidRDefault="00482A39" w:rsidP="00876863">
            <w:pPr>
              <w:pStyle w:val="TableParagraph"/>
            </w:pPr>
            <w:r>
              <w:t>Unit Manager, Basic Education Unit, Department of Foreign Affairs and Trade (DFAT), Jakarta</w:t>
            </w:r>
          </w:p>
        </w:tc>
        <w:tc>
          <w:tcPr>
            <w:tcW w:w="1984" w:type="dxa"/>
            <w:vAlign w:val="center"/>
          </w:tcPr>
          <w:p w:rsidR="00482A39" w:rsidRPr="00851EC7" w:rsidRDefault="00482A39" w:rsidP="00876863">
            <w:pPr>
              <w:pStyle w:val="TableParagraph"/>
              <w:jc w:val="center"/>
            </w:pPr>
            <w:r>
              <w:t>04/02/16</w:t>
            </w:r>
          </w:p>
        </w:tc>
        <w:tc>
          <w:tcPr>
            <w:tcW w:w="1702" w:type="dxa"/>
            <w:vAlign w:val="center"/>
          </w:tcPr>
          <w:p w:rsidR="00482A39" w:rsidRPr="00B21C20" w:rsidRDefault="00482A39" w:rsidP="00876863">
            <w:pPr>
              <w:pStyle w:val="TableParagraph"/>
              <w:jc w:val="center"/>
              <w:rPr>
                <w:highlight w:val="yellow"/>
              </w:rPr>
            </w:pPr>
            <w:r w:rsidRPr="00FA1F71">
              <w:rPr>
                <w:b/>
              </w:rPr>
              <w:t>PK</w:t>
            </w:r>
            <w:r w:rsidRPr="00FA1F71">
              <w:t>, IV</w:t>
            </w:r>
          </w:p>
        </w:tc>
      </w:tr>
      <w:tr w:rsidR="00482A39" w:rsidRPr="00851EC7" w:rsidTr="00876863">
        <w:trPr>
          <w:trHeight w:val="537"/>
        </w:trPr>
        <w:tc>
          <w:tcPr>
            <w:tcW w:w="2376" w:type="dxa"/>
            <w:vAlign w:val="center"/>
          </w:tcPr>
          <w:p w:rsidR="00482A39" w:rsidRPr="00851EC7" w:rsidRDefault="00482A39" w:rsidP="00876863">
            <w:pPr>
              <w:pStyle w:val="TableParagraph"/>
            </w:pPr>
            <w:r>
              <w:lastRenderedPageBreak/>
              <w:t>Julie Hind</w:t>
            </w:r>
          </w:p>
        </w:tc>
        <w:tc>
          <w:tcPr>
            <w:tcW w:w="8080" w:type="dxa"/>
            <w:vAlign w:val="center"/>
          </w:tcPr>
          <w:p w:rsidR="00482A39" w:rsidRPr="00851EC7" w:rsidRDefault="00482A39" w:rsidP="00876863">
            <w:pPr>
              <w:pStyle w:val="TableParagraph"/>
            </w:pPr>
            <w:r>
              <w:t>EOPO 4 Evaluation Consultant, Performance Oversight and Monitoring (POM)</w:t>
            </w:r>
          </w:p>
        </w:tc>
        <w:tc>
          <w:tcPr>
            <w:tcW w:w="1984" w:type="dxa"/>
            <w:vAlign w:val="center"/>
          </w:tcPr>
          <w:p w:rsidR="00482A39" w:rsidRPr="00851EC7" w:rsidRDefault="00482A39" w:rsidP="00876863">
            <w:pPr>
              <w:pStyle w:val="TableParagraph"/>
              <w:jc w:val="center"/>
            </w:pPr>
            <w:r>
              <w:t>05/02/16</w:t>
            </w:r>
          </w:p>
        </w:tc>
        <w:tc>
          <w:tcPr>
            <w:tcW w:w="1702" w:type="dxa"/>
            <w:vAlign w:val="center"/>
          </w:tcPr>
          <w:p w:rsidR="00482A39" w:rsidRPr="00851EC7" w:rsidRDefault="00482A39" w:rsidP="00876863">
            <w:pPr>
              <w:pStyle w:val="TableParagraph"/>
              <w:jc w:val="center"/>
              <w:rPr>
                <w:b/>
              </w:rPr>
            </w:pPr>
            <w:r>
              <w:rPr>
                <w:b/>
              </w:rPr>
              <w:t xml:space="preserve">SM, </w:t>
            </w:r>
            <w:r w:rsidRPr="00171B14">
              <w:t>NC</w:t>
            </w:r>
          </w:p>
        </w:tc>
      </w:tr>
      <w:tr w:rsidR="00482A39" w:rsidRPr="00851EC7" w:rsidTr="00876863">
        <w:trPr>
          <w:trHeight w:val="537"/>
        </w:trPr>
        <w:tc>
          <w:tcPr>
            <w:tcW w:w="2376" w:type="dxa"/>
            <w:vAlign w:val="center"/>
          </w:tcPr>
          <w:p w:rsidR="00482A39" w:rsidRPr="00851EC7" w:rsidRDefault="00482A39" w:rsidP="00876863">
            <w:pPr>
              <w:pStyle w:val="TableParagraph"/>
            </w:pPr>
            <w:r>
              <w:t>Rohmat Mulyana</w:t>
            </w:r>
          </w:p>
        </w:tc>
        <w:tc>
          <w:tcPr>
            <w:tcW w:w="8080" w:type="dxa"/>
            <w:vAlign w:val="center"/>
          </w:tcPr>
          <w:p w:rsidR="00482A39" w:rsidRPr="00851EC7" w:rsidRDefault="00482A39" w:rsidP="00876863">
            <w:pPr>
              <w:pStyle w:val="TableParagraph"/>
            </w:pPr>
            <w:r>
              <w:t>Deputy Director of Institutional Unit, Madrasah Education Directorate, Ministry of Religious Affairs (MoRA)</w:t>
            </w:r>
          </w:p>
        </w:tc>
        <w:tc>
          <w:tcPr>
            <w:tcW w:w="1984" w:type="dxa"/>
            <w:vAlign w:val="center"/>
          </w:tcPr>
          <w:p w:rsidR="00482A39" w:rsidRPr="00851EC7" w:rsidRDefault="00482A39" w:rsidP="00876863">
            <w:pPr>
              <w:pStyle w:val="TableParagraph"/>
              <w:jc w:val="center"/>
            </w:pPr>
            <w:r>
              <w:t>05/02/16</w:t>
            </w:r>
          </w:p>
        </w:tc>
        <w:tc>
          <w:tcPr>
            <w:tcW w:w="1702" w:type="dxa"/>
            <w:vAlign w:val="center"/>
          </w:tcPr>
          <w:p w:rsidR="00482A39" w:rsidRPr="00851EC7" w:rsidRDefault="00482A39" w:rsidP="00876863">
            <w:pPr>
              <w:pStyle w:val="TableParagraph"/>
              <w:jc w:val="center"/>
              <w:rPr>
                <w:b/>
              </w:rPr>
            </w:pPr>
            <w:r>
              <w:rPr>
                <w:b/>
              </w:rPr>
              <w:t xml:space="preserve">IV, </w:t>
            </w:r>
            <w:r w:rsidRPr="00171B14">
              <w:t>BN</w:t>
            </w:r>
          </w:p>
        </w:tc>
      </w:tr>
      <w:tr w:rsidR="00482A39" w:rsidRPr="00851EC7" w:rsidTr="00876863">
        <w:trPr>
          <w:trHeight w:val="537"/>
        </w:trPr>
        <w:tc>
          <w:tcPr>
            <w:tcW w:w="2376" w:type="dxa"/>
            <w:vAlign w:val="center"/>
          </w:tcPr>
          <w:p w:rsidR="00482A39" w:rsidRPr="00851EC7" w:rsidRDefault="00482A39" w:rsidP="00876863">
            <w:pPr>
              <w:pStyle w:val="TableParagraph"/>
            </w:pPr>
            <w:r>
              <w:t>Ratna Fitriani</w:t>
            </w:r>
          </w:p>
        </w:tc>
        <w:tc>
          <w:tcPr>
            <w:tcW w:w="8080" w:type="dxa"/>
            <w:vAlign w:val="center"/>
          </w:tcPr>
          <w:p w:rsidR="00482A39" w:rsidRPr="00851EC7" w:rsidRDefault="00482A39" w:rsidP="00876863">
            <w:pPr>
              <w:pStyle w:val="TableParagraph"/>
            </w:pPr>
            <w:r>
              <w:t xml:space="preserve">Social Inclusion Advisor, </w:t>
            </w:r>
            <w:r w:rsidRPr="0074090F">
              <w:t>School System</w:t>
            </w:r>
            <w:r>
              <w:t>s</w:t>
            </w:r>
            <w:r w:rsidRPr="0074090F">
              <w:t xml:space="preserve"> and Quality</w:t>
            </w:r>
            <w:r>
              <w:t xml:space="preserve"> (SSQ)</w:t>
            </w:r>
          </w:p>
        </w:tc>
        <w:tc>
          <w:tcPr>
            <w:tcW w:w="1984" w:type="dxa"/>
            <w:vAlign w:val="center"/>
          </w:tcPr>
          <w:p w:rsidR="00482A39" w:rsidRPr="00851EC7" w:rsidRDefault="00482A39" w:rsidP="00876863">
            <w:pPr>
              <w:pStyle w:val="TableParagraph"/>
              <w:jc w:val="center"/>
            </w:pPr>
            <w:r>
              <w:t>09/02/16</w:t>
            </w:r>
          </w:p>
        </w:tc>
        <w:tc>
          <w:tcPr>
            <w:tcW w:w="1702" w:type="dxa"/>
            <w:vAlign w:val="center"/>
          </w:tcPr>
          <w:p w:rsidR="00482A39" w:rsidRPr="00851EC7" w:rsidRDefault="00482A39" w:rsidP="00876863">
            <w:pPr>
              <w:pStyle w:val="TableParagraph"/>
              <w:jc w:val="center"/>
            </w:pPr>
            <w:r w:rsidRPr="00171B14">
              <w:rPr>
                <w:b/>
              </w:rPr>
              <w:t>NC</w:t>
            </w:r>
            <w:r>
              <w:t>, SM</w:t>
            </w:r>
          </w:p>
        </w:tc>
      </w:tr>
      <w:tr w:rsidR="00482A39" w:rsidRPr="00851EC7" w:rsidTr="00876863">
        <w:trPr>
          <w:trHeight w:val="537"/>
        </w:trPr>
        <w:tc>
          <w:tcPr>
            <w:tcW w:w="2376" w:type="dxa"/>
            <w:vAlign w:val="center"/>
          </w:tcPr>
          <w:p w:rsidR="00482A39" w:rsidRPr="00851EC7" w:rsidRDefault="00482A39" w:rsidP="00876863">
            <w:pPr>
              <w:pStyle w:val="TableParagraph"/>
            </w:pPr>
            <w:r>
              <w:t>Sri Novelma</w:t>
            </w:r>
          </w:p>
        </w:tc>
        <w:tc>
          <w:tcPr>
            <w:tcW w:w="8080" w:type="dxa"/>
            <w:vAlign w:val="center"/>
          </w:tcPr>
          <w:p w:rsidR="00482A39" w:rsidRPr="00851EC7" w:rsidRDefault="00482A39" w:rsidP="00876863">
            <w:pPr>
              <w:pStyle w:val="TableParagraph"/>
            </w:pPr>
            <w:r>
              <w:t>Senior Program Manager, Basic Education Unit, Department of Foreign Affairs and Trade (DFAT), Jakarta</w:t>
            </w:r>
          </w:p>
        </w:tc>
        <w:tc>
          <w:tcPr>
            <w:tcW w:w="1984" w:type="dxa"/>
            <w:vAlign w:val="center"/>
          </w:tcPr>
          <w:p w:rsidR="00482A39" w:rsidRPr="00851EC7" w:rsidRDefault="00482A39" w:rsidP="00876863">
            <w:pPr>
              <w:pStyle w:val="TableParagraph"/>
              <w:jc w:val="center"/>
            </w:pPr>
            <w:r>
              <w:t>09/02/16</w:t>
            </w:r>
          </w:p>
        </w:tc>
        <w:tc>
          <w:tcPr>
            <w:tcW w:w="1702" w:type="dxa"/>
            <w:vAlign w:val="center"/>
          </w:tcPr>
          <w:p w:rsidR="00482A39" w:rsidRPr="00B21C20" w:rsidRDefault="00482A39" w:rsidP="00876863">
            <w:pPr>
              <w:pStyle w:val="TableParagraph"/>
              <w:jc w:val="center"/>
              <w:rPr>
                <w:highlight w:val="yellow"/>
              </w:rPr>
            </w:pPr>
            <w:r w:rsidRPr="00FA1F71">
              <w:rPr>
                <w:b/>
              </w:rPr>
              <w:t>IV</w:t>
            </w:r>
            <w:r w:rsidRPr="00FA1F71">
              <w:t>, BN, PK</w:t>
            </w:r>
          </w:p>
        </w:tc>
      </w:tr>
      <w:tr w:rsidR="00482A39" w:rsidRPr="00851EC7" w:rsidTr="00876863">
        <w:trPr>
          <w:trHeight w:val="537"/>
        </w:trPr>
        <w:tc>
          <w:tcPr>
            <w:tcW w:w="2376" w:type="dxa"/>
            <w:vAlign w:val="center"/>
          </w:tcPr>
          <w:p w:rsidR="00482A39" w:rsidRPr="00851EC7" w:rsidRDefault="00482A39" w:rsidP="00876863">
            <w:pPr>
              <w:pStyle w:val="TableParagraph"/>
            </w:pPr>
            <w:r>
              <w:t>Totok Suprayitno</w:t>
            </w:r>
          </w:p>
        </w:tc>
        <w:tc>
          <w:tcPr>
            <w:tcW w:w="8080" w:type="dxa"/>
            <w:vAlign w:val="center"/>
          </w:tcPr>
          <w:p w:rsidR="00482A39" w:rsidRPr="00851EC7" w:rsidRDefault="00482A39" w:rsidP="00876863">
            <w:pPr>
              <w:pStyle w:val="TableParagraph"/>
            </w:pPr>
            <w:r>
              <w:t>Head of Balitbang, Ministry of Education and Culture (MoEC)</w:t>
            </w:r>
          </w:p>
        </w:tc>
        <w:tc>
          <w:tcPr>
            <w:tcW w:w="1984" w:type="dxa"/>
            <w:vAlign w:val="center"/>
          </w:tcPr>
          <w:p w:rsidR="00482A39" w:rsidRPr="00851EC7" w:rsidRDefault="00482A39" w:rsidP="00876863">
            <w:pPr>
              <w:pStyle w:val="TableParagraph"/>
              <w:jc w:val="center"/>
            </w:pPr>
            <w:r>
              <w:t>09/02/16</w:t>
            </w:r>
          </w:p>
        </w:tc>
        <w:tc>
          <w:tcPr>
            <w:tcW w:w="1702" w:type="dxa"/>
            <w:vAlign w:val="center"/>
          </w:tcPr>
          <w:p w:rsidR="00482A39" w:rsidRPr="00851EC7" w:rsidRDefault="00482A39" w:rsidP="00876863">
            <w:pPr>
              <w:pStyle w:val="TableParagraph"/>
              <w:jc w:val="center"/>
              <w:rPr>
                <w:b/>
              </w:rPr>
            </w:pPr>
            <w:r>
              <w:rPr>
                <w:b/>
              </w:rPr>
              <w:t xml:space="preserve">SM, </w:t>
            </w:r>
            <w:r w:rsidRPr="00171B14">
              <w:t>NC</w:t>
            </w:r>
          </w:p>
        </w:tc>
      </w:tr>
      <w:tr w:rsidR="00482A39" w:rsidRPr="00851EC7" w:rsidTr="00876863">
        <w:trPr>
          <w:trHeight w:val="537"/>
        </w:trPr>
        <w:tc>
          <w:tcPr>
            <w:tcW w:w="2376" w:type="dxa"/>
            <w:vAlign w:val="center"/>
          </w:tcPr>
          <w:p w:rsidR="00482A39" w:rsidRPr="00851EC7" w:rsidRDefault="00482A39" w:rsidP="00876863">
            <w:pPr>
              <w:pStyle w:val="TableParagraph"/>
            </w:pPr>
            <w:r>
              <w:t>Nizam</w:t>
            </w:r>
          </w:p>
        </w:tc>
        <w:tc>
          <w:tcPr>
            <w:tcW w:w="8080" w:type="dxa"/>
            <w:vAlign w:val="center"/>
          </w:tcPr>
          <w:p w:rsidR="00482A39" w:rsidRPr="005F7B89" w:rsidRDefault="00482A39" w:rsidP="00876863">
            <w:pPr>
              <w:pStyle w:val="TableParagraph"/>
            </w:pPr>
            <w:r w:rsidRPr="005F7B89">
              <w:t>Head of the Centre for Education Assessment</w:t>
            </w:r>
            <w:r>
              <w:t>, Ministry of Education and Culture</w:t>
            </w:r>
          </w:p>
        </w:tc>
        <w:tc>
          <w:tcPr>
            <w:tcW w:w="1984" w:type="dxa"/>
            <w:vAlign w:val="center"/>
          </w:tcPr>
          <w:p w:rsidR="00482A39" w:rsidRPr="00851EC7" w:rsidRDefault="00482A39" w:rsidP="00876863">
            <w:pPr>
              <w:pStyle w:val="TableParagraph"/>
              <w:jc w:val="center"/>
              <w:rPr>
                <w:szCs w:val="24"/>
              </w:rPr>
            </w:pPr>
            <w:r>
              <w:rPr>
                <w:szCs w:val="24"/>
              </w:rPr>
              <w:t>09/02/16</w:t>
            </w:r>
          </w:p>
        </w:tc>
        <w:tc>
          <w:tcPr>
            <w:tcW w:w="1702" w:type="dxa"/>
            <w:vAlign w:val="center"/>
          </w:tcPr>
          <w:p w:rsidR="00482A39" w:rsidRPr="00851EC7" w:rsidRDefault="00482A39" w:rsidP="00876863">
            <w:pPr>
              <w:pStyle w:val="TableParagraph"/>
              <w:jc w:val="center"/>
              <w:rPr>
                <w:b/>
                <w:szCs w:val="24"/>
              </w:rPr>
            </w:pPr>
            <w:r>
              <w:rPr>
                <w:b/>
                <w:szCs w:val="24"/>
              </w:rPr>
              <w:t xml:space="preserve">SM, </w:t>
            </w:r>
            <w:r w:rsidRPr="00171B14">
              <w:rPr>
                <w:szCs w:val="24"/>
              </w:rPr>
              <w:t>NC</w:t>
            </w:r>
          </w:p>
        </w:tc>
      </w:tr>
      <w:tr w:rsidR="00482A39" w:rsidRPr="00851EC7" w:rsidTr="00876863">
        <w:trPr>
          <w:trHeight w:val="537"/>
        </w:trPr>
        <w:tc>
          <w:tcPr>
            <w:tcW w:w="2376" w:type="dxa"/>
            <w:vAlign w:val="center"/>
          </w:tcPr>
          <w:p w:rsidR="00482A39" w:rsidRPr="00851EC7" w:rsidRDefault="00482A39" w:rsidP="00876863">
            <w:pPr>
              <w:pStyle w:val="TableParagraph"/>
            </w:pPr>
            <w:r>
              <w:t>Jihad Saad</w:t>
            </w:r>
          </w:p>
        </w:tc>
        <w:tc>
          <w:tcPr>
            <w:tcW w:w="8080" w:type="dxa"/>
            <w:vAlign w:val="center"/>
          </w:tcPr>
          <w:p w:rsidR="00482A39" w:rsidRPr="00851EC7" w:rsidRDefault="00482A39" w:rsidP="00876863">
            <w:pPr>
              <w:pStyle w:val="TableParagraph"/>
              <w:rPr>
                <w:szCs w:val="24"/>
              </w:rPr>
            </w:pPr>
            <w:r>
              <w:rPr>
                <w:szCs w:val="24"/>
              </w:rPr>
              <w:t xml:space="preserve">Component 1 Manager, School Construction, </w:t>
            </w:r>
            <w:r w:rsidRPr="0074090F">
              <w:t>School System</w:t>
            </w:r>
            <w:r>
              <w:t>s</w:t>
            </w:r>
            <w:r w:rsidRPr="0074090F">
              <w:t xml:space="preserve"> and Quality</w:t>
            </w:r>
            <w:r>
              <w:t xml:space="preserve"> (SSQ)</w:t>
            </w:r>
          </w:p>
        </w:tc>
        <w:tc>
          <w:tcPr>
            <w:tcW w:w="1984" w:type="dxa"/>
            <w:vAlign w:val="center"/>
          </w:tcPr>
          <w:p w:rsidR="00482A39" w:rsidRPr="00851EC7" w:rsidRDefault="00482A39" w:rsidP="00876863">
            <w:pPr>
              <w:pStyle w:val="TableParagraph"/>
              <w:jc w:val="center"/>
              <w:rPr>
                <w:szCs w:val="24"/>
              </w:rPr>
            </w:pPr>
            <w:r>
              <w:rPr>
                <w:szCs w:val="24"/>
              </w:rPr>
              <w:t>10/02/16</w:t>
            </w:r>
          </w:p>
        </w:tc>
        <w:tc>
          <w:tcPr>
            <w:tcW w:w="1702" w:type="dxa"/>
            <w:vAlign w:val="center"/>
          </w:tcPr>
          <w:p w:rsidR="00482A39" w:rsidRPr="00851EC7" w:rsidRDefault="00482A39" w:rsidP="00876863">
            <w:pPr>
              <w:pStyle w:val="TableParagraph"/>
              <w:jc w:val="center"/>
              <w:rPr>
                <w:b/>
                <w:szCs w:val="24"/>
              </w:rPr>
            </w:pPr>
            <w:r>
              <w:rPr>
                <w:b/>
                <w:szCs w:val="24"/>
              </w:rPr>
              <w:t xml:space="preserve">IV, </w:t>
            </w:r>
            <w:r w:rsidRPr="00171B14">
              <w:rPr>
                <w:szCs w:val="24"/>
              </w:rPr>
              <w:t>BN</w:t>
            </w:r>
          </w:p>
        </w:tc>
      </w:tr>
      <w:tr w:rsidR="00482A39" w:rsidRPr="00851EC7" w:rsidTr="00876863">
        <w:trPr>
          <w:trHeight w:val="537"/>
        </w:trPr>
        <w:tc>
          <w:tcPr>
            <w:tcW w:w="2376" w:type="dxa"/>
            <w:vAlign w:val="center"/>
          </w:tcPr>
          <w:p w:rsidR="00482A39" w:rsidRPr="00851EC7" w:rsidDel="0049282C" w:rsidRDefault="00482A39" w:rsidP="00876863">
            <w:pPr>
              <w:pStyle w:val="TableParagraph"/>
            </w:pPr>
            <w:r>
              <w:t>Jason Court</w:t>
            </w:r>
          </w:p>
        </w:tc>
        <w:tc>
          <w:tcPr>
            <w:tcW w:w="8080" w:type="dxa"/>
            <w:vAlign w:val="center"/>
          </w:tcPr>
          <w:p w:rsidR="00482A39" w:rsidRPr="00851EC7" w:rsidDel="0049282C" w:rsidRDefault="00482A39" w:rsidP="00876863">
            <w:pPr>
              <w:pStyle w:val="TableParagraph"/>
            </w:pPr>
            <w:r>
              <w:t>A</w:t>
            </w:r>
            <w:r w:rsidRPr="00F22EA9">
              <w:t>ssistant Director, Indonesia Human Development Section</w:t>
            </w:r>
            <w:r>
              <w:t>, Department of Foreign Affairs and Trade (DFAT), Canberra</w:t>
            </w:r>
          </w:p>
        </w:tc>
        <w:tc>
          <w:tcPr>
            <w:tcW w:w="1984" w:type="dxa"/>
            <w:vAlign w:val="center"/>
          </w:tcPr>
          <w:p w:rsidR="00482A39" w:rsidRPr="00851EC7" w:rsidRDefault="00482A39" w:rsidP="00876863">
            <w:pPr>
              <w:pStyle w:val="TableParagraph"/>
              <w:jc w:val="center"/>
            </w:pPr>
            <w:r>
              <w:t>10/02/16</w:t>
            </w:r>
          </w:p>
        </w:tc>
        <w:tc>
          <w:tcPr>
            <w:tcW w:w="1702" w:type="dxa"/>
            <w:vAlign w:val="center"/>
          </w:tcPr>
          <w:p w:rsidR="00482A39" w:rsidRPr="00851EC7" w:rsidRDefault="00482A39" w:rsidP="00876863">
            <w:pPr>
              <w:pStyle w:val="TableParagraph"/>
              <w:jc w:val="center"/>
              <w:rPr>
                <w:b/>
              </w:rPr>
            </w:pPr>
            <w:r>
              <w:rPr>
                <w:b/>
              </w:rPr>
              <w:t xml:space="preserve">SM, </w:t>
            </w:r>
            <w:r w:rsidRPr="00F34407">
              <w:t>NC</w:t>
            </w:r>
          </w:p>
        </w:tc>
      </w:tr>
      <w:tr w:rsidR="00482A39" w:rsidRPr="00851EC7" w:rsidTr="00876863">
        <w:trPr>
          <w:trHeight w:val="537"/>
        </w:trPr>
        <w:tc>
          <w:tcPr>
            <w:tcW w:w="2376" w:type="dxa"/>
            <w:vAlign w:val="center"/>
          </w:tcPr>
          <w:p w:rsidR="00482A39" w:rsidRPr="00851EC7" w:rsidRDefault="00482A39" w:rsidP="00876863">
            <w:pPr>
              <w:pStyle w:val="TableParagraph"/>
            </w:pPr>
            <w:r>
              <w:t>Meliana Istanto</w:t>
            </w:r>
          </w:p>
        </w:tc>
        <w:tc>
          <w:tcPr>
            <w:tcW w:w="8080" w:type="dxa"/>
            <w:vAlign w:val="center"/>
          </w:tcPr>
          <w:p w:rsidR="00482A39" w:rsidRPr="00851EC7" w:rsidRDefault="00482A39" w:rsidP="00876863">
            <w:pPr>
              <w:pStyle w:val="TableParagraph"/>
            </w:pPr>
            <w:r>
              <w:t xml:space="preserve">Site Selection Coordinator, </w:t>
            </w:r>
            <w:r w:rsidRPr="0074090F">
              <w:t>School System</w:t>
            </w:r>
            <w:r>
              <w:t>s</w:t>
            </w:r>
            <w:r w:rsidRPr="0074090F">
              <w:t xml:space="preserve"> and Quality</w:t>
            </w:r>
            <w:r>
              <w:t xml:space="preserve"> (SSQ)</w:t>
            </w:r>
          </w:p>
        </w:tc>
        <w:tc>
          <w:tcPr>
            <w:tcW w:w="1984" w:type="dxa"/>
            <w:vAlign w:val="center"/>
          </w:tcPr>
          <w:p w:rsidR="00482A39" w:rsidRPr="00851EC7" w:rsidRDefault="00482A39" w:rsidP="00876863">
            <w:pPr>
              <w:pStyle w:val="TableParagraph"/>
              <w:jc w:val="center"/>
            </w:pPr>
            <w:r>
              <w:t>10/02/16</w:t>
            </w:r>
          </w:p>
        </w:tc>
        <w:tc>
          <w:tcPr>
            <w:tcW w:w="1702" w:type="dxa"/>
            <w:vAlign w:val="center"/>
          </w:tcPr>
          <w:p w:rsidR="00482A39" w:rsidRPr="00851EC7" w:rsidRDefault="00482A39" w:rsidP="00876863">
            <w:pPr>
              <w:pStyle w:val="TableParagraph"/>
              <w:jc w:val="center"/>
            </w:pPr>
            <w:r w:rsidRPr="00F34407">
              <w:rPr>
                <w:b/>
              </w:rPr>
              <w:t>IV</w:t>
            </w:r>
            <w:r>
              <w:t>, BN</w:t>
            </w:r>
          </w:p>
        </w:tc>
      </w:tr>
      <w:tr w:rsidR="00482A39" w:rsidRPr="00851EC7" w:rsidTr="00876863">
        <w:trPr>
          <w:trHeight w:val="537"/>
        </w:trPr>
        <w:tc>
          <w:tcPr>
            <w:tcW w:w="2376" w:type="dxa"/>
            <w:vAlign w:val="center"/>
          </w:tcPr>
          <w:p w:rsidR="00482A39" w:rsidRPr="00851EC7" w:rsidRDefault="00482A39" w:rsidP="00876863">
            <w:pPr>
              <w:pStyle w:val="TableParagraph"/>
            </w:pPr>
            <w:r>
              <w:t>Suluh Adiwibowo</w:t>
            </w:r>
          </w:p>
        </w:tc>
        <w:tc>
          <w:tcPr>
            <w:tcW w:w="8080" w:type="dxa"/>
            <w:vAlign w:val="center"/>
          </w:tcPr>
          <w:p w:rsidR="00482A39" w:rsidRPr="00851EC7" w:rsidRDefault="00482A39" w:rsidP="00876863">
            <w:pPr>
              <w:pStyle w:val="TableParagraph"/>
            </w:pPr>
            <w:r>
              <w:t xml:space="preserve">Senior Infrastructure Advisor, </w:t>
            </w:r>
            <w:r w:rsidRPr="0074090F">
              <w:t>School System</w:t>
            </w:r>
            <w:r>
              <w:t>s</w:t>
            </w:r>
            <w:r w:rsidRPr="0074090F">
              <w:t xml:space="preserve"> and Quality</w:t>
            </w:r>
            <w:r>
              <w:t xml:space="preserve"> (SSQ)</w:t>
            </w:r>
          </w:p>
        </w:tc>
        <w:tc>
          <w:tcPr>
            <w:tcW w:w="1984" w:type="dxa"/>
            <w:vAlign w:val="center"/>
          </w:tcPr>
          <w:p w:rsidR="00482A39" w:rsidRPr="00851EC7" w:rsidRDefault="00482A39" w:rsidP="00876863">
            <w:pPr>
              <w:pStyle w:val="TableParagraph"/>
              <w:jc w:val="center"/>
            </w:pPr>
            <w:r>
              <w:t>10/02/16</w:t>
            </w:r>
          </w:p>
        </w:tc>
        <w:tc>
          <w:tcPr>
            <w:tcW w:w="1702" w:type="dxa"/>
            <w:vAlign w:val="center"/>
          </w:tcPr>
          <w:p w:rsidR="00482A39" w:rsidRPr="00851EC7" w:rsidRDefault="00482A39" w:rsidP="00876863">
            <w:pPr>
              <w:pStyle w:val="TableParagraph"/>
              <w:jc w:val="center"/>
            </w:pPr>
            <w:r w:rsidRPr="00F34407">
              <w:rPr>
                <w:b/>
              </w:rPr>
              <w:t>IV</w:t>
            </w:r>
            <w:r>
              <w:t>, BN</w:t>
            </w:r>
          </w:p>
        </w:tc>
      </w:tr>
      <w:tr w:rsidR="00482A39" w:rsidRPr="00851EC7" w:rsidTr="00876863">
        <w:trPr>
          <w:trHeight w:val="537"/>
        </w:trPr>
        <w:tc>
          <w:tcPr>
            <w:tcW w:w="2376" w:type="dxa"/>
            <w:vAlign w:val="center"/>
          </w:tcPr>
          <w:p w:rsidR="00482A39" w:rsidRPr="00851EC7" w:rsidRDefault="00482A39" w:rsidP="00876863">
            <w:pPr>
              <w:pStyle w:val="TableParagraph"/>
            </w:pPr>
            <w:r>
              <w:t>Greg Pearson</w:t>
            </w:r>
          </w:p>
        </w:tc>
        <w:tc>
          <w:tcPr>
            <w:tcW w:w="8080" w:type="dxa"/>
            <w:vAlign w:val="center"/>
          </w:tcPr>
          <w:p w:rsidR="00482A39" w:rsidRPr="00851EC7" w:rsidRDefault="00482A39" w:rsidP="00876863">
            <w:pPr>
              <w:pStyle w:val="TableParagraph"/>
            </w:pPr>
            <w:r>
              <w:t xml:space="preserve">Monitoring and Evaluation Advisor, </w:t>
            </w:r>
            <w:r w:rsidRPr="0074090F">
              <w:t>School System</w:t>
            </w:r>
            <w:r>
              <w:t>s</w:t>
            </w:r>
            <w:r w:rsidRPr="0074090F">
              <w:t xml:space="preserve"> and Quality</w:t>
            </w:r>
            <w:r>
              <w:t xml:space="preserve"> (SSQ)</w:t>
            </w:r>
          </w:p>
        </w:tc>
        <w:tc>
          <w:tcPr>
            <w:tcW w:w="1984" w:type="dxa"/>
            <w:vAlign w:val="center"/>
          </w:tcPr>
          <w:p w:rsidR="00482A39" w:rsidRPr="00851EC7" w:rsidRDefault="00482A39" w:rsidP="00876863">
            <w:pPr>
              <w:pStyle w:val="TableParagraph"/>
              <w:jc w:val="center"/>
            </w:pPr>
            <w:r>
              <w:t>10/02/16</w:t>
            </w:r>
          </w:p>
        </w:tc>
        <w:tc>
          <w:tcPr>
            <w:tcW w:w="1702" w:type="dxa"/>
            <w:vAlign w:val="center"/>
          </w:tcPr>
          <w:p w:rsidR="00482A39" w:rsidRPr="00851EC7" w:rsidRDefault="00482A39" w:rsidP="00876863">
            <w:pPr>
              <w:pStyle w:val="TableParagraph"/>
              <w:jc w:val="center"/>
            </w:pPr>
            <w:r w:rsidRPr="00F34407">
              <w:rPr>
                <w:b/>
              </w:rPr>
              <w:t>NC</w:t>
            </w:r>
            <w:r>
              <w:t>, SM</w:t>
            </w:r>
          </w:p>
        </w:tc>
      </w:tr>
      <w:tr w:rsidR="00482A39" w:rsidRPr="00851EC7" w:rsidTr="00876863">
        <w:trPr>
          <w:trHeight w:val="537"/>
        </w:trPr>
        <w:tc>
          <w:tcPr>
            <w:tcW w:w="2376" w:type="dxa"/>
            <w:vAlign w:val="center"/>
          </w:tcPr>
          <w:p w:rsidR="00482A39" w:rsidRPr="00851EC7" w:rsidRDefault="00482A39" w:rsidP="00876863">
            <w:pPr>
              <w:pStyle w:val="TableParagraph"/>
              <w:rPr>
                <w:color w:val="000000"/>
                <w:lang w:eastAsia="en-GB"/>
              </w:rPr>
            </w:pPr>
            <w:r>
              <w:rPr>
                <w:color w:val="000000"/>
                <w:lang w:eastAsia="en-GB"/>
              </w:rPr>
              <w:t>Achmad Zufar</w:t>
            </w:r>
          </w:p>
        </w:tc>
        <w:tc>
          <w:tcPr>
            <w:tcW w:w="8080" w:type="dxa"/>
            <w:vAlign w:val="center"/>
          </w:tcPr>
          <w:p w:rsidR="00482A39" w:rsidRPr="00851EC7" w:rsidRDefault="00482A39" w:rsidP="00876863">
            <w:pPr>
              <w:pStyle w:val="TableParagraph"/>
            </w:pPr>
            <w:r>
              <w:t>Consultant at Directorate of Junior Secondary Education Management, Ministry of Education and Culture (MoEC)</w:t>
            </w:r>
          </w:p>
        </w:tc>
        <w:tc>
          <w:tcPr>
            <w:tcW w:w="1984" w:type="dxa"/>
            <w:vAlign w:val="center"/>
          </w:tcPr>
          <w:p w:rsidR="00482A39" w:rsidRPr="00851EC7" w:rsidRDefault="00482A39" w:rsidP="00876863">
            <w:pPr>
              <w:pStyle w:val="TableParagraph"/>
              <w:jc w:val="center"/>
            </w:pPr>
            <w:r>
              <w:t>10/02/16</w:t>
            </w:r>
          </w:p>
        </w:tc>
        <w:tc>
          <w:tcPr>
            <w:tcW w:w="1702" w:type="dxa"/>
            <w:vAlign w:val="center"/>
          </w:tcPr>
          <w:p w:rsidR="00482A39" w:rsidRPr="00851EC7" w:rsidRDefault="00482A39" w:rsidP="00876863">
            <w:pPr>
              <w:pStyle w:val="TableParagraph"/>
              <w:jc w:val="center"/>
              <w:rPr>
                <w:b/>
              </w:rPr>
            </w:pPr>
            <w:r>
              <w:rPr>
                <w:b/>
              </w:rPr>
              <w:t xml:space="preserve">IV, </w:t>
            </w:r>
            <w:r w:rsidRPr="00F34407">
              <w:t>BN</w:t>
            </w:r>
          </w:p>
        </w:tc>
      </w:tr>
      <w:tr w:rsidR="00482A39" w:rsidRPr="00851EC7" w:rsidTr="00876863">
        <w:trPr>
          <w:trHeight w:val="537"/>
        </w:trPr>
        <w:tc>
          <w:tcPr>
            <w:tcW w:w="2376" w:type="dxa"/>
            <w:vAlign w:val="center"/>
          </w:tcPr>
          <w:p w:rsidR="00482A39" w:rsidRPr="00851EC7" w:rsidRDefault="00482A39" w:rsidP="00876863">
            <w:pPr>
              <w:pStyle w:val="TableParagraph"/>
              <w:rPr>
                <w:color w:val="000000"/>
                <w:lang w:eastAsia="en-GB"/>
              </w:rPr>
            </w:pPr>
            <w:r>
              <w:rPr>
                <w:color w:val="000000"/>
                <w:lang w:eastAsia="en-GB"/>
              </w:rPr>
              <w:t>Jerry Strudwick</w:t>
            </w:r>
          </w:p>
        </w:tc>
        <w:tc>
          <w:tcPr>
            <w:tcW w:w="8080" w:type="dxa"/>
            <w:vAlign w:val="center"/>
          </w:tcPr>
          <w:p w:rsidR="00482A39" w:rsidRPr="00851EC7" w:rsidRDefault="00482A39" w:rsidP="00876863">
            <w:pPr>
              <w:pStyle w:val="TableParagraph"/>
            </w:pPr>
            <w:r>
              <w:t>Lead Education Specialist, Department of Foreign Affairs and Trade (DFAT), Jakarta</w:t>
            </w:r>
          </w:p>
        </w:tc>
        <w:tc>
          <w:tcPr>
            <w:tcW w:w="1984" w:type="dxa"/>
            <w:vAlign w:val="center"/>
          </w:tcPr>
          <w:p w:rsidR="00482A39" w:rsidRPr="00851EC7" w:rsidRDefault="00482A39" w:rsidP="00876863">
            <w:pPr>
              <w:pStyle w:val="TableParagraph"/>
              <w:jc w:val="center"/>
            </w:pPr>
            <w:r>
              <w:t>11/02/16</w:t>
            </w:r>
          </w:p>
        </w:tc>
        <w:tc>
          <w:tcPr>
            <w:tcW w:w="1702" w:type="dxa"/>
            <w:vAlign w:val="center"/>
          </w:tcPr>
          <w:p w:rsidR="00482A39" w:rsidRPr="00851EC7" w:rsidRDefault="00482A39" w:rsidP="00876863">
            <w:pPr>
              <w:pStyle w:val="TableParagraph"/>
              <w:jc w:val="center"/>
              <w:rPr>
                <w:b/>
              </w:rPr>
            </w:pPr>
            <w:r>
              <w:rPr>
                <w:b/>
              </w:rPr>
              <w:t xml:space="preserve">NC, </w:t>
            </w:r>
            <w:r w:rsidRPr="00F34407">
              <w:t>SM</w:t>
            </w:r>
          </w:p>
        </w:tc>
      </w:tr>
      <w:tr w:rsidR="00482A39" w:rsidRPr="00851EC7" w:rsidTr="00876863">
        <w:trPr>
          <w:trHeight w:val="537"/>
        </w:trPr>
        <w:tc>
          <w:tcPr>
            <w:tcW w:w="2376" w:type="dxa"/>
            <w:vAlign w:val="center"/>
          </w:tcPr>
          <w:p w:rsidR="00482A39" w:rsidRPr="00851EC7" w:rsidRDefault="00482A39" w:rsidP="00876863">
            <w:pPr>
              <w:pStyle w:val="TableParagraph"/>
            </w:pPr>
            <w:r>
              <w:lastRenderedPageBreak/>
              <w:t>Awalia Murtiana</w:t>
            </w:r>
          </w:p>
        </w:tc>
        <w:tc>
          <w:tcPr>
            <w:tcW w:w="8080" w:type="dxa"/>
            <w:vAlign w:val="center"/>
          </w:tcPr>
          <w:p w:rsidR="00482A39" w:rsidRPr="00851EC7" w:rsidRDefault="00482A39" w:rsidP="00876863">
            <w:pPr>
              <w:pStyle w:val="TableParagraph"/>
            </w:pPr>
            <w:r>
              <w:t xml:space="preserve">Program Manager, </w:t>
            </w:r>
            <w:r w:rsidR="001B386A">
              <w:t xml:space="preserve">Basic </w:t>
            </w:r>
            <w:r>
              <w:t>Education Unit, Department of Foreign Affairs and Trade (DFAT), Jakarta</w:t>
            </w:r>
          </w:p>
        </w:tc>
        <w:tc>
          <w:tcPr>
            <w:tcW w:w="1984" w:type="dxa"/>
            <w:vAlign w:val="center"/>
          </w:tcPr>
          <w:p w:rsidR="00482A39" w:rsidRPr="00851EC7" w:rsidRDefault="00482A39" w:rsidP="00876863">
            <w:pPr>
              <w:pStyle w:val="TableParagraph"/>
              <w:jc w:val="center"/>
            </w:pPr>
            <w:r>
              <w:t>11/02/16</w:t>
            </w:r>
          </w:p>
        </w:tc>
        <w:tc>
          <w:tcPr>
            <w:tcW w:w="1702" w:type="dxa"/>
            <w:vAlign w:val="center"/>
          </w:tcPr>
          <w:p w:rsidR="00482A39" w:rsidRPr="00851EC7" w:rsidRDefault="00482A39" w:rsidP="00876863">
            <w:pPr>
              <w:pStyle w:val="TableParagraph"/>
              <w:jc w:val="center"/>
              <w:rPr>
                <w:b/>
              </w:rPr>
            </w:pPr>
            <w:r>
              <w:rPr>
                <w:b/>
              </w:rPr>
              <w:t xml:space="preserve">IV, </w:t>
            </w:r>
            <w:r w:rsidRPr="00F34407">
              <w:t>BN</w:t>
            </w:r>
          </w:p>
        </w:tc>
      </w:tr>
      <w:tr w:rsidR="00482A39" w:rsidRPr="00851EC7" w:rsidTr="00876863">
        <w:trPr>
          <w:trHeight w:val="537"/>
        </w:trPr>
        <w:tc>
          <w:tcPr>
            <w:tcW w:w="2376" w:type="dxa"/>
            <w:vAlign w:val="center"/>
          </w:tcPr>
          <w:p w:rsidR="00482A39" w:rsidRPr="00851EC7" w:rsidRDefault="00482A39" w:rsidP="00876863">
            <w:pPr>
              <w:pStyle w:val="TableParagraph"/>
            </w:pPr>
            <w:r>
              <w:t>Kidup Supriadi</w:t>
            </w:r>
          </w:p>
        </w:tc>
        <w:tc>
          <w:tcPr>
            <w:tcW w:w="8080" w:type="dxa"/>
            <w:vAlign w:val="center"/>
          </w:tcPr>
          <w:p w:rsidR="00482A39" w:rsidRPr="00851EC7" w:rsidRDefault="00482A39" w:rsidP="00876863">
            <w:pPr>
              <w:pStyle w:val="TableParagraph"/>
            </w:pPr>
            <w:r>
              <w:t>Head of Unit of Curriculum and Evaluation, Ministry of Education and Culture (MoEC)</w:t>
            </w:r>
          </w:p>
        </w:tc>
        <w:tc>
          <w:tcPr>
            <w:tcW w:w="1984" w:type="dxa"/>
            <w:vAlign w:val="center"/>
          </w:tcPr>
          <w:p w:rsidR="00482A39" w:rsidRPr="00851EC7" w:rsidRDefault="00482A39" w:rsidP="00876863">
            <w:pPr>
              <w:pStyle w:val="TableParagraph"/>
              <w:jc w:val="center"/>
            </w:pPr>
            <w:r>
              <w:t>11/02/16</w:t>
            </w:r>
          </w:p>
        </w:tc>
        <w:tc>
          <w:tcPr>
            <w:tcW w:w="1702" w:type="dxa"/>
            <w:vAlign w:val="center"/>
          </w:tcPr>
          <w:p w:rsidR="00482A39" w:rsidRPr="00F34407" w:rsidRDefault="00482A39" w:rsidP="00876863">
            <w:pPr>
              <w:pStyle w:val="TableParagraph"/>
              <w:jc w:val="center"/>
              <w:rPr>
                <w:b/>
              </w:rPr>
            </w:pPr>
            <w:r w:rsidRPr="00F34407">
              <w:rPr>
                <w:b/>
              </w:rPr>
              <w:t>PK</w:t>
            </w:r>
          </w:p>
        </w:tc>
      </w:tr>
      <w:tr w:rsidR="00482A39" w:rsidRPr="00851EC7" w:rsidTr="00876863">
        <w:trPr>
          <w:trHeight w:val="537"/>
        </w:trPr>
        <w:tc>
          <w:tcPr>
            <w:tcW w:w="2376" w:type="dxa"/>
            <w:vAlign w:val="center"/>
          </w:tcPr>
          <w:p w:rsidR="00482A39" w:rsidRPr="00851EC7" w:rsidRDefault="00482A39" w:rsidP="00876863">
            <w:pPr>
              <w:pStyle w:val="TableParagraph"/>
            </w:pPr>
            <w:r>
              <w:t>Tjipto Prakosa</w:t>
            </w:r>
          </w:p>
        </w:tc>
        <w:tc>
          <w:tcPr>
            <w:tcW w:w="8080" w:type="dxa"/>
            <w:vAlign w:val="center"/>
          </w:tcPr>
          <w:p w:rsidR="00482A39" w:rsidRPr="005F7B89" w:rsidRDefault="00482A39" w:rsidP="00876863">
            <w:pPr>
              <w:pStyle w:val="TableParagraph"/>
            </w:pPr>
            <w:r w:rsidRPr="005F7B89">
              <w:t xml:space="preserve">Data Analyst &amp; Training </w:t>
            </w:r>
            <w:r>
              <w:t xml:space="preserve">Advisor, </w:t>
            </w:r>
            <w:r w:rsidRPr="0074090F">
              <w:t>School System</w:t>
            </w:r>
            <w:r>
              <w:t>s</w:t>
            </w:r>
            <w:r w:rsidRPr="0074090F">
              <w:t xml:space="preserve"> and Quality</w:t>
            </w:r>
            <w:r>
              <w:t xml:space="preserve"> (SSQ)</w:t>
            </w:r>
          </w:p>
        </w:tc>
        <w:tc>
          <w:tcPr>
            <w:tcW w:w="1984" w:type="dxa"/>
            <w:vAlign w:val="center"/>
          </w:tcPr>
          <w:p w:rsidR="00482A39" w:rsidRPr="00851EC7" w:rsidRDefault="00482A39" w:rsidP="00876863">
            <w:pPr>
              <w:pStyle w:val="TableParagraph"/>
              <w:jc w:val="center"/>
            </w:pPr>
            <w:r>
              <w:t>11/02/16</w:t>
            </w:r>
          </w:p>
        </w:tc>
        <w:tc>
          <w:tcPr>
            <w:tcW w:w="1702" w:type="dxa"/>
            <w:vAlign w:val="center"/>
          </w:tcPr>
          <w:p w:rsidR="00482A39" w:rsidRPr="00851EC7" w:rsidRDefault="00482A39" w:rsidP="00876863">
            <w:pPr>
              <w:pStyle w:val="TableParagraph"/>
              <w:jc w:val="center"/>
            </w:pPr>
            <w:r>
              <w:rPr>
                <w:b/>
              </w:rPr>
              <w:t>PK</w:t>
            </w:r>
            <w:r w:rsidRPr="00F34407">
              <w:rPr>
                <w:b/>
              </w:rPr>
              <w:t>ing</w:t>
            </w:r>
            <w:r>
              <w:t>, IV</w:t>
            </w:r>
          </w:p>
        </w:tc>
      </w:tr>
      <w:tr w:rsidR="00482A39" w:rsidRPr="00851EC7" w:rsidTr="00876863">
        <w:trPr>
          <w:trHeight w:val="537"/>
        </w:trPr>
        <w:tc>
          <w:tcPr>
            <w:tcW w:w="2376" w:type="dxa"/>
            <w:vAlign w:val="center"/>
          </w:tcPr>
          <w:p w:rsidR="00482A39" w:rsidRPr="00851EC7" w:rsidRDefault="00482A39" w:rsidP="00876863">
            <w:pPr>
              <w:pStyle w:val="TableParagraph"/>
            </w:pPr>
            <w:r>
              <w:t>Luluk Farida Muchtar</w:t>
            </w:r>
          </w:p>
        </w:tc>
        <w:tc>
          <w:tcPr>
            <w:tcW w:w="8080" w:type="dxa"/>
            <w:vAlign w:val="center"/>
          </w:tcPr>
          <w:p w:rsidR="00482A39" w:rsidRPr="00851EC7" w:rsidRDefault="00482A39" w:rsidP="00876863">
            <w:pPr>
              <w:pStyle w:val="TableParagraph"/>
            </w:pPr>
            <w:r>
              <w:t xml:space="preserve">Sub-National Implementing Partner Advisor, </w:t>
            </w:r>
            <w:r w:rsidRPr="0074090F">
              <w:t>School System</w:t>
            </w:r>
            <w:r>
              <w:t>s</w:t>
            </w:r>
            <w:r w:rsidRPr="0074090F">
              <w:t xml:space="preserve"> and Quality</w:t>
            </w:r>
            <w:r>
              <w:t xml:space="preserve"> (SSQ)</w:t>
            </w:r>
          </w:p>
        </w:tc>
        <w:tc>
          <w:tcPr>
            <w:tcW w:w="1984" w:type="dxa"/>
            <w:vAlign w:val="center"/>
          </w:tcPr>
          <w:p w:rsidR="00482A39" w:rsidRPr="00851EC7" w:rsidRDefault="00482A39" w:rsidP="00876863">
            <w:pPr>
              <w:pStyle w:val="TableParagraph"/>
              <w:jc w:val="center"/>
            </w:pPr>
            <w:r>
              <w:t>11/02/16</w:t>
            </w:r>
          </w:p>
        </w:tc>
        <w:tc>
          <w:tcPr>
            <w:tcW w:w="1702" w:type="dxa"/>
            <w:vAlign w:val="center"/>
          </w:tcPr>
          <w:p w:rsidR="00482A39" w:rsidRPr="00851EC7" w:rsidRDefault="00482A39" w:rsidP="00876863">
            <w:pPr>
              <w:pStyle w:val="TableParagraph"/>
              <w:jc w:val="center"/>
            </w:pPr>
            <w:r>
              <w:rPr>
                <w:b/>
              </w:rPr>
              <w:t>PKing</w:t>
            </w:r>
            <w:r>
              <w:t>, IV</w:t>
            </w:r>
          </w:p>
        </w:tc>
      </w:tr>
      <w:tr w:rsidR="00482A39" w:rsidRPr="00851EC7" w:rsidTr="00876863">
        <w:trPr>
          <w:trHeight w:val="537"/>
        </w:trPr>
        <w:tc>
          <w:tcPr>
            <w:tcW w:w="2376" w:type="dxa"/>
            <w:vAlign w:val="center"/>
          </w:tcPr>
          <w:p w:rsidR="00482A39" w:rsidRPr="00851EC7" w:rsidRDefault="00482A39" w:rsidP="00876863">
            <w:pPr>
              <w:pStyle w:val="TableParagraph"/>
            </w:pPr>
            <w:r>
              <w:t>Abdul Munir</w:t>
            </w:r>
          </w:p>
        </w:tc>
        <w:tc>
          <w:tcPr>
            <w:tcW w:w="8080" w:type="dxa"/>
            <w:vAlign w:val="center"/>
          </w:tcPr>
          <w:p w:rsidR="00482A39" w:rsidRPr="00851EC7" w:rsidRDefault="00482A39" w:rsidP="00876863">
            <w:pPr>
              <w:pStyle w:val="TableParagraph"/>
            </w:pPr>
            <w:r>
              <w:t xml:space="preserve">Component 3 Manager, Madrasah Accreditation, </w:t>
            </w:r>
            <w:r w:rsidRPr="0074090F">
              <w:t>School System</w:t>
            </w:r>
            <w:r>
              <w:t>s</w:t>
            </w:r>
            <w:r w:rsidRPr="0074090F">
              <w:t xml:space="preserve"> and Quality</w:t>
            </w:r>
            <w:r>
              <w:t xml:space="preserve"> (SSQ)</w:t>
            </w:r>
          </w:p>
        </w:tc>
        <w:tc>
          <w:tcPr>
            <w:tcW w:w="1984" w:type="dxa"/>
            <w:vAlign w:val="center"/>
          </w:tcPr>
          <w:p w:rsidR="00482A39" w:rsidRPr="00851EC7" w:rsidRDefault="00482A39" w:rsidP="00876863">
            <w:pPr>
              <w:pStyle w:val="TableParagraph"/>
              <w:jc w:val="center"/>
              <w:rPr>
                <w:szCs w:val="24"/>
              </w:rPr>
            </w:pPr>
            <w:r>
              <w:rPr>
                <w:szCs w:val="24"/>
              </w:rPr>
              <w:t>11/02</w:t>
            </w:r>
            <w:r>
              <w:t>/16</w:t>
            </w:r>
          </w:p>
        </w:tc>
        <w:tc>
          <w:tcPr>
            <w:tcW w:w="1702" w:type="dxa"/>
            <w:vAlign w:val="center"/>
          </w:tcPr>
          <w:p w:rsidR="00482A39" w:rsidRPr="00851EC7" w:rsidRDefault="00482A39" w:rsidP="00876863">
            <w:pPr>
              <w:pStyle w:val="TableParagraph"/>
              <w:jc w:val="center"/>
              <w:rPr>
                <w:szCs w:val="24"/>
              </w:rPr>
            </w:pPr>
            <w:r>
              <w:rPr>
                <w:b/>
                <w:szCs w:val="24"/>
              </w:rPr>
              <w:t>PKing</w:t>
            </w:r>
            <w:r>
              <w:rPr>
                <w:szCs w:val="24"/>
              </w:rPr>
              <w:t>, IV</w:t>
            </w:r>
          </w:p>
        </w:tc>
      </w:tr>
      <w:tr w:rsidR="00482A39" w:rsidRPr="00851EC7" w:rsidTr="00876863">
        <w:trPr>
          <w:trHeight w:val="537"/>
        </w:trPr>
        <w:tc>
          <w:tcPr>
            <w:tcW w:w="2376" w:type="dxa"/>
            <w:vAlign w:val="center"/>
          </w:tcPr>
          <w:p w:rsidR="00482A39" w:rsidRPr="00851EC7" w:rsidRDefault="00482A39" w:rsidP="00876863">
            <w:pPr>
              <w:pStyle w:val="TableParagraph"/>
            </w:pPr>
            <w:r>
              <w:t>Sarah Lendon</w:t>
            </w:r>
          </w:p>
        </w:tc>
        <w:tc>
          <w:tcPr>
            <w:tcW w:w="8080" w:type="dxa"/>
            <w:vAlign w:val="center"/>
          </w:tcPr>
          <w:p w:rsidR="00482A39" w:rsidRPr="00851EC7" w:rsidRDefault="00482A39" w:rsidP="00876863">
            <w:pPr>
              <w:pStyle w:val="TableParagraph"/>
            </w:pPr>
            <w:r>
              <w:t>Counsellor, Scholarships, Alumni and Education, Department of Foreign Affairs and Trade (DFAT), Jakarta</w:t>
            </w:r>
          </w:p>
        </w:tc>
        <w:tc>
          <w:tcPr>
            <w:tcW w:w="1984" w:type="dxa"/>
            <w:vAlign w:val="center"/>
          </w:tcPr>
          <w:p w:rsidR="00482A39" w:rsidRPr="00851EC7" w:rsidRDefault="00482A39" w:rsidP="00876863">
            <w:pPr>
              <w:pStyle w:val="TableParagraph"/>
              <w:jc w:val="center"/>
            </w:pPr>
            <w:r>
              <w:t>11/02/16</w:t>
            </w:r>
          </w:p>
        </w:tc>
        <w:tc>
          <w:tcPr>
            <w:tcW w:w="1702" w:type="dxa"/>
            <w:vAlign w:val="center"/>
          </w:tcPr>
          <w:p w:rsidR="00482A39" w:rsidRPr="00851EC7" w:rsidRDefault="00482A39" w:rsidP="00876863">
            <w:pPr>
              <w:pStyle w:val="TableParagraph"/>
              <w:jc w:val="center"/>
            </w:pPr>
            <w:r w:rsidRPr="00F34407">
              <w:rPr>
                <w:b/>
              </w:rPr>
              <w:t>NC</w:t>
            </w:r>
            <w:r>
              <w:t>, SM</w:t>
            </w:r>
          </w:p>
        </w:tc>
      </w:tr>
      <w:tr w:rsidR="00482A39" w:rsidRPr="00851EC7" w:rsidTr="00876863">
        <w:trPr>
          <w:trHeight w:val="537"/>
        </w:trPr>
        <w:tc>
          <w:tcPr>
            <w:tcW w:w="2376" w:type="dxa"/>
            <w:vAlign w:val="center"/>
          </w:tcPr>
          <w:p w:rsidR="00482A39" w:rsidRPr="00851EC7" w:rsidRDefault="00482A39" w:rsidP="00876863">
            <w:pPr>
              <w:pStyle w:val="TableParagraph"/>
            </w:pPr>
            <w:r>
              <w:t>Nina Sardjunani</w:t>
            </w:r>
          </w:p>
        </w:tc>
        <w:tc>
          <w:tcPr>
            <w:tcW w:w="8080" w:type="dxa"/>
            <w:vAlign w:val="center"/>
          </w:tcPr>
          <w:p w:rsidR="00482A39" w:rsidRPr="00851EC7" w:rsidRDefault="00482A39" w:rsidP="00876863">
            <w:pPr>
              <w:pStyle w:val="TableParagraph"/>
            </w:pPr>
            <w:r>
              <w:t xml:space="preserve">Former Co-Chair of the </w:t>
            </w:r>
            <w:r w:rsidRPr="0074090F">
              <w:t>Analytical and Capacity Development Partnership (ACDP</w:t>
            </w:r>
            <w:r>
              <w:t>) and Former Deputy Minister for Human, Community, and Cultural Development, Ministry of National Development Planning (Bappenas)</w:t>
            </w:r>
          </w:p>
        </w:tc>
        <w:tc>
          <w:tcPr>
            <w:tcW w:w="1984" w:type="dxa"/>
            <w:vAlign w:val="center"/>
          </w:tcPr>
          <w:p w:rsidR="00482A39" w:rsidRPr="00851EC7" w:rsidRDefault="00482A39" w:rsidP="00876863">
            <w:pPr>
              <w:pStyle w:val="TableParagraph"/>
              <w:jc w:val="center"/>
              <w:rPr>
                <w:szCs w:val="24"/>
              </w:rPr>
            </w:pPr>
            <w:r>
              <w:rPr>
                <w:szCs w:val="24"/>
              </w:rPr>
              <w:t>12/02</w:t>
            </w:r>
            <w:r>
              <w:t>/16</w:t>
            </w:r>
          </w:p>
        </w:tc>
        <w:tc>
          <w:tcPr>
            <w:tcW w:w="1702" w:type="dxa"/>
            <w:vAlign w:val="center"/>
          </w:tcPr>
          <w:p w:rsidR="00482A39" w:rsidRPr="00851EC7" w:rsidRDefault="00482A39" w:rsidP="00876863">
            <w:pPr>
              <w:pStyle w:val="TableParagraph"/>
              <w:jc w:val="center"/>
              <w:rPr>
                <w:szCs w:val="24"/>
              </w:rPr>
            </w:pPr>
            <w:r w:rsidRPr="00F34407">
              <w:rPr>
                <w:b/>
                <w:szCs w:val="24"/>
              </w:rPr>
              <w:t>SM</w:t>
            </w:r>
            <w:r>
              <w:rPr>
                <w:szCs w:val="24"/>
              </w:rPr>
              <w:t>, NC</w:t>
            </w:r>
          </w:p>
        </w:tc>
      </w:tr>
      <w:tr w:rsidR="00482A39" w:rsidRPr="00851EC7" w:rsidTr="00876863">
        <w:trPr>
          <w:trHeight w:val="537"/>
        </w:trPr>
        <w:tc>
          <w:tcPr>
            <w:tcW w:w="2376" w:type="dxa"/>
            <w:vAlign w:val="center"/>
          </w:tcPr>
          <w:p w:rsidR="00482A39" w:rsidRPr="00851EC7" w:rsidRDefault="00482A39" w:rsidP="00876863">
            <w:pPr>
              <w:pStyle w:val="TableParagraph"/>
            </w:pPr>
            <w:r>
              <w:t>Benita Chudleigh</w:t>
            </w:r>
          </w:p>
        </w:tc>
        <w:tc>
          <w:tcPr>
            <w:tcW w:w="8080" w:type="dxa"/>
            <w:vAlign w:val="center"/>
          </w:tcPr>
          <w:p w:rsidR="00482A39" w:rsidRPr="00851EC7" w:rsidRDefault="00482A39" w:rsidP="00876863">
            <w:pPr>
              <w:pStyle w:val="TableParagraph"/>
            </w:pPr>
            <w:r>
              <w:t>Senior Program Manager, Basic Education Unit, Department of Foreign Affairs and Trade (DFAT), Jakarta</w:t>
            </w:r>
          </w:p>
        </w:tc>
        <w:tc>
          <w:tcPr>
            <w:tcW w:w="1984" w:type="dxa"/>
            <w:vAlign w:val="center"/>
          </w:tcPr>
          <w:p w:rsidR="00482A39" w:rsidRPr="00851EC7" w:rsidRDefault="00482A39" w:rsidP="00876863">
            <w:pPr>
              <w:pStyle w:val="TableParagraph"/>
              <w:jc w:val="center"/>
              <w:rPr>
                <w:szCs w:val="24"/>
              </w:rPr>
            </w:pPr>
            <w:r>
              <w:rPr>
                <w:szCs w:val="24"/>
              </w:rPr>
              <w:t>12/02</w:t>
            </w:r>
            <w:r>
              <w:t>/16</w:t>
            </w:r>
          </w:p>
        </w:tc>
        <w:tc>
          <w:tcPr>
            <w:tcW w:w="1702" w:type="dxa"/>
            <w:vAlign w:val="center"/>
          </w:tcPr>
          <w:p w:rsidR="00482A39" w:rsidRPr="00851EC7" w:rsidRDefault="00482A39" w:rsidP="00876863">
            <w:pPr>
              <w:pStyle w:val="TableParagraph"/>
              <w:jc w:val="center"/>
              <w:rPr>
                <w:szCs w:val="24"/>
              </w:rPr>
            </w:pPr>
            <w:r w:rsidRPr="00F34407">
              <w:rPr>
                <w:b/>
                <w:szCs w:val="24"/>
              </w:rPr>
              <w:t>P</w:t>
            </w:r>
            <w:r>
              <w:rPr>
                <w:b/>
                <w:szCs w:val="24"/>
              </w:rPr>
              <w:t>K</w:t>
            </w:r>
            <w:r w:rsidRPr="00F34407">
              <w:rPr>
                <w:b/>
                <w:szCs w:val="24"/>
              </w:rPr>
              <w:t>ing</w:t>
            </w:r>
            <w:r>
              <w:rPr>
                <w:szCs w:val="24"/>
              </w:rPr>
              <w:t>, IV</w:t>
            </w:r>
          </w:p>
        </w:tc>
      </w:tr>
      <w:tr w:rsidR="00482A39" w:rsidRPr="00851EC7" w:rsidTr="00876863">
        <w:trPr>
          <w:trHeight w:val="537"/>
        </w:trPr>
        <w:tc>
          <w:tcPr>
            <w:tcW w:w="2376" w:type="dxa"/>
            <w:vAlign w:val="center"/>
          </w:tcPr>
          <w:p w:rsidR="00482A39" w:rsidRDefault="00482A39" w:rsidP="00876863">
            <w:pPr>
              <w:pStyle w:val="TableParagraph"/>
            </w:pPr>
            <w:r>
              <w:t>Diah Pratiwi</w:t>
            </w:r>
          </w:p>
        </w:tc>
        <w:tc>
          <w:tcPr>
            <w:tcW w:w="8080" w:type="dxa"/>
            <w:vAlign w:val="center"/>
          </w:tcPr>
          <w:p w:rsidR="00482A39" w:rsidRPr="00851EC7" w:rsidRDefault="00482A39" w:rsidP="00876863">
            <w:pPr>
              <w:pStyle w:val="TableParagraph"/>
            </w:pPr>
            <w:r>
              <w:t>Program Manager, Basic Education Unit, Department of Foreign Affairs and Trade (DFAT), Jakarta</w:t>
            </w:r>
          </w:p>
        </w:tc>
        <w:tc>
          <w:tcPr>
            <w:tcW w:w="1984" w:type="dxa"/>
            <w:vAlign w:val="center"/>
          </w:tcPr>
          <w:p w:rsidR="00482A39" w:rsidRDefault="00482A39" w:rsidP="00876863">
            <w:pPr>
              <w:pStyle w:val="TableParagraph"/>
              <w:jc w:val="center"/>
              <w:rPr>
                <w:szCs w:val="24"/>
              </w:rPr>
            </w:pPr>
            <w:r>
              <w:rPr>
                <w:szCs w:val="24"/>
              </w:rPr>
              <w:t>12/02</w:t>
            </w:r>
            <w:r>
              <w:t>/16</w:t>
            </w:r>
          </w:p>
        </w:tc>
        <w:tc>
          <w:tcPr>
            <w:tcW w:w="1702" w:type="dxa"/>
            <w:vAlign w:val="center"/>
          </w:tcPr>
          <w:p w:rsidR="00482A39" w:rsidRPr="00F34407" w:rsidRDefault="00482A39" w:rsidP="00876863">
            <w:pPr>
              <w:pStyle w:val="TableParagraph"/>
              <w:jc w:val="center"/>
              <w:rPr>
                <w:b/>
                <w:szCs w:val="24"/>
              </w:rPr>
            </w:pPr>
            <w:r>
              <w:rPr>
                <w:b/>
                <w:szCs w:val="24"/>
              </w:rPr>
              <w:t>PKing, IV</w:t>
            </w:r>
          </w:p>
        </w:tc>
      </w:tr>
      <w:tr w:rsidR="00482A39" w:rsidRPr="00851EC7" w:rsidTr="00876863">
        <w:trPr>
          <w:trHeight w:val="537"/>
        </w:trPr>
        <w:tc>
          <w:tcPr>
            <w:tcW w:w="2376" w:type="dxa"/>
            <w:vAlign w:val="center"/>
          </w:tcPr>
          <w:p w:rsidR="00482A39" w:rsidRPr="00851EC7" w:rsidRDefault="00482A39" w:rsidP="00876863">
            <w:pPr>
              <w:pStyle w:val="TableParagraph"/>
            </w:pPr>
            <w:r>
              <w:t>Hendarman</w:t>
            </w:r>
          </w:p>
        </w:tc>
        <w:tc>
          <w:tcPr>
            <w:tcW w:w="8080" w:type="dxa"/>
            <w:vAlign w:val="center"/>
          </w:tcPr>
          <w:p w:rsidR="00482A39" w:rsidRPr="005F7B89" w:rsidRDefault="00482A39" w:rsidP="00876863">
            <w:pPr>
              <w:pStyle w:val="TableParagraph"/>
            </w:pPr>
            <w:r w:rsidRPr="005F7B89">
              <w:t>Head of the Centre for Policy Research</w:t>
            </w:r>
            <w:r>
              <w:t>, Ministry of Education and Culture (MoEC)</w:t>
            </w:r>
          </w:p>
        </w:tc>
        <w:tc>
          <w:tcPr>
            <w:tcW w:w="1984" w:type="dxa"/>
            <w:vAlign w:val="center"/>
          </w:tcPr>
          <w:p w:rsidR="00482A39" w:rsidRPr="00851EC7" w:rsidRDefault="00482A39" w:rsidP="00876863">
            <w:pPr>
              <w:pStyle w:val="TableParagraph"/>
              <w:jc w:val="center"/>
              <w:rPr>
                <w:szCs w:val="24"/>
              </w:rPr>
            </w:pPr>
            <w:r>
              <w:rPr>
                <w:szCs w:val="24"/>
              </w:rPr>
              <w:t>12/02</w:t>
            </w:r>
            <w:r>
              <w:t>/16</w:t>
            </w:r>
          </w:p>
        </w:tc>
        <w:tc>
          <w:tcPr>
            <w:tcW w:w="1702" w:type="dxa"/>
            <w:vAlign w:val="center"/>
          </w:tcPr>
          <w:p w:rsidR="00482A39" w:rsidRPr="00851EC7" w:rsidRDefault="00482A39" w:rsidP="00876863">
            <w:pPr>
              <w:pStyle w:val="TableParagraph"/>
              <w:jc w:val="center"/>
              <w:rPr>
                <w:szCs w:val="24"/>
              </w:rPr>
            </w:pPr>
            <w:r w:rsidRPr="00F34407">
              <w:rPr>
                <w:b/>
                <w:szCs w:val="24"/>
              </w:rPr>
              <w:t>NC</w:t>
            </w:r>
            <w:r>
              <w:rPr>
                <w:szCs w:val="24"/>
              </w:rPr>
              <w:t>, SM</w:t>
            </w:r>
          </w:p>
        </w:tc>
      </w:tr>
      <w:tr w:rsidR="00482A39" w:rsidRPr="00851EC7" w:rsidTr="00876863">
        <w:trPr>
          <w:trHeight w:val="537"/>
        </w:trPr>
        <w:tc>
          <w:tcPr>
            <w:tcW w:w="2376" w:type="dxa"/>
            <w:vAlign w:val="center"/>
          </w:tcPr>
          <w:p w:rsidR="00482A39" w:rsidRPr="00851EC7" w:rsidRDefault="00482A39" w:rsidP="00876863">
            <w:pPr>
              <w:pStyle w:val="TableParagraph"/>
            </w:pPr>
            <w:r>
              <w:t>Muktiono Waspodo</w:t>
            </w:r>
          </w:p>
        </w:tc>
        <w:tc>
          <w:tcPr>
            <w:tcW w:w="8080" w:type="dxa"/>
            <w:vAlign w:val="center"/>
          </w:tcPr>
          <w:p w:rsidR="00482A39" w:rsidRPr="00851EC7" w:rsidRDefault="00482A39" w:rsidP="00876863">
            <w:pPr>
              <w:pStyle w:val="TableParagraph"/>
            </w:pPr>
            <w:r>
              <w:t xml:space="preserve">Head of Staff Education and Training, Ministry of Education and Culture (MoEC) </w:t>
            </w:r>
          </w:p>
        </w:tc>
        <w:tc>
          <w:tcPr>
            <w:tcW w:w="1984" w:type="dxa"/>
            <w:vAlign w:val="center"/>
          </w:tcPr>
          <w:p w:rsidR="00482A39" w:rsidRPr="00851EC7" w:rsidRDefault="00482A39" w:rsidP="00876863">
            <w:pPr>
              <w:pStyle w:val="TableParagraph"/>
              <w:jc w:val="center"/>
              <w:rPr>
                <w:szCs w:val="24"/>
              </w:rPr>
            </w:pPr>
            <w:r>
              <w:rPr>
                <w:szCs w:val="24"/>
              </w:rPr>
              <w:t>15/02</w:t>
            </w:r>
            <w:r>
              <w:t>/16</w:t>
            </w:r>
          </w:p>
        </w:tc>
        <w:tc>
          <w:tcPr>
            <w:tcW w:w="1702" w:type="dxa"/>
            <w:vAlign w:val="center"/>
          </w:tcPr>
          <w:p w:rsidR="00482A39" w:rsidRPr="00851EC7" w:rsidRDefault="00482A39" w:rsidP="00876863">
            <w:pPr>
              <w:pStyle w:val="TableParagraph"/>
              <w:jc w:val="center"/>
              <w:rPr>
                <w:b/>
                <w:szCs w:val="24"/>
              </w:rPr>
            </w:pPr>
            <w:r>
              <w:rPr>
                <w:b/>
                <w:szCs w:val="24"/>
              </w:rPr>
              <w:t>PK</w:t>
            </w:r>
          </w:p>
        </w:tc>
      </w:tr>
      <w:tr w:rsidR="00482A39" w:rsidRPr="00851EC7" w:rsidTr="00876863">
        <w:trPr>
          <w:trHeight w:val="537"/>
        </w:trPr>
        <w:tc>
          <w:tcPr>
            <w:tcW w:w="2376" w:type="dxa"/>
            <w:vAlign w:val="center"/>
          </w:tcPr>
          <w:p w:rsidR="00482A39" w:rsidRPr="00851EC7" w:rsidRDefault="00482A39" w:rsidP="00876863">
            <w:pPr>
              <w:pStyle w:val="TableParagraph"/>
            </w:pPr>
            <w:r>
              <w:t>Nurzaman</w:t>
            </w:r>
          </w:p>
        </w:tc>
        <w:tc>
          <w:tcPr>
            <w:tcW w:w="8080" w:type="dxa"/>
            <w:vAlign w:val="center"/>
          </w:tcPr>
          <w:p w:rsidR="00482A39" w:rsidRPr="00851EC7" w:rsidRDefault="00482A39" w:rsidP="00876863">
            <w:pPr>
              <w:pStyle w:val="TableParagraph"/>
            </w:pPr>
            <w:r>
              <w:t>Head of Research and Education Centre, Ministry of Education and Culture (MoEC)</w:t>
            </w:r>
          </w:p>
        </w:tc>
        <w:tc>
          <w:tcPr>
            <w:tcW w:w="1984" w:type="dxa"/>
            <w:vAlign w:val="center"/>
          </w:tcPr>
          <w:p w:rsidR="00482A39" w:rsidRPr="00851EC7" w:rsidRDefault="00482A39" w:rsidP="00876863">
            <w:pPr>
              <w:pStyle w:val="TableParagraph"/>
              <w:jc w:val="center"/>
            </w:pPr>
            <w:r>
              <w:t>15/02/16</w:t>
            </w:r>
          </w:p>
        </w:tc>
        <w:tc>
          <w:tcPr>
            <w:tcW w:w="1702" w:type="dxa"/>
            <w:vAlign w:val="center"/>
          </w:tcPr>
          <w:p w:rsidR="00482A39" w:rsidRPr="00851EC7" w:rsidRDefault="00482A39" w:rsidP="00876863">
            <w:pPr>
              <w:pStyle w:val="TableParagraph"/>
              <w:jc w:val="center"/>
            </w:pPr>
            <w:r w:rsidRPr="007B1839">
              <w:rPr>
                <w:b/>
              </w:rPr>
              <w:t>PK</w:t>
            </w:r>
            <w:r>
              <w:t>, NC</w:t>
            </w:r>
          </w:p>
        </w:tc>
      </w:tr>
      <w:tr w:rsidR="00482A39" w:rsidRPr="00851EC7" w:rsidTr="00876863">
        <w:trPr>
          <w:trHeight w:val="537"/>
        </w:trPr>
        <w:tc>
          <w:tcPr>
            <w:tcW w:w="2376" w:type="dxa"/>
            <w:vAlign w:val="center"/>
          </w:tcPr>
          <w:p w:rsidR="00482A39" w:rsidRPr="00851EC7" w:rsidRDefault="00482A39" w:rsidP="00876863">
            <w:pPr>
              <w:pStyle w:val="TableParagraph"/>
            </w:pPr>
            <w:r>
              <w:lastRenderedPageBreak/>
              <w:t>Mokhamad Iksan</w:t>
            </w:r>
          </w:p>
        </w:tc>
        <w:tc>
          <w:tcPr>
            <w:tcW w:w="8080" w:type="dxa"/>
            <w:vAlign w:val="center"/>
          </w:tcPr>
          <w:p w:rsidR="00482A39" w:rsidRPr="00D91927" w:rsidRDefault="00482A39" w:rsidP="00876863">
            <w:pPr>
              <w:pStyle w:val="TableParagraph"/>
            </w:pPr>
            <w:r w:rsidRPr="00D91927">
              <w:rPr>
                <w:bCs/>
              </w:rPr>
              <w:t>Senior Islamic School Accreditation Advisor</w:t>
            </w:r>
            <w:r>
              <w:rPr>
                <w:bCs/>
              </w:rPr>
              <w:t>, School Systems and Quality (SSQ)</w:t>
            </w:r>
          </w:p>
        </w:tc>
        <w:tc>
          <w:tcPr>
            <w:tcW w:w="1984" w:type="dxa"/>
            <w:vAlign w:val="center"/>
          </w:tcPr>
          <w:p w:rsidR="00482A39" w:rsidRPr="00851EC7" w:rsidRDefault="00482A39" w:rsidP="00876863">
            <w:pPr>
              <w:pStyle w:val="TableParagraph"/>
              <w:jc w:val="center"/>
            </w:pPr>
            <w:r>
              <w:t>16/02/16</w:t>
            </w:r>
          </w:p>
        </w:tc>
        <w:tc>
          <w:tcPr>
            <w:tcW w:w="1702" w:type="dxa"/>
            <w:vAlign w:val="center"/>
          </w:tcPr>
          <w:p w:rsidR="00482A39" w:rsidRPr="00851EC7" w:rsidRDefault="00482A39" w:rsidP="00876863">
            <w:pPr>
              <w:pStyle w:val="TableParagraph"/>
              <w:jc w:val="center"/>
            </w:pPr>
            <w:r w:rsidRPr="00A71BF3">
              <w:rPr>
                <w:b/>
              </w:rPr>
              <w:t>PKing</w:t>
            </w:r>
            <w:r>
              <w:t>, IV</w:t>
            </w:r>
          </w:p>
        </w:tc>
      </w:tr>
      <w:tr w:rsidR="00482A39" w:rsidRPr="00851EC7" w:rsidTr="00876863">
        <w:trPr>
          <w:trHeight w:val="537"/>
        </w:trPr>
        <w:tc>
          <w:tcPr>
            <w:tcW w:w="2376" w:type="dxa"/>
            <w:vAlign w:val="center"/>
          </w:tcPr>
          <w:p w:rsidR="00482A39" w:rsidRPr="00851EC7" w:rsidRDefault="00482A39" w:rsidP="00876863">
            <w:pPr>
              <w:pStyle w:val="TableParagraph"/>
            </w:pPr>
            <w:r>
              <w:t>John Virtue</w:t>
            </w:r>
          </w:p>
        </w:tc>
        <w:tc>
          <w:tcPr>
            <w:tcW w:w="8080" w:type="dxa"/>
            <w:vAlign w:val="center"/>
          </w:tcPr>
          <w:p w:rsidR="00482A39" w:rsidRPr="00851EC7" w:rsidRDefault="00482A39" w:rsidP="00876863">
            <w:pPr>
              <w:pStyle w:val="TableParagraph"/>
            </w:pPr>
            <w:r>
              <w:t xml:space="preserve">Education Sector Governance &amp; Capacity Development Advisor, </w:t>
            </w:r>
            <w:r w:rsidRPr="0074090F">
              <w:t>Analytical and Capacity Development Partnership (ACDP</w:t>
            </w:r>
            <w:r>
              <w:t>)</w:t>
            </w:r>
          </w:p>
        </w:tc>
        <w:tc>
          <w:tcPr>
            <w:tcW w:w="1984" w:type="dxa"/>
            <w:vAlign w:val="center"/>
          </w:tcPr>
          <w:p w:rsidR="00482A39" w:rsidRPr="00851EC7" w:rsidRDefault="00482A39" w:rsidP="00876863">
            <w:pPr>
              <w:pStyle w:val="TableParagraph"/>
              <w:jc w:val="center"/>
            </w:pPr>
            <w:r>
              <w:t>16/02/16</w:t>
            </w:r>
          </w:p>
        </w:tc>
        <w:tc>
          <w:tcPr>
            <w:tcW w:w="1702" w:type="dxa"/>
            <w:vAlign w:val="center"/>
          </w:tcPr>
          <w:p w:rsidR="00482A39" w:rsidRPr="00851EC7" w:rsidRDefault="00482A39" w:rsidP="00876863">
            <w:pPr>
              <w:pStyle w:val="TableParagraph"/>
              <w:jc w:val="center"/>
            </w:pPr>
            <w:r w:rsidRPr="00A71BF3">
              <w:rPr>
                <w:b/>
              </w:rPr>
              <w:t>SM</w:t>
            </w:r>
            <w:r>
              <w:t>, NC</w:t>
            </w:r>
          </w:p>
        </w:tc>
      </w:tr>
      <w:tr w:rsidR="00482A39" w:rsidRPr="00851EC7" w:rsidTr="00876863">
        <w:trPr>
          <w:trHeight w:val="537"/>
        </w:trPr>
        <w:tc>
          <w:tcPr>
            <w:tcW w:w="2376" w:type="dxa"/>
            <w:vAlign w:val="center"/>
          </w:tcPr>
          <w:p w:rsidR="00482A39" w:rsidRPr="00851EC7" w:rsidRDefault="00482A39" w:rsidP="00876863">
            <w:pPr>
              <w:pStyle w:val="TableParagraph"/>
              <w:rPr>
                <w:color w:val="000000"/>
                <w:lang w:eastAsia="en-GB"/>
              </w:rPr>
            </w:pPr>
            <w:r>
              <w:rPr>
                <w:color w:val="000000"/>
                <w:lang w:eastAsia="en-GB"/>
              </w:rPr>
              <w:t>Kamaruddin Amin</w:t>
            </w:r>
          </w:p>
        </w:tc>
        <w:tc>
          <w:tcPr>
            <w:tcW w:w="8080" w:type="dxa"/>
            <w:vAlign w:val="center"/>
          </w:tcPr>
          <w:p w:rsidR="00482A39" w:rsidRPr="00851EC7" w:rsidRDefault="00482A39" w:rsidP="00876863">
            <w:pPr>
              <w:pStyle w:val="TableParagraph"/>
            </w:pPr>
            <w:r>
              <w:t>Director General of Islamic Education, Ministry of Religious Affairs (MoRA)</w:t>
            </w:r>
          </w:p>
        </w:tc>
        <w:tc>
          <w:tcPr>
            <w:tcW w:w="1984" w:type="dxa"/>
            <w:vAlign w:val="center"/>
          </w:tcPr>
          <w:p w:rsidR="00482A39" w:rsidRPr="00851EC7" w:rsidRDefault="00482A39" w:rsidP="00876863">
            <w:pPr>
              <w:pStyle w:val="TableParagraph"/>
              <w:jc w:val="center"/>
            </w:pPr>
            <w:r>
              <w:t>16/02/16</w:t>
            </w:r>
          </w:p>
        </w:tc>
        <w:tc>
          <w:tcPr>
            <w:tcW w:w="1702" w:type="dxa"/>
            <w:vAlign w:val="center"/>
          </w:tcPr>
          <w:p w:rsidR="00482A39" w:rsidRPr="00851EC7" w:rsidRDefault="00482A39" w:rsidP="00876863">
            <w:pPr>
              <w:pStyle w:val="TableParagraph"/>
              <w:jc w:val="center"/>
            </w:pPr>
            <w:r w:rsidRPr="00FA1F71">
              <w:rPr>
                <w:b/>
              </w:rPr>
              <w:t>PKing</w:t>
            </w:r>
            <w:r w:rsidRPr="00FA1F71">
              <w:t>, NC, IV</w:t>
            </w:r>
          </w:p>
        </w:tc>
      </w:tr>
      <w:tr w:rsidR="00482A39" w:rsidRPr="00851EC7" w:rsidTr="00876863">
        <w:trPr>
          <w:trHeight w:val="537"/>
        </w:trPr>
        <w:tc>
          <w:tcPr>
            <w:tcW w:w="2376" w:type="dxa"/>
            <w:vAlign w:val="center"/>
          </w:tcPr>
          <w:p w:rsidR="00482A39" w:rsidRPr="00851EC7" w:rsidRDefault="00482A39" w:rsidP="00876863">
            <w:pPr>
              <w:pStyle w:val="TableParagraph"/>
              <w:rPr>
                <w:color w:val="000000"/>
                <w:lang w:eastAsia="en-GB"/>
              </w:rPr>
            </w:pPr>
            <w:r>
              <w:rPr>
                <w:color w:val="000000"/>
                <w:lang w:eastAsia="en-GB"/>
              </w:rPr>
              <w:t>Destriani Nugroho</w:t>
            </w:r>
          </w:p>
        </w:tc>
        <w:tc>
          <w:tcPr>
            <w:tcW w:w="8080" w:type="dxa"/>
            <w:vAlign w:val="center"/>
          </w:tcPr>
          <w:p w:rsidR="00482A39" w:rsidRPr="00851EC7" w:rsidRDefault="00482A39" w:rsidP="00876863">
            <w:pPr>
              <w:pStyle w:val="TableParagraph"/>
            </w:pPr>
            <w:r>
              <w:t>Project Officer, European Union (EU)</w:t>
            </w:r>
          </w:p>
        </w:tc>
        <w:tc>
          <w:tcPr>
            <w:tcW w:w="1984" w:type="dxa"/>
            <w:vAlign w:val="center"/>
          </w:tcPr>
          <w:p w:rsidR="00482A39" w:rsidRPr="00851EC7" w:rsidRDefault="00482A39" w:rsidP="00876863">
            <w:pPr>
              <w:pStyle w:val="TableParagraph"/>
              <w:jc w:val="center"/>
            </w:pPr>
            <w:r>
              <w:t>22/02/16</w:t>
            </w:r>
          </w:p>
        </w:tc>
        <w:tc>
          <w:tcPr>
            <w:tcW w:w="1702" w:type="dxa"/>
            <w:vAlign w:val="center"/>
          </w:tcPr>
          <w:p w:rsidR="00482A39" w:rsidRPr="00851EC7" w:rsidRDefault="00482A39" w:rsidP="00876863">
            <w:pPr>
              <w:pStyle w:val="TableParagraph"/>
              <w:jc w:val="center"/>
              <w:rPr>
                <w:b/>
              </w:rPr>
            </w:pPr>
            <w:r>
              <w:rPr>
                <w:b/>
              </w:rPr>
              <w:t xml:space="preserve">SM, </w:t>
            </w:r>
            <w:r w:rsidRPr="00A71BF3">
              <w:t>NC</w:t>
            </w:r>
          </w:p>
        </w:tc>
      </w:tr>
      <w:tr w:rsidR="00482A39" w:rsidRPr="00851EC7" w:rsidTr="00876863">
        <w:trPr>
          <w:trHeight w:val="537"/>
        </w:trPr>
        <w:tc>
          <w:tcPr>
            <w:tcW w:w="2376" w:type="dxa"/>
            <w:vAlign w:val="center"/>
          </w:tcPr>
          <w:p w:rsidR="00482A39" w:rsidRPr="00851EC7" w:rsidRDefault="00482A39" w:rsidP="00876863">
            <w:pPr>
              <w:pStyle w:val="TableParagraph"/>
              <w:rPr>
                <w:color w:val="000000"/>
                <w:lang w:eastAsia="en-GB"/>
              </w:rPr>
            </w:pPr>
            <w:r>
              <w:rPr>
                <w:color w:val="000000"/>
                <w:lang w:eastAsia="en-GB"/>
              </w:rPr>
              <w:t>Pierre Destexhe</w:t>
            </w:r>
          </w:p>
        </w:tc>
        <w:tc>
          <w:tcPr>
            <w:tcW w:w="8080" w:type="dxa"/>
            <w:vAlign w:val="center"/>
          </w:tcPr>
          <w:p w:rsidR="00482A39" w:rsidRPr="00851EC7" w:rsidRDefault="00482A39" w:rsidP="00876863">
            <w:pPr>
              <w:pStyle w:val="TableParagraph"/>
            </w:pPr>
            <w:r>
              <w:t>Program Manager, European Union (EU)</w:t>
            </w:r>
          </w:p>
        </w:tc>
        <w:tc>
          <w:tcPr>
            <w:tcW w:w="1984" w:type="dxa"/>
            <w:vAlign w:val="center"/>
          </w:tcPr>
          <w:p w:rsidR="00482A39" w:rsidRPr="00851EC7" w:rsidRDefault="00482A39" w:rsidP="00876863">
            <w:pPr>
              <w:pStyle w:val="TableParagraph"/>
              <w:jc w:val="center"/>
            </w:pPr>
            <w:r>
              <w:t>22/02/16</w:t>
            </w:r>
          </w:p>
        </w:tc>
        <w:tc>
          <w:tcPr>
            <w:tcW w:w="1702" w:type="dxa"/>
            <w:vAlign w:val="center"/>
          </w:tcPr>
          <w:p w:rsidR="00482A39" w:rsidRPr="00851EC7" w:rsidRDefault="00482A39" w:rsidP="00876863">
            <w:pPr>
              <w:pStyle w:val="TableParagraph"/>
              <w:jc w:val="center"/>
              <w:rPr>
                <w:b/>
              </w:rPr>
            </w:pPr>
            <w:r>
              <w:rPr>
                <w:b/>
              </w:rPr>
              <w:t xml:space="preserve">NC, </w:t>
            </w:r>
            <w:r w:rsidRPr="00A71BF3">
              <w:t>SM</w:t>
            </w:r>
          </w:p>
        </w:tc>
      </w:tr>
      <w:tr w:rsidR="00482A39" w:rsidRPr="00851EC7" w:rsidTr="00876863">
        <w:trPr>
          <w:trHeight w:val="537"/>
        </w:trPr>
        <w:tc>
          <w:tcPr>
            <w:tcW w:w="2376" w:type="dxa"/>
            <w:vAlign w:val="center"/>
          </w:tcPr>
          <w:p w:rsidR="00482A39" w:rsidRPr="00851EC7" w:rsidRDefault="00482A39" w:rsidP="00876863">
            <w:pPr>
              <w:pStyle w:val="TableParagraph"/>
              <w:rPr>
                <w:color w:val="000000"/>
                <w:lang w:eastAsia="en-GB"/>
              </w:rPr>
            </w:pPr>
            <w:r>
              <w:rPr>
                <w:color w:val="000000"/>
                <w:lang w:eastAsia="en-GB"/>
              </w:rPr>
              <w:t>Graham Dawson</w:t>
            </w:r>
          </w:p>
        </w:tc>
        <w:tc>
          <w:tcPr>
            <w:tcW w:w="8080" w:type="dxa"/>
            <w:vAlign w:val="center"/>
          </w:tcPr>
          <w:p w:rsidR="00482A39" w:rsidRPr="00851EC7" w:rsidRDefault="00482A39" w:rsidP="00876863">
            <w:pPr>
              <w:pStyle w:val="TableParagraph"/>
            </w:pPr>
            <w:r>
              <w:t xml:space="preserve">Education Consultant, </w:t>
            </w:r>
            <w:r w:rsidRPr="0074090F">
              <w:t>School System</w:t>
            </w:r>
            <w:r>
              <w:t>s</w:t>
            </w:r>
            <w:r w:rsidRPr="0074090F">
              <w:t xml:space="preserve"> and Quality</w:t>
            </w:r>
            <w:r>
              <w:t xml:space="preserve"> (SSQ)</w:t>
            </w:r>
          </w:p>
        </w:tc>
        <w:tc>
          <w:tcPr>
            <w:tcW w:w="1984" w:type="dxa"/>
            <w:vAlign w:val="center"/>
          </w:tcPr>
          <w:p w:rsidR="00482A39" w:rsidRPr="00851EC7" w:rsidRDefault="00482A39" w:rsidP="00876863">
            <w:pPr>
              <w:pStyle w:val="TableParagraph"/>
              <w:jc w:val="center"/>
            </w:pPr>
            <w:r>
              <w:t>22/02/16</w:t>
            </w:r>
          </w:p>
        </w:tc>
        <w:tc>
          <w:tcPr>
            <w:tcW w:w="1702" w:type="dxa"/>
            <w:vAlign w:val="center"/>
          </w:tcPr>
          <w:p w:rsidR="00482A39" w:rsidRPr="00851EC7" w:rsidRDefault="00482A39" w:rsidP="00876863">
            <w:pPr>
              <w:pStyle w:val="TableParagraph"/>
              <w:jc w:val="center"/>
              <w:rPr>
                <w:b/>
              </w:rPr>
            </w:pPr>
            <w:r>
              <w:rPr>
                <w:b/>
              </w:rPr>
              <w:t xml:space="preserve">PK, </w:t>
            </w:r>
            <w:r w:rsidRPr="00A71BF3">
              <w:t>NC</w:t>
            </w:r>
          </w:p>
        </w:tc>
      </w:tr>
      <w:tr w:rsidR="00482A39" w:rsidRPr="00851EC7" w:rsidTr="00876863">
        <w:trPr>
          <w:trHeight w:val="537"/>
        </w:trPr>
        <w:tc>
          <w:tcPr>
            <w:tcW w:w="2376" w:type="dxa"/>
            <w:vAlign w:val="center"/>
          </w:tcPr>
          <w:p w:rsidR="00482A39" w:rsidRPr="00851EC7" w:rsidRDefault="00482A39" w:rsidP="00876863">
            <w:pPr>
              <w:pStyle w:val="TableParagraph"/>
            </w:pPr>
            <w:r>
              <w:t>Totok Amin Soefijanto</w:t>
            </w:r>
          </w:p>
        </w:tc>
        <w:tc>
          <w:tcPr>
            <w:tcW w:w="8080" w:type="dxa"/>
            <w:vAlign w:val="center"/>
          </w:tcPr>
          <w:p w:rsidR="00482A39" w:rsidRPr="00851EC7" w:rsidRDefault="00482A39" w:rsidP="00876863">
            <w:pPr>
              <w:pStyle w:val="TableParagraph"/>
            </w:pPr>
            <w:r>
              <w:t xml:space="preserve">Indonesia Education Knowledge Management Specialist, </w:t>
            </w:r>
            <w:r w:rsidRPr="0074090F">
              <w:t>Analytical and Capacity Development Partnership (ACDP</w:t>
            </w:r>
            <w:r>
              <w:t>)</w:t>
            </w:r>
          </w:p>
        </w:tc>
        <w:tc>
          <w:tcPr>
            <w:tcW w:w="1984" w:type="dxa"/>
            <w:vAlign w:val="center"/>
          </w:tcPr>
          <w:p w:rsidR="00482A39" w:rsidRPr="00851EC7" w:rsidRDefault="00482A39" w:rsidP="00876863">
            <w:pPr>
              <w:pStyle w:val="TableParagraph"/>
              <w:jc w:val="center"/>
            </w:pPr>
            <w:r>
              <w:t>23/02/16</w:t>
            </w:r>
          </w:p>
        </w:tc>
        <w:tc>
          <w:tcPr>
            <w:tcW w:w="1702" w:type="dxa"/>
            <w:vAlign w:val="center"/>
          </w:tcPr>
          <w:p w:rsidR="00482A39" w:rsidRPr="00851EC7" w:rsidRDefault="00482A39" w:rsidP="00876863">
            <w:pPr>
              <w:pStyle w:val="TableParagraph"/>
              <w:jc w:val="center"/>
              <w:rPr>
                <w:b/>
              </w:rPr>
            </w:pPr>
            <w:r>
              <w:rPr>
                <w:b/>
              </w:rPr>
              <w:t xml:space="preserve">SM, </w:t>
            </w:r>
            <w:r w:rsidRPr="00A71BF3">
              <w:t>NC</w:t>
            </w:r>
          </w:p>
        </w:tc>
      </w:tr>
      <w:tr w:rsidR="00482A39" w:rsidRPr="00851EC7" w:rsidTr="00876863">
        <w:trPr>
          <w:trHeight w:val="537"/>
        </w:trPr>
        <w:tc>
          <w:tcPr>
            <w:tcW w:w="2376" w:type="dxa"/>
            <w:vAlign w:val="center"/>
          </w:tcPr>
          <w:p w:rsidR="00482A39" w:rsidRPr="00851EC7" w:rsidDel="0049282C" w:rsidRDefault="00482A39" w:rsidP="00876863">
            <w:pPr>
              <w:pStyle w:val="TableParagraph"/>
            </w:pPr>
            <w:r>
              <w:t>Admir Meko</w:t>
            </w:r>
          </w:p>
        </w:tc>
        <w:tc>
          <w:tcPr>
            <w:tcW w:w="8080" w:type="dxa"/>
            <w:vAlign w:val="center"/>
          </w:tcPr>
          <w:p w:rsidR="00482A39" w:rsidRPr="00851EC7" w:rsidDel="0049282C" w:rsidRDefault="00482A39" w:rsidP="00876863">
            <w:pPr>
              <w:pStyle w:val="TableParagraph"/>
            </w:pPr>
            <w:r>
              <w:t>Senior Program Manager, Basic Education Unit, Department of Foreign Affairs and Trade (DFAT), Jakarta</w:t>
            </w:r>
          </w:p>
        </w:tc>
        <w:tc>
          <w:tcPr>
            <w:tcW w:w="1984" w:type="dxa"/>
            <w:vAlign w:val="center"/>
          </w:tcPr>
          <w:p w:rsidR="00482A39" w:rsidRPr="00851EC7" w:rsidRDefault="00482A39" w:rsidP="00876863">
            <w:pPr>
              <w:pStyle w:val="TableParagraph"/>
              <w:jc w:val="center"/>
            </w:pPr>
            <w:r>
              <w:t>25/02/16</w:t>
            </w:r>
          </w:p>
        </w:tc>
        <w:tc>
          <w:tcPr>
            <w:tcW w:w="1702" w:type="dxa"/>
            <w:vAlign w:val="center"/>
          </w:tcPr>
          <w:p w:rsidR="00482A39" w:rsidRPr="00851EC7" w:rsidRDefault="00482A39" w:rsidP="00876863">
            <w:pPr>
              <w:pStyle w:val="TableParagraph"/>
              <w:jc w:val="center"/>
              <w:rPr>
                <w:b/>
              </w:rPr>
            </w:pPr>
            <w:r>
              <w:rPr>
                <w:b/>
              </w:rPr>
              <w:t xml:space="preserve">NC, </w:t>
            </w:r>
            <w:r w:rsidRPr="00A71BF3">
              <w:t>BN</w:t>
            </w:r>
          </w:p>
        </w:tc>
      </w:tr>
      <w:tr w:rsidR="00482A39" w:rsidRPr="00851EC7" w:rsidTr="00876863">
        <w:trPr>
          <w:trHeight w:val="537"/>
        </w:trPr>
        <w:tc>
          <w:tcPr>
            <w:tcW w:w="2376" w:type="dxa"/>
            <w:vAlign w:val="center"/>
          </w:tcPr>
          <w:p w:rsidR="00482A39" w:rsidRPr="00851EC7" w:rsidRDefault="00482A39" w:rsidP="00876863">
            <w:pPr>
              <w:pStyle w:val="TableParagraph"/>
            </w:pPr>
            <w:r>
              <w:t>Subandi Sardjoko</w:t>
            </w:r>
          </w:p>
        </w:tc>
        <w:tc>
          <w:tcPr>
            <w:tcW w:w="8080" w:type="dxa"/>
            <w:vAlign w:val="center"/>
          </w:tcPr>
          <w:p w:rsidR="00482A39" w:rsidRPr="00851EC7" w:rsidRDefault="00482A39" w:rsidP="00876863">
            <w:pPr>
              <w:pStyle w:val="TableParagraph"/>
            </w:pPr>
            <w:r>
              <w:t>Deputy Minister for Human, Community, and Cultural Development, Ministry of National Development Planning (Bappenas)</w:t>
            </w:r>
          </w:p>
        </w:tc>
        <w:tc>
          <w:tcPr>
            <w:tcW w:w="1984" w:type="dxa"/>
            <w:vAlign w:val="center"/>
          </w:tcPr>
          <w:p w:rsidR="00482A39" w:rsidRPr="00851EC7" w:rsidRDefault="00482A39" w:rsidP="00876863">
            <w:pPr>
              <w:pStyle w:val="TableParagraph"/>
              <w:jc w:val="center"/>
            </w:pPr>
            <w:r>
              <w:t>29/02/16</w:t>
            </w:r>
          </w:p>
        </w:tc>
        <w:tc>
          <w:tcPr>
            <w:tcW w:w="1702" w:type="dxa"/>
            <w:vAlign w:val="center"/>
          </w:tcPr>
          <w:p w:rsidR="00482A39" w:rsidRPr="00851EC7" w:rsidRDefault="00482A39" w:rsidP="00876863">
            <w:pPr>
              <w:pStyle w:val="TableParagraph"/>
              <w:jc w:val="center"/>
            </w:pPr>
            <w:r w:rsidRPr="00A71BF3">
              <w:rPr>
                <w:b/>
              </w:rPr>
              <w:t>SM</w:t>
            </w:r>
            <w:r>
              <w:t>, NC</w:t>
            </w:r>
          </w:p>
        </w:tc>
      </w:tr>
      <w:tr w:rsidR="00482A39" w:rsidRPr="00851EC7" w:rsidTr="00876863">
        <w:trPr>
          <w:trHeight w:val="537"/>
        </w:trPr>
        <w:tc>
          <w:tcPr>
            <w:tcW w:w="2376" w:type="dxa"/>
            <w:vAlign w:val="center"/>
          </w:tcPr>
          <w:p w:rsidR="00482A39" w:rsidRDefault="00482A39" w:rsidP="00876863">
            <w:pPr>
              <w:pStyle w:val="TableParagraph"/>
            </w:pPr>
            <w:r>
              <w:t>Siswandari</w:t>
            </w:r>
          </w:p>
        </w:tc>
        <w:tc>
          <w:tcPr>
            <w:tcW w:w="8080" w:type="dxa"/>
            <w:vAlign w:val="center"/>
          </w:tcPr>
          <w:p w:rsidR="00482A39" w:rsidRDefault="00482A39" w:rsidP="00876863">
            <w:pPr>
              <w:pStyle w:val="TableParagraph"/>
            </w:pPr>
            <w:r>
              <w:t>Director of Institute for Development and Empowerment of the School Principals (LPPKS)</w:t>
            </w:r>
          </w:p>
        </w:tc>
        <w:tc>
          <w:tcPr>
            <w:tcW w:w="1984" w:type="dxa"/>
            <w:vAlign w:val="center"/>
          </w:tcPr>
          <w:p w:rsidR="00482A39" w:rsidRDefault="00482A39" w:rsidP="00876863">
            <w:pPr>
              <w:pStyle w:val="TableParagraph"/>
              <w:jc w:val="center"/>
            </w:pPr>
            <w:r>
              <w:t>02/03/16</w:t>
            </w:r>
          </w:p>
        </w:tc>
        <w:tc>
          <w:tcPr>
            <w:tcW w:w="1702" w:type="dxa"/>
            <w:vAlign w:val="center"/>
          </w:tcPr>
          <w:p w:rsidR="00482A39" w:rsidRPr="00A71BF3" w:rsidRDefault="00482A39" w:rsidP="00876863">
            <w:pPr>
              <w:pStyle w:val="TableParagraph"/>
              <w:jc w:val="center"/>
              <w:rPr>
                <w:b/>
              </w:rPr>
            </w:pPr>
            <w:r>
              <w:rPr>
                <w:b/>
              </w:rPr>
              <w:t>PK</w:t>
            </w:r>
          </w:p>
        </w:tc>
      </w:tr>
      <w:tr w:rsidR="00482A39" w:rsidRPr="00851EC7" w:rsidTr="00876863">
        <w:trPr>
          <w:trHeight w:val="537"/>
        </w:trPr>
        <w:tc>
          <w:tcPr>
            <w:tcW w:w="2376" w:type="dxa"/>
            <w:vAlign w:val="center"/>
          </w:tcPr>
          <w:p w:rsidR="00482A39" w:rsidRDefault="00482A39" w:rsidP="00876863">
            <w:pPr>
              <w:pStyle w:val="TableParagraph"/>
            </w:pPr>
            <w:r>
              <w:t>Fasli Jalal</w:t>
            </w:r>
          </w:p>
        </w:tc>
        <w:tc>
          <w:tcPr>
            <w:tcW w:w="8080" w:type="dxa"/>
            <w:vAlign w:val="center"/>
          </w:tcPr>
          <w:p w:rsidR="00482A39" w:rsidRDefault="00482A39" w:rsidP="00876863">
            <w:pPr>
              <w:pStyle w:val="TableParagraph"/>
            </w:pPr>
            <w:r>
              <w:t>Sr. Education Advisor (Consultant), Department of Foreign Affairs and Trade (DFAT)</w:t>
            </w:r>
          </w:p>
        </w:tc>
        <w:tc>
          <w:tcPr>
            <w:tcW w:w="1984" w:type="dxa"/>
            <w:vAlign w:val="center"/>
          </w:tcPr>
          <w:p w:rsidR="00482A39" w:rsidRDefault="00482A39" w:rsidP="00876863">
            <w:pPr>
              <w:pStyle w:val="TableParagraph"/>
              <w:jc w:val="center"/>
            </w:pPr>
            <w:r>
              <w:t>06/03/16</w:t>
            </w:r>
          </w:p>
        </w:tc>
        <w:tc>
          <w:tcPr>
            <w:tcW w:w="1702" w:type="dxa"/>
            <w:vAlign w:val="center"/>
          </w:tcPr>
          <w:p w:rsidR="00482A39" w:rsidRPr="00A71BF3" w:rsidRDefault="00482A39" w:rsidP="00876863">
            <w:pPr>
              <w:pStyle w:val="TableParagraph"/>
              <w:jc w:val="center"/>
              <w:rPr>
                <w:b/>
              </w:rPr>
            </w:pPr>
            <w:r>
              <w:rPr>
                <w:b/>
              </w:rPr>
              <w:t>PK</w:t>
            </w:r>
          </w:p>
        </w:tc>
      </w:tr>
      <w:tr w:rsidR="00482A39" w:rsidRPr="00851EC7" w:rsidTr="00876863">
        <w:trPr>
          <w:trHeight w:val="537"/>
        </w:trPr>
        <w:tc>
          <w:tcPr>
            <w:tcW w:w="2376" w:type="dxa"/>
            <w:vAlign w:val="center"/>
          </w:tcPr>
          <w:p w:rsidR="00482A39" w:rsidRDefault="00482A39" w:rsidP="00876863">
            <w:pPr>
              <w:pStyle w:val="TableParagraph"/>
            </w:pPr>
            <w:r>
              <w:t>Rooswanti Soeharno</w:t>
            </w:r>
          </w:p>
        </w:tc>
        <w:tc>
          <w:tcPr>
            <w:tcW w:w="8080" w:type="dxa"/>
            <w:vAlign w:val="center"/>
          </w:tcPr>
          <w:p w:rsidR="00482A39" w:rsidRPr="00E32B6F" w:rsidRDefault="00482A39" w:rsidP="00876863">
            <w:pPr>
              <w:pStyle w:val="TableParagraph"/>
            </w:pPr>
            <w:r w:rsidRPr="00E32B6F">
              <w:rPr>
                <w:rFonts w:cs="Helvetica"/>
              </w:rPr>
              <w:t>Social Sector Officer</w:t>
            </w:r>
            <w:r>
              <w:rPr>
                <w:rFonts w:cs="Helvetica"/>
              </w:rPr>
              <w:t>, Asian Development Bank (ADB)</w:t>
            </w:r>
          </w:p>
        </w:tc>
        <w:tc>
          <w:tcPr>
            <w:tcW w:w="1984" w:type="dxa"/>
            <w:vAlign w:val="center"/>
          </w:tcPr>
          <w:p w:rsidR="00482A39" w:rsidRDefault="00482A39" w:rsidP="00876863">
            <w:pPr>
              <w:pStyle w:val="TableParagraph"/>
              <w:jc w:val="center"/>
            </w:pPr>
            <w:r>
              <w:t>18/03/16</w:t>
            </w:r>
          </w:p>
        </w:tc>
        <w:tc>
          <w:tcPr>
            <w:tcW w:w="1702" w:type="dxa"/>
            <w:vAlign w:val="center"/>
          </w:tcPr>
          <w:p w:rsidR="00482A39" w:rsidRDefault="00482A39" w:rsidP="00876863">
            <w:pPr>
              <w:pStyle w:val="TableParagraph"/>
              <w:jc w:val="center"/>
              <w:rPr>
                <w:b/>
              </w:rPr>
            </w:pPr>
            <w:r>
              <w:rPr>
                <w:b/>
              </w:rPr>
              <w:t>SM</w:t>
            </w:r>
          </w:p>
        </w:tc>
      </w:tr>
      <w:tr w:rsidR="00482A39" w:rsidRPr="00851EC7" w:rsidTr="00482A39">
        <w:trPr>
          <w:cantSplit/>
          <w:trHeight w:val="537"/>
        </w:trPr>
        <w:tc>
          <w:tcPr>
            <w:tcW w:w="2376" w:type="dxa"/>
            <w:vAlign w:val="center"/>
          </w:tcPr>
          <w:p w:rsidR="00482A39" w:rsidRPr="00851EC7" w:rsidRDefault="00482A39" w:rsidP="00876863">
            <w:pPr>
              <w:pStyle w:val="TableParagraph"/>
            </w:pPr>
            <w:r>
              <w:lastRenderedPageBreak/>
              <w:t>Hamid Muhammad</w:t>
            </w:r>
          </w:p>
        </w:tc>
        <w:tc>
          <w:tcPr>
            <w:tcW w:w="8080" w:type="dxa"/>
            <w:vAlign w:val="center"/>
          </w:tcPr>
          <w:p w:rsidR="00482A39" w:rsidRPr="007953E9" w:rsidDel="0049282C" w:rsidRDefault="00482A39" w:rsidP="00876863">
            <w:pPr>
              <w:pStyle w:val="TableParagraph"/>
            </w:pPr>
            <w:r w:rsidRPr="007953E9">
              <w:t xml:space="preserve">Director General for Basic and </w:t>
            </w:r>
            <w:r>
              <w:t>Secondary Education, Ministry of Education and Culture (MoEC)</w:t>
            </w:r>
          </w:p>
        </w:tc>
        <w:tc>
          <w:tcPr>
            <w:tcW w:w="1984" w:type="dxa"/>
            <w:vAlign w:val="center"/>
          </w:tcPr>
          <w:p w:rsidR="00482A39" w:rsidRPr="00851EC7" w:rsidRDefault="00482A39" w:rsidP="00876863">
            <w:pPr>
              <w:pStyle w:val="TableParagraph"/>
              <w:jc w:val="center"/>
            </w:pPr>
            <w:r>
              <w:t>Intended**</w:t>
            </w:r>
          </w:p>
        </w:tc>
        <w:tc>
          <w:tcPr>
            <w:tcW w:w="1702" w:type="dxa"/>
            <w:vAlign w:val="center"/>
          </w:tcPr>
          <w:p w:rsidR="00482A39" w:rsidRPr="00851EC7" w:rsidRDefault="00482A39" w:rsidP="00876863">
            <w:pPr>
              <w:pStyle w:val="TableParagraph"/>
              <w:jc w:val="center"/>
              <w:rPr>
                <w:b/>
              </w:rPr>
            </w:pPr>
          </w:p>
        </w:tc>
      </w:tr>
      <w:tr w:rsidR="00482A39" w:rsidRPr="00851EC7" w:rsidTr="00876863">
        <w:trPr>
          <w:trHeight w:val="537"/>
        </w:trPr>
        <w:tc>
          <w:tcPr>
            <w:tcW w:w="2376" w:type="dxa"/>
            <w:vAlign w:val="center"/>
          </w:tcPr>
          <w:p w:rsidR="00482A39" w:rsidRPr="00851EC7" w:rsidRDefault="00482A39" w:rsidP="00876863">
            <w:pPr>
              <w:pStyle w:val="TableParagraph"/>
              <w:rPr>
                <w:color w:val="000000"/>
                <w:lang w:eastAsia="en-GB"/>
              </w:rPr>
            </w:pPr>
            <w:r>
              <w:rPr>
                <w:color w:val="000000"/>
                <w:lang w:eastAsia="en-GB"/>
              </w:rPr>
              <w:t>Norman Larocque</w:t>
            </w:r>
          </w:p>
        </w:tc>
        <w:tc>
          <w:tcPr>
            <w:tcW w:w="8080" w:type="dxa"/>
            <w:vAlign w:val="center"/>
          </w:tcPr>
          <w:p w:rsidR="00482A39" w:rsidRPr="00851EC7" w:rsidRDefault="00482A39" w:rsidP="00876863">
            <w:pPr>
              <w:pStyle w:val="TableParagraph"/>
            </w:pPr>
            <w:r>
              <w:t>Principal Education Specialist, Asian Development Bank (ADB)</w:t>
            </w:r>
          </w:p>
        </w:tc>
        <w:tc>
          <w:tcPr>
            <w:tcW w:w="1984" w:type="dxa"/>
            <w:vAlign w:val="center"/>
          </w:tcPr>
          <w:p w:rsidR="00482A39" w:rsidRPr="00851EC7" w:rsidRDefault="00482A39" w:rsidP="00876863">
            <w:pPr>
              <w:pStyle w:val="TableParagraph"/>
              <w:jc w:val="center"/>
            </w:pPr>
            <w:r>
              <w:t>Intended**</w:t>
            </w:r>
          </w:p>
        </w:tc>
        <w:tc>
          <w:tcPr>
            <w:tcW w:w="1702" w:type="dxa"/>
            <w:vAlign w:val="center"/>
          </w:tcPr>
          <w:p w:rsidR="00482A39" w:rsidRPr="00851EC7" w:rsidRDefault="00482A39" w:rsidP="00876863">
            <w:pPr>
              <w:pStyle w:val="TableParagraph"/>
              <w:jc w:val="center"/>
              <w:rPr>
                <w:b/>
              </w:rPr>
            </w:pPr>
          </w:p>
        </w:tc>
      </w:tr>
      <w:tr w:rsidR="00482A39" w:rsidRPr="00851EC7" w:rsidTr="00876863">
        <w:trPr>
          <w:trHeight w:val="537"/>
        </w:trPr>
        <w:tc>
          <w:tcPr>
            <w:tcW w:w="2376" w:type="dxa"/>
            <w:vAlign w:val="center"/>
          </w:tcPr>
          <w:p w:rsidR="00482A39" w:rsidRPr="00851EC7" w:rsidRDefault="00482A39" w:rsidP="00876863">
            <w:pPr>
              <w:pStyle w:val="TableParagraph"/>
              <w:rPr>
                <w:color w:val="000000"/>
                <w:lang w:eastAsia="en-GB"/>
              </w:rPr>
            </w:pPr>
            <w:r>
              <w:rPr>
                <w:color w:val="000000"/>
                <w:lang w:eastAsia="en-GB"/>
              </w:rPr>
              <w:t>David Harding</w:t>
            </w:r>
          </w:p>
        </w:tc>
        <w:tc>
          <w:tcPr>
            <w:tcW w:w="8080" w:type="dxa"/>
            <w:vAlign w:val="center"/>
          </w:tcPr>
          <w:p w:rsidR="00482A39" w:rsidRPr="00851EC7" w:rsidRDefault="00482A39" w:rsidP="00876863">
            <w:pPr>
              <w:pStyle w:val="TableParagraph"/>
            </w:pPr>
            <w:r w:rsidRPr="0074090F">
              <w:t>Lead Adviser for Education and Knowledge Management</w:t>
            </w:r>
            <w:r>
              <w:t xml:space="preserve">, </w:t>
            </w:r>
            <w:r w:rsidRPr="0074090F">
              <w:t>Analytical and Capacity Development Partnership (ACDP</w:t>
            </w:r>
            <w:r>
              <w:t>)</w:t>
            </w:r>
          </w:p>
        </w:tc>
        <w:tc>
          <w:tcPr>
            <w:tcW w:w="1984" w:type="dxa"/>
            <w:vAlign w:val="center"/>
          </w:tcPr>
          <w:p w:rsidR="00482A39" w:rsidRPr="00851EC7" w:rsidRDefault="00482A39" w:rsidP="00876863">
            <w:pPr>
              <w:pStyle w:val="TableParagraph"/>
              <w:jc w:val="center"/>
            </w:pPr>
            <w:r>
              <w:t>Intended**</w:t>
            </w:r>
          </w:p>
        </w:tc>
        <w:tc>
          <w:tcPr>
            <w:tcW w:w="1702" w:type="dxa"/>
            <w:vAlign w:val="center"/>
          </w:tcPr>
          <w:p w:rsidR="00482A39" w:rsidRPr="00851EC7" w:rsidRDefault="00482A39" w:rsidP="00876863">
            <w:pPr>
              <w:pStyle w:val="TableParagraph"/>
              <w:jc w:val="center"/>
              <w:rPr>
                <w:b/>
              </w:rPr>
            </w:pPr>
          </w:p>
        </w:tc>
      </w:tr>
      <w:tr w:rsidR="00482A39" w:rsidRPr="00851EC7" w:rsidTr="00876863">
        <w:trPr>
          <w:trHeight w:val="537"/>
        </w:trPr>
        <w:tc>
          <w:tcPr>
            <w:tcW w:w="2376" w:type="dxa"/>
            <w:vAlign w:val="center"/>
          </w:tcPr>
          <w:p w:rsidR="00482A39" w:rsidRPr="00851EC7" w:rsidRDefault="00482A39" w:rsidP="00876863">
            <w:pPr>
              <w:pStyle w:val="TableParagraph"/>
              <w:rPr>
                <w:color w:val="000000"/>
                <w:lang w:eastAsia="en-GB"/>
              </w:rPr>
            </w:pPr>
            <w:r>
              <w:rPr>
                <w:color w:val="000000"/>
                <w:lang w:eastAsia="en-GB"/>
              </w:rPr>
              <w:t>Tania Dora Warokka</w:t>
            </w:r>
          </w:p>
        </w:tc>
        <w:tc>
          <w:tcPr>
            <w:tcW w:w="8080" w:type="dxa"/>
            <w:vAlign w:val="center"/>
          </w:tcPr>
          <w:p w:rsidR="00482A39" w:rsidRPr="00851EC7" w:rsidRDefault="00482A39" w:rsidP="00876863">
            <w:pPr>
              <w:pStyle w:val="TableParagraph"/>
            </w:pPr>
            <w:r>
              <w:t xml:space="preserve">Monitoring and Evaluation Leader, </w:t>
            </w:r>
            <w:r w:rsidRPr="0074090F">
              <w:t>School System</w:t>
            </w:r>
            <w:r>
              <w:t>s</w:t>
            </w:r>
            <w:r w:rsidRPr="0074090F">
              <w:t xml:space="preserve"> and Quality</w:t>
            </w:r>
            <w:r>
              <w:t xml:space="preserve"> (SSQ)</w:t>
            </w:r>
          </w:p>
        </w:tc>
        <w:tc>
          <w:tcPr>
            <w:tcW w:w="1984" w:type="dxa"/>
            <w:vAlign w:val="center"/>
          </w:tcPr>
          <w:p w:rsidR="00482A39" w:rsidRPr="00851EC7" w:rsidRDefault="00482A39" w:rsidP="00876863">
            <w:pPr>
              <w:pStyle w:val="TableParagraph"/>
              <w:jc w:val="center"/>
            </w:pPr>
            <w:r>
              <w:t>Intended**</w:t>
            </w:r>
          </w:p>
        </w:tc>
        <w:tc>
          <w:tcPr>
            <w:tcW w:w="1702" w:type="dxa"/>
            <w:vAlign w:val="center"/>
          </w:tcPr>
          <w:p w:rsidR="00482A39" w:rsidRPr="00851EC7" w:rsidRDefault="00482A39" w:rsidP="00876863">
            <w:pPr>
              <w:pStyle w:val="TableParagraph"/>
              <w:jc w:val="center"/>
              <w:rPr>
                <w:b/>
              </w:rPr>
            </w:pPr>
          </w:p>
        </w:tc>
      </w:tr>
      <w:tr w:rsidR="00482A39" w:rsidRPr="00851EC7" w:rsidTr="00876863">
        <w:trPr>
          <w:trHeight w:val="537"/>
        </w:trPr>
        <w:tc>
          <w:tcPr>
            <w:tcW w:w="2376" w:type="dxa"/>
            <w:vAlign w:val="center"/>
          </w:tcPr>
          <w:p w:rsidR="00482A39" w:rsidRPr="00851EC7" w:rsidRDefault="00482A39" w:rsidP="00876863">
            <w:pPr>
              <w:pStyle w:val="TableParagraph"/>
              <w:rPr>
                <w:color w:val="000000"/>
                <w:lang w:eastAsia="en-GB"/>
              </w:rPr>
            </w:pPr>
            <w:r>
              <w:rPr>
                <w:color w:val="000000"/>
                <w:lang w:eastAsia="en-GB"/>
              </w:rPr>
              <w:t>Furqon</w:t>
            </w:r>
          </w:p>
        </w:tc>
        <w:tc>
          <w:tcPr>
            <w:tcW w:w="8080" w:type="dxa"/>
            <w:vAlign w:val="center"/>
          </w:tcPr>
          <w:p w:rsidR="00482A39" w:rsidRPr="00851EC7" w:rsidRDefault="00482A39" w:rsidP="00876863">
            <w:pPr>
              <w:pStyle w:val="TableParagraph"/>
            </w:pPr>
            <w:r>
              <w:t xml:space="preserve">Rector of Universitas Pendidikan Indonesia (UPI) and former Co-Chair of the </w:t>
            </w:r>
            <w:r w:rsidRPr="0074090F">
              <w:t>Analytical and Capacity Development Partnership (ACDP)</w:t>
            </w:r>
          </w:p>
        </w:tc>
        <w:tc>
          <w:tcPr>
            <w:tcW w:w="1984" w:type="dxa"/>
            <w:vAlign w:val="center"/>
          </w:tcPr>
          <w:p w:rsidR="00482A39" w:rsidRPr="00851EC7" w:rsidRDefault="00482A39" w:rsidP="00876863">
            <w:pPr>
              <w:pStyle w:val="TableParagraph"/>
              <w:jc w:val="center"/>
            </w:pPr>
            <w:r>
              <w:t>Intended**</w:t>
            </w:r>
          </w:p>
        </w:tc>
        <w:tc>
          <w:tcPr>
            <w:tcW w:w="1702" w:type="dxa"/>
            <w:vAlign w:val="center"/>
          </w:tcPr>
          <w:p w:rsidR="00482A39" w:rsidRPr="00851EC7" w:rsidRDefault="00482A39" w:rsidP="00876863">
            <w:pPr>
              <w:pStyle w:val="TableParagraph"/>
              <w:jc w:val="center"/>
              <w:rPr>
                <w:b/>
              </w:rPr>
            </w:pPr>
          </w:p>
        </w:tc>
      </w:tr>
      <w:tr w:rsidR="00482A39" w:rsidRPr="00851EC7" w:rsidTr="00876863">
        <w:trPr>
          <w:trHeight w:val="537"/>
        </w:trPr>
        <w:tc>
          <w:tcPr>
            <w:tcW w:w="2376" w:type="dxa"/>
            <w:vAlign w:val="center"/>
          </w:tcPr>
          <w:p w:rsidR="00482A39" w:rsidRPr="00851EC7" w:rsidRDefault="00482A39" w:rsidP="00876863">
            <w:pPr>
              <w:pStyle w:val="TableParagraph"/>
              <w:rPr>
                <w:color w:val="000000"/>
                <w:lang w:eastAsia="en-GB"/>
              </w:rPr>
            </w:pPr>
            <w:r>
              <w:rPr>
                <w:color w:val="000000"/>
                <w:lang w:eastAsia="en-GB"/>
              </w:rPr>
              <w:t>Abi Sujak</w:t>
            </w:r>
          </w:p>
        </w:tc>
        <w:tc>
          <w:tcPr>
            <w:tcW w:w="8080" w:type="dxa"/>
            <w:vAlign w:val="center"/>
          </w:tcPr>
          <w:p w:rsidR="00482A39" w:rsidRPr="00851EC7" w:rsidRDefault="00482A39" w:rsidP="00876863">
            <w:pPr>
              <w:pStyle w:val="TableParagraph"/>
            </w:pPr>
            <w:r>
              <w:t>Director of SEAMEO SEAMOLEC, Indonesia</w:t>
            </w:r>
          </w:p>
        </w:tc>
        <w:tc>
          <w:tcPr>
            <w:tcW w:w="1984" w:type="dxa"/>
            <w:vAlign w:val="center"/>
          </w:tcPr>
          <w:p w:rsidR="00482A39" w:rsidRPr="00851EC7" w:rsidRDefault="00482A39" w:rsidP="00876863">
            <w:pPr>
              <w:pStyle w:val="TableParagraph"/>
              <w:jc w:val="center"/>
            </w:pPr>
            <w:r>
              <w:t>Intended**</w:t>
            </w:r>
          </w:p>
        </w:tc>
        <w:tc>
          <w:tcPr>
            <w:tcW w:w="1702" w:type="dxa"/>
            <w:vAlign w:val="center"/>
          </w:tcPr>
          <w:p w:rsidR="00482A39" w:rsidRPr="00851EC7" w:rsidRDefault="00482A39" w:rsidP="00876863">
            <w:pPr>
              <w:pStyle w:val="TableParagraph"/>
              <w:jc w:val="center"/>
              <w:rPr>
                <w:b/>
              </w:rPr>
            </w:pPr>
          </w:p>
        </w:tc>
      </w:tr>
      <w:tr w:rsidR="00482A39" w:rsidRPr="00851EC7" w:rsidTr="00876863">
        <w:trPr>
          <w:trHeight w:val="537"/>
        </w:trPr>
        <w:tc>
          <w:tcPr>
            <w:tcW w:w="2376" w:type="dxa"/>
            <w:vAlign w:val="center"/>
          </w:tcPr>
          <w:p w:rsidR="00482A39" w:rsidRPr="00D20962" w:rsidRDefault="00482A39" w:rsidP="00876863">
            <w:pPr>
              <w:pStyle w:val="TableParagraph"/>
              <w:rPr>
                <w:color w:val="000000"/>
                <w:lang w:eastAsia="en-GB"/>
              </w:rPr>
            </w:pPr>
            <w:r>
              <w:rPr>
                <w:color w:val="000000"/>
                <w:lang w:eastAsia="en-GB"/>
              </w:rPr>
              <w:t>Abdul Malik</w:t>
            </w:r>
          </w:p>
        </w:tc>
        <w:tc>
          <w:tcPr>
            <w:tcW w:w="8080" w:type="dxa"/>
            <w:vAlign w:val="center"/>
          </w:tcPr>
          <w:p w:rsidR="00482A39" w:rsidRPr="00D20962" w:rsidRDefault="00482A39" w:rsidP="00876863">
            <w:pPr>
              <w:pStyle w:val="TableParagraph"/>
            </w:pPr>
            <w:r>
              <w:t xml:space="preserve">Education Sector Research, Information &amp; Accountability Advisor, </w:t>
            </w:r>
            <w:r w:rsidRPr="0074090F">
              <w:t>Analytical and Capacity Development Partnership (ACDP</w:t>
            </w:r>
            <w:r>
              <w:t>)</w:t>
            </w:r>
          </w:p>
        </w:tc>
        <w:tc>
          <w:tcPr>
            <w:tcW w:w="1984" w:type="dxa"/>
            <w:vAlign w:val="center"/>
          </w:tcPr>
          <w:p w:rsidR="00482A39" w:rsidRPr="00D20962" w:rsidRDefault="00482A39" w:rsidP="00876863">
            <w:pPr>
              <w:pStyle w:val="TableParagraph"/>
              <w:jc w:val="center"/>
            </w:pPr>
            <w:r>
              <w:t>Intended**</w:t>
            </w:r>
          </w:p>
        </w:tc>
        <w:tc>
          <w:tcPr>
            <w:tcW w:w="1702" w:type="dxa"/>
            <w:vAlign w:val="center"/>
          </w:tcPr>
          <w:p w:rsidR="00482A39" w:rsidRPr="00D20962" w:rsidRDefault="00482A39" w:rsidP="00876863">
            <w:pPr>
              <w:pStyle w:val="TableParagraph"/>
              <w:jc w:val="center"/>
              <w:rPr>
                <w:b/>
              </w:rPr>
            </w:pPr>
          </w:p>
        </w:tc>
      </w:tr>
    </w:tbl>
    <w:p w:rsidR="002C7EC2" w:rsidRPr="00D20962" w:rsidRDefault="002C7EC2" w:rsidP="002C7EC2">
      <w:pPr>
        <w:spacing w:line="240" w:lineRule="auto"/>
        <w:ind w:left="567" w:hanging="567"/>
      </w:pPr>
      <w:r w:rsidRPr="00D20962">
        <w:t xml:space="preserve">* </w:t>
      </w:r>
      <w:r w:rsidRPr="00D20962">
        <w:tab/>
        <w:t>POM Staff</w:t>
      </w:r>
      <w:r w:rsidRPr="00B21C20">
        <w:t xml:space="preserve">: NC = Nick Clinch; JD = Joanne Dowling; PK = Paskal Kleden; PKing = Phillip King; </w:t>
      </w:r>
      <w:r>
        <w:t xml:space="preserve">SM = Simon </w:t>
      </w:r>
      <w:r w:rsidRPr="00B21C20">
        <w:t>Milligan;</w:t>
      </w:r>
      <w:r>
        <w:t xml:space="preserve"> </w:t>
      </w:r>
      <w:r w:rsidRPr="00B21C20">
        <w:t>BN = Budi Nugroho</w:t>
      </w:r>
      <w:r>
        <w:t xml:space="preserve">; </w:t>
      </w:r>
      <w:r w:rsidRPr="00B21C20">
        <w:t>IV = Ingga Vistara (POM staff identified in bold led the interview)</w:t>
      </w:r>
    </w:p>
    <w:p w:rsidR="002C7EC2" w:rsidRDefault="002C7EC2" w:rsidP="002C7EC2">
      <w:pPr>
        <w:spacing w:line="240" w:lineRule="auto"/>
        <w:ind w:left="567" w:hanging="567"/>
      </w:pPr>
      <w:r w:rsidRPr="00D20962">
        <w:t>**</w:t>
      </w:r>
      <w:r w:rsidRPr="00D20962">
        <w:tab/>
        <w:t xml:space="preserve">Meetings were scheduled with these key informants but, for reasons beyond </w:t>
      </w:r>
      <w:r>
        <w:t xml:space="preserve">POM’s </w:t>
      </w:r>
      <w:r w:rsidRPr="00D20962">
        <w:t xml:space="preserve">control, the consultations did not take place. </w:t>
      </w:r>
    </w:p>
    <w:p w:rsidR="00E753BE" w:rsidRDefault="00E753BE" w:rsidP="00C34871">
      <w:pPr>
        <w:pStyle w:val="Heading1-NoNumber"/>
        <w:sectPr w:rsidR="00E753BE" w:rsidSect="00D06F80">
          <w:pgSz w:w="16838" w:h="11906" w:orient="landscape"/>
          <w:pgMar w:top="1440" w:right="1440" w:bottom="1440" w:left="1440" w:header="708" w:footer="708" w:gutter="0"/>
          <w:cols w:space="708"/>
          <w:docGrid w:linePitch="360"/>
        </w:sectPr>
      </w:pPr>
    </w:p>
    <w:p w:rsidR="00E753BE" w:rsidRDefault="007269E9" w:rsidP="00C34871">
      <w:pPr>
        <w:pStyle w:val="Heading1-NoNumber"/>
      </w:pPr>
      <w:bookmarkStart w:id="134" w:name="_Toc448156337"/>
      <w:r w:rsidRPr="00851EC7">
        <w:lastRenderedPageBreak/>
        <w:t>Annex V</w:t>
      </w:r>
      <w:r w:rsidR="00814744" w:rsidRPr="00851EC7">
        <w:t>II</w:t>
      </w:r>
      <w:r w:rsidR="00A51D38" w:rsidRPr="00851EC7">
        <w:t xml:space="preserve">: </w:t>
      </w:r>
      <w:r w:rsidRPr="00851EC7">
        <w:t>ECBP M&amp;E Standards</w:t>
      </w:r>
      <w:r w:rsidR="00A51D38" w:rsidRPr="00851EC7">
        <w:t xml:space="preserve">: </w:t>
      </w:r>
      <w:r w:rsidRPr="00851EC7">
        <w:t>Standard 3: Initiative Progress Reporting</w:t>
      </w:r>
      <w:bookmarkEnd w:id="134"/>
    </w:p>
    <w:tbl>
      <w:tblPr>
        <w:tblW w:w="5000" w:type="pct"/>
        <w:tblLayout w:type="fixed"/>
        <w:tblLook w:val="04A0" w:firstRow="1" w:lastRow="0" w:firstColumn="1" w:lastColumn="0" w:noHBand="0" w:noVBand="1"/>
      </w:tblPr>
      <w:tblGrid>
        <w:gridCol w:w="675"/>
        <w:gridCol w:w="7087"/>
        <w:gridCol w:w="6412"/>
      </w:tblGrid>
      <w:tr w:rsidR="00B21C20" w:rsidRPr="00B21C20" w:rsidTr="00B21C20">
        <w:trPr>
          <w:trHeight w:val="456"/>
        </w:trPr>
        <w:tc>
          <w:tcPr>
            <w:tcW w:w="238" w:type="pct"/>
            <w:tcBorders>
              <w:top w:val="single" w:sz="8" w:space="0" w:color="auto"/>
              <w:left w:val="single" w:sz="8" w:space="0" w:color="auto"/>
              <w:bottom w:val="nil"/>
              <w:right w:val="single" w:sz="4" w:space="0" w:color="auto"/>
            </w:tcBorders>
            <w:shd w:val="clear" w:color="auto" w:fill="365F91" w:themeFill="accent1" w:themeFillShade="BF"/>
            <w:noWrap/>
            <w:vAlign w:val="center"/>
            <w:hideMark/>
          </w:tcPr>
          <w:p w:rsidR="00F955AD" w:rsidRPr="00B21C20" w:rsidRDefault="00F955AD" w:rsidP="00B21C20">
            <w:pPr>
              <w:pStyle w:val="TableParagraph"/>
              <w:jc w:val="center"/>
              <w:rPr>
                <w:b/>
                <w:color w:val="FFFFFF" w:themeColor="background1"/>
              </w:rPr>
            </w:pPr>
            <w:r w:rsidRPr="00B21C20">
              <w:rPr>
                <w:b/>
                <w:color w:val="FFFFFF" w:themeColor="background1"/>
              </w:rPr>
              <w:t>No</w:t>
            </w:r>
          </w:p>
        </w:tc>
        <w:tc>
          <w:tcPr>
            <w:tcW w:w="2500" w:type="pct"/>
            <w:tcBorders>
              <w:top w:val="single" w:sz="8" w:space="0" w:color="auto"/>
              <w:left w:val="nil"/>
              <w:bottom w:val="nil"/>
              <w:right w:val="single" w:sz="4" w:space="0" w:color="auto"/>
            </w:tcBorders>
            <w:shd w:val="clear" w:color="auto" w:fill="365F91" w:themeFill="accent1" w:themeFillShade="BF"/>
            <w:noWrap/>
            <w:vAlign w:val="center"/>
            <w:hideMark/>
          </w:tcPr>
          <w:p w:rsidR="00F955AD" w:rsidRPr="00B21C20" w:rsidRDefault="00F955AD" w:rsidP="00B21C20">
            <w:pPr>
              <w:pStyle w:val="TableParagraph"/>
              <w:jc w:val="center"/>
              <w:rPr>
                <w:b/>
                <w:color w:val="FFFFFF" w:themeColor="background1"/>
              </w:rPr>
            </w:pPr>
            <w:r w:rsidRPr="00B21C20">
              <w:rPr>
                <w:b/>
                <w:color w:val="FFFFFF" w:themeColor="background1"/>
              </w:rPr>
              <w:t>Feature of Progress Report</w:t>
            </w:r>
          </w:p>
        </w:tc>
        <w:tc>
          <w:tcPr>
            <w:tcW w:w="2262" w:type="pct"/>
            <w:tcBorders>
              <w:top w:val="single" w:sz="8" w:space="0" w:color="auto"/>
              <w:left w:val="nil"/>
              <w:bottom w:val="nil"/>
              <w:right w:val="single" w:sz="8" w:space="0" w:color="auto"/>
            </w:tcBorders>
            <w:shd w:val="clear" w:color="auto" w:fill="365F91" w:themeFill="accent1" w:themeFillShade="BF"/>
            <w:noWrap/>
            <w:vAlign w:val="center"/>
            <w:hideMark/>
          </w:tcPr>
          <w:p w:rsidR="00F955AD" w:rsidRPr="00B21C20" w:rsidRDefault="00F955AD" w:rsidP="00B21C20">
            <w:pPr>
              <w:pStyle w:val="TableParagraph"/>
              <w:jc w:val="center"/>
              <w:rPr>
                <w:b/>
                <w:color w:val="FFFFFF" w:themeColor="background1"/>
              </w:rPr>
            </w:pPr>
            <w:r w:rsidRPr="00B21C20">
              <w:rPr>
                <w:b/>
                <w:color w:val="FFFFFF" w:themeColor="background1"/>
              </w:rPr>
              <w:t>EP-APPR Compliance</w:t>
            </w:r>
          </w:p>
        </w:tc>
      </w:tr>
      <w:tr w:rsidR="00F955AD" w:rsidRPr="00851EC7" w:rsidTr="00F955AD">
        <w:trPr>
          <w:trHeight w:val="510"/>
        </w:trPr>
        <w:tc>
          <w:tcPr>
            <w:tcW w:w="238"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3.1</w:t>
            </w:r>
          </w:p>
        </w:tc>
        <w:tc>
          <w:tcPr>
            <w:tcW w:w="2500" w:type="pct"/>
            <w:tcBorders>
              <w:top w:val="single" w:sz="4" w:space="0" w:color="auto"/>
              <w:left w:val="nil"/>
              <w:bottom w:val="single" w:sz="4" w:space="0" w:color="auto"/>
              <w:right w:val="single" w:sz="4" w:space="0" w:color="auto"/>
            </w:tcBorders>
            <w:shd w:val="clear" w:color="auto" w:fill="auto"/>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There is an executive summary that communicates the key information required for QAI reporting</w:t>
            </w:r>
          </w:p>
        </w:tc>
        <w:tc>
          <w:tcPr>
            <w:tcW w:w="2262" w:type="pct"/>
            <w:tcBorders>
              <w:top w:val="single" w:sz="4" w:space="0" w:color="auto"/>
              <w:left w:val="nil"/>
              <w:bottom w:val="single" w:sz="4" w:space="0" w:color="auto"/>
              <w:right w:val="single" w:sz="8" w:space="0" w:color="auto"/>
            </w:tcBorders>
            <w:shd w:val="clear" w:color="auto" w:fill="auto"/>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See Executive Summary.</w:t>
            </w:r>
          </w:p>
        </w:tc>
      </w:tr>
      <w:tr w:rsidR="00F955AD" w:rsidRPr="00851EC7" w:rsidTr="00F955AD">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3.2</w:t>
            </w:r>
          </w:p>
        </w:tc>
        <w:tc>
          <w:tcPr>
            <w:tcW w:w="2500" w:type="pct"/>
            <w:tcBorders>
              <w:top w:val="nil"/>
              <w:left w:val="nil"/>
              <w:bottom w:val="single" w:sz="4" w:space="0" w:color="auto"/>
              <w:right w:val="single" w:sz="4" w:space="0" w:color="auto"/>
            </w:tcBorders>
            <w:shd w:val="clear" w:color="auto" w:fill="auto"/>
            <w:noWrap/>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The relevant aspects of the context are adequately described</w:t>
            </w:r>
          </w:p>
        </w:tc>
        <w:tc>
          <w:tcPr>
            <w:tcW w:w="2262" w:type="pct"/>
            <w:tcBorders>
              <w:top w:val="nil"/>
              <w:left w:val="nil"/>
              <w:bottom w:val="single" w:sz="4" w:space="0" w:color="auto"/>
              <w:right w:val="single" w:sz="8" w:space="0" w:color="auto"/>
            </w:tcBorders>
            <w:shd w:val="clear" w:color="auto" w:fill="auto"/>
            <w:noWrap/>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Each component section and the program oversight section ha</w:t>
            </w:r>
            <w:r>
              <w:rPr>
                <w:color w:val="000000"/>
                <w:lang w:eastAsia="en-GB"/>
              </w:rPr>
              <w:t>ve</w:t>
            </w:r>
            <w:r w:rsidRPr="00851EC7">
              <w:rPr>
                <w:color w:val="000000"/>
                <w:lang w:eastAsia="en-GB"/>
              </w:rPr>
              <w:t xml:space="preserve"> an individual section on Context.</w:t>
            </w:r>
          </w:p>
        </w:tc>
      </w:tr>
      <w:tr w:rsidR="00F955AD" w:rsidRPr="00851EC7" w:rsidTr="00F955AD">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3.3</w:t>
            </w:r>
          </w:p>
        </w:tc>
        <w:tc>
          <w:tcPr>
            <w:tcW w:w="2500" w:type="pct"/>
            <w:tcBorders>
              <w:top w:val="nil"/>
              <w:left w:val="nil"/>
              <w:bottom w:val="single" w:sz="4" w:space="0" w:color="auto"/>
              <w:right w:val="single" w:sz="4" w:space="0" w:color="auto"/>
            </w:tcBorders>
            <w:shd w:val="clear" w:color="auto" w:fill="auto"/>
            <w:noWrap/>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There is a reflection on the continuing relevance of the expected end-of-program outcomes</w:t>
            </w:r>
          </w:p>
        </w:tc>
        <w:tc>
          <w:tcPr>
            <w:tcW w:w="2262" w:type="pct"/>
            <w:tcBorders>
              <w:top w:val="nil"/>
              <w:left w:val="nil"/>
              <w:bottom w:val="single" w:sz="4" w:space="0" w:color="auto"/>
              <w:right w:val="single" w:sz="8" w:space="0" w:color="auto"/>
            </w:tcBorders>
            <w:shd w:val="clear" w:color="auto" w:fill="auto"/>
            <w:noWrap/>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Each component section has an individual section on Relevance.</w:t>
            </w:r>
          </w:p>
        </w:tc>
      </w:tr>
      <w:tr w:rsidR="00F955AD" w:rsidRPr="00851EC7" w:rsidTr="00F955AD">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3.4</w:t>
            </w:r>
          </w:p>
        </w:tc>
        <w:tc>
          <w:tcPr>
            <w:tcW w:w="2500" w:type="pct"/>
            <w:tcBorders>
              <w:top w:val="nil"/>
              <w:left w:val="nil"/>
              <w:bottom w:val="single" w:sz="4" w:space="0" w:color="auto"/>
              <w:right w:val="single" w:sz="4" w:space="0" w:color="auto"/>
            </w:tcBorders>
            <w:shd w:val="clear" w:color="auto" w:fill="auto"/>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An assessment of the adequacy of progress toward sustained end-of-program outcomes is described</w:t>
            </w:r>
          </w:p>
        </w:tc>
        <w:tc>
          <w:tcPr>
            <w:tcW w:w="2262" w:type="pct"/>
            <w:tcBorders>
              <w:top w:val="nil"/>
              <w:left w:val="nil"/>
              <w:bottom w:val="single" w:sz="4" w:space="0" w:color="auto"/>
              <w:right w:val="single" w:sz="8" w:space="0" w:color="auto"/>
            </w:tcBorders>
            <w:shd w:val="clear" w:color="auto" w:fill="auto"/>
            <w:noWrap/>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Assessment of progress against DAC criteria are scored for each component. Specifically, sections on Effectiveness consider adequacy of progress towards EOPOs.</w:t>
            </w:r>
          </w:p>
        </w:tc>
      </w:tr>
      <w:tr w:rsidR="00F955AD" w:rsidRPr="00851EC7" w:rsidTr="00F955AD">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3.5</w:t>
            </w:r>
          </w:p>
        </w:tc>
        <w:tc>
          <w:tcPr>
            <w:tcW w:w="2500" w:type="pct"/>
            <w:tcBorders>
              <w:top w:val="nil"/>
              <w:left w:val="nil"/>
              <w:bottom w:val="single" w:sz="4" w:space="0" w:color="auto"/>
              <w:right w:val="single" w:sz="4" w:space="0" w:color="auto"/>
            </w:tcBorders>
            <w:shd w:val="clear" w:color="auto" w:fill="auto"/>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The quality, reach and coverage of key outputs or deliverables for the reporting period are described</w:t>
            </w:r>
          </w:p>
        </w:tc>
        <w:tc>
          <w:tcPr>
            <w:tcW w:w="2262" w:type="pct"/>
            <w:tcBorders>
              <w:top w:val="nil"/>
              <w:left w:val="nil"/>
              <w:bottom w:val="single" w:sz="4" w:space="0" w:color="auto"/>
              <w:right w:val="single" w:sz="8" w:space="0" w:color="auto"/>
            </w:tcBorders>
            <w:shd w:val="clear" w:color="auto" w:fill="auto"/>
            <w:noWrap/>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Achievements are listed for each component.</w:t>
            </w:r>
          </w:p>
        </w:tc>
      </w:tr>
      <w:tr w:rsidR="00F955AD" w:rsidRPr="00851EC7" w:rsidTr="00F955AD">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3.6</w:t>
            </w:r>
          </w:p>
        </w:tc>
        <w:tc>
          <w:tcPr>
            <w:tcW w:w="2500" w:type="pct"/>
            <w:tcBorders>
              <w:top w:val="nil"/>
              <w:left w:val="nil"/>
              <w:bottom w:val="single" w:sz="4" w:space="0" w:color="auto"/>
              <w:right w:val="single" w:sz="4" w:space="0" w:color="auto"/>
            </w:tcBorders>
            <w:shd w:val="clear" w:color="auto" w:fill="auto"/>
            <w:noWrap/>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The adequacy of progress implementing the annual plan is described</w:t>
            </w:r>
          </w:p>
        </w:tc>
        <w:tc>
          <w:tcPr>
            <w:tcW w:w="2262" w:type="pct"/>
            <w:tcBorders>
              <w:top w:val="nil"/>
              <w:left w:val="nil"/>
              <w:bottom w:val="single" w:sz="4" w:space="0" w:color="auto"/>
              <w:right w:val="single" w:sz="8" w:space="0" w:color="auto"/>
            </w:tcBorders>
            <w:shd w:val="clear" w:color="auto" w:fill="auto"/>
            <w:noWrap/>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n/a (implementing partners provide reporting against annual plans). </w:t>
            </w:r>
          </w:p>
        </w:tc>
      </w:tr>
      <w:tr w:rsidR="00F955AD" w:rsidRPr="00851EC7" w:rsidTr="00F955AD">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3.7</w:t>
            </w:r>
          </w:p>
        </w:tc>
        <w:tc>
          <w:tcPr>
            <w:tcW w:w="2500" w:type="pct"/>
            <w:tcBorders>
              <w:top w:val="nil"/>
              <w:left w:val="nil"/>
              <w:bottom w:val="single" w:sz="4" w:space="0" w:color="auto"/>
              <w:right w:val="single" w:sz="4" w:space="0" w:color="auto"/>
            </w:tcBorders>
            <w:shd w:val="clear" w:color="auto" w:fill="auto"/>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A reflection on the adequacy of planned inputs to meet the expected end-of-program outcomes is provided</w:t>
            </w:r>
          </w:p>
        </w:tc>
        <w:tc>
          <w:tcPr>
            <w:tcW w:w="2262" w:type="pct"/>
            <w:tcBorders>
              <w:top w:val="nil"/>
              <w:left w:val="nil"/>
              <w:bottom w:val="single" w:sz="4" w:space="0" w:color="auto"/>
              <w:right w:val="single" w:sz="8" w:space="0" w:color="auto"/>
            </w:tcBorders>
            <w:shd w:val="clear" w:color="auto" w:fill="auto"/>
            <w:noWrap/>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Assessment of progress against DAC criteria are scored for each component. Specifically, sections on Efficiency consider adequacy of planned inputs to meet EOPOs.</w:t>
            </w:r>
          </w:p>
        </w:tc>
      </w:tr>
      <w:tr w:rsidR="00F955AD" w:rsidRPr="00851EC7" w:rsidTr="00F955AD">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3.8</w:t>
            </w:r>
          </w:p>
        </w:tc>
        <w:tc>
          <w:tcPr>
            <w:tcW w:w="2500" w:type="pct"/>
            <w:tcBorders>
              <w:top w:val="nil"/>
              <w:left w:val="nil"/>
              <w:bottom w:val="single" w:sz="4" w:space="0" w:color="auto"/>
              <w:right w:val="single" w:sz="4" w:space="0" w:color="auto"/>
            </w:tcBorders>
            <w:shd w:val="clear" w:color="auto" w:fill="auto"/>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The adequacy of progress against the budget is assessed</w:t>
            </w:r>
          </w:p>
        </w:tc>
        <w:tc>
          <w:tcPr>
            <w:tcW w:w="2262" w:type="pct"/>
            <w:tcBorders>
              <w:top w:val="nil"/>
              <w:left w:val="nil"/>
              <w:bottom w:val="single" w:sz="4" w:space="0" w:color="auto"/>
              <w:right w:val="single" w:sz="8" w:space="0" w:color="auto"/>
            </w:tcBorders>
            <w:shd w:val="clear" w:color="auto" w:fill="auto"/>
            <w:noWrap/>
            <w:vAlign w:val="center"/>
            <w:hideMark/>
          </w:tcPr>
          <w:p w:rsidR="00F955AD" w:rsidRPr="00851EC7" w:rsidRDefault="00F955AD" w:rsidP="00124EEE">
            <w:pPr>
              <w:pStyle w:val="TableParagraph"/>
              <w:spacing w:before="0" w:after="0" w:line="240" w:lineRule="auto"/>
              <w:rPr>
                <w:color w:val="000000"/>
                <w:lang w:eastAsia="en-GB"/>
              </w:rPr>
            </w:pPr>
            <w:r w:rsidRPr="00851EC7">
              <w:rPr>
                <w:color w:val="000000"/>
                <w:lang w:eastAsia="en-GB"/>
              </w:rPr>
              <w:t xml:space="preserve">Adequacy of EP progress against budget is considered in Program Oversight, </w:t>
            </w:r>
            <w:r w:rsidRPr="00124EEE">
              <w:rPr>
                <w:color w:val="000000"/>
                <w:lang w:eastAsia="en-GB"/>
              </w:rPr>
              <w:t xml:space="preserve">Section </w:t>
            </w:r>
            <w:r w:rsidR="00124EEE" w:rsidRPr="00124EEE">
              <w:rPr>
                <w:color w:val="000000"/>
                <w:lang w:eastAsia="en-GB"/>
              </w:rPr>
              <w:fldChar w:fldCharType="begin"/>
            </w:r>
            <w:r w:rsidR="00124EEE" w:rsidRPr="00124EEE">
              <w:rPr>
                <w:color w:val="000000"/>
                <w:lang w:eastAsia="en-GB"/>
              </w:rPr>
              <w:instrText xml:space="preserve"> REF _Ref447916857 \w \h </w:instrText>
            </w:r>
            <w:r w:rsidR="00124EEE">
              <w:rPr>
                <w:color w:val="000000"/>
                <w:lang w:eastAsia="en-GB"/>
              </w:rPr>
              <w:instrText xml:space="preserve"> \* MERGEFORMAT </w:instrText>
            </w:r>
            <w:r w:rsidR="00124EEE" w:rsidRPr="00124EEE">
              <w:rPr>
                <w:color w:val="000000"/>
                <w:lang w:eastAsia="en-GB"/>
              </w:rPr>
            </w:r>
            <w:r w:rsidR="00124EEE" w:rsidRPr="00124EEE">
              <w:rPr>
                <w:color w:val="000000"/>
                <w:lang w:eastAsia="en-GB"/>
              </w:rPr>
              <w:fldChar w:fldCharType="separate"/>
            </w:r>
            <w:r w:rsidR="00693E96">
              <w:rPr>
                <w:color w:val="000000"/>
                <w:lang w:eastAsia="en-GB"/>
              </w:rPr>
              <w:t>6.3</w:t>
            </w:r>
            <w:r w:rsidR="00124EEE" w:rsidRPr="00124EEE">
              <w:rPr>
                <w:color w:val="000000"/>
                <w:lang w:eastAsia="en-GB"/>
              </w:rPr>
              <w:fldChar w:fldCharType="end"/>
            </w:r>
            <w:r w:rsidR="00124EEE">
              <w:rPr>
                <w:color w:val="000000"/>
                <w:lang w:eastAsia="en-GB"/>
              </w:rPr>
              <w:t>.</w:t>
            </w:r>
          </w:p>
        </w:tc>
      </w:tr>
      <w:tr w:rsidR="00F955AD" w:rsidRPr="00851EC7" w:rsidTr="00F955AD">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3.9</w:t>
            </w:r>
          </w:p>
        </w:tc>
        <w:tc>
          <w:tcPr>
            <w:tcW w:w="2500" w:type="pct"/>
            <w:tcBorders>
              <w:top w:val="nil"/>
              <w:left w:val="nil"/>
              <w:bottom w:val="single" w:sz="4" w:space="0" w:color="auto"/>
              <w:right w:val="single" w:sz="4" w:space="0" w:color="auto"/>
            </w:tcBorders>
            <w:shd w:val="clear" w:color="auto" w:fill="auto"/>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The efficiency and effectiveness of key management or implementation system is assessed or demonstrated</w:t>
            </w:r>
          </w:p>
        </w:tc>
        <w:tc>
          <w:tcPr>
            <w:tcW w:w="2262" w:type="pct"/>
            <w:tcBorders>
              <w:top w:val="nil"/>
              <w:left w:val="nil"/>
              <w:bottom w:val="single" w:sz="4" w:space="0" w:color="auto"/>
              <w:right w:val="single" w:sz="8" w:space="0" w:color="auto"/>
            </w:tcBorders>
            <w:shd w:val="clear" w:color="auto" w:fill="auto"/>
            <w:noWrap/>
            <w:vAlign w:val="center"/>
            <w:hideMark/>
          </w:tcPr>
          <w:p w:rsidR="00F955AD" w:rsidRPr="00851EC7" w:rsidRDefault="00F955AD" w:rsidP="00124EEE">
            <w:pPr>
              <w:pStyle w:val="TableParagraph"/>
              <w:spacing w:before="0" w:after="0" w:line="240" w:lineRule="auto"/>
              <w:rPr>
                <w:color w:val="000000"/>
                <w:lang w:eastAsia="en-GB"/>
              </w:rPr>
            </w:pPr>
            <w:r w:rsidRPr="00851EC7">
              <w:rPr>
                <w:color w:val="000000"/>
                <w:lang w:eastAsia="en-GB"/>
              </w:rPr>
              <w:t>Each component section has an individual section on Efficiency and Effectiveness. In addition Management and Governance of the EP are considered under Program Oversight</w:t>
            </w:r>
            <w:r w:rsidRPr="00124EEE">
              <w:rPr>
                <w:color w:val="000000"/>
                <w:lang w:eastAsia="en-GB"/>
              </w:rPr>
              <w:t xml:space="preserve">, Section </w:t>
            </w:r>
            <w:r w:rsidR="00124EEE" w:rsidRPr="00124EEE">
              <w:rPr>
                <w:color w:val="000000"/>
                <w:lang w:eastAsia="en-GB"/>
              </w:rPr>
              <w:fldChar w:fldCharType="begin"/>
            </w:r>
            <w:r w:rsidR="00124EEE" w:rsidRPr="00124EEE">
              <w:rPr>
                <w:color w:val="000000"/>
                <w:lang w:eastAsia="en-GB"/>
              </w:rPr>
              <w:instrText xml:space="preserve"> REF _Ref405977359 \w \h </w:instrText>
            </w:r>
            <w:r w:rsidR="00124EEE">
              <w:rPr>
                <w:color w:val="000000"/>
                <w:lang w:eastAsia="en-GB"/>
              </w:rPr>
              <w:instrText xml:space="preserve"> \* MERGEFORMAT </w:instrText>
            </w:r>
            <w:r w:rsidR="00124EEE" w:rsidRPr="00124EEE">
              <w:rPr>
                <w:color w:val="000000"/>
                <w:lang w:eastAsia="en-GB"/>
              </w:rPr>
            </w:r>
            <w:r w:rsidR="00124EEE" w:rsidRPr="00124EEE">
              <w:rPr>
                <w:color w:val="000000"/>
                <w:lang w:eastAsia="en-GB"/>
              </w:rPr>
              <w:fldChar w:fldCharType="separate"/>
            </w:r>
            <w:r w:rsidR="00693E96">
              <w:rPr>
                <w:color w:val="000000"/>
                <w:lang w:eastAsia="en-GB"/>
              </w:rPr>
              <w:t>6</w:t>
            </w:r>
            <w:r w:rsidR="00124EEE" w:rsidRPr="00124EEE">
              <w:rPr>
                <w:color w:val="000000"/>
                <w:lang w:eastAsia="en-GB"/>
              </w:rPr>
              <w:fldChar w:fldCharType="end"/>
            </w:r>
            <w:r w:rsidRPr="00851EC7">
              <w:rPr>
                <w:color w:val="000000"/>
                <w:lang w:eastAsia="en-GB"/>
              </w:rPr>
              <w:t>.</w:t>
            </w:r>
          </w:p>
        </w:tc>
      </w:tr>
      <w:tr w:rsidR="00F955AD" w:rsidRPr="00851EC7" w:rsidTr="00F955AD">
        <w:trPr>
          <w:trHeight w:val="274"/>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3.10</w:t>
            </w:r>
          </w:p>
        </w:tc>
        <w:tc>
          <w:tcPr>
            <w:tcW w:w="2500" w:type="pct"/>
            <w:tcBorders>
              <w:top w:val="nil"/>
              <w:left w:val="nil"/>
              <w:bottom w:val="single" w:sz="4" w:space="0" w:color="auto"/>
              <w:right w:val="single" w:sz="4" w:space="0" w:color="auto"/>
            </w:tcBorders>
            <w:shd w:val="clear" w:color="auto" w:fill="auto"/>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The report achieves a fair balance between reporting of positive or negative issues or achievements</w:t>
            </w:r>
          </w:p>
        </w:tc>
        <w:tc>
          <w:tcPr>
            <w:tcW w:w="2262" w:type="pct"/>
            <w:tcBorders>
              <w:top w:val="nil"/>
              <w:left w:val="nil"/>
              <w:bottom w:val="single" w:sz="4" w:space="0" w:color="auto"/>
              <w:right w:val="single" w:sz="8" w:space="0" w:color="auto"/>
            </w:tcBorders>
            <w:shd w:val="clear" w:color="auto" w:fill="auto"/>
            <w:noWrap/>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The report is prepared in an independent manner and focuses on both positive and negative aspects of performance.</w:t>
            </w:r>
          </w:p>
        </w:tc>
      </w:tr>
      <w:tr w:rsidR="00F955AD" w:rsidRPr="00851EC7" w:rsidTr="00F955AD">
        <w:trPr>
          <w:trHeight w:val="510"/>
        </w:trPr>
        <w:tc>
          <w:tcPr>
            <w:tcW w:w="238" w:type="pct"/>
            <w:tcBorders>
              <w:top w:val="nil"/>
              <w:left w:val="single" w:sz="8" w:space="0" w:color="auto"/>
              <w:bottom w:val="single" w:sz="4" w:space="0" w:color="auto"/>
              <w:right w:val="single" w:sz="4" w:space="0" w:color="auto"/>
            </w:tcBorders>
            <w:shd w:val="clear" w:color="auto" w:fill="auto"/>
            <w:noWrap/>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3.11</w:t>
            </w:r>
          </w:p>
        </w:tc>
        <w:tc>
          <w:tcPr>
            <w:tcW w:w="2500" w:type="pct"/>
            <w:tcBorders>
              <w:top w:val="nil"/>
              <w:left w:val="nil"/>
              <w:bottom w:val="single" w:sz="4" w:space="0" w:color="auto"/>
              <w:right w:val="single" w:sz="4" w:space="0" w:color="auto"/>
            </w:tcBorders>
            <w:shd w:val="clear" w:color="auto" w:fill="auto"/>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The report provides credible evidence of claims made</w:t>
            </w:r>
          </w:p>
        </w:tc>
        <w:tc>
          <w:tcPr>
            <w:tcW w:w="2262" w:type="pct"/>
            <w:tcBorders>
              <w:top w:val="nil"/>
              <w:left w:val="nil"/>
              <w:bottom w:val="single" w:sz="4" w:space="0" w:color="auto"/>
              <w:right w:val="single" w:sz="8" w:space="0" w:color="auto"/>
            </w:tcBorders>
            <w:shd w:val="clear" w:color="auto" w:fill="auto"/>
            <w:noWrap/>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Considerable evidence is presented and referenced to justify claims</w:t>
            </w:r>
          </w:p>
        </w:tc>
      </w:tr>
      <w:tr w:rsidR="00F955AD" w:rsidRPr="00851EC7" w:rsidTr="00F955AD">
        <w:trPr>
          <w:trHeight w:val="510"/>
        </w:trPr>
        <w:tc>
          <w:tcPr>
            <w:tcW w:w="238" w:type="pct"/>
            <w:tcBorders>
              <w:top w:val="nil"/>
              <w:left w:val="single" w:sz="8" w:space="0" w:color="auto"/>
              <w:bottom w:val="single" w:sz="8" w:space="0" w:color="auto"/>
              <w:right w:val="single" w:sz="4" w:space="0" w:color="auto"/>
            </w:tcBorders>
            <w:shd w:val="clear" w:color="auto" w:fill="auto"/>
            <w:noWrap/>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3.12</w:t>
            </w:r>
          </w:p>
        </w:tc>
        <w:tc>
          <w:tcPr>
            <w:tcW w:w="2500" w:type="pct"/>
            <w:tcBorders>
              <w:top w:val="nil"/>
              <w:left w:val="nil"/>
              <w:bottom w:val="single" w:sz="8" w:space="0" w:color="auto"/>
              <w:right w:val="single" w:sz="4" w:space="0" w:color="auto"/>
            </w:tcBorders>
            <w:shd w:val="clear" w:color="auto" w:fill="auto"/>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Important lessons are summarised</w:t>
            </w:r>
          </w:p>
        </w:tc>
        <w:tc>
          <w:tcPr>
            <w:tcW w:w="2262" w:type="pct"/>
            <w:tcBorders>
              <w:top w:val="nil"/>
              <w:left w:val="nil"/>
              <w:bottom w:val="single" w:sz="8" w:space="0" w:color="auto"/>
              <w:right w:val="single" w:sz="8" w:space="0" w:color="auto"/>
            </w:tcBorders>
            <w:shd w:val="clear" w:color="auto" w:fill="auto"/>
            <w:noWrap/>
            <w:vAlign w:val="center"/>
            <w:hideMark/>
          </w:tcPr>
          <w:p w:rsidR="00F955AD" w:rsidRPr="00851EC7" w:rsidRDefault="00F955AD" w:rsidP="00B21C20">
            <w:pPr>
              <w:pStyle w:val="TableParagraph"/>
              <w:spacing w:before="0" w:after="0" w:line="240" w:lineRule="auto"/>
              <w:rPr>
                <w:color w:val="000000"/>
                <w:lang w:eastAsia="en-GB"/>
              </w:rPr>
            </w:pPr>
            <w:r w:rsidRPr="00851EC7">
              <w:rPr>
                <w:color w:val="000000"/>
                <w:lang w:eastAsia="en-GB"/>
              </w:rPr>
              <w:t>Findings and associated recommendations are summarised in each section and in the Executive Summary.</w:t>
            </w:r>
          </w:p>
        </w:tc>
      </w:tr>
    </w:tbl>
    <w:p w:rsidR="007269E9" w:rsidRDefault="007269E9" w:rsidP="00775568"/>
    <w:p w:rsidR="00F955AD" w:rsidRPr="00851EC7" w:rsidRDefault="00F955AD" w:rsidP="00775568">
      <w:pPr>
        <w:sectPr w:rsidR="00F955AD" w:rsidRPr="00851EC7" w:rsidSect="00D06F80">
          <w:pgSz w:w="16838" w:h="11906" w:orient="landscape"/>
          <w:pgMar w:top="1440" w:right="1440" w:bottom="1440" w:left="1440" w:header="708" w:footer="708" w:gutter="0"/>
          <w:cols w:space="708"/>
          <w:docGrid w:linePitch="360"/>
        </w:sectPr>
      </w:pPr>
    </w:p>
    <w:p w:rsidR="00854A82" w:rsidRPr="00851EC7" w:rsidRDefault="00854A82" w:rsidP="00775568"/>
    <w:p w:rsidR="00854A82" w:rsidRPr="00851EC7" w:rsidRDefault="00854A82" w:rsidP="00775568"/>
    <w:p w:rsidR="00854A82" w:rsidRPr="00851EC7" w:rsidRDefault="00854A82" w:rsidP="00775568"/>
    <w:p w:rsidR="00854A82" w:rsidRPr="00851EC7" w:rsidRDefault="00854A82" w:rsidP="00775568"/>
    <w:p w:rsidR="00854A82" w:rsidRPr="00851EC7" w:rsidRDefault="00854A82" w:rsidP="00775568"/>
    <w:p w:rsidR="00854A82" w:rsidRPr="00851EC7" w:rsidRDefault="00854A82" w:rsidP="00775568"/>
    <w:p w:rsidR="00854A82" w:rsidRPr="00851EC7" w:rsidRDefault="00854A82" w:rsidP="00775568"/>
    <w:p w:rsidR="00854A82" w:rsidRPr="00851EC7" w:rsidRDefault="00854A82" w:rsidP="00775568"/>
    <w:p w:rsidR="00854A82" w:rsidRPr="00851EC7" w:rsidRDefault="00854A82" w:rsidP="00775568"/>
    <w:p w:rsidR="00854A82" w:rsidRPr="00851EC7" w:rsidRDefault="00854A82" w:rsidP="00775568"/>
    <w:p w:rsidR="00854A82" w:rsidRPr="00851EC7" w:rsidRDefault="00854A82" w:rsidP="00775568"/>
    <w:p w:rsidR="00854A82" w:rsidRPr="00851EC7" w:rsidRDefault="00854A82" w:rsidP="00775568"/>
    <w:p w:rsidR="00854A82" w:rsidRPr="00851EC7" w:rsidRDefault="00854A82" w:rsidP="00775568"/>
    <w:p w:rsidR="00854A82" w:rsidRPr="00851EC7" w:rsidRDefault="00854A82" w:rsidP="00775568"/>
    <w:p w:rsidR="00854A82" w:rsidRPr="00851EC7" w:rsidRDefault="00854A82" w:rsidP="00775568"/>
    <w:p w:rsidR="00854A82" w:rsidRPr="00851EC7" w:rsidRDefault="00854A82" w:rsidP="00775568"/>
    <w:p w:rsidR="00854A82" w:rsidRPr="00851EC7" w:rsidRDefault="00854A82" w:rsidP="00775568"/>
    <w:p w:rsidR="00854A82" w:rsidRPr="00851EC7" w:rsidRDefault="00854A82" w:rsidP="00775568"/>
    <w:p w:rsidR="00854A82" w:rsidRPr="00851EC7" w:rsidRDefault="00854A82" w:rsidP="00775568"/>
    <w:p w:rsidR="00854A82" w:rsidRPr="00851EC7" w:rsidRDefault="00854A82" w:rsidP="00775568"/>
    <w:p w:rsidR="00854A82" w:rsidRPr="00851EC7" w:rsidRDefault="00854A82" w:rsidP="00775568"/>
    <w:p w:rsidR="00854A82" w:rsidRPr="00851EC7" w:rsidRDefault="00854A82" w:rsidP="00C34871">
      <w:pPr>
        <w:spacing w:before="0" w:after="0"/>
      </w:pPr>
      <w:r w:rsidRPr="00851EC7">
        <w:rPr>
          <w:noProof/>
          <w:lang w:eastAsia="en-AU"/>
        </w:rPr>
        <w:drawing>
          <wp:anchor distT="0" distB="0" distL="114300" distR="114300" simplePos="0" relativeHeight="251662336" behindDoc="0" locked="1" layoutInCell="0" allowOverlap="1" wp14:anchorId="506C4AA3" wp14:editId="65781F29">
            <wp:simplePos x="0" y="0"/>
            <wp:positionH relativeFrom="column">
              <wp:posOffset>-567690</wp:posOffset>
            </wp:positionH>
            <wp:positionV relativeFrom="page">
              <wp:posOffset>10022205</wp:posOffset>
            </wp:positionV>
            <wp:extent cx="7086600" cy="4019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RK\EPOS\REPORT &amp; STATIONARY\emf\Watermark sky blue 50.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86600"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EC7">
        <w:rPr>
          <w:noProof/>
          <w:lang w:eastAsia="en-AU"/>
        </w:rPr>
        <w:drawing>
          <wp:anchor distT="0" distB="0" distL="114300" distR="114300" simplePos="0" relativeHeight="251661312" behindDoc="0" locked="1" layoutInCell="1" allowOverlap="1" wp14:anchorId="4C5060D4" wp14:editId="429F854C">
            <wp:simplePos x="0" y="0"/>
            <wp:positionH relativeFrom="column">
              <wp:posOffset>-883920</wp:posOffset>
            </wp:positionH>
            <wp:positionV relativeFrom="paragraph">
              <wp:posOffset>-990600</wp:posOffset>
            </wp:positionV>
            <wp:extent cx="3840480" cy="246380"/>
            <wp:effectExtent l="0" t="0" r="7620" b="1270"/>
            <wp:wrapNone/>
            <wp:docPr id="13" name="Picture 13" descr="F:\WORK\EPOS\REPORT &amp; STATIONARY\emf\Red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ORK\EPOS\REPORT &amp; STATIONARY\emf\Red stripe.em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H="1">
                      <a:off x="0" y="0"/>
                      <a:ext cx="384048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EC7">
        <w:t>Australia’s Education Partnership with Indonesia</w:t>
      </w:r>
    </w:p>
    <w:p w:rsidR="00854A82" w:rsidRPr="00851EC7" w:rsidRDefault="00854A82" w:rsidP="00C34871">
      <w:pPr>
        <w:spacing w:before="0" w:after="0"/>
      </w:pPr>
      <w:r w:rsidRPr="00851EC7">
        <w:t xml:space="preserve">Education Partnership </w:t>
      </w:r>
      <w:r w:rsidR="00814744" w:rsidRPr="00851EC7">
        <w:t xml:space="preserve">- </w:t>
      </w:r>
      <w:r w:rsidRPr="00851EC7">
        <w:t>Performance Oversight and Monitoring</w:t>
      </w:r>
    </w:p>
    <w:p w:rsidR="00854A82" w:rsidRPr="00851EC7" w:rsidRDefault="00854A82" w:rsidP="00C34871">
      <w:pPr>
        <w:spacing w:before="0" w:after="0"/>
      </w:pPr>
    </w:p>
    <w:p w:rsidR="00854A82" w:rsidRPr="00851EC7" w:rsidRDefault="00854A82" w:rsidP="00C34871">
      <w:pPr>
        <w:spacing w:before="0" w:after="0"/>
      </w:pPr>
    </w:p>
    <w:p w:rsidR="00854A82" w:rsidRPr="00851EC7" w:rsidRDefault="00854A82" w:rsidP="00C34871">
      <w:pPr>
        <w:spacing w:before="0" w:after="0"/>
      </w:pPr>
      <w:r w:rsidRPr="00851EC7">
        <w:t>EP-POM</w:t>
      </w:r>
    </w:p>
    <w:p w:rsidR="00854A82" w:rsidRPr="00851EC7" w:rsidRDefault="00854A82" w:rsidP="00C34871">
      <w:pPr>
        <w:spacing w:before="0" w:after="0"/>
      </w:pPr>
      <w:r w:rsidRPr="00851EC7">
        <w:t>19</w:t>
      </w:r>
      <w:r w:rsidRPr="00851EC7">
        <w:rPr>
          <w:vertAlign w:val="superscript"/>
        </w:rPr>
        <w:t>th</w:t>
      </w:r>
      <w:r w:rsidRPr="00851EC7">
        <w:t xml:space="preserve"> floor Ratu Plaza Building</w:t>
      </w:r>
    </w:p>
    <w:p w:rsidR="00854A82" w:rsidRPr="00851EC7" w:rsidRDefault="00854A82" w:rsidP="00C34871">
      <w:pPr>
        <w:spacing w:before="0" w:after="0"/>
      </w:pPr>
      <w:r w:rsidRPr="00851EC7">
        <w:t>Jl. Jend. Sudirman No. 9</w:t>
      </w:r>
    </w:p>
    <w:p w:rsidR="00854A82" w:rsidRPr="00851EC7" w:rsidRDefault="00854A82" w:rsidP="00C34871">
      <w:pPr>
        <w:spacing w:before="0" w:after="0"/>
      </w:pPr>
      <w:r w:rsidRPr="00851EC7">
        <w:t>Jakarta 10270</w:t>
      </w:r>
    </w:p>
    <w:p w:rsidR="00854A82" w:rsidRPr="00851EC7" w:rsidRDefault="00854A82" w:rsidP="00C34871">
      <w:pPr>
        <w:spacing w:before="0" w:after="0"/>
      </w:pPr>
      <w:r w:rsidRPr="00851EC7">
        <w:t xml:space="preserve">T: 021 720 6616 </w:t>
      </w:r>
    </w:p>
    <w:p w:rsidR="00854A82" w:rsidRPr="00851EC7" w:rsidRDefault="00854A82" w:rsidP="00C34871">
      <w:pPr>
        <w:spacing w:before="0" w:after="0"/>
      </w:pPr>
      <w:r w:rsidRPr="00851EC7">
        <w:t>F: 021 720 6616 ext.100</w:t>
      </w:r>
    </w:p>
    <w:p w:rsidR="00854A82" w:rsidRPr="00851EC7" w:rsidRDefault="00854A82" w:rsidP="00C34871">
      <w:pPr>
        <w:spacing w:before="0" w:after="0"/>
      </w:pPr>
      <w:r w:rsidRPr="00851EC7">
        <w:t xml:space="preserve">E: </w:t>
      </w:r>
      <w:r w:rsidR="003C0AE1" w:rsidRPr="00851EC7">
        <w:t>nick.clinch</w:t>
      </w:r>
      <w:r w:rsidRPr="00851EC7">
        <w:t>@ep-pom.com</w:t>
      </w:r>
    </w:p>
    <w:p w:rsidR="00854A82" w:rsidRPr="00851EC7" w:rsidRDefault="00854A82" w:rsidP="00C34871">
      <w:pPr>
        <w:spacing w:before="0" w:after="0"/>
      </w:pPr>
    </w:p>
    <w:p w:rsidR="00854A82" w:rsidRPr="00851EC7" w:rsidRDefault="00854A82" w:rsidP="00C34871">
      <w:pPr>
        <w:spacing w:before="0" w:after="0"/>
      </w:pPr>
      <w:r w:rsidRPr="00851EC7">
        <w:t>Australian Aid – mana</w:t>
      </w:r>
      <w:r w:rsidR="00814744" w:rsidRPr="00851EC7">
        <w:t xml:space="preserve">ged by </w:t>
      </w:r>
      <w:r w:rsidR="003A0869">
        <w:t>t</w:t>
      </w:r>
      <w:r w:rsidR="00C34871">
        <w:t xml:space="preserve">he Palladium Group </w:t>
      </w:r>
      <w:r w:rsidR="00814744" w:rsidRPr="00851EC7">
        <w:t>on behalf of the Australian Government</w:t>
      </w:r>
    </w:p>
    <w:p w:rsidR="00854A82" w:rsidRPr="00851EC7" w:rsidRDefault="00854A82" w:rsidP="00775568"/>
    <w:sectPr w:rsidR="00854A82" w:rsidRPr="00851EC7" w:rsidSect="00854A82">
      <w:headerReference w:type="default" r:id="rId49"/>
      <w:footerReference w:type="default" r:id="rId50"/>
      <w:type w:val="evenPage"/>
      <w:pgSz w:w="11909" w:h="16834" w:code="9"/>
      <w:pgMar w:top="1440" w:right="1440" w:bottom="1440" w:left="1440" w:header="432"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00997A" w15:done="0"/>
  <w15:commentEx w15:paraId="460CAB9F" w15:done="0"/>
  <w15:commentEx w15:paraId="6F20C57B" w15:done="0"/>
  <w15:commentEx w15:paraId="6FB4B7D4" w15:done="0"/>
  <w15:commentEx w15:paraId="1740E8BD" w15:done="0"/>
  <w15:commentEx w15:paraId="1C74FC9F" w15:done="0"/>
  <w15:commentEx w15:paraId="4F0C170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662" w:rsidRDefault="00290662" w:rsidP="00775568">
      <w:r>
        <w:separator/>
      </w:r>
    </w:p>
  </w:endnote>
  <w:endnote w:type="continuationSeparator" w:id="0">
    <w:p w:rsidR="00290662" w:rsidRDefault="00290662" w:rsidP="00775568">
      <w:r>
        <w:continuationSeparator/>
      </w:r>
    </w:p>
  </w:endnote>
  <w:endnote w:id="1">
    <w:p w:rsidR="00290662" w:rsidRPr="008E2B52" w:rsidRDefault="00290662" w:rsidP="005A612A">
      <w:pPr>
        <w:pStyle w:val="EndnoteText"/>
        <w:tabs>
          <w:tab w:val="clear" w:pos="425"/>
          <w:tab w:val="left" w:pos="709"/>
        </w:tabs>
        <w:ind w:left="720" w:hanging="720"/>
        <w:rPr>
          <w:rStyle w:val="EndnoteReference"/>
          <w:rFonts w:asciiTheme="minorHAnsi" w:hAnsiTheme="minorHAnsi"/>
          <w:szCs w:val="20"/>
          <w:vertAlign w:val="baseline"/>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lang w:val="id-ID"/>
        </w:rPr>
        <w:tab/>
      </w:r>
      <w:r>
        <w:rPr>
          <w:rFonts w:asciiTheme="minorHAnsi" w:hAnsiTheme="minorHAnsi"/>
          <w:szCs w:val="20"/>
        </w:rPr>
        <w:t xml:space="preserve">Email from DFAT: </w:t>
      </w:r>
      <w:r w:rsidRPr="008E2B52">
        <w:rPr>
          <w:rStyle w:val="EndnoteReference"/>
          <w:rFonts w:asciiTheme="minorHAnsi" w:hAnsiTheme="minorHAnsi"/>
          <w:szCs w:val="20"/>
          <w:vertAlign w:val="baseline"/>
        </w:rPr>
        <w:t xml:space="preserve">Subject: </w:t>
      </w:r>
      <w:r w:rsidRPr="00A907A2">
        <w:rPr>
          <w:rStyle w:val="EndnoteReference"/>
          <w:rFonts w:asciiTheme="minorHAnsi" w:hAnsiTheme="minorHAnsi"/>
          <w:i/>
          <w:szCs w:val="20"/>
          <w:vertAlign w:val="baseline"/>
        </w:rPr>
        <w:t>Official wording: new school building targets</w:t>
      </w:r>
      <w:r>
        <w:rPr>
          <w:rFonts w:asciiTheme="minorHAnsi" w:hAnsiTheme="minorHAnsi"/>
          <w:szCs w:val="20"/>
        </w:rPr>
        <w:t xml:space="preserve">, 8 </w:t>
      </w:r>
      <w:r w:rsidRPr="008E2B52">
        <w:rPr>
          <w:rStyle w:val="EndnoteReference"/>
          <w:rFonts w:asciiTheme="minorHAnsi" w:hAnsiTheme="minorHAnsi"/>
          <w:szCs w:val="20"/>
          <w:vertAlign w:val="baseline"/>
        </w:rPr>
        <w:t>December, 2014</w:t>
      </w:r>
      <w:r>
        <w:rPr>
          <w:rFonts w:asciiTheme="minorHAnsi" w:hAnsiTheme="minorHAnsi"/>
          <w:szCs w:val="20"/>
        </w:rPr>
        <w:t>.</w:t>
      </w:r>
    </w:p>
  </w:endnote>
  <w:endnote w:id="2">
    <w:p w:rsidR="00290662" w:rsidRPr="008E2B52" w:rsidRDefault="00290662" w:rsidP="005A612A">
      <w:pPr>
        <w:pStyle w:val="EndnoteText"/>
        <w:tabs>
          <w:tab w:val="clear" w:pos="425"/>
          <w:tab w:val="left" w:pos="709"/>
        </w:tabs>
        <w:ind w:left="720" w:hanging="720"/>
        <w:rPr>
          <w:rFonts w:asciiTheme="minorHAnsi" w:hAnsiTheme="minorHAnsi"/>
          <w:szCs w:val="20"/>
        </w:rPr>
      </w:pPr>
      <w:r w:rsidRPr="008E2B52">
        <w:rPr>
          <w:rStyle w:val="EndnoteReference"/>
          <w:rFonts w:asciiTheme="minorHAnsi" w:hAnsiTheme="minorHAnsi"/>
          <w:szCs w:val="20"/>
        </w:rPr>
        <w:endnoteRef/>
      </w:r>
      <w:r>
        <w:rPr>
          <w:rFonts w:asciiTheme="minorHAnsi" w:hAnsiTheme="minorHAnsi"/>
          <w:szCs w:val="20"/>
        </w:rPr>
        <w:t xml:space="preserve"> </w:t>
      </w:r>
      <w:r>
        <w:rPr>
          <w:rFonts w:asciiTheme="minorHAnsi" w:hAnsiTheme="minorHAnsi"/>
          <w:szCs w:val="20"/>
        </w:rPr>
        <w:tab/>
        <w:t xml:space="preserve">AusAID, </w:t>
      </w:r>
      <w:r w:rsidRPr="00A907A2">
        <w:rPr>
          <w:rFonts w:asciiTheme="minorHAnsi" w:hAnsiTheme="minorHAnsi"/>
          <w:i/>
          <w:szCs w:val="20"/>
        </w:rPr>
        <w:t>The Education Partnership Theory of Change (Draft).</w:t>
      </w:r>
    </w:p>
  </w:endnote>
  <w:endnote w:id="3">
    <w:p w:rsidR="00290662" w:rsidRPr="008E2B52" w:rsidRDefault="00290662" w:rsidP="005A612A">
      <w:pPr>
        <w:pStyle w:val="EndnoteText"/>
        <w:tabs>
          <w:tab w:val="clear" w:pos="425"/>
          <w:tab w:val="left" w:pos="709"/>
        </w:tabs>
        <w:ind w:left="720" w:hanging="720"/>
      </w:pPr>
      <w:r w:rsidRPr="008E2B52">
        <w:rPr>
          <w:rStyle w:val="EndnoteReference"/>
          <w:rFonts w:asciiTheme="minorHAnsi" w:hAnsiTheme="minorHAnsi"/>
          <w:szCs w:val="20"/>
        </w:rPr>
        <w:endnoteRef/>
      </w:r>
      <w:r w:rsidRPr="008E2B52">
        <w:t xml:space="preserve"> </w:t>
      </w:r>
      <w:r w:rsidRPr="008E2B52">
        <w:tab/>
      </w:r>
      <w:r w:rsidRPr="00677AAF">
        <w:t>An Agreement for Grant Financing Junior Secondary School Construction and Expansion</w:t>
      </w:r>
      <w:r>
        <w:t xml:space="preserve"> </w:t>
      </w:r>
      <w:r w:rsidRPr="00677AAF">
        <w:t xml:space="preserve">through Australia’s Education Partnership with </w:t>
      </w:r>
      <w:r w:rsidRPr="00F80C6C">
        <w:t>Indonesia</w:t>
      </w:r>
      <w:r>
        <w:t xml:space="preserve">. </w:t>
      </w:r>
      <w:r w:rsidRPr="00677AAF">
        <w:t>A contribution to the Government of Indonesia’s</w:t>
      </w:r>
      <w:r>
        <w:t xml:space="preserve"> </w:t>
      </w:r>
      <w:r w:rsidRPr="00677AAF">
        <w:t>Education Sector Support Program</w:t>
      </w:r>
      <w:r>
        <w:t xml:space="preserve">, Schedule 1. </w:t>
      </w:r>
      <w:r w:rsidRPr="008E2B52">
        <w:t>AusAID Agreement No. 60472.</w:t>
      </w:r>
    </w:p>
  </w:endnote>
  <w:endnote w:id="4">
    <w:p w:rsidR="00290662" w:rsidRPr="008E2B52" w:rsidRDefault="00290662" w:rsidP="005A612A">
      <w:pPr>
        <w:pStyle w:val="EndnoteText"/>
        <w:tabs>
          <w:tab w:val="clear" w:pos="425"/>
          <w:tab w:val="left" w:pos="709"/>
        </w:tabs>
        <w:ind w:left="720" w:hanging="720"/>
      </w:pPr>
      <w:r w:rsidRPr="008E2B52">
        <w:rPr>
          <w:rStyle w:val="EndnoteReference"/>
          <w:rFonts w:asciiTheme="minorHAnsi" w:hAnsiTheme="minorHAnsi"/>
          <w:szCs w:val="20"/>
        </w:rPr>
        <w:endnoteRef/>
      </w:r>
      <w:r w:rsidRPr="008E2B52">
        <w:t xml:space="preserve"> </w:t>
      </w:r>
      <w:r w:rsidRPr="008E2B52">
        <w:tab/>
      </w:r>
      <w:r w:rsidRPr="00677AAF">
        <w:t>An Agreement for Grant Financing Junior Secondary School Construction and Expansion</w:t>
      </w:r>
      <w:r>
        <w:t xml:space="preserve"> </w:t>
      </w:r>
      <w:r w:rsidRPr="00677AAF">
        <w:t>through Australia’s Education Partnership with Indonesia</w:t>
      </w:r>
      <w:r>
        <w:t xml:space="preserve">. </w:t>
      </w:r>
      <w:r w:rsidRPr="00677AAF">
        <w:t>A contribution to the Government of Indonesia’s</w:t>
      </w:r>
      <w:r>
        <w:t xml:space="preserve"> </w:t>
      </w:r>
      <w:r w:rsidRPr="00677AAF">
        <w:t xml:space="preserve">Education Sector Support </w:t>
      </w:r>
      <w:r w:rsidRPr="00F80C6C">
        <w:t>Program</w:t>
      </w:r>
      <w:r>
        <w:t>, Schedule 1. AusAID Agreement No. 60472.</w:t>
      </w:r>
    </w:p>
  </w:endnote>
  <w:endnote w:id="5">
    <w:p w:rsidR="00290662" w:rsidRPr="008E2B52" w:rsidRDefault="00290662" w:rsidP="005A612A">
      <w:pPr>
        <w:pStyle w:val="EndnoteText"/>
        <w:tabs>
          <w:tab w:val="clear" w:pos="425"/>
          <w:tab w:val="left" w:pos="709"/>
        </w:tabs>
        <w:ind w:left="720" w:hanging="720"/>
      </w:pPr>
      <w:r w:rsidRPr="008E2B52">
        <w:rPr>
          <w:rStyle w:val="EndnoteReference"/>
          <w:rFonts w:asciiTheme="minorHAnsi" w:hAnsiTheme="minorHAnsi"/>
          <w:szCs w:val="20"/>
        </w:rPr>
        <w:endnoteRef/>
      </w:r>
      <w:r w:rsidRPr="008E2B52">
        <w:t xml:space="preserve"> </w:t>
      </w:r>
      <w:r w:rsidRPr="008E2B52">
        <w:tab/>
      </w:r>
      <w:r w:rsidRPr="00677AAF">
        <w:t>An Agreement for Grant Financing Junior Secondary School Construction and Expansion</w:t>
      </w:r>
      <w:r>
        <w:t xml:space="preserve"> </w:t>
      </w:r>
      <w:r w:rsidRPr="00677AAF">
        <w:t>through Australia’s Education Partnership with Indonesia</w:t>
      </w:r>
      <w:r>
        <w:t xml:space="preserve">. </w:t>
      </w:r>
      <w:r w:rsidRPr="00677AAF">
        <w:t xml:space="preserve">A </w:t>
      </w:r>
      <w:r w:rsidRPr="00F80C6C">
        <w:t>contribution</w:t>
      </w:r>
      <w:r w:rsidRPr="00677AAF">
        <w:t xml:space="preserve"> to the Government of Indonesia’s</w:t>
      </w:r>
      <w:r>
        <w:t xml:space="preserve"> </w:t>
      </w:r>
      <w:r w:rsidRPr="00677AAF">
        <w:t>Education Sector Support Program</w:t>
      </w:r>
      <w:r>
        <w:t xml:space="preserve">, Schedule 1. </w:t>
      </w:r>
      <w:r w:rsidRPr="008E2B52">
        <w:t>AusAID Agreement No. 60472.</w:t>
      </w:r>
    </w:p>
  </w:endnote>
  <w:endnote w:id="6">
    <w:p w:rsidR="00290662" w:rsidRPr="008E2B52" w:rsidRDefault="00290662" w:rsidP="005A612A">
      <w:pPr>
        <w:pStyle w:val="EndnoteText"/>
        <w:tabs>
          <w:tab w:val="clear" w:pos="425"/>
          <w:tab w:val="left" w:pos="709"/>
        </w:tabs>
        <w:ind w:left="720" w:hanging="720"/>
      </w:pPr>
      <w:r w:rsidRPr="008E2B52">
        <w:rPr>
          <w:rStyle w:val="EndnoteReference"/>
          <w:rFonts w:asciiTheme="minorHAnsi" w:hAnsiTheme="minorHAnsi"/>
          <w:szCs w:val="20"/>
        </w:rPr>
        <w:endnoteRef/>
      </w:r>
      <w:r w:rsidRPr="008E2B52">
        <w:t xml:space="preserve"> </w:t>
      </w:r>
      <w:r w:rsidRPr="008E2B52">
        <w:tab/>
      </w:r>
      <w:r w:rsidRPr="00677AAF">
        <w:t>An Agreement for Grant Financing Junior Secondary School Construction and Expansion</w:t>
      </w:r>
      <w:r>
        <w:t xml:space="preserve"> </w:t>
      </w:r>
      <w:r w:rsidRPr="00677AAF">
        <w:t>through Australia’s Education Partnership with Indonesia</w:t>
      </w:r>
      <w:r>
        <w:t xml:space="preserve">. </w:t>
      </w:r>
      <w:r w:rsidRPr="00677AAF">
        <w:t xml:space="preserve">A </w:t>
      </w:r>
      <w:r w:rsidRPr="00F80C6C">
        <w:t>contribution</w:t>
      </w:r>
      <w:r w:rsidRPr="00677AAF">
        <w:t xml:space="preserve"> to the Government of Indonesia’s</w:t>
      </w:r>
      <w:r>
        <w:t xml:space="preserve"> </w:t>
      </w:r>
      <w:r w:rsidRPr="00677AAF">
        <w:t>Education Sector Support Program</w:t>
      </w:r>
      <w:r>
        <w:t xml:space="preserve">, Schedule 1. </w:t>
      </w:r>
      <w:r w:rsidRPr="008E2B52">
        <w:t>AusAID Ag</w:t>
      </w:r>
      <w:r>
        <w:t>reement No. 60472.</w:t>
      </w:r>
    </w:p>
  </w:endnote>
  <w:endnote w:id="7">
    <w:p w:rsidR="00290662" w:rsidRPr="008E2B52" w:rsidRDefault="00290662" w:rsidP="005A612A">
      <w:pPr>
        <w:pStyle w:val="EndnoteText"/>
        <w:tabs>
          <w:tab w:val="clear" w:pos="425"/>
          <w:tab w:val="left" w:pos="709"/>
        </w:tabs>
        <w:ind w:left="720" w:hanging="720"/>
      </w:pPr>
      <w:r w:rsidRPr="008E2B52">
        <w:rPr>
          <w:rStyle w:val="EndnoteReference"/>
          <w:rFonts w:asciiTheme="minorHAnsi" w:hAnsiTheme="minorHAnsi"/>
          <w:szCs w:val="20"/>
        </w:rPr>
        <w:endnoteRef/>
      </w:r>
      <w:r w:rsidRPr="008E2B52">
        <w:t xml:space="preserve"> </w:t>
      </w:r>
      <w:r w:rsidRPr="008E2B52">
        <w:tab/>
      </w:r>
      <w:r w:rsidRPr="00677AAF">
        <w:t>An Agreement for Grant Financing Junior Secondary School Construction and Expansion</w:t>
      </w:r>
      <w:r>
        <w:t xml:space="preserve"> </w:t>
      </w:r>
      <w:r w:rsidRPr="00677AAF">
        <w:t>through Australia’s Education Partnership with Indonesia</w:t>
      </w:r>
      <w:r>
        <w:t xml:space="preserve">. </w:t>
      </w:r>
      <w:r w:rsidRPr="00677AAF">
        <w:t xml:space="preserve">A </w:t>
      </w:r>
      <w:r w:rsidRPr="00F80C6C">
        <w:t>contribution</w:t>
      </w:r>
      <w:r w:rsidRPr="00677AAF">
        <w:t xml:space="preserve"> to the Government of Indonesia’s</w:t>
      </w:r>
      <w:r>
        <w:t xml:space="preserve"> </w:t>
      </w:r>
      <w:r w:rsidRPr="00677AAF">
        <w:t>Education Sector Support Program</w:t>
      </w:r>
      <w:r>
        <w:t xml:space="preserve">, Schedule 1. </w:t>
      </w:r>
      <w:r w:rsidRPr="008E2B52">
        <w:t>AusAID Agreement No. 60472.</w:t>
      </w:r>
    </w:p>
  </w:endnote>
  <w:endnote w:id="8">
    <w:p w:rsidR="00290662" w:rsidRPr="008E2B52" w:rsidRDefault="00290662" w:rsidP="005A612A">
      <w:pPr>
        <w:pStyle w:val="EndnoteText"/>
        <w:tabs>
          <w:tab w:val="clear" w:pos="425"/>
          <w:tab w:val="left" w:pos="709"/>
        </w:tabs>
        <w:ind w:left="720" w:hanging="720"/>
        <w:rPr>
          <w:rFonts w:asciiTheme="minorHAnsi" w:hAnsiTheme="minorHAnsi"/>
          <w:szCs w:val="20"/>
          <w:lang w:val="id-ID"/>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lang w:val="id-ID"/>
        </w:rPr>
        <w:tab/>
      </w:r>
      <w:r w:rsidRPr="00AE0FA5">
        <w:rPr>
          <w:rFonts w:asciiTheme="minorHAnsi" w:hAnsiTheme="minorHAnsi"/>
          <w:szCs w:val="20"/>
        </w:rPr>
        <w:t>Email from DFAT</w:t>
      </w:r>
      <w:r>
        <w:rPr>
          <w:rFonts w:asciiTheme="minorHAnsi" w:hAnsiTheme="minorHAnsi"/>
          <w:szCs w:val="20"/>
        </w:rPr>
        <w:t xml:space="preserve">: </w:t>
      </w:r>
      <w:r w:rsidRPr="00AE0FA5">
        <w:rPr>
          <w:rFonts w:asciiTheme="minorHAnsi" w:hAnsiTheme="minorHAnsi"/>
          <w:szCs w:val="20"/>
        </w:rPr>
        <w:t>Subject: Signed sa amend 3 FINAL, 27 April, 2016</w:t>
      </w:r>
      <w:r>
        <w:rPr>
          <w:rFonts w:asciiTheme="minorHAnsi" w:hAnsiTheme="minorHAnsi"/>
          <w:szCs w:val="20"/>
        </w:rPr>
        <w:t>.</w:t>
      </w:r>
    </w:p>
  </w:endnote>
  <w:endnote w:id="9">
    <w:p w:rsidR="00290662" w:rsidRPr="00722CAD" w:rsidRDefault="00290662" w:rsidP="005A612A">
      <w:pPr>
        <w:pStyle w:val="EndnoteText"/>
        <w:tabs>
          <w:tab w:val="clear" w:pos="425"/>
          <w:tab w:val="left" w:pos="709"/>
        </w:tabs>
        <w:ind w:left="720" w:hanging="720"/>
      </w:pPr>
      <w:r>
        <w:rPr>
          <w:rStyle w:val="EndnoteReference"/>
        </w:rPr>
        <w:endnoteRef/>
      </w:r>
      <w:r>
        <w:t xml:space="preserve"> </w:t>
      </w:r>
      <w:r>
        <w:rPr>
          <w:lang w:val="id-ID"/>
        </w:rPr>
        <w:tab/>
      </w:r>
      <w:r w:rsidRPr="008E2B52">
        <w:rPr>
          <w:rFonts w:asciiTheme="minorHAnsi" w:hAnsiTheme="minorHAnsi"/>
          <w:szCs w:val="20"/>
        </w:rPr>
        <w:t xml:space="preserve">SSQ. </w:t>
      </w:r>
      <w:r w:rsidRPr="00A907A2">
        <w:rPr>
          <w:rFonts w:asciiTheme="minorHAnsi" w:hAnsiTheme="minorHAnsi"/>
          <w:i/>
          <w:szCs w:val="20"/>
        </w:rPr>
        <w:t>Annual Progress Report 2014</w:t>
      </w:r>
      <w:r>
        <w:rPr>
          <w:rFonts w:asciiTheme="minorHAnsi" w:hAnsiTheme="minorHAnsi"/>
          <w:szCs w:val="20"/>
        </w:rPr>
        <w:t>,</w:t>
      </w:r>
      <w:r w:rsidRPr="008E2B52">
        <w:rPr>
          <w:rFonts w:asciiTheme="minorHAnsi" w:hAnsiTheme="minorHAnsi"/>
          <w:szCs w:val="20"/>
        </w:rPr>
        <w:t xml:space="preserve"> p</w:t>
      </w:r>
      <w:r>
        <w:rPr>
          <w:rFonts w:asciiTheme="minorHAnsi" w:hAnsiTheme="minorHAnsi"/>
          <w:szCs w:val="20"/>
        </w:rPr>
        <w:t>.</w:t>
      </w:r>
      <w:r>
        <w:rPr>
          <w:rFonts w:asciiTheme="minorHAnsi" w:hAnsiTheme="minorHAnsi"/>
          <w:szCs w:val="20"/>
          <w:lang w:val="id-ID"/>
        </w:rPr>
        <w:t>3</w:t>
      </w:r>
      <w:r>
        <w:rPr>
          <w:lang w:val="id-ID"/>
        </w:rPr>
        <w:t>.</w:t>
      </w:r>
    </w:p>
  </w:endnote>
  <w:endnote w:id="10">
    <w:p w:rsidR="00290662" w:rsidRPr="00EC2AE7" w:rsidRDefault="00290662" w:rsidP="005A612A">
      <w:pPr>
        <w:pStyle w:val="EndnoteText"/>
        <w:tabs>
          <w:tab w:val="clear" w:pos="425"/>
          <w:tab w:val="left" w:pos="709"/>
        </w:tabs>
        <w:ind w:left="720" w:hanging="720"/>
      </w:pPr>
      <w:r>
        <w:rPr>
          <w:rStyle w:val="EndnoteReference"/>
        </w:rPr>
        <w:endnoteRef/>
      </w:r>
      <w:r>
        <w:t xml:space="preserve"> </w:t>
      </w:r>
      <w:r>
        <w:tab/>
        <w:t xml:space="preserve">SSQ. </w:t>
      </w:r>
      <w:r w:rsidRPr="00A907A2">
        <w:rPr>
          <w:i/>
        </w:rPr>
        <w:t>Annual Progress Report 2015</w:t>
      </w:r>
      <w:r>
        <w:t>, p.10.</w:t>
      </w:r>
    </w:p>
  </w:endnote>
  <w:endnote w:id="11">
    <w:p w:rsidR="00290662" w:rsidRPr="00EC2AE7" w:rsidRDefault="00290662" w:rsidP="005A612A">
      <w:pPr>
        <w:pStyle w:val="EndnoteText"/>
        <w:tabs>
          <w:tab w:val="clear" w:pos="425"/>
          <w:tab w:val="left" w:pos="709"/>
        </w:tabs>
        <w:ind w:left="720" w:hanging="720"/>
      </w:pPr>
      <w:r>
        <w:rPr>
          <w:rStyle w:val="EndnoteReference"/>
        </w:rPr>
        <w:endnoteRef/>
      </w:r>
      <w:r>
        <w:t xml:space="preserve"> </w:t>
      </w:r>
      <w:r>
        <w:tab/>
        <w:t xml:space="preserve">SSQ. </w:t>
      </w:r>
      <w:r w:rsidRPr="00A907A2">
        <w:rPr>
          <w:i/>
        </w:rPr>
        <w:t>Annual Progress Report 2015</w:t>
      </w:r>
      <w:r>
        <w:t>, p.14.</w:t>
      </w:r>
    </w:p>
  </w:endnote>
  <w:endnote w:id="12">
    <w:p w:rsidR="00290662" w:rsidRPr="00B52E6D" w:rsidRDefault="00290662" w:rsidP="005A612A">
      <w:pPr>
        <w:pStyle w:val="EndnoteText"/>
        <w:tabs>
          <w:tab w:val="clear" w:pos="425"/>
          <w:tab w:val="left" w:pos="709"/>
        </w:tabs>
        <w:ind w:left="720" w:hanging="720"/>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lang w:val="id-ID"/>
        </w:rPr>
        <w:tab/>
      </w:r>
      <w:r>
        <w:rPr>
          <w:rFonts w:asciiTheme="minorHAnsi" w:hAnsiTheme="minorHAnsi"/>
          <w:szCs w:val="20"/>
        </w:rPr>
        <w:t xml:space="preserve">POM. </w:t>
      </w:r>
      <w:r w:rsidRPr="00A907A2">
        <w:rPr>
          <w:rFonts w:asciiTheme="minorHAnsi" w:hAnsiTheme="minorHAnsi"/>
          <w:i/>
          <w:szCs w:val="20"/>
        </w:rPr>
        <w:t>Performance Milestone Framework 2015 Report</w:t>
      </w:r>
      <w:r>
        <w:rPr>
          <w:rFonts w:asciiTheme="minorHAnsi" w:hAnsiTheme="minorHAnsi"/>
          <w:i/>
          <w:szCs w:val="20"/>
        </w:rPr>
        <w:t>.</w:t>
      </w:r>
    </w:p>
  </w:endnote>
  <w:endnote w:id="13">
    <w:p w:rsidR="00290662" w:rsidRPr="008E2B52" w:rsidRDefault="00290662" w:rsidP="005A612A">
      <w:pPr>
        <w:pStyle w:val="EndnoteText"/>
        <w:tabs>
          <w:tab w:val="clear" w:pos="425"/>
          <w:tab w:val="left" w:pos="709"/>
        </w:tabs>
        <w:ind w:left="720" w:hanging="720"/>
      </w:pPr>
      <w:r w:rsidRPr="008E2B52">
        <w:rPr>
          <w:rStyle w:val="EndnoteReference"/>
        </w:rPr>
        <w:endnoteRef/>
      </w:r>
      <w:r w:rsidRPr="008E2B52">
        <w:t xml:space="preserve"> </w:t>
      </w:r>
      <w:r>
        <w:tab/>
        <w:t>DFAT,</w:t>
      </w:r>
      <w:r w:rsidRPr="008E2B52">
        <w:t xml:space="preserve"> EP Program Logic, 26 May 2014</w:t>
      </w:r>
      <w:r>
        <w:t>.</w:t>
      </w:r>
    </w:p>
  </w:endnote>
  <w:endnote w:id="14">
    <w:p w:rsidR="00290662" w:rsidRDefault="00290662" w:rsidP="005A612A">
      <w:pPr>
        <w:pStyle w:val="EndnoteText"/>
        <w:tabs>
          <w:tab w:val="clear" w:pos="425"/>
          <w:tab w:val="left" w:pos="709"/>
        </w:tabs>
        <w:ind w:left="720" w:hanging="720"/>
      </w:pPr>
      <w:r>
        <w:rPr>
          <w:rStyle w:val="EndnoteReference"/>
        </w:rPr>
        <w:endnoteRef/>
      </w:r>
      <w:r>
        <w:t xml:space="preserve"> </w:t>
      </w:r>
      <w:r>
        <w:tab/>
        <w:t>Interview Garti Sri Utami, 3 February 2016.</w:t>
      </w:r>
    </w:p>
  </w:endnote>
  <w:endnote w:id="15">
    <w:p w:rsidR="00290662" w:rsidRPr="008E2B52" w:rsidRDefault="00290662" w:rsidP="005A612A">
      <w:pPr>
        <w:pStyle w:val="EndnoteText"/>
        <w:tabs>
          <w:tab w:val="clear" w:pos="425"/>
          <w:tab w:val="left" w:pos="709"/>
        </w:tabs>
        <w:ind w:left="720" w:hanging="720"/>
      </w:pPr>
      <w:r w:rsidRPr="008E2B52">
        <w:rPr>
          <w:rStyle w:val="EndnoteReference"/>
        </w:rPr>
        <w:endnoteRef/>
      </w:r>
      <w:r>
        <w:t xml:space="preserve"> </w:t>
      </w:r>
      <w:r>
        <w:tab/>
      </w:r>
      <w:r w:rsidRPr="008E2B52">
        <w:t>SSQ</w:t>
      </w:r>
      <w:r>
        <w:t>. Annual Progress Report 2013, p.22.</w:t>
      </w:r>
    </w:p>
  </w:endnote>
  <w:endnote w:id="16">
    <w:p w:rsidR="00290662" w:rsidRDefault="00290662" w:rsidP="005A612A">
      <w:pPr>
        <w:pStyle w:val="EndnoteText"/>
        <w:tabs>
          <w:tab w:val="clear" w:pos="425"/>
          <w:tab w:val="left" w:pos="709"/>
        </w:tabs>
        <w:ind w:left="720" w:hanging="720"/>
      </w:pPr>
      <w:r>
        <w:rPr>
          <w:rStyle w:val="EndnoteReference"/>
        </w:rPr>
        <w:endnoteRef/>
      </w:r>
      <w:r>
        <w:t xml:space="preserve"> </w:t>
      </w:r>
      <w:r>
        <w:tab/>
        <w:t xml:space="preserve">SSQ, Annual Progress Report 2014, p.83.                                                                                                                                                         </w:t>
      </w:r>
    </w:p>
  </w:endnote>
  <w:endnote w:id="17">
    <w:p w:rsidR="00290662" w:rsidRPr="00E66DC2" w:rsidRDefault="00290662" w:rsidP="005A612A">
      <w:pPr>
        <w:pStyle w:val="EndnoteText"/>
        <w:tabs>
          <w:tab w:val="clear" w:pos="425"/>
          <w:tab w:val="left" w:pos="709"/>
        </w:tabs>
        <w:ind w:left="720" w:hanging="720"/>
      </w:pPr>
      <w:r>
        <w:rPr>
          <w:rStyle w:val="EndnoteReference"/>
        </w:rPr>
        <w:endnoteRef/>
      </w:r>
      <w:r>
        <w:t xml:space="preserve"> </w:t>
      </w:r>
      <w:r>
        <w:tab/>
        <w:t>Presentation to Reinventing Education in the 21</w:t>
      </w:r>
      <w:r w:rsidRPr="002F6ED6">
        <w:rPr>
          <w:vertAlign w:val="superscript"/>
        </w:rPr>
        <w:t>st</w:t>
      </w:r>
      <w:r>
        <w:t xml:space="preserve"> Century, Paramadina University.</w:t>
      </w:r>
    </w:p>
  </w:endnote>
  <w:endnote w:id="18">
    <w:p w:rsidR="00290662" w:rsidRPr="00800AA0" w:rsidRDefault="00290662" w:rsidP="005A612A">
      <w:pPr>
        <w:pStyle w:val="EndnoteText"/>
        <w:tabs>
          <w:tab w:val="clear" w:pos="425"/>
          <w:tab w:val="left" w:pos="709"/>
        </w:tabs>
        <w:ind w:left="720" w:hanging="720"/>
      </w:pPr>
      <w:r>
        <w:rPr>
          <w:rStyle w:val="EndnoteReference"/>
        </w:rPr>
        <w:endnoteRef/>
      </w:r>
      <w:r>
        <w:t xml:space="preserve">   </w:t>
      </w:r>
      <w:r>
        <w:tab/>
      </w:r>
      <w:r w:rsidRPr="00800AA0">
        <w:t>OECD/ADB. 2015. Education in Indonesia: rising to the challenge. OECD, p.263.</w:t>
      </w:r>
    </w:p>
  </w:endnote>
  <w:endnote w:id="19">
    <w:p w:rsidR="00290662" w:rsidRPr="00800AA0" w:rsidRDefault="00290662" w:rsidP="005A612A">
      <w:pPr>
        <w:pStyle w:val="EndnoteText"/>
        <w:tabs>
          <w:tab w:val="clear" w:pos="425"/>
          <w:tab w:val="left" w:pos="709"/>
        </w:tabs>
        <w:ind w:left="720" w:hanging="720"/>
      </w:pPr>
      <w:r w:rsidRPr="00800AA0">
        <w:rPr>
          <w:rStyle w:val="EndnoteReference"/>
        </w:rPr>
        <w:endnoteRef/>
      </w:r>
      <w:r w:rsidRPr="00800AA0">
        <w:t xml:space="preserve"> </w:t>
      </w:r>
      <w:r w:rsidRPr="00800AA0">
        <w:tab/>
        <w:t>For example, see the Presentation by Anies Baswedan at the National Gathering for Education, April 2015. It should be noted that principals straddle the two categories, as they also have an obligatory weekly teaching load.</w:t>
      </w:r>
    </w:p>
  </w:endnote>
  <w:endnote w:id="20">
    <w:p w:rsidR="00290662" w:rsidRDefault="00290662" w:rsidP="005A612A">
      <w:pPr>
        <w:pStyle w:val="EndnoteText"/>
        <w:tabs>
          <w:tab w:val="clear" w:pos="425"/>
          <w:tab w:val="left" w:pos="709"/>
        </w:tabs>
        <w:ind w:left="720" w:hanging="720"/>
      </w:pPr>
      <w:r w:rsidRPr="00800AA0">
        <w:rPr>
          <w:rStyle w:val="EndnoteReference"/>
        </w:rPr>
        <w:endnoteRef/>
      </w:r>
      <w:r w:rsidRPr="00800AA0">
        <w:t xml:space="preserve"> </w:t>
      </w:r>
      <w:r w:rsidRPr="00800AA0">
        <w:tab/>
        <w:t>Anies Baswedan, Letter</w:t>
      </w:r>
      <w:r>
        <w:t xml:space="preserve"> to the President, 22 December 2015.</w:t>
      </w:r>
    </w:p>
  </w:endnote>
  <w:endnote w:id="21">
    <w:p w:rsidR="00290662" w:rsidRDefault="00290662" w:rsidP="005A612A">
      <w:pPr>
        <w:pStyle w:val="EndnoteText"/>
        <w:tabs>
          <w:tab w:val="clear" w:pos="425"/>
          <w:tab w:val="left" w:pos="709"/>
        </w:tabs>
        <w:ind w:left="720" w:hanging="720"/>
      </w:pPr>
      <w:r>
        <w:rPr>
          <w:rStyle w:val="EndnoteReference"/>
        </w:rPr>
        <w:endnoteRef/>
      </w:r>
      <w:r>
        <w:tab/>
        <w:t>Media Indonesia, “</w:t>
      </w:r>
      <w:r w:rsidRPr="00AB6E85">
        <w:rPr>
          <w:i/>
        </w:rPr>
        <w:t>Pengawas Sekolah Harus Ubah Paradigma</w:t>
      </w:r>
      <w:r>
        <w:t xml:space="preserve">”, retrieved from </w:t>
      </w:r>
      <w:hyperlink r:id="rId1" w:history="1">
        <w:r w:rsidRPr="00367E93">
          <w:rPr>
            <w:rStyle w:val="Hyperlink"/>
            <w:rFonts w:ascii="Calibri" w:hAnsi="Calibri"/>
            <w:sz w:val="20"/>
          </w:rPr>
          <w:t>http://www.mediaindonesia.com/news/read/9555/pengawas-sekolah-harus-ubah-paradigma/2015-12-10</w:t>
        </w:r>
      </w:hyperlink>
      <w:r>
        <w:t xml:space="preserve"> </w:t>
      </w:r>
    </w:p>
  </w:endnote>
  <w:endnote w:id="22">
    <w:p w:rsidR="00290662" w:rsidRDefault="00290662" w:rsidP="005A612A">
      <w:pPr>
        <w:pStyle w:val="EndnoteText"/>
        <w:tabs>
          <w:tab w:val="clear" w:pos="425"/>
          <w:tab w:val="left" w:pos="709"/>
        </w:tabs>
        <w:ind w:left="720" w:hanging="720"/>
      </w:pPr>
      <w:r>
        <w:rPr>
          <w:rStyle w:val="EndnoteReference"/>
        </w:rPr>
        <w:endnoteRef/>
      </w:r>
      <w:r>
        <w:t xml:space="preserve">  </w:t>
      </w:r>
      <w:r>
        <w:tab/>
        <w:t xml:space="preserve">MoRA and DFAT, A Strategy to Establish a Continuous Program of Madrasah Quality Improvement - the ‘Grand Design’”, October 2015, p.8. </w:t>
      </w:r>
    </w:p>
  </w:endnote>
  <w:endnote w:id="23">
    <w:p w:rsidR="00290662" w:rsidRDefault="00290662" w:rsidP="005A612A">
      <w:pPr>
        <w:pStyle w:val="EndnoteText"/>
        <w:tabs>
          <w:tab w:val="clear" w:pos="425"/>
          <w:tab w:val="left" w:pos="709"/>
        </w:tabs>
        <w:ind w:left="720" w:hanging="720"/>
      </w:pPr>
      <w:r>
        <w:rPr>
          <w:rStyle w:val="EndnoteReference"/>
        </w:rPr>
        <w:endnoteRef/>
      </w:r>
      <w:r>
        <w:t xml:space="preserve"> </w:t>
      </w:r>
      <w:r>
        <w:tab/>
        <w:t xml:space="preserve">DFAT, </w:t>
      </w:r>
      <w:r w:rsidRPr="00EE54E2">
        <w:rPr>
          <w:rFonts w:cstheme="minorHAnsi"/>
          <w:i/>
        </w:rPr>
        <w:t xml:space="preserve">Strategy for Australia’s aid investment in education 2015 </w:t>
      </w:r>
      <w:r>
        <w:rPr>
          <w:rFonts w:cstheme="minorHAnsi"/>
          <w:i/>
        </w:rPr>
        <w:t>–</w:t>
      </w:r>
      <w:r w:rsidRPr="00EE54E2">
        <w:rPr>
          <w:rFonts w:cstheme="minorHAnsi"/>
          <w:i/>
        </w:rPr>
        <w:t xml:space="preserve"> 2010</w:t>
      </w:r>
      <w:r>
        <w:rPr>
          <w:rFonts w:cstheme="minorHAnsi"/>
          <w:i/>
        </w:rPr>
        <w:t xml:space="preserve">, </w:t>
      </w:r>
      <w:r>
        <w:rPr>
          <w:rFonts w:cstheme="minorHAnsi"/>
        </w:rPr>
        <w:t>September 2015, p.12.</w:t>
      </w:r>
      <w:r>
        <w:t xml:space="preserve"> </w:t>
      </w:r>
    </w:p>
  </w:endnote>
  <w:endnote w:id="24">
    <w:p w:rsidR="00290662" w:rsidRDefault="00290662" w:rsidP="005A612A">
      <w:pPr>
        <w:pStyle w:val="EndnoteText"/>
        <w:tabs>
          <w:tab w:val="clear" w:pos="425"/>
          <w:tab w:val="left" w:pos="709"/>
        </w:tabs>
        <w:ind w:left="720" w:hanging="720"/>
      </w:pPr>
      <w:r>
        <w:rPr>
          <w:rStyle w:val="EndnoteReference"/>
        </w:rPr>
        <w:endnoteRef/>
      </w:r>
      <w:r>
        <w:t xml:space="preserve"> </w:t>
      </w:r>
      <w:r>
        <w:tab/>
        <w:t xml:space="preserve">POM, Annual Partnership Performance Report 2014, p.23. </w:t>
      </w:r>
    </w:p>
  </w:endnote>
  <w:endnote w:id="25">
    <w:p w:rsidR="00290662" w:rsidRDefault="00290662" w:rsidP="005A612A">
      <w:pPr>
        <w:pStyle w:val="EndnoteText"/>
        <w:tabs>
          <w:tab w:val="clear" w:pos="425"/>
          <w:tab w:val="left" w:pos="709"/>
        </w:tabs>
        <w:ind w:left="720" w:hanging="720"/>
      </w:pPr>
      <w:r>
        <w:rPr>
          <w:rStyle w:val="EndnoteReference"/>
        </w:rPr>
        <w:endnoteRef/>
      </w:r>
      <w:r>
        <w:t xml:space="preserve"> </w:t>
      </w:r>
      <w:r>
        <w:tab/>
        <w:t xml:space="preserve">SSQ C2, Finalized PAF 10 June 2014, p.9 and p.12. </w:t>
      </w:r>
    </w:p>
  </w:endnote>
  <w:endnote w:id="26">
    <w:p w:rsidR="00290662" w:rsidRDefault="00290662" w:rsidP="005A612A">
      <w:pPr>
        <w:pStyle w:val="EndnoteText"/>
        <w:tabs>
          <w:tab w:val="clear" w:pos="425"/>
          <w:tab w:val="left" w:pos="709"/>
        </w:tabs>
        <w:ind w:left="720" w:hanging="720"/>
      </w:pPr>
      <w:r>
        <w:rPr>
          <w:rStyle w:val="EndnoteReference"/>
        </w:rPr>
        <w:endnoteRef/>
      </w:r>
      <w:r>
        <w:t xml:space="preserve"> </w:t>
      </w:r>
      <w:r>
        <w:tab/>
        <w:t xml:space="preserve">SSQ C2, Finalized PAF 10 June 2014, p.12. </w:t>
      </w:r>
    </w:p>
  </w:endnote>
  <w:endnote w:id="27">
    <w:p w:rsidR="00290662" w:rsidRPr="00FB43CA" w:rsidRDefault="00290662" w:rsidP="005A612A">
      <w:pPr>
        <w:pStyle w:val="EndnoteText"/>
        <w:tabs>
          <w:tab w:val="clear" w:pos="425"/>
          <w:tab w:val="left" w:pos="709"/>
        </w:tabs>
        <w:ind w:left="720" w:hanging="720"/>
      </w:pPr>
      <w:r>
        <w:rPr>
          <w:rStyle w:val="EndnoteReference"/>
        </w:rPr>
        <w:endnoteRef/>
      </w:r>
      <w:r>
        <w:t xml:space="preserve"> </w:t>
      </w:r>
      <w:r>
        <w:tab/>
        <w:t xml:space="preserve">See Caldwell, B. 2014. </w:t>
      </w:r>
      <w:r w:rsidRPr="00FB43CA">
        <w:t>Thematic Literature Review for Component 2</w:t>
      </w:r>
      <w:r>
        <w:t xml:space="preserve">. POM. The review examined ‘credible’ research reports from </w:t>
      </w:r>
      <w:r w:rsidRPr="00354EA2">
        <w:t xml:space="preserve">1994 </w:t>
      </w:r>
      <w:r>
        <w:t>–</w:t>
      </w:r>
      <w:r w:rsidRPr="00354EA2">
        <w:t xml:space="preserve"> 2014</w:t>
      </w:r>
      <w:r>
        <w:t>, with particular emphasis given to m</w:t>
      </w:r>
      <w:r w:rsidRPr="00354EA2">
        <w:t xml:space="preserve">eta-analyses and the findings of quantitative studies, especially those </w:t>
      </w:r>
      <w:r>
        <w:t>which included or which were based on randomised trials</w:t>
      </w:r>
      <w:r w:rsidRPr="00354EA2">
        <w:t>.</w:t>
      </w:r>
      <w:r>
        <w:t xml:space="preserve"> Over one hundred articles were cited in the report. </w:t>
      </w:r>
    </w:p>
  </w:endnote>
  <w:endnote w:id="28">
    <w:p w:rsidR="00290662" w:rsidRPr="00FB43CA" w:rsidRDefault="00290662" w:rsidP="005A612A">
      <w:pPr>
        <w:pStyle w:val="EndnoteText"/>
        <w:tabs>
          <w:tab w:val="clear" w:pos="425"/>
          <w:tab w:val="left" w:pos="709"/>
        </w:tabs>
        <w:ind w:left="720" w:hanging="720"/>
      </w:pPr>
      <w:r>
        <w:rPr>
          <w:rStyle w:val="EndnoteReference"/>
        </w:rPr>
        <w:endnoteRef/>
      </w:r>
      <w:r>
        <w:t xml:space="preserve"> </w:t>
      </w:r>
      <w:r>
        <w:tab/>
      </w:r>
      <w:r w:rsidRPr="00FB43CA">
        <w:t xml:space="preserve">The </w:t>
      </w:r>
      <w:r w:rsidRPr="00CA3AB2">
        <w:rPr>
          <w:i/>
        </w:rPr>
        <w:t>d values</w:t>
      </w:r>
      <w:r w:rsidRPr="00FB43CA">
        <w:t xml:space="preserve"> refer to the ‘effect size’ of the strategies. An effect size of </w:t>
      </w:r>
      <w:r w:rsidRPr="00CA3AB2">
        <w:rPr>
          <w:i/>
        </w:rPr>
        <w:t>d=1.00</w:t>
      </w:r>
      <w:r w:rsidRPr="00FB43CA">
        <w:t xml:space="preserve"> indicates an increase of one standard deviation on the outcome, usually indicated by level of student achievement. According to John Hattie, a world-leading authority on synthesising meta-analyses, a </w:t>
      </w:r>
      <w:r w:rsidRPr="00CA3AB2">
        <w:rPr>
          <w:i/>
        </w:rPr>
        <w:t>d value</w:t>
      </w:r>
      <w:r w:rsidRPr="00FB43CA">
        <w:t xml:space="preserve"> higher than 0.40 is considered to lie in the ‘zone of desired effects’.</w:t>
      </w:r>
    </w:p>
  </w:endnote>
  <w:endnote w:id="29">
    <w:p w:rsidR="00290662" w:rsidRDefault="00290662" w:rsidP="005A612A">
      <w:pPr>
        <w:pStyle w:val="EndnoteText"/>
        <w:tabs>
          <w:tab w:val="clear" w:pos="425"/>
          <w:tab w:val="left" w:pos="709"/>
        </w:tabs>
        <w:ind w:left="720" w:hanging="720"/>
      </w:pPr>
      <w:r>
        <w:rPr>
          <w:rStyle w:val="EndnoteReference"/>
        </w:rPr>
        <w:endnoteRef/>
      </w:r>
      <w:r>
        <w:t xml:space="preserve"> </w:t>
      </w:r>
      <w:r>
        <w:tab/>
        <w:t xml:space="preserve">SSQ, An Evaluation of CPD Pilot Program, June 2013. </w:t>
      </w:r>
    </w:p>
  </w:endnote>
  <w:endnote w:id="30">
    <w:p w:rsidR="00290662" w:rsidRPr="008E2B52" w:rsidRDefault="00290662" w:rsidP="005A612A">
      <w:pPr>
        <w:pStyle w:val="EndnoteText"/>
        <w:tabs>
          <w:tab w:val="clear" w:pos="425"/>
          <w:tab w:val="left" w:pos="709"/>
        </w:tabs>
        <w:ind w:left="720" w:hanging="720"/>
      </w:pPr>
      <w:r w:rsidRPr="008E2B52">
        <w:rPr>
          <w:rStyle w:val="EndnoteReference"/>
          <w:szCs w:val="20"/>
        </w:rPr>
        <w:endnoteRef/>
      </w:r>
      <w:r>
        <w:t xml:space="preserve"> </w:t>
      </w:r>
      <w:r>
        <w:tab/>
      </w:r>
      <w:r w:rsidRPr="00F47513">
        <w:t>Enrolment data for school year 2013/2014</w:t>
      </w:r>
      <w:r>
        <w:t xml:space="preserve">, sourced from: </w:t>
      </w:r>
      <w:hyperlink r:id="rId2" w:history="1">
        <w:r w:rsidRPr="00F47513">
          <w:t>http://dapo.dikdas.kemdikbud.go.id/exreport/</w:t>
        </w:r>
      </w:hyperlink>
      <w:r>
        <w:t>.</w:t>
      </w:r>
      <w:r w:rsidRPr="00F47513">
        <w:t xml:space="preserve"> </w:t>
      </w:r>
    </w:p>
  </w:endnote>
  <w:endnote w:id="31">
    <w:p w:rsidR="00290662" w:rsidRDefault="00290662" w:rsidP="005A612A">
      <w:pPr>
        <w:pStyle w:val="EndnoteText"/>
        <w:tabs>
          <w:tab w:val="clear" w:pos="425"/>
          <w:tab w:val="left" w:pos="709"/>
        </w:tabs>
        <w:ind w:left="720" w:hanging="720"/>
      </w:pPr>
      <w:r>
        <w:rPr>
          <w:rStyle w:val="EndnoteReference"/>
        </w:rPr>
        <w:endnoteRef/>
      </w:r>
      <w:r>
        <w:t xml:space="preserve"> </w:t>
      </w:r>
      <w:r>
        <w:tab/>
        <w:t>Informal discussion with Siswandari, 2 March 2016.</w:t>
      </w:r>
    </w:p>
  </w:endnote>
  <w:endnote w:id="32">
    <w:p w:rsidR="00290662" w:rsidRDefault="00290662" w:rsidP="005A612A">
      <w:pPr>
        <w:pStyle w:val="EndnoteText"/>
        <w:tabs>
          <w:tab w:val="clear" w:pos="425"/>
          <w:tab w:val="left" w:pos="709"/>
        </w:tabs>
        <w:ind w:left="720" w:hanging="720"/>
      </w:pPr>
      <w:r>
        <w:rPr>
          <w:rStyle w:val="EndnoteReference"/>
        </w:rPr>
        <w:endnoteRef/>
      </w:r>
      <w:r>
        <w:t xml:space="preserve"> </w:t>
      </w:r>
      <w:r>
        <w:tab/>
        <w:t>Interview Yudi Herman, 3 February 2016 and interview Nurzaman 15 February 2016.</w:t>
      </w:r>
    </w:p>
  </w:endnote>
  <w:endnote w:id="33">
    <w:p w:rsidR="00290662" w:rsidRDefault="00290662" w:rsidP="005A612A">
      <w:pPr>
        <w:pStyle w:val="EndnoteText"/>
        <w:tabs>
          <w:tab w:val="clear" w:pos="425"/>
          <w:tab w:val="left" w:pos="709"/>
        </w:tabs>
        <w:ind w:left="720" w:hanging="720"/>
      </w:pPr>
      <w:r>
        <w:rPr>
          <w:rStyle w:val="EndnoteReference"/>
        </w:rPr>
        <w:endnoteRef/>
      </w:r>
      <w:r>
        <w:t xml:space="preserve">  </w:t>
      </w:r>
      <w:r>
        <w:tab/>
        <w:t>Email Graham Dawson, 28 April 2015.</w:t>
      </w:r>
    </w:p>
  </w:endnote>
  <w:endnote w:id="34">
    <w:p w:rsidR="00290662" w:rsidRPr="008E2B52" w:rsidRDefault="00290662" w:rsidP="005A612A">
      <w:pPr>
        <w:pStyle w:val="EndnoteText"/>
        <w:tabs>
          <w:tab w:val="clear" w:pos="425"/>
          <w:tab w:val="left" w:pos="709"/>
        </w:tabs>
        <w:ind w:left="720" w:hanging="720"/>
      </w:pPr>
      <w:r w:rsidRPr="008E2B52">
        <w:rPr>
          <w:rStyle w:val="EndnoteReference"/>
        </w:rPr>
        <w:endnoteRef/>
      </w:r>
      <w:r>
        <w:tab/>
        <w:t>See POM, Annual Sector Monitoring Report, 2013; ACDP,</w:t>
      </w:r>
      <w:r w:rsidRPr="008E2B52">
        <w:t xml:space="preserve"> School and Madrasah Principals and Supervis</w:t>
      </w:r>
      <w:r>
        <w:t>ors Competencies Baseline Study, 2013.</w:t>
      </w:r>
    </w:p>
  </w:endnote>
  <w:endnote w:id="35">
    <w:p w:rsidR="00290662" w:rsidRDefault="00290662" w:rsidP="005A612A">
      <w:pPr>
        <w:pStyle w:val="EndnoteText"/>
        <w:tabs>
          <w:tab w:val="clear" w:pos="425"/>
          <w:tab w:val="left" w:pos="709"/>
        </w:tabs>
        <w:ind w:left="720" w:hanging="720"/>
      </w:pPr>
      <w:r>
        <w:rPr>
          <w:rStyle w:val="EndnoteReference"/>
        </w:rPr>
        <w:endnoteRef/>
      </w:r>
      <w:r>
        <w:t xml:space="preserve"> </w:t>
      </w:r>
      <w:r>
        <w:tab/>
        <w:t>Comment by Kerri Amos during preliminary feedback session on Management &amp; Governance.</w:t>
      </w:r>
    </w:p>
  </w:endnote>
  <w:endnote w:id="36">
    <w:p w:rsidR="00290662" w:rsidRDefault="00290662" w:rsidP="005A612A">
      <w:pPr>
        <w:pStyle w:val="EndnoteText"/>
        <w:tabs>
          <w:tab w:val="clear" w:pos="425"/>
          <w:tab w:val="left" w:pos="709"/>
        </w:tabs>
        <w:ind w:left="720" w:hanging="720"/>
      </w:pPr>
      <w:r>
        <w:rPr>
          <w:rStyle w:val="EndnoteReference"/>
        </w:rPr>
        <w:endnoteRef/>
      </w:r>
      <w:r>
        <w:t xml:space="preserve"> </w:t>
      </w:r>
      <w:r>
        <w:tab/>
        <w:t>Interview Aryanti Savitri, 4 February 2016.</w:t>
      </w:r>
    </w:p>
  </w:endnote>
  <w:endnote w:id="37">
    <w:p w:rsidR="00290662" w:rsidRDefault="00290662" w:rsidP="005A612A">
      <w:pPr>
        <w:pStyle w:val="EndnoteText"/>
        <w:tabs>
          <w:tab w:val="clear" w:pos="425"/>
          <w:tab w:val="left" w:pos="709"/>
        </w:tabs>
        <w:ind w:left="720" w:hanging="720"/>
      </w:pPr>
      <w:r>
        <w:rPr>
          <w:rStyle w:val="EndnoteReference"/>
        </w:rPr>
        <w:endnoteRef/>
      </w:r>
      <w:r>
        <w:t xml:space="preserve"> </w:t>
      </w:r>
      <w:r>
        <w:tab/>
        <w:t>Interview Gatri Sri Utami, 3 February 2016.</w:t>
      </w:r>
    </w:p>
  </w:endnote>
  <w:endnote w:id="38">
    <w:p w:rsidR="00290662" w:rsidRDefault="00290662" w:rsidP="005A612A">
      <w:pPr>
        <w:pStyle w:val="EndnoteText"/>
        <w:tabs>
          <w:tab w:val="clear" w:pos="425"/>
          <w:tab w:val="left" w:pos="709"/>
        </w:tabs>
        <w:ind w:left="720" w:hanging="720"/>
      </w:pPr>
      <w:r>
        <w:rPr>
          <w:rStyle w:val="EndnoteReference"/>
        </w:rPr>
        <w:endnoteRef/>
      </w:r>
      <w:r>
        <w:tab/>
        <w:t>Interview Yaya Kardiawarman, 3 February 2016.</w:t>
      </w:r>
    </w:p>
  </w:endnote>
  <w:endnote w:id="39">
    <w:p w:rsidR="00290662" w:rsidRPr="00800AA0" w:rsidRDefault="00290662" w:rsidP="005A612A">
      <w:pPr>
        <w:pStyle w:val="EndnoteText"/>
        <w:tabs>
          <w:tab w:val="clear" w:pos="425"/>
          <w:tab w:val="left" w:pos="709"/>
        </w:tabs>
        <w:ind w:left="720" w:hanging="720"/>
      </w:pPr>
      <w:r>
        <w:rPr>
          <w:rStyle w:val="EndnoteReference"/>
        </w:rPr>
        <w:endnoteRef/>
      </w:r>
      <w:r>
        <w:t xml:space="preserve"> </w:t>
      </w:r>
      <w:r>
        <w:tab/>
        <w:t xml:space="preserve">Interview </w:t>
      </w:r>
      <w:r w:rsidRPr="00800AA0">
        <w:t>Kidup and Mustofa Fahmi, 11 February 2016.</w:t>
      </w:r>
    </w:p>
  </w:endnote>
  <w:endnote w:id="40">
    <w:p w:rsidR="00290662" w:rsidRPr="00800AA0" w:rsidRDefault="00290662" w:rsidP="005A612A">
      <w:pPr>
        <w:pStyle w:val="EndnoteText"/>
        <w:tabs>
          <w:tab w:val="clear" w:pos="425"/>
          <w:tab w:val="left" w:pos="709"/>
        </w:tabs>
        <w:ind w:left="720" w:hanging="720"/>
      </w:pPr>
      <w:r w:rsidRPr="00800AA0">
        <w:rPr>
          <w:rStyle w:val="EndnoteReference"/>
        </w:rPr>
        <w:endnoteRef/>
      </w:r>
      <w:r w:rsidRPr="00800AA0">
        <w:t xml:space="preserve"> </w:t>
      </w:r>
      <w:r w:rsidRPr="00800AA0">
        <w:tab/>
        <w:t>Also note phone conversation with Fasli Jalal, 6 March 2016.</w:t>
      </w:r>
    </w:p>
  </w:endnote>
  <w:endnote w:id="41">
    <w:p w:rsidR="00290662" w:rsidRPr="00800AA0" w:rsidRDefault="00290662" w:rsidP="005A612A">
      <w:pPr>
        <w:pStyle w:val="EndnoteText"/>
        <w:tabs>
          <w:tab w:val="clear" w:pos="425"/>
          <w:tab w:val="left" w:pos="709"/>
        </w:tabs>
        <w:ind w:left="720" w:hanging="720"/>
      </w:pPr>
      <w:r w:rsidRPr="00800AA0">
        <w:rPr>
          <w:rStyle w:val="EndnoteReference"/>
        </w:rPr>
        <w:endnoteRef/>
      </w:r>
      <w:r w:rsidRPr="00800AA0">
        <w:t xml:space="preserve"> </w:t>
      </w:r>
      <w:r w:rsidRPr="00800AA0">
        <w:tab/>
        <w:t>MoEC, ProDEP replication budget, obtained from MoEC, March 2016.</w:t>
      </w:r>
    </w:p>
  </w:endnote>
  <w:endnote w:id="42">
    <w:p w:rsidR="00290662" w:rsidRDefault="00290662" w:rsidP="005A612A">
      <w:pPr>
        <w:pStyle w:val="EndnoteText"/>
        <w:tabs>
          <w:tab w:val="clear" w:pos="425"/>
          <w:tab w:val="left" w:pos="709"/>
        </w:tabs>
        <w:ind w:left="720" w:hanging="720"/>
      </w:pPr>
      <w:r w:rsidRPr="00800AA0">
        <w:rPr>
          <w:rStyle w:val="EndnoteReference"/>
        </w:rPr>
        <w:endnoteRef/>
      </w:r>
      <w:r w:rsidRPr="00800AA0">
        <w:t xml:space="preserve"> </w:t>
      </w:r>
      <w:r w:rsidRPr="00800AA0">
        <w:tab/>
        <w:t>Interview with</w:t>
      </w:r>
      <w:r>
        <w:t xml:space="preserve"> Yudi Herman and Budi Suprayitno, 3 February 2016.</w:t>
      </w:r>
    </w:p>
  </w:endnote>
  <w:endnote w:id="43">
    <w:p w:rsidR="00290662" w:rsidRDefault="00290662" w:rsidP="005A612A">
      <w:pPr>
        <w:pStyle w:val="EndnoteText"/>
        <w:tabs>
          <w:tab w:val="clear" w:pos="425"/>
          <w:tab w:val="left" w:pos="709"/>
        </w:tabs>
        <w:ind w:left="720" w:hanging="720"/>
        <w:rPr>
          <w:lang w:val="en-US"/>
        </w:rPr>
      </w:pPr>
      <w:r>
        <w:rPr>
          <w:rStyle w:val="EndnoteReference"/>
        </w:rPr>
        <w:endnoteRef/>
      </w:r>
      <w:r>
        <w:t xml:space="preserve"> </w:t>
      </w:r>
      <w:r>
        <w:tab/>
        <w:t>MoRA. ‘</w:t>
      </w:r>
      <w:r>
        <w:rPr>
          <w:i/>
        </w:rPr>
        <w:t>Profil Direktorat Jenderal Pendidikan Islam Tahun Anggaran</w:t>
      </w:r>
      <w:r>
        <w:t xml:space="preserve"> 2012/ 2013’.</w:t>
      </w:r>
    </w:p>
  </w:endnote>
  <w:endnote w:id="44">
    <w:p w:rsidR="00290662" w:rsidRDefault="00290662" w:rsidP="005A612A">
      <w:pPr>
        <w:pStyle w:val="EndnoteText"/>
        <w:tabs>
          <w:tab w:val="clear" w:pos="425"/>
          <w:tab w:val="left" w:pos="709"/>
        </w:tabs>
        <w:ind w:left="720" w:hanging="720"/>
        <w:rPr>
          <w:lang w:val="en-US"/>
        </w:rPr>
      </w:pPr>
      <w:r>
        <w:rPr>
          <w:rStyle w:val="EndnoteReference"/>
        </w:rPr>
        <w:endnoteRef/>
      </w:r>
      <w:r>
        <w:t xml:space="preserve"> </w:t>
      </w:r>
      <w:r>
        <w:tab/>
        <w:t xml:space="preserve">DFAT, </w:t>
      </w:r>
      <w:r w:rsidRPr="00A907A2">
        <w:rPr>
          <w:i/>
        </w:rPr>
        <w:t>Education Partnership Theory of Change</w:t>
      </w:r>
      <w:r>
        <w:t xml:space="preserve"> (2013 Version 12), p.5.</w:t>
      </w:r>
    </w:p>
  </w:endnote>
  <w:endnote w:id="45">
    <w:p w:rsidR="00290662" w:rsidRDefault="00290662" w:rsidP="005A612A">
      <w:pPr>
        <w:pStyle w:val="EndnoteText"/>
        <w:tabs>
          <w:tab w:val="clear" w:pos="425"/>
          <w:tab w:val="left" w:pos="709"/>
        </w:tabs>
        <w:ind w:left="720" w:hanging="720"/>
        <w:rPr>
          <w:lang w:val="en-US"/>
        </w:rPr>
      </w:pPr>
      <w:r w:rsidRPr="00B60D5F">
        <w:rPr>
          <w:rStyle w:val="EndnoteReference"/>
        </w:rPr>
        <w:endnoteRef/>
      </w:r>
      <w:r w:rsidRPr="00B60D5F">
        <w:t xml:space="preserve"> </w:t>
      </w:r>
      <w:r w:rsidRPr="00B60D5F">
        <w:tab/>
      </w:r>
      <w:r>
        <w:t xml:space="preserve">SSQ, </w:t>
      </w:r>
      <w:r w:rsidRPr="00A907A2">
        <w:rPr>
          <w:i/>
          <w:lang w:val="en-US"/>
        </w:rPr>
        <w:t>School Systems and Quality Annual Progress Report 2015</w:t>
      </w:r>
      <w:r>
        <w:rPr>
          <w:lang w:val="en-US"/>
        </w:rPr>
        <w:t>,</w:t>
      </w:r>
      <w:r w:rsidRPr="00B60D5F">
        <w:rPr>
          <w:lang w:val="en-US"/>
        </w:rPr>
        <w:t xml:space="preserve"> </w:t>
      </w:r>
      <w:r>
        <w:rPr>
          <w:lang w:val="en-US"/>
        </w:rPr>
        <w:t xml:space="preserve">p.33. </w:t>
      </w:r>
    </w:p>
  </w:endnote>
  <w:endnote w:id="46">
    <w:p w:rsidR="00290662" w:rsidRDefault="00290662" w:rsidP="005A612A">
      <w:pPr>
        <w:pStyle w:val="EndnoteText"/>
        <w:tabs>
          <w:tab w:val="clear" w:pos="425"/>
          <w:tab w:val="left" w:pos="709"/>
        </w:tabs>
        <w:ind w:left="720" w:hanging="720"/>
        <w:rPr>
          <w:lang w:val="en-US"/>
        </w:rPr>
      </w:pPr>
      <w:r>
        <w:rPr>
          <w:rStyle w:val="EndnoteReference"/>
        </w:rPr>
        <w:endnoteRef/>
      </w:r>
      <w:r>
        <w:t xml:space="preserve"> </w:t>
      </w:r>
      <w:r>
        <w:tab/>
      </w:r>
      <w:r>
        <w:rPr>
          <w:lang w:val="en-US"/>
        </w:rPr>
        <w:t>Interview, MoRA, February 2, 2016.</w:t>
      </w:r>
    </w:p>
  </w:endnote>
  <w:endnote w:id="47">
    <w:p w:rsidR="00290662" w:rsidRDefault="00290662" w:rsidP="005A612A">
      <w:pPr>
        <w:pStyle w:val="EndnoteText"/>
        <w:tabs>
          <w:tab w:val="clear" w:pos="425"/>
          <w:tab w:val="left" w:pos="709"/>
        </w:tabs>
        <w:ind w:left="720" w:hanging="720"/>
        <w:rPr>
          <w:lang w:val="en-US"/>
        </w:rPr>
      </w:pPr>
      <w:r>
        <w:rPr>
          <w:rStyle w:val="EndnoteReference"/>
        </w:rPr>
        <w:endnoteRef/>
      </w:r>
      <w:r>
        <w:t xml:space="preserve"> </w:t>
      </w:r>
      <w:r>
        <w:tab/>
        <w:t xml:space="preserve">POM, </w:t>
      </w:r>
      <w:r w:rsidRPr="00A907A2">
        <w:rPr>
          <w:i/>
          <w:lang w:val="en-US"/>
        </w:rPr>
        <w:t>Performance Milestone Framework Report 2015</w:t>
      </w:r>
      <w:r w:rsidRPr="00B60D5F">
        <w:rPr>
          <w:lang w:val="en-US"/>
        </w:rPr>
        <w:t>.</w:t>
      </w:r>
    </w:p>
  </w:endnote>
  <w:endnote w:id="48">
    <w:p w:rsidR="00290662" w:rsidRDefault="00290662" w:rsidP="005A612A">
      <w:pPr>
        <w:pStyle w:val="EndnoteText"/>
        <w:tabs>
          <w:tab w:val="clear" w:pos="425"/>
          <w:tab w:val="left" w:pos="709"/>
        </w:tabs>
        <w:ind w:left="720" w:hanging="720"/>
        <w:rPr>
          <w:lang w:val="en-US"/>
        </w:rPr>
      </w:pPr>
      <w:r>
        <w:rPr>
          <w:rStyle w:val="EndnoteReference"/>
        </w:rPr>
        <w:endnoteRef/>
      </w:r>
      <w:r>
        <w:t xml:space="preserve"> </w:t>
      </w:r>
      <w:r>
        <w:tab/>
      </w:r>
      <w:r w:rsidRPr="003B6830">
        <w:rPr>
          <w:lang w:val="en-US"/>
        </w:rPr>
        <w:t>School Systems and Quality Annual Progress Report 2015</w:t>
      </w:r>
      <w:r>
        <w:rPr>
          <w:lang w:val="en-US"/>
        </w:rPr>
        <w:t>. p. 35; Interview, SSQ Staff, 14 February, 2015; Interview, DFAT, 12 February, 2016.</w:t>
      </w:r>
    </w:p>
  </w:endnote>
  <w:endnote w:id="49">
    <w:p w:rsidR="00290662" w:rsidRDefault="00290662" w:rsidP="005A612A">
      <w:pPr>
        <w:pStyle w:val="EndnoteText"/>
        <w:tabs>
          <w:tab w:val="clear" w:pos="425"/>
          <w:tab w:val="left" w:pos="709"/>
        </w:tabs>
        <w:ind w:left="720" w:hanging="720"/>
        <w:rPr>
          <w:lang w:val="en-US"/>
        </w:rPr>
      </w:pPr>
      <w:r>
        <w:rPr>
          <w:rStyle w:val="EndnoteReference"/>
        </w:rPr>
        <w:endnoteRef/>
      </w:r>
      <w:r>
        <w:t xml:space="preserve"> </w:t>
      </w:r>
      <w:r>
        <w:tab/>
      </w:r>
      <w:r>
        <w:rPr>
          <w:i/>
        </w:rPr>
        <w:t>Arah kebijakan dan strategi pendidikan Islam tahun 2015-2019</w:t>
      </w:r>
      <w:r>
        <w:t xml:space="preserve">. See, </w:t>
      </w:r>
      <w:hyperlink r:id="rId3" w:anchor=".VuSwL_l96Cg" w:history="1">
        <w:r w:rsidRPr="002638A8">
          <w:rPr>
            <w:rStyle w:val="Hyperlink"/>
            <w:rFonts w:ascii="Calibri" w:hAnsi="Calibri"/>
            <w:sz w:val="20"/>
          </w:rPr>
          <w:t>http://pendis.kemenag.go.id/</w:t>
        </w:r>
        <w:r w:rsidRPr="002638A8">
          <w:rPr>
            <w:rStyle w:val="Hyperlink"/>
            <w:rFonts w:ascii="Calibri" w:hAnsi="Calibri"/>
            <w:sz w:val="20"/>
          </w:rPr>
          <w:br/>
          <w:t>index.php?a=artikel&amp;id2=strategipendis#.VuSwL_l96Cg</w:t>
        </w:r>
      </w:hyperlink>
      <w:r>
        <w:t xml:space="preserve"> </w:t>
      </w:r>
    </w:p>
  </w:endnote>
  <w:endnote w:id="50">
    <w:p w:rsidR="00290662" w:rsidRDefault="00290662" w:rsidP="005A612A">
      <w:pPr>
        <w:pStyle w:val="EndnoteText"/>
        <w:tabs>
          <w:tab w:val="clear" w:pos="425"/>
          <w:tab w:val="left" w:pos="709"/>
        </w:tabs>
        <w:ind w:left="720" w:hanging="720"/>
        <w:rPr>
          <w:lang w:val="en-US"/>
        </w:rPr>
      </w:pPr>
      <w:r>
        <w:rPr>
          <w:rStyle w:val="EndnoteReference"/>
        </w:rPr>
        <w:endnoteRef/>
      </w:r>
      <w:r>
        <w:t xml:space="preserve"> </w:t>
      </w:r>
      <w:r>
        <w:tab/>
      </w:r>
      <w:r w:rsidRPr="00800AA0">
        <w:t xml:space="preserve">MoRA and DFAT, A Strategy to Establish a Continuous Program of Madrasah Quality Improvement - the ‘Grand Design’”, October 2015, </w:t>
      </w:r>
      <w:r>
        <w:t>p.29.</w:t>
      </w:r>
    </w:p>
  </w:endnote>
  <w:endnote w:id="51">
    <w:p w:rsidR="00290662" w:rsidRDefault="00290662" w:rsidP="005A612A">
      <w:pPr>
        <w:pStyle w:val="EndnoteText"/>
        <w:tabs>
          <w:tab w:val="clear" w:pos="425"/>
          <w:tab w:val="left" w:pos="709"/>
        </w:tabs>
        <w:ind w:left="720" w:hanging="720"/>
        <w:rPr>
          <w:lang w:val="en-US"/>
        </w:rPr>
      </w:pPr>
      <w:r>
        <w:rPr>
          <w:rStyle w:val="EndnoteReference"/>
        </w:rPr>
        <w:endnoteRef/>
      </w:r>
      <w:r>
        <w:t xml:space="preserve"> </w:t>
      </w:r>
      <w:r>
        <w:tab/>
        <w:t xml:space="preserve">POM, </w:t>
      </w:r>
      <w:r w:rsidRPr="00A907A2">
        <w:rPr>
          <w:i/>
          <w:lang w:val="en-US"/>
        </w:rPr>
        <w:t>Annual Partnership Performance Report 2014</w:t>
      </w:r>
      <w:r>
        <w:rPr>
          <w:lang w:val="en-US"/>
        </w:rPr>
        <w:t>, p.44.</w:t>
      </w:r>
    </w:p>
  </w:endnote>
  <w:endnote w:id="52">
    <w:p w:rsidR="00290662" w:rsidRDefault="00290662" w:rsidP="005A612A">
      <w:pPr>
        <w:pStyle w:val="EndnoteText"/>
        <w:tabs>
          <w:tab w:val="clear" w:pos="425"/>
          <w:tab w:val="left" w:pos="709"/>
        </w:tabs>
        <w:ind w:left="720" w:hanging="720"/>
        <w:rPr>
          <w:lang w:val="en-US"/>
        </w:rPr>
      </w:pPr>
      <w:r>
        <w:rPr>
          <w:rStyle w:val="EndnoteReference"/>
        </w:rPr>
        <w:endnoteRef/>
      </w:r>
      <w:r>
        <w:t xml:space="preserve"> </w:t>
      </w:r>
      <w:r>
        <w:tab/>
        <w:t xml:space="preserve">SSQ, </w:t>
      </w:r>
      <w:r w:rsidRPr="00A907A2">
        <w:rPr>
          <w:i/>
          <w:lang w:val="en-US"/>
        </w:rPr>
        <w:t>School Systems and Quality Annual Progress Report 2015</w:t>
      </w:r>
      <w:r>
        <w:rPr>
          <w:lang w:val="en-US"/>
        </w:rPr>
        <w:t>, p.32.</w:t>
      </w:r>
    </w:p>
  </w:endnote>
  <w:endnote w:id="53">
    <w:p w:rsidR="00290662" w:rsidRDefault="00290662" w:rsidP="005A612A">
      <w:pPr>
        <w:pStyle w:val="EndnoteText"/>
        <w:tabs>
          <w:tab w:val="clear" w:pos="425"/>
          <w:tab w:val="left" w:pos="709"/>
        </w:tabs>
        <w:ind w:left="720" w:hanging="720"/>
        <w:rPr>
          <w:lang w:val="en-US"/>
        </w:rPr>
      </w:pPr>
      <w:r w:rsidRPr="005B1374">
        <w:rPr>
          <w:rStyle w:val="EndnoteReference"/>
        </w:rPr>
        <w:endnoteRef/>
      </w:r>
      <w:r w:rsidRPr="005B1374">
        <w:t xml:space="preserve"> </w:t>
      </w:r>
      <w:r w:rsidRPr="005B1374">
        <w:tab/>
      </w:r>
      <w:r>
        <w:t xml:space="preserve">SSQ, </w:t>
      </w:r>
      <w:r w:rsidRPr="00A907A2">
        <w:rPr>
          <w:i/>
          <w:lang w:val="en-US"/>
        </w:rPr>
        <w:t>School Systems and Quality Annual Progress Report 2015</w:t>
      </w:r>
      <w:r w:rsidRPr="005B1374">
        <w:rPr>
          <w:lang w:val="en-US"/>
        </w:rPr>
        <w:t xml:space="preserve">, </w:t>
      </w:r>
      <w:r>
        <w:rPr>
          <w:lang w:val="en-US"/>
        </w:rPr>
        <w:t>p.33.</w:t>
      </w:r>
    </w:p>
  </w:endnote>
  <w:endnote w:id="54">
    <w:p w:rsidR="00290662" w:rsidRDefault="00290662" w:rsidP="005A612A">
      <w:pPr>
        <w:pStyle w:val="EndnoteText"/>
        <w:tabs>
          <w:tab w:val="clear" w:pos="425"/>
          <w:tab w:val="left" w:pos="709"/>
        </w:tabs>
        <w:ind w:left="720" w:hanging="720"/>
        <w:rPr>
          <w:lang w:val="en-US"/>
        </w:rPr>
      </w:pPr>
      <w:r>
        <w:rPr>
          <w:rStyle w:val="EndnoteReference"/>
        </w:rPr>
        <w:endnoteRef/>
      </w:r>
      <w:r>
        <w:t xml:space="preserve"> </w:t>
      </w:r>
      <w:r>
        <w:tab/>
        <w:t xml:space="preserve">SSQ, </w:t>
      </w:r>
      <w:r w:rsidRPr="00A907A2">
        <w:rPr>
          <w:i/>
        </w:rPr>
        <w:t>ME011 - Evaluation of Component 3, Phase 1</w:t>
      </w:r>
      <w:r>
        <w:t>, p.36.</w:t>
      </w:r>
    </w:p>
  </w:endnote>
  <w:endnote w:id="55">
    <w:p w:rsidR="00290662" w:rsidRDefault="00290662" w:rsidP="005A612A">
      <w:pPr>
        <w:pStyle w:val="EndnoteText"/>
        <w:tabs>
          <w:tab w:val="clear" w:pos="425"/>
          <w:tab w:val="left" w:pos="709"/>
        </w:tabs>
        <w:ind w:left="720" w:hanging="720"/>
        <w:rPr>
          <w:lang w:val="en-US"/>
        </w:rPr>
      </w:pPr>
      <w:r>
        <w:rPr>
          <w:rStyle w:val="EndnoteReference"/>
        </w:rPr>
        <w:endnoteRef/>
      </w:r>
      <w:r>
        <w:t xml:space="preserve"> </w:t>
      </w:r>
      <w:r>
        <w:tab/>
      </w:r>
      <w:r>
        <w:rPr>
          <w:lang w:val="en-US"/>
        </w:rPr>
        <w:t>Interview, SSQ staff, 16 February, 2016.</w:t>
      </w:r>
    </w:p>
  </w:endnote>
  <w:endnote w:id="56">
    <w:p w:rsidR="00290662" w:rsidRPr="005B1374" w:rsidRDefault="00290662" w:rsidP="005A612A">
      <w:pPr>
        <w:pStyle w:val="EndnoteText"/>
        <w:tabs>
          <w:tab w:val="clear" w:pos="425"/>
          <w:tab w:val="left" w:pos="709"/>
        </w:tabs>
        <w:ind w:left="720" w:hanging="720"/>
        <w:rPr>
          <w:lang w:val="en-US"/>
        </w:rPr>
      </w:pPr>
      <w:r>
        <w:rPr>
          <w:rStyle w:val="EndnoteReference"/>
        </w:rPr>
        <w:endnoteRef/>
      </w:r>
      <w:r>
        <w:t xml:space="preserve"> </w:t>
      </w:r>
      <w:r>
        <w:tab/>
        <w:t xml:space="preserve">POM, </w:t>
      </w:r>
      <w:r w:rsidRPr="00A907A2">
        <w:rPr>
          <w:i/>
          <w:lang w:val="en-US"/>
        </w:rPr>
        <w:t>Annual Partnership Performance Report 2014</w:t>
      </w:r>
      <w:r>
        <w:rPr>
          <w:lang w:val="en-US"/>
        </w:rPr>
        <w:t>, p.</w:t>
      </w:r>
      <w:r w:rsidRPr="005B1374">
        <w:rPr>
          <w:lang w:val="en-US"/>
        </w:rPr>
        <w:t>43.</w:t>
      </w:r>
    </w:p>
  </w:endnote>
  <w:endnote w:id="57">
    <w:p w:rsidR="00290662" w:rsidRDefault="00290662" w:rsidP="005A612A">
      <w:pPr>
        <w:pStyle w:val="EndnoteText"/>
        <w:tabs>
          <w:tab w:val="clear" w:pos="425"/>
          <w:tab w:val="left" w:pos="709"/>
        </w:tabs>
        <w:ind w:left="720" w:hanging="720"/>
        <w:rPr>
          <w:lang w:val="en-US"/>
        </w:rPr>
      </w:pPr>
      <w:r w:rsidRPr="005B1374">
        <w:rPr>
          <w:rStyle w:val="EndnoteReference"/>
        </w:rPr>
        <w:endnoteRef/>
      </w:r>
      <w:r w:rsidRPr="005B1374">
        <w:t xml:space="preserve"> </w:t>
      </w:r>
      <w:r w:rsidRPr="005B1374">
        <w:tab/>
      </w:r>
      <w:r>
        <w:t xml:space="preserve">POM, </w:t>
      </w:r>
      <w:r w:rsidRPr="00A907A2">
        <w:rPr>
          <w:i/>
          <w:lang w:val="en-US"/>
        </w:rPr>
        <w:t>Annual Partnership Performance Report 2014</w:t>
      </w:r>
      <w:r>
        <w:rPr>
          <w:lang w:val="en-US"/>
        </w:rPr>
        <w:t xml:space="preserve">, p.40. </w:t>
      </w:r>
    </w:p>
  </w:endnote>
  <w:endnote w:id="58">
    <w:p w:rsidR="00290662" w:rsidRDefault="00290662" w:rsidP="005A612A">
      <w:pPr>
        <w:pStyle w:val="EndnoteText"/>
        <w:tabs>
          <w:tab w:val="clear" w:pos="425"/>
          <w:tab w:val="left" w:pos="709"/>
        </w:tabs>
        <w:ind w:left="720" w:hanging="720"/>
        <w:rPr>
          <w:lang w:val="en-US"/>
        </w:rPr>
      </w:pPr>
      <w:r>
        <w:rPr>
          <w:rStyle w:val="EndnoteReference"/>
        </w:rPr>
        <w:endnoteRef/>
      </w:r>
      <w:r>
        <w:t xml:space="preserve"> </w:t>
      </w:r>
      <w:r>
        <w:tab/>
      </w:r>
      <w:r w:rsidRPr="00C23F6D">
        <w:t>Estimate made in ACDP 021: Overview of Islamic Education Sub-Sector in Indonesia (2015).</w:t>
      </w:r>
    </w:p>
  </w:endnote>
  <w:endnote w:id="59">
    <w:p w:rsidR="00290662" w:rsidRPr="005B1374" w:rsidRDefault="00290662" w:rsidP="005A612A">
      <w:pPr>
        <w:pStyle w:val="EndnoteText"/>
        <w:tabs>
          <w:tab w:val="clear" w:pos="425"/>
          <w:tab w:val="left" w:pos="709"/>
        </w:tabs>
        <w:ind w:left="720" w:hanging="720"/>
        <w:rPr>
          <w:lang w:val="en-US"/>
        </w:rPr>
      </w:pPr>
      <w:r>
        <w:rPr>
          <w:rStyle w:val="EndnoteReference"/>
        </w:rPr>
        <w:endnoteRef/>
      </w:r>
      <w:r>
        <w:t xml:space="preserve"> </w:t>
      </w:r>
      <w:r>
        <w:tab/>
      </w:r>
      <w:r w:rsidRPr="005B1374">
        <w:rPr>
          <w:lang w:val="en-US"/>
        </w:rPr>
        <w:t>SSQ Weekly Report, 24 April, 2015.</w:t>
      </w:r>
    </w:p>
  </w:endnote>
  <w:endnote w:id="60">
    <w:p w:rsidR="00290662" w:rsidRDefault="00290662" w:rsidP="005A612A">
      <w:pPr>
        <w:pStyle w:val="EndnoteText"/>
        <w:tabs>
          <w:tab w:val="clear" w:pos="425"/>
          <w:tab w:val="left" w:pos="709"/>
        </w:tabs>
        <w:ind w:left="720" w:hanging="720"/>
        <w:rPr>
          <w:rFonts w:asciiTheme="minorHAnsi" w:hAnsiTheme="minorHAnsi"/>
          <w:szCs w:val="20"/>
        </w:rPr>
      </w:pPr>
      <w:r>
        <w:rPr>
          <w:rStyle w:val="EndnoteReference"/>
          <w:rFonts w:asciiTheme="minorHAnsi" w:hAnsiTheme="minorHAnsi"/>
          <w:szCs w:val="20"/>
        </w:rPr>
        <w:endnoteRef/>
      </w:r>
      <w:r>
        <w:rPr>
          <w:rFonts w:asciiTheme="minorHAnsi" w:hAnsiTheme="minorHAnsi"/>
          <w:szCs w:val="20"/>
        </w:rPr>
        <w:t xml:space="preserve"> </w:t>
      </w:r>
      <w:r>
        <w:rPr>
          <w:rFonts w:asciiTheme="minorHAnsi" w:hAnsiTheme="minorHAnsi"/>
          <w:szCs w:val="20"/>
        </w:rPr>
        <w:tab/>
        <w:t xml:space="preserve">ACDP, Six </w:t>
      </w:r>
      <w:r w:rsidRPr="00A907A2">
        <w:rPr>
          <w:rFonts w:asciiTheme="minorHAnsi" w:hAnsiTheme="minorHAnsi"/>
          <w:i/>
          <w:szCs w:val="20"/>
        </w:rPr>
        <w:t>Monthly Progress Report, Mid-2014, September 2014</w:t>
      </w:r>
      <w:r>
        <w:rPr>
          <w:rFonts w:asciiTheme="minorHAnsi" w:hAnsiTheme="minorHAnsi"/>
          <w:szCs w:val="20"/>
        </w:rPr>
        <w:t xml:space="preserve"> (Revision), p.1.</w:t>
      </w:r>
    </w:p>
  </w:endnote>
  <w:endnote w:id="61">
    <w:p w:rsidR="00290662" w:rsidRDefault="00290662" w:rsidP="005A612A">
      <w:pPr>
        <w:pStyle w:val="EndnoteText"/>
        <w:tabs>
          <w:tab w:val="clear" w:pos="425"/>
          <w:tab w:val="left" w:pos="709"/>
        </w:tabs>
        <w:ind w:left="720" w:hanging="720"/>
        <w:rPr>
          <w:rFonts w:asciiTheme="minorHAnsi" w:hAnsiTheme="minorHAnsi"/>
          <w:szCs w:val="20"/>
        </w:rPr>
      </w:pPr>
      <w:r>
        <w:rPr>
          <w:rStyle w:val="EndnoteReference"/>
          <w:rFonts w:asciiTheme="minorHAnsi" w:hAnsiTheme="minorHAnsi"/>
          <w:szCs w:val="20"/>
        </w:rPr>
        <w:endnoteRef/>
      </w:r>
      <w:r>
        <w:rPr>
          <w:rFonts w:asciiTheme="minorHAnsi" w:hAnsiTheme="minorHAnsi"/>
          <w:szCs w:val="20"/>
        </w:rPr>
        <w:t xml:space="preserve"> </w:t>
      </w:r>
      <w:r>
        <w:rPr>
          <w:rFonts w:asciiTheme="minorHAnsi" w:hAnsiTheme="minorHAnsi"/>
          <w:szCs w:val="20"/>
        </w:rPr>
        <w:tab/>
        <w:t>Education Sector – Analytical and Capacity Development Partnership Indonesia. Mid-term Review.</w:t>
      </w:r>
    </w:p>
  </w:endnote>
  <w:endnote w:id="62">
    <w:p w:rsidR="00290662" w:rsidRPr="001541EE" w:rsidRDefault="00290662" w:rsidP="005A612A">
      <w:pPr>
        <w:pStyle w:val="EndnoteText"/>
        <w:tabs>
          <w:tab w:val="clear" w:pos="425"/>
          <w:tab w:val="left" w:pos="709"/>
        </w:tabs>
        <w:ind w:left="720" w:hanging="720"/>
      </w:pPr>
      <w:r>
        <w:rPr>
          <w:rStyle w:val="EndnoteReference"/>
        </w:rPr>
        <w:endnoteRef/>
      </w:r>
      <w:r>
        <w:t xml:space="preserve"> </w:t>
      </w:r>
      <w:r>
        <w:tab/>
      </w:r>
      <w:r>
        <w:rPr>
          <w:rFonts w:asciiTheme="minorHAnsi" w:hAnsiTheme="minorHAnsi"/>
          <w:szCs w:val="20"/>
        </w:rPr>
        <w:t>ACDP,</w:t>
      </w:r>
      <w:r w:rsidRPr="00DF73D2">
        <w:rPr>
          <w:rFonts w:asciiTheme="minorHAnsi" w:hAnsiTheme="minorHAnsi"/>
          <w:szCs w:val="20"/>
        </w:rPr>
        <w:t xml:space="preserve"> </w:t>
      </w:r>
      <w:r w:rsidRPr="00A907A2">
        <w:rPr>
          <w:rFonts w:asciiTheme="minorHAnsi" w:hAnsiTheme="minorHAnsi"/>
          <w:i/>
          <w:szCs w:val="20"/>
        </w:rPr>
        <w:t>Six Monthly Progress Report, Mid 2015</w:t>
      </w:r>
      <w:r w:rsidRPr="00DF73D2">
        <w:rPr>
          <w:rFonts w:asciiTheme="minorHAnsi" w:hAnsiTheme="minorHAnsi"/>
          <w:szCs w:val="20"/>
        </w:rPr>
        <w:t>,</w:t>
      </w:r>
      <w:r>
        <w:rPr>
          <w:rFonts w:asciiTheme="minorHAnsi" w:hAnsiTheme="minorHAnsi"/>
          <w:szCs w:val="20"/>
        </w:rPr>
        <w:t xml:space="preserve"> 12 August 2015, p.68</w:t>
      </w:r>
      <w:r w:rsidRPr="00DF73D2">
        <w:rPr>
          <w:rFonts w:asciiTheme="minorHAnsi" w:hAnsiTheme="minorHAnsi"/>
          <w:szCs w:val="20"/>
        </w:rPr>
        <w:t>.</w:t>
      </w:r>
    </w:p>
  </w:endnote>
  <w:endnote w:id="63">
    <w:p w:rsidR="00290662" w:rsidRPr="008640D0" w:rsidRDefault="00290662" w:rsidP="005A612A">
      <w:pPr>
        <w:pStyle w:val="EndnoteText"/>
        <w:tabs>
          <w:tab w:val="clear" w:pos="425"/>
          <w:tab w:val="left" w:pos="709"/>
        </w:tabs>
        <w:ind w:left="720" w:hanging="720"/>
      </w:pPr>
      <w:r>
        <w:rPr>
          <w:rStyle w:val="EndnoteReference"/>
        </w:rPr>
        <w:endnoteRef/>
      </w:r>
      <w:r>
        <w:t xml:space="preserve"> </w:t>
      </w:r>
      <w:r>
        <w:tab/>
      </w:r>
      <w:r>
        <w:rPr>
          <w:rFonts w:asciiTheme="minorHAnsi" w:hAnsiTheme="minorHAnsi"/>
          <w:szCs w:val="20"/>
        </w:rPr>
        <w:t>ACDP,</w:t>
      </w:r>
      <w:r w:rsidRPr="00DF73D2">
        <w:rPr>
          <w:rFonts w:asciiTheme="minorHAnsi" w:hAnsiTheme="minorHAnsi"/>
          <w:szCs w:val="20"/>
        </w:rPr>
        <w:t xml:space="preserve"> </w:t>
      </w:r>
      <w:r w:rsidRPr="00A907A2">
        <w:rPr>
          <w:rFonts w:asciiTheme="minorHAnsi" w:hAnsiTheme="minorHAnsi"/>
          <w:i/>
          <w:szCs w:val="20"/>
        </w:rPr>
        <w:t>Six Monthly Progress Report, Mid 2015</w:t>
      </w:r>
      <w:r w:rsidRPr="00DF73D2">
        <w:rPr>
          <w:rFonts w:asciiTheme="minorHAnsi" w:hAnsiTheme="minorHAnsi"/>
          <w:szCs w:val="20"/>
        </w:rPr>
        <w:t>,</w:t>
      </w:r>
      <w:r>
        <w:rPr>
          <w:rFonts w:asciiTheme="minorHAnsi" w:hAnsiTheme="minorHAnsi"/>
          <w:szCs w:val="20"/>
        </w:rPr>
        <w:t xml:space="preserve"> 12 August 2015, p.68</w:t>
      </w:r>
      <w:r w:rsidRPr="00DF73D2">
        <w:rPr>
          <w:rFonts w:asciiTheme="minorHAnsi" w:hAnsiTheme="minorHAnsi"/>
          <w:szCs w:val="20"/>
        </w:rPr>
        <w:t>.</w:t>
      </w:r>
    </w:p>
  </w:endnote>
  <w:endnote w:id="64">
    <w:p w:rsidR="00290662" w:rsidRPr="00F724CB" w:rsidRDefault="00290662" w:rsidP="005A612A">
      <w:pPr>
        <w:pStyle w:val="EndnoteText"/>
        <w:tabs>
          <w:tab w:val="clear" w:pos="425"/>
          <w:tab w:val="left" w:pos="709"/>
        </w:tabs>
        <w:ind w:left="720" w:hanging="720"/>
      </w:pPr>
      <w:r>
        <w:rPr>
          <w:rStyle w:val="EndnoteReference"/>
        </w:rPr>
        <w:endnoteRef/>
      </w:r>
      <w:r>
        <w:t xml:space="preserve"> </w:t>
      </w:r>
      <w:r>
        <w:tab/>
      </w:r>
      <w:r w:rsidRPr="00F724CB">
        <w:t xml:space="preserve">Minutes of the ATOG Meeting, </w:t>
      </w:r>
      <w:r>
        <w:t xml:space="preserve">18 March 2015 </w:t>
      </w:r>
      <w:r w:rsidRPr="00F724CB">
        <w:t>(</w:t>
      </w:r>
      <w:r>
        <w:t>Sarah Lendon</w:t>
      </w:r>
      <w:r w:rsidRPr="00F724CB">
        <w:t>)</w:t>
      </w:r>
      <w:r>
        <w:t>.</w:t>
      </w:r>
    </w:p>
  </w:endnote>
  <w:endnote w:id="65">
    <w:p w:rsidR="00290662" w:rsidRPr="008640D0" w:rsidRDefault="00290662" w:rsidP="005A612A">
      <w:pPr>
        <w:pStyle w:val="EndnoteText"/>
        <w:tabs>
          <w:tab w:val="clear" w:pos="425"/>
          <w:tab w:val="left" w:pos="709"/>
        </w:tabs>
        <w:ind w:left="720" w:hanging="720"/>
      </w:pPr>
      <w:r>
        <w:rPr>
          <w:rStyle w:val="EndnoteReference"/>
        </w:rPr>
        <w:endnoteRef/>
      </w:r>
      <w:r>
        <w:t xml:space="preserve"> </w:t>
      </w:r>
      <w:r>
        <w:tab/>
      </w:r>
      <w:r w:rsidRPr="00DF73D2">
        <w:rPr>
          <w:rFonts w:asciiTheme="minorHAnsi" w:hAnsiTheme="minorHAnsi"/>
          <w:szCs w:val="20"/>
        </w:rPr>
        <w:t>ACDP</w:t>
      </w:r>
      <w:r>
        <w:rPr>
          <w:rFonts w:asciiTheme="minorHAnsi" w:hAnsiTheme="minorHAnsi"/>
          <w:szCs w:val="20"/>
        </w:rPr>
        <w:t>,</w:t>
      </w:r>
      <w:r w:rsidRPr="00DF73D2">
        <w:rPr>
          <w:rFonts w:asciiTheme="minorHAnsi" w:hAnsiTheme="minorHAnsi"/>
          <w:szCs w:val="20"/>
        </w:rPr>
        <w:t xml:space="preserve"> </w:t>
      </w:r>
      <w:r w:rsidRPr="00A907A2">
        <w:rPr>
          <w:rFonts w:asciiTheme="minorHAnsi" w:hAnsiTheme="minorHAnsi"/>
          <w:i/>
          <w:szCs w:val="20"/>
        </w:rPr>
        <w:t>Six Monthly Progress Report, Mid 2015</w:t>
      </w:r>
      <w:r w:rsidRPr="00DF73D2">
        <w:rPr>
          <w:rFonts w:asciiTheme="minorHAnsi" w:hAnsiTheme="minorHAnsi"/>
          <w:szCs w:val="20"/>
        </w:rPr>
        <w:t>,</w:t>
      </w:r>
      <w:r>
        <w:rPr>
          <w:rFonts w:asciiTheme="minorHAnsi" w:hAnsiTheme="minorHAnsi"/>
          <w:szCs w:val="20"/>
        </w:rPr>
        <w:t xml:space="preserve"> 12 August 2015, p.68</w:t>
      </w:r>
      <w:r w:rsidRPr="00DF73D2">
        <w:rPr>
          <w:rFonts w:asciiTheme="minorHAnsi" w:hAnsiTheme="minorHAnsi"/>
          <w:szCs w:val="20"/>
        </w:rPr>
        <w:t>.</w:t>
      </w:r>
    </w:p>
  </w:endnote>
  <w:endnote w:id="66">
    <w:p w:rsidR="00290662" w:rsidRPr="008640D0" w:rsidRDefault="00290662" w:rsidP="005A612A">
      <w:pPr>
        <w:pStyle w:val="EndnoteText"/>
        <w:tabs>
          <w:tab w:val="clear" w:pos="425"/>
          <w:tab w:val="left" w:pos="709"/>
        </w:tabs>
        <w:ind w:left="720" w:hanging="720"/>
      </w:pPr>
      <w:r>
        <w:rPr>
          <w:rStyle w:val="EndnoteReference"/>
        </w:rPr>
        <w:endnoteRef/>
      </w:r>
      <w:r>
        <w:t xml:space="preserve"> </w:t>
      </w:r>
      <w:r>
        <w:tab/>
      </w:r>
      <w:r>
        <w:rPr>
          <w:rFonts w:asciiTheme="minorHAnsi" w:hAnsiTheme="minorHAnsi"/>
          <w:szCs w:val="20"/>
        </w:rPr>
        <w:t>ACDP,</w:t>
      </w:r>
      <w:r w:rsidRPr="00DF73D2">
        <w:rPr>
          <w:rFonts w:asciiTheme="minorHAnsi" w:hAnsiTheme="minorHAnsi"/>
          <w:szCs w:val="20"/>
        </w:rPr>
        <w:t xml:space="preserve"> </w:t>
      </w:r>
      <w:r w:rsidRPr="00A907A2">
        <w:rPr>
          <w:rFonts w:asciiTheme="minorHAnsi" w:hAnsiTheme="minorHAnsi"/>
          <w:i/>
          <w:szCs w:val="20"/>
        </w:rPr>
        <w:t>Six Monthly Progress Report, Mid 2015</w:t>
      </w:r>
      <w:r w:rsidRPr="00DF73D2">
        <w:rPr>
          <w:rFonts w:asciiTheme="minorHAnsi" w:hAnsiTheme="minorHAnsi"/>
          <w:szCs w:val="20"/>
        </w:rPr>
        <w:t>,</w:t>
      </w:r>
      <w:r>
        <w:rPr>
          <w:rFonts w:asciiTheme="minorHAnsi" w:hAnsiTheme="minorHAnsi"/>
          <w:szCs w:val="20"/>
        </w:rPr>
        <w:t xml:space="preserve"> 12 August 2015, p.68</w:t>
      </w:r>
      <w:r w:rsidRPr="00DF73D2">
        <w:rPr>
          <w:rFonts w:asciiTheme="minorHAnsi" w:hAnsiTheme="minorHAnsi"/>
          <w:szCs w:val="20"/>
        </w:rPr>
        <w:t>.</w:t>
      </w:r>
    </w:p>
  </w:endnote>
  <w:endnote w:id="67">
    <w:p w:rsidR="00290662" w:rsidRPr="00F724CB" w:rsidRDefault="00290662" w:rsidP="005A612A">
      <w:pPr>
        <w:pStyle w:val="EndnoteText"/>
        <w:tabs>
          <w:tab w:val="clear" w:pos="425"/>
          <w:tab w:val="left" w:pos="709"/>
        </w:tabs>
        <w:ind w:left="720" w:hanging="720"/>
      </w:pPr>
      <w:r>
        <w:rPr>
          <w:rStyle w:val="EndnoteReference"/>
        </w:rPr>
        <w:endnoteRef/>
      </w:r>
      <w:r>
        <w:t xml:space="preserve"> </w:t>
      </w:r>
      <w:r>
        <w:tab/>
      </w:r>
      <w:r w:rsidRPr="008E2B52">
        <w:rPr>
          <w:rFonts w:asciiTheme="minorHAnsi" w:hAnsiTheme="minorHAnsi"/>
          <w:szCs w:val="20"/>
        </w:rPr>
        <w:t xml:space="preserve">Interview with </w:t>
      </w:r>
      <w:r>
        <w:rPr>
          <w:rFonts w:asciiTheme="minorHAnsi" w:hAnsiTheme="minorHAnsi"/>
          <w:szCs w:val="20"/>
        </w:rPr>
        <w:t>DFAT staff member, February 2016</w:t>
      </w:r>
      <w:r w:rsidRPr="008E2B52">
        <w:rPr>
          <w:rFonts w:asciiTheme="minorHAnsi" w:hAnsiTheme="minorHAnsi"/>
          <w:szCs w:val="20"/>
        </w:rPr>
        <w:t>.</w:t>
      </w:r>
    </w:p>
  </w:endnote>
  <w:endnote w:id="68">
    <w:p w:rsidR="00290662" w:rsidRPr="000A6E42" w:rsidRDefault="00290662" w:rsidP="005A612A">
      <w:pPr>
        <w:pStyle w:val="EndnoteText"/>
        <w:tabs>
          <w:tab w:val="clear" w:pos="425"/>
          <w:tab w:val="left" w:pos="709"/>
        </w:tabs>
        <w:ind w:left="720" w:hanging="720"/>
      </w:pPr>
      <w:r>
        <w:rPr>
          <w:rStyle w:val="EndnoteReference"/>
        </w:rPr>
        <w:endnoteRef/>
      </w:r>
      <w:r>
        <w:t xml:space="preserve"> </w:t>
      </w:r>
      <w:r>
        <w:tab/>
      </w:r>
      <w:r w:rsidRPr="000A6E42">
        <w:t>Interview</w:t>
      </w:r>
      <w:r>
        <w:t>s</w:t>
      </w:r>
      <w:r w:rsidRPr="000A6E42">
        <w:t xml:space="preserve"> with </w:t>
      </w:r>
      <w:r>
        <w:t xml:space="preserve">two </w:t>
      </w:r>
      <w:r w:rsidRPr="000A6E42">
        <w:t>DFAT staff member</w:t>
      </w:r>
      <w:r>
        <w:t>s</w:t>
      </w:r>
      <w:r w:rsidRPr="000A6E42">
        <w:t>, February 2016</w:t>
      </w:r>
      <w:r>
        <w:t>.</w:t>
      </w:r>
    </w:p>
  </w:endnote>
  <w:endnote w:id="69">
    <w:p w:rsidR="00290662" w:rsidRPr="00CE744B" w:rsidRDefault="00290662" w:rsidP="005A612A">
      <w:pPr>
        <w:pStyle w:val="EndnoteText"/>
        <w:tabs>
          <w:tab w:val="clear" w:pos="425"/>
          <w:tab w:val="left" w:pos="709"/>
        </w:tabs>
        <w:ind w:left="720" w:hanging="720"/>
      </w:pPr>
      <w:r>
        <w:rPr>
          <w:rStyle w:val="EndnoteReference"/>
        </w:rPr>
        <w:endnoteRef/>
      </w:r>
      <w:r>
        <w:t xml:space="preserve"> </w:t>
      </w:r>
      <w:r>
        <w:tab/>
      </w:r>
      <w:r w:rsidRPr="008E2B52">
        <w:rPr>
          <w:rFonts w:asciiTheme="minorHAnsi" w:hAnsiTheme="minorHAnsi"/>
          <w:szCs w:val="20"/>
        </w:rPr>
        <w:t xml:space="preserve">Interview with </w:t>
      </w:r>
      <w:r>
        <w:rPr>
          <w:rFonts w:asciiTheme="minorHAnsi" w:hAnsiTheme="minorHAnsi"/>
          <w:szCs w:val="20"/>
        </w:rPr>
        <w:t>an ATOG Co-chair, 12 February 2016.</w:t>
      </w:r>
    </w:p>
  </w:endnote>
  <w:endnote w:id="70">
    <w:p w:rsidR="00290662" w:rsidRPr="008E2B52" w:rsidRDefault="00290662" w:rsidP="005A612A">
      <w:pPr>
        <w:pStyle w:val="EndnoteText"/>
        <w:tabs>
          <w:tab w:val="clear" w:pos="425"/>
          <w:tab w:val="left" w:pos="709"/>
        </w:tabs>
        <w:ind w:left="720" w:hanging="720"/>
        <w:rPr>
          <w:rFonts w:asciiTheme="minorHAnsi" w:hAnsiTheme="minorHAnsi"/>
          <w:szCs w:val="20"/>
        </w:rPr>
      </w:pPr>
      <w:r w:rsidRPr="008E2B52">
        <w:rPr>
          <w:rStyle w:val="EndnoteReference"/>
          <w:rFonts w:asciiTheme="minorHAnsi" w:hAnsiTheme="minorHAnsi"/>
          <w:szCs w:val="20"/>
        </w:rPr>
        <w:endnoteRef/>
      </w:r>
      <w:r w:rsidRPr="008E2B52">
        <w:rPr>
          <w:rFonts w:asciiTheme="minorHAnsi" w:hAnsiTheme="minorHAnsi"/>
          <w:szCs w:val="20"/>
        </w:rPr>
        <w:t xml:space="preserve"> </w:t>
      </w:r>
      <w:r w:rsidRPr="008E2B52">
        <w:rPr>
          <w:rFonts w:asciiTheme="minorHAnsi" w:hAnsiTheme="minorHAnsi"/>
          <w:szCs w:val="20"/>
        </w:rPr>
        <w:tab/>
      </w:r>
      <w:r>
        <w:rPr>
          <w:rFonts w:asciiTheme="minorHAnsi" w:hAnsiTheme="minorHAnsi"/>
          <w:szCs w:val="20"/>
        </w:rPr>
        <w:t xml:space="preserve">Email from </w:t>
      </w:r>
      <w:r w:rsidRPr="008E2B52">
        <w:rPr>
          <w:rFonts w:asciiTheme="minorHAnsi" w:hAnsiTheme="minorHAnsi"/>
          <w:szCs w:val="20"/>
        </w:rPr>
        <w:t>John Virtue</w:t>
      </w:r>
      <w:r>
        <w:rPr>
          <w:rFonts w:asciiTheme="minorHAnsi" w:hAnsiTheme="minorHAnsi"/>
          <w:szCs w:val="20"/>
        </w:rPr>
        <w:t xml:space="preserve"> (ACDP)</w:t>
      </w:r>
      <w:r w:rsidRPr="008E2B52">
        <w:rPr>
          <w:rFonts w:asciiTheme="minorHAnsi" w:hAnsiTheme="minorHAnsi"/>
          <w:szCs w:val="20"/>
        </w:rPr>
        <w:t xml:space="preserve">, </w:t>
      </w:r>
      <w:r>
        <w:rPr>
          <w:rFonts w:asciiTheme="minorHAnsi" w:hAnsiTheme="minorHAnsi"/>
          <w:szCs w:val="20"/>
        </w:rPr>
        <w:t>04 March 2015</w:t>
      </w:r>
      <w:r w:rsidRPr="008E2B52">
        <w:rPr>
          <w:rFonts w:asciiTheme="minorHAnsi" w:hAnsiTheme="minorHAnsi"/>
          <w:szCs w:val="20"/>
        </w:rPr>
        <w:t>.</w:t>
      </w:r>
    </w:p>
  </w:endnote>
  <w:endnote w:id="71">
    <w:p w:rsidR="00290662" w:rsidRPr="00004B39" w:rsidRDefault="00290662" w:rsidP="005A612A">
      <w:pPr>
        <w:pStyle w:val="EndnoteText"/>
        <w:tabs>
          <w:tab w:val="clear" w:pos="425"/>
          <w:tab w:val="left" w:pos="709"/>
        </w:tabs>
        <w:ind w:left="720" w:hanging="720"/>
      </w:pPr>
      <w:r>
        <w:rPr>
          <w:rStyle w:val="EndnoteReference"/>
        </w:rPr>
        <w:endnoteRef/>
      </w:r>
      <w:r>
        <w:t xml:space="preserve"> </w:t>
      </w:r>
      <w:r>
        <w:tab/>
      </w:r>
      <w:r>
        <w:rPr>
          <w:rFonts w:asciiTheme="minorHAnsi" w:hAnsiTheme="minorHAnsi"/>
          <w:szCs w:val="20"/>
        </w:rPr>
        <w:t>ACDP,</w:t>
      </w:r>
      <w:r w:rsidRPr="00DF73D2">
        <w:rPr>
          <w:rFonts w:asciiTheme="minorHAnsi" w:hAnsiTheme="minorHAnsi"/>
          <w:szCs w:val="20"/>
        </w:rPr>
        <w:t xml:space="preserve"> </w:t>
      </w:r>
      <w:r w:rsidRPr="00A907A2">
        <w:rPr>
          <w:rFonts w:asciiTheme="minorHAnsi" w:hAnsiTheme="minorHAnsi"/>
          <w:i/>
          <w:szCs w:val="20"/>
        </w:rPr>
        <w:t>Six Monthly Progress Report, Mid 2015</w:t>
      </w:r>
      <w:r w:rsidRPr="00DF73D2">
        <w:rPr>
          <w:rFonts w:asciiTheme="minorHAnsi" w:hAnsiTheme="minorHAnsi"/>
          <w:szCs w:val="20"/>
        </w:rPr>
        <w:t>,</w:t>
      </w:r>
      <w:r>
        <w:rPr>
          <w:rFonts w:asciiTheme="minorHAnsi" w:hAnsiTheme="minorHAnsi"/>
          <w:szCs w:val="20"/>
        </w:rPr>
        <w:t xml:space="preserve"> 12 August 2015, p.33-34</w:t>
      </w:r>
      <w:r w:rsidRPr="00DF73D2">
        <w:rPr>
          <w:rFonts w:asciiTheme="minorHAnsi" w:hAnsiTheme="minorHAnsi"/>
          <w:szCs w:val="20"/>
        </w:rPr>
        <w:t>.</w:t>
      </w:r>
    </w:p>
  </w:endnote>
  <w:endnote w:id="72">
    <w:p w:rsidR="00290662" w:rsidRPr="008A3634" w:rsidRDefault="00290662" w:rsidP="005A612A">
      <w:pPr>
        <w:pStyle w:val="EndnoteText"/>
        <w:tabs>
          <w:tab w:val="clear" w:pos="425"/>
          <w:tab w:val="left" w:pos="709"/>
        </w:tabs>
        <w:ind w:left="720" w:hanging="720"/>
      </w:pPr>
      <w:r>
        <w:rPr>
          <w:rStyle w:val="EndnoteReference"/>
        </w:rPr>
        <w:endnoteRef/>
      </w:r>
      <w:r>
        <w:t xml:space="preserve"> </w:t>
      </w:r>
      <w:r>
        <w:tab/>
      </w:r>
      <w:r>
        <w:rPr>
          <w:rFonts w:asciiTheme="minorHAnsi" w:hAnsiTheme="minorHAnsi"/>
          <w:szCs w:val="20"/>
        </w:rPr>
        <w:t>ACDP,</w:t>
      </w:r>
      <w:r w:rsidRPr="00DF73D2">
        <w:rPr>
          <w:rFonts w:asciiTheme="minorHAnsi" w:hAnsiTheme="minorHAnsi"/>
          <w:szCs w:val="20"/>
        </w:rPr>
        <w:t xml:space="preserve"> </w:t>
      </w:r>
      <w:r w:rsidRPr="00A907A2">
        <w:rPr>
          <w:rFonts w:asciiTheme="minorHAnsi" w:hAnsiTheme="minorHAnsi"/>
          <w:i/>
          <w:szCs w:val="20"/>
        </w:rPr>
        <w:t>Six Monthly Progress Report, Mid 2015</w:t>
      </w:r>
      <w:r w:rsidRPr="00DF73D2">
        <w:rPr>
          <w:rFonts w:asciiTheme="minorHAnsi" w:hAnsiTheme="minorHAnsi"/>
          <w:szCs w:val="20"/>
        </w:rPr>
        <w:t>,</w:t>
      </w:r>
      <w:r>
        <w:rPr>
          <w:rFonts w:asciiTheme="minorHAnsi" w:hAnsiTheme="minorHAnsi"/>
          <w:szCs w:val="20"/>
        </w:rPr>
        <w:t xml:space="preserve"> 12 August 2015, p.54-55</w:t>
      </w:r>
      <w:r w:rsidRPr="00DF73D2">
        <w:rPr>
          <w:rFonts w:asciiTheme="minorHAnsi" w:hAnsiTheme="minorHAnsi"/>
          <w:szCs w:val="20"/>
        </w:rPr>
        <w:t>.</w:t>
      </w:r>
    </w:p>
  </w:endnote>
  <w:endnote w:id="73">
    <w:p w:rsidR="00290662" w:rsidRPr="008A3634" w:rsidRDefault="00290662" w:rsidP="005A612A">
      <w:pPr>
        <w:pStyle w:val="EndnoteText"/>
        <w:tabs>
          <w:tab w:val="clear" w:pos="425"/>
          <w:tab w:val="left" w:pos="709"/>
        </w:tabs>
        <w:ind w:left="720" w:hanging="720"/>
      </w:pPr>
      <w:r>
        <w:rPr>
          <w:rStyle w:val="EndnoteReference"/>
        </w:rPr>
        <w:endnoteRef/>
      </w:r>
      <w:r>
        <w:t xml:space="preserve"> </w:t>
      </w:r>
      <w:r>
        <w:tab/>
      </w:r>
      <w:r>
        <w:rPr>
          <w:rFonts w:asciiTheme="minorHAnsi" w:hAnsiTheme="minorHAnsi"/>
          <w:szCs w:val="20"/>
        </w:rPr>
        <w:t>ACDP,</w:t>
      </w:r>
      <w:r w:rsidRPr="00DF73D2">
        <w:rPr>
          <w:rFonts w:asciiTheme="minorHAnsi" w:hAnsiTheme="minorHAnsi"/>
          <w:szCs w:val="20"/>
        </w:rPr>
        <w:t xml:space="preserve"> </w:t>
      </w:r>
      <w:r w:rsidRPr="00A907A2">
        <w:rPr>
          <w:rFonts w:asciiTheme="minorHAnsi" w:hAnsiTheme="minorHAnsi"/>
          <w:i/>
          <w:szCs w:val="20"/>
        </w:rPr>
        <w:t>Six Monthly Progress Report, Mid 2015</w:t>
      </w:r>
      <w:r w:rsidRPr="00DF73D2">
        <w:rPr>
          <w:rFonts w:asciiTheme="minorHAnsi" w:hAnsiTheme="minorHAnsi"/>
          <w:szCs w:val="20"/>
        </w:rPr>
        <w:t>,</w:t>
      </w:r>
      <w:r>
        <w:rPr>
          <w:rFonts w:asciiTheme="minorHAnsi" w:hAnsiTheme="minorHAnsi"/>
          <w:szCs w:val="20"/>
        </w:rPr>
        <w:t xml:space="preserve"> 12 August 2015, p.36-37</w:t>
      </w:r>
      <w:r w:rsidRPr="00DF73D2">
        <w:rPr>
          <w:rFonts w:asciiTheme="minorHAnsi" w:hAnsiTheme="minorHAnsi"/>
          <w:szCs w:val="20"/>
        </w:rPr>
        <w:t>.</w:t>
      </w:r>
    </w:p>
  </w:endnote>
  <w:endnote w:id="74">
    <w:p w:rsidR="00290662" w:rsidRPr="008A3634" w:rsidRDefault="00290662" w:rsidP="005A612A">
      <w:pPr>
        <w:pStyle w:val="EndnoteText"/>
        <w:tabs>
          <w:tab w:val="clear" w:pos="425"/>
          <w:tab w:val="left" w:pos="709"/>
        </w:tabs>
        <w:ind w:left="720" w:hanging="720"/>
      </w:pPr>
      <w:r>
        <w:rPr>
          <w:rStyle w:val="EndnoteReference"/>
        </w:rPr>
        <w:endnoteRef/>
      </w:r>
      <w:r>
        <w:t xml:space="preserve"> </w:t>
      </w:r>
      <w:r>
        <w:tab/>
      </w:r>
      <w:r>
        <w:rPr>
          <w:rFonts w:asciiTheme="minorHAnsi" w:hAnsiTheme="minorHAnsi"/>
          <w:szCs w:val="20"/>
        </w:rPr>
        <w:t>ACDP,</w:t>
      </w:r>
      <w:r w:rsidRPr="00DF73D2">
        <w:rPr>
          <w:rFonts w:asciiTheme="minorHAnsi" w:hAnsiTheme="minorHAnsi"/>
          <w:szCs w:val="20"/>
        </w:rPr>
        <w:t xml:space="preserve"> </w:t>
      </w:r>
      <w:r w:rsidRPr="00A907A2">
        <w:rPr>
          <w:rFonts w:asciiTheme="minorHAnsi" w:hAnsiTheme="minorHAnsi"/>
          <w:i/>
          <w:szCs w:val="20"/>
        </w:rPr>
        <w:t>Six Monthly Progress Report, Mid 2015</w:t>
      </w:r>
      <w:r w:rsidRPr="00DF73D2">
        <w:rPr>
          <w:rFonts w:asciiTheme="minorHAnsi" w:hAnsiTheme="minorHAnsi"/>
          <w:szCs w:val="20"/>
        </w:rPr>
        <w:t>,</w:t>
      </w:r>
      <w:r>
        <w:rPr>
          <w:rFonts w:asciiTheme="minorHAnsi" w:hAnsiTheme="minorHAnsi"/>
          <w:szCs w:val="20"/>
        </w:rPr>
        <w:t xml:space="preserve"> 12 August 2015, p.36-37</w:t>
      </w:r>
      <w:r w:rsidRPr="00DF73D2">
        <w:rPr>
          <w:rFonts w:asciiTheme="minorHAnsi" w:hAnsiTheme="minorHAnsi"/>
          <w:szCs w:val="20"/>
        </w:rPr>
        <w:t>.</w:t>
      </w:r>
    </w:p>
  </w:endnote>
  <w:endnote w:id="75">
    <w:p w:rsidR="00290662" w:rsidRPr="00FB7560" w:rsidRDefault="00290662" w:rsidP="005A612A">
      <w:pPr>
        <w:pStyle w:val="EndnoteText"/>
        <w:tabs>
          <w:tab w:val="clear" w:pos="425"/>
          <w:tab w:val="left" w:pos="709"/>
        </w:tabs>
        <w:ind w:left="720" w:hanging="720"/>
      </w:pPr>
      <w:r>
        <w:rPr>
          <w:rStyle w:val="EndnoteReference"/>
        </w:rPr>
        <w:endnoteRef/>
      </w:r>
      <w:r>
        <w:t xml:space="preserve"> </w:t>
      </w:r>
      <w:r>
        <w:tab/>
        <w:t xml:space="preserve">Emails from </w:t>
      </w:r>
      <w:r w:rsidRPr="00FB7560">
        <w:t>Daniella Situmorang</w:t>
      </w:r>
      <w:r>
        <w:t xml:space="preserve"> Subject</w:t>
      </w:r>
      <w:r w:rsidRPr="006369D7">
        <w:rPr>
          <w:rFonts w:asciiTheme="minorHAnsi" w:hAnsiTheme="minorHAnsi"/>
        </w:rPr>
        <w:t xml:space="preserve">: </w:t>
      </w:r>
      <w:r w:rsidRPr="00A907A2">
        <w:rPr>
          <w:rFonts w:asciiTheme="minorHAnsi" w:hAnsiTheme="minorHAnsi" w:cs="Tahoma"/>
          <w:i/>
          <w:szCs w:val="20"/>
          <w:lang w:val="en-US"/>
        </w:rPr>
        <w:t>Questions Re. ACDP Kopi Darat</w:t>
      </w:r>
      <w:r w:rsidRPr="006369D7">
        <w:rPr>
          <w:rFonts w:asciiTheme="minorHAnsi" w:hAnsiTheme="minorHAnsi"/>
        </w:rPr>
        <w:t xml:space="preserve">, </w:t>
      </w:r>
      <w:r>
        <w:t>22 and 23 February 2016.</w:t>
      </w:r>
    </w:p>
  </w:endnote>
  <w:endnote w:id="76">
    <w:p w:rsidR="00290662" w:rsidRPr="007258F6" w:rsidRDefault="00290662" w:rsidP="005A612A">
      <w:pPr>
        <w:pStyle w:val="EndnoteText"/>
        <w:tabs>
          <w:tab w:val="clear" w:pos="425"/>
          <w:tab w:val="left" w:pos="709"/>
        </w:tabs>
        <w:ind w:left="720" w:hanging="720"/>
      </w:pPr>
      <w:r>
        <w:rPr>
          <w:rStyle w:val="EndnoteReference"/>
        </w:rPr>
        <w:endnoteRef/>
      </w:r>
      <w:r>
        <w:t xml:space="preserve"> </w:t>
      </w:r>
      <w:r>
        <w:tab/>
      </w:r>
      <w:r>
        <w:rPr>
          <w:rFonts w:asciiTheme="minorHAnsi" w:hAnsiTheme="minorHAnsi"/>
          <w:szCs w:val="20"/>
        </w:rPr>
        <w:t xml:space="preserve">ACDP, </w:t>
      </w:r>
      <w:r w:rsidRPr="00A907A2">
        <w:rPr>
          <w:rFonts w:asciiTheme="minorHAnsi" w:hAnsiTheme="minorHAnsi"/>
          <w:i/>
          <w:szCs w:val="20"/>
        </w:rPr>
        <w:t>Six Monthly Progress Report, Mid 2015</w:t>
      </w:r>
      <w:r w:rsidRPr="00DF73D2">
        <w:rPr>
          <w:rFonts w:asciiTheme="minorHAnsi" w:hAnsiTheme="minorHAnsi"/>
          <w:szCs w:val="20"/>
        </w:rPr>
        <w:t>,</w:t>
      </w:r>
      <w:r>
        <w:rPr>
          <w:rFonts w:asciiTheme="minorHAnsi" w:hAnsiTheme="minorHAnsi"/>
          <w:szCs w:val="20"/>
        </w:rPr>
        <w:t xml:space="preserve"> 12 August 2015, p.31.</w:t>
      </w:r>
    </w:p>
  </w:endnote>
  <w:endnote w:id="77">
    <w:p w:rsidR="00290662" w:rsidRPr="007258F6" w:rsidRDefault="00290662" w:rsidP="005A612A">
      <w:pPr>
        <w:pStyle w:val="EndnoteText"/>
        <w:tabs>
          <w:tab w:val="clear" w:pos="425"/>
          <w:tab w:val="left" w:pos="709"/>
        </w:tabs>
        <w:ind w:left="720" w:hanging="720"/>
      </w:pPr>
      <w:r>
        <w:rPr>
          <w:rStyle w:val="EndnoteReference"/>
        </w:rPr>
        <w:endnoteRef/>
      </w:r>
      <w:r>
        <w:t xml:space="preserve"> </w:t>
      </w:r>
      <w:r>
        <w:tab/>
      </w:r>
      <w:r>
        <w:rPr>
          <w:rFonts w:asciiTheme="minorHAnsi" w:hAnsiTheme="minorHAnsi"/>
          <w:szCs w:val="20"/>
        </w:rPr>
        <w:t>ACDP,</w:t>
      </w:r>
      <w:r w:rsidRPr="00DF73D2">
        <w:rPr>
          <w:rFonts w:asciiTheme="minorHAnsi" w:hAnsiTheme="minorHAnsi"/>
          <w:szCs w:val="20"/>
        </w:rPr>
        <w:t xml:space="preserve"> </w:t>
      </w:r>
      <w:r w:rsidRPr="00A907A2">
        <w:rPr>
          <w:rFonts w:asciiTheme="minorHAnsi" w:hAnsiTheme="minorHAnsi"/>
          <w:i/>
          <w:szCs w:val="20"/>
        </w:rPr>
        <w:t>Six Monthly Progress Report, Mid 2015</w:t>
      </w:r>
      <w:r w:rsidRPr="00DF73D2">
        <w:rPr>
          <w:rFonts w:asciiTheme="minorHAnsi" w:hAnsiTheme="minorHAnsi"/>
          <w:szCs w:val="20"/>
        </w:rPr>
        <w:t>,</w:t>
      </w:r>
      <w:r>
        <w:rPr>
          <w:rFonts w:asciiTheme="minorHAnsi" w:hAnsiTheme="minorHAnsi"/>
          <w:szCs w:val="20"/>
        </w:rPr>
        <w:t xml:space="preserve"> 12 August 2015, p.33 and p.55 respectively.</w:t>
      </w:r>
    </w:p>
  </w:endnote>
  <w:endnote w:id="78">
    <w:p w:rsidR="00290662" w:rsidRPr="008B572B" w:rsidRDefault="00290662" w:rsidP="005A612A">
      <w:pPr>
        <w:pStyle w:val="EndnoteText"/>
        <w:tabs>
          <w:tab w:val="clear" w:pos="425"/>
          <w:tab w:val="left" w:pos="709"/>
        </w:tabs>
        <w:ind w:left="720" w:hanging="720"/>
      </w:pPr>
      <w:r>
        <w:rPr>
          <w:rStyle w:val="EndnoteReference"/>
        </w:rPr>
        <w:endnoteRef/>
      </w:r>
      <w:r>
        <w:t xml:space="preserve"> </w:t>
      </w:r>
      <w:r>
        <w:tab/>
      </w:r>
      <w:r>
        <w:rPr>
          <w:rFonts w:asciiTheme="minorHAnsi" w:hAnsiTheme="minorHAnsi"/>
          <w:szCs w:val="20"/>
        </w:rPr>
        <w:t>Education</w:t>
      </w:r>
      <w:r w:rsidRPr="008E2B52">
        <w:rPr>
          <w:rFonts w:asciiTheme="minorHAnsi" w:hAnsiTheme="minorHAnsi"/>
          <w:szCs w:val="20"/>
        </w:rPr>
        <w:t xml:space="preserve"> Sector – Analytical and Capacity Development Partnership Indonesia. Mid-term Review</w:t>
      </w:r>
      <w:r>
        <w:rPr>
          <w:rFonts w:asciiTheme="minorHAnsi" w:hAnsiTheme="minorHAnsi"/>
          <w:szCs w:val="20"/>
        </w:rPr>
        <w:t>, p33.</w:t>
      </w:r>
    </w:p>
  </w:endnote>
  <w:endnote w:id="79">
    <w:p w:rsidR="00290662" w:rsidRPr="00F164F4" w:rsidRDefault="00290662" w:rsidP="005A612A">
      <w:pPr>
        <w:pStyle w:val="EndnoteText"/>
        <w:tabs>
          <w:tab w:val="clear" w:pos="425"/>
          <w:tab w:val="left" w:pos="709"/>
        </w:tabs>
        <w:ind w:left="720" w:hanging="720"/>
      </w:pPr>
      <w:r>
        <w:rPr>
          <w:rStyle w:val="EndnoteReference"/>
        </w:rPr>
        <w:endnoteRef/>
      </w:r>
      <w:r>
        <w:t xml:space="preserve"> </w:t>
      </w:r>
      <w:r>
        <w:tab/>
      </w:r>
      <w:r>
        <w:rPr>
          <w:rFonts w:asciiTheme="minorHAnsi" w:hAnsiTheme="minorHAnsi"/>
          <w:szCs w:val="20"/>
        </w:rPr>
        <w:t>Education</w:t>
      </w:r>
      <w:r w:rsidRPr="008E2B52">
        <w:rPr>
          <w:rFonts w:asciiTheme="minorHAnsi" w:hAnsiTheme="minorHAnsi"/>
          <w:szCs w:val="20"/>
        </w:rPr>
        <w:t xml:space="preserve"> Sector – Analytical and Capacity Development Partnership Indonesia. Mid-term Review</w:t>
      </w:r>
      <w:r>
        <w:rPr>
          <w:rFonts w:asciiTheme="minorHAnsi" w:hAnsiTheme="minorHAnsi"/>
          <w:szCs w:val="20"/>
        </w:rPr>
        <w:t>, p36.</w:t>
      </w:r>
    </w:p>
  </w:endnote>
  <w:endnote w:id="80">
    <w:p w:rsidR="00290662" w:rsidRPr="00EB645A" w:rsidRDefault="00290662" w:rsidP="005A612A">
      <w:pPr>
        <w:pStyle w:val="EndnoteText"/>
        <w:tabs>
          <w:tab w:val="clear" w:pos="425"/>
          <w:tab w:val="left" w:pos="709"/>
        </w:tabs>
        <w:ind w:left="720" w:hanging="720"/>
      </w:pPr>
      <w:r>
        <w:rPr>
          <w:rStyle w:val="EndnoteReference"/>
        </w:rPr>
        <w:endnoteRef/>
      </w:r>
      <w:r>
        <w:t xml:space="preserve"> </w:t>
      </w:r>
      <w:r>
        <w:tab/>
        <w:t xml:space="preserve">POM, </w:t>
      </w:r>
      <w:r w:rsidRPr="00A907A2">
        <w:rPr>
          <w:i/>
        </w:rPr>
        <w:t>2014 Annual Partnership Performance Report</w:t>
      </w:r>
      <w:r>
        <w:t xml:space="preserve">, </w:t>
      </w:r>
      <w:r w:rsidRPr="00EB645A">
        <w:t>Table 24, p.59</w:t>
      </w:r>
      <w:r>
        <w:t>.</w:t>
      </w:r>
    </w:p>
  </w:endnote>
  <w:endnote w:id="81">
    <w:p w:rsidR="00290662" w:rsidRPr="00257FCC" w:rsidRDefault="00290662" w:rsidP="005A612A">
      <w:pPr>
        <w:pStyle w:val="EndnoteText"/>
        <w:tabs>
          <w:tab w:val="clear" w:pos="425"/>
          <w:tab w:val="left" w:pos="709"/>
        </w:tabs>
        <w:ind w:left="720" w:hanging="720"/>
      </w:pPr>
      <w:r>
        <w:rPr>
          <w:rStyle w:val="EndnoteReference"/>
        </w:rPr>
        <w:endnoteRef/>
      </w:r>
      <w:r>
        <w:t xml:space="preserve"> </w:t>
      </w:r>
      <w:r>
        <w:tab/>
        <w:t xml:space="preserve">See </w:t>
      </w:r>
      <w:r w:rsidRPr="00257FCC">
        <w:t>Minutes of ACDP Technical Oversight Group Meeting 18 March 2015</w:t>
      </w:r>
      <w:r>
        <w:t>.</w:t>
      </w:r>
    </w:p>
  </w:endnote>
  <w:endnote w:id="82">
    <w:p w:rsidR="00290662" w:rsidRPr="0079773D" w:rsidRDefault="00290662" w:rsidP="005A612A">
      <w:pPr>
        <w:pStyle w:val="EndnoteText"/>
        <w:tabs>
          <w:tab w:val="clear" w:pos="425"/>
          <w:tab w:val="left" w:pos="709"/>
        </w:tabs>
        <w:ind w:left="720" w:hanging="720"/>
      </w:pPr>
      <w:r>
        <w:rPr>
          <w:rStyle w:val="EndnoteReference"/>
        </w:rPr>
        <w:endnoteRef/>
      </w:r>
      <w:r>
        <w:t xml:space="preserve"> </w:t>
      </w:r>
      <w:r>
        <w:tab/>
      </w:r>
      <w:r>
        <w:rPr>
          <w:rFonts w:asciiTheme="minorHAnsi" w:hAnsiTheme="minorHAnsi"/>
          <w:szCs w:val="20"/>
        </w:rPr>
        <w:t>ACDP,</w:t>
      </w:r>
      <w:r w:rsidRPr="00DF73D2">
        <w:rPr>
          <w:rFonts w:asciiTheme="minorHAnsi" w:hAnsiTheme="minorHAnsi"/>
          <w:szCs w:val="20"/>
        </w:rPr>
        <w:t xml:space="preserve"> </w:t>
      </w:r>
      <w:r w:rsidRPr="00A907A2">
        <w:rPr>
          <w:rFonts w:asciiTheme="minorHAnsi" w:hAnsiTheme="minorHAnsi"/>
          <w:i/>
          <w:szCs w:val="20"/>
        </w:rPr>
        <w:t>Six Monthly Progress Report, Mid 2015</w:t>
      </w:r>
      <w:r w:rsidRPr="00DF73D2">
        <w:rPr>
          <w:rFonts w:asciiTheme="minorHAnsi" w:hAnsiTheme="minorHAnsi"/>
          <w:szCs w:val="20"/>
        </w:rPr>
        <w:t>,</w:t>
      </w:r>
      <w:r>
        <w:rPr>
          <w:rFonts w:asciiTheme="minorHAnsi" w:hAnsiTheme="minorHAnsi"/>
          <w:szCs w:val="20"/>
        </w:rPr>
        <w:t xml:space="preserve"> 12 August 2015, p.76.</w:t>
      </w:r>
    </w:p>
  </w:endnote>
  <w:endnote w:id="83">
    <w:p w:rsidR="00290662" w:rsidRPr="00954100" w:rsidRDefault="00290662" w:rsidP="005A612A">
      <w:pPr>
        <w:pStyle w:val="EndnoteText"/>
        <w:tabs>
          <w:tab w:val="clear" w:pos="425"/>
          <w:tab w:val="left" w:pos="709"/>
        </w:tabs>
        <w:ind w:left="720" w:hanging="720"/>
      </w:pPr>
      <w:r>
        <w:rPr>
          <w:rStyle w:val="EndnoteReference"/>
        </w:rPr>
        <w:endnoteRef/>
      </w:r>
      <w:r>
        <w:t xml:space="preserve"> </w:t>
      </w:r>
      <w:r>
        <w:tab/>
        <w:t>Wood, T, Burkot, C, Howes, S., Australian aid: signs of risk – the 2015 Australian aid stakeholder survey, The Development Policy Centre, Canberra, 2016,</w:t>
      </w:r>
    </w:p>
  </w:endnote>
  <w:endnote w:id="84">
    <w:p w:rsidR="00290662" w:rsidRPr="00954100" w:rsidRDefault="00290662" w:rsidP="005A612A">
      <w:pPr>
        <w:pStyle w:val="EndnoteText"/>
        <w:tabs>
          <w:tab w:val="clear" w:pos="425"/>
          <w:tab w:val="left" w:pos="709"/>
        </w:tabs>
        <w:ind w:left="720" w:hanging="720"/>
      </w:pPr>
      <w:r>
        <w:rPr>
          <w:rStyle w:val="EndnoteReference"/>
        </w:rPr>
        <w:endnoteRef/>
      </w:r>
      <w:r>
        <w:t xml:space="preserve"> </w:t>
      </w:r>
      <w:r>
        <w:tab/>
        <w:t>Wood, T, Burkot, C, Howes, S, 2016, Australian aid: signs of risk – the 2015 Australian aid stakeholder survey, The Development Policy Centre, Canberra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HelveticaNeueLT Std">
    <w:panose1 w:val="00000000000000000000"/>
    <w:charset w:val="00"/>
    <w:family w:val="swiss"/>
    <w:notTrueType/>
    <w:pitch w:val="variable"/>
    <w:sig w:usb0="800000AF" w:usb1="4000204A" w:usb2="00000000" w:usb3="00000000" w:csb0="00000001" w:csb1="00000000"/>
  </w:font>
  <w:font w:name="MinioMM_485 SB 585 NO 11 OP">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ill Sans">
    <w:charset w:val="00"/>
    <w:family w:val="swiss"/>
    <w:pitch w:val="variable"/>
    <w:sig w:usb0="80000067" w:usb1="00000000" w:usb2="00000000" w:usb3="00000000" w:csb0="00000001" w:csb1="00000000"/>
  </w:font>
  <w:font w:name="Cardo">
    <w:charset w:val="00"/>
    <w:family w:val="roman"/>
    <w:pitch w:val="variable"/>
    <w:sig w:usb0="E40008FF" w:usb1="5201E0FB" w:usb2="04608000" w:usb3="00000000" w:csb0="000000BB" w:csb1="00000000"/>
  </w:font>
  <w:font w:name="Agency FB">
    <w:panose1 w:val="020B0503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yriadPro-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27" w:rsidRDefault="00EE12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27" w:rsidRDefault="00EE12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27" w:rsidRDefault="00EE122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662" w:rsidRPr="00AF7AFA" w:rsidRDefault="00290662" w:rsidP="00BD30C8">
    <w:pPr>
      <w:pBdr>
        <w:top w:val="single" w:sz="4" w:space="1" w:color="auto"/>
      </w:pBdr>
      <w:rPr>
        <w:rFonts w:ascii="Arial Narrow" w:hAnsi="Arial Narrow"/>
      </w:rPr>
    </w:pPr>
    <w:r>
      <w:t>Annual Partnership Performance Report 2015</w:t>
    </w:r>
    <w:r>
      <w:rPr>
        <w:rFonts w:ascii="Arial Narrow" w:hAnsi="Arial Narrow"/>
      </w:rPr>
      <w:ptab w:relativeTo="margin" w:alignment="right" w:leader="none"/>
    </w:r>
    <w:r w:rsidRPr="00AF7AFA">
      <w:rPr>
        <w:rFonts w:ascii="Arial Narrow" w:hAnsi="Arial Narrow"/>
      </w:rPr>
      <w:fldChar w:fldCharType="begin"/>
    </w:r>
    <w:r w:rsidRPr="00AF7AFA">
      <w:rPr>
        <w:rFonts w:ascii="Arial Narrow" w:hAnsi="Arial Narrow"/>
      </w:rPr>
      <w:instrText xml:space="preserve"> PAGE   \* MERGEFORMAT </w:instrText>
    </w:r>
    <w:r w:rsidRPr="00AF7AFA">
      <w:rPr>
        <w:rFonts w:ascii="Arial Narrow" w:hAnsi="Arial Narrow"/>
      </w:rPr>
      <w:fldChar w:fldCharType="separate"/>
    </w:r>
    <w:r w:rsidR="00EE1227">
      <w:rPr>
        <w:rFonts w:ascii="Arial Narrow" w:hAnsi="Arial Narrow"/>
        <w:noProof/>
      </w:rPr>
      <w:t>iii</w:t>
    </w:r>
    <w:r w:rsidRPr="00AF7AFA">
      <w:rPr>
        <w:rFonts w:ascii="Arial Narrow" w:hAnsi="Arial Narrow"/>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662" w:rsidRPr="00AF7AFA" w:rsidRDefault="00290662" w:rsidP="006D3CFD">
    <w:pPr>
      <w:pBdr>
        <w:top w:val="single" w:sz="4" w:space="1" w:color="auto"/>
      </w:pBdr>
      <w:rPr>
        <w:rFonts w:ascii="Arial Narrow" w:hAnsi="Arial Narrow"/>
      </w:rPr>
    </w:pPr>
    <w:r>
      <w:t>Annual Partnership Performance Report 2015</w:t>
    </w:r>
    <w:r>
      <w:rPr>
        <w:rFonts w:ascii="Arial Narrow" w:hAnsi="Arial Narrow"/>
      </w:rPr>
      <w:ptab w:relativeTo="margin" w:alignment="right" w:leader="none"/>
    </w:r>
    <w:r w:rsidRPr="002B6FDD">
      <w:rPr>
        <w:rFonts w:asciiTheme="minorHAnsi" w:hAnsiTheme="minorHAnsi"/>
      </w:rPr>
      <w:fldChar w:fldCharType="begin"/>
    </w:r>
    <w:r w:rsidRPr="002B6FDD">
      <w:rPr>
        <w:rFonts w:asciiTheme="minorHAnsi" w:hAnsiTheme="minorHAnsi"/>
      </w:rPr>
      <w:instrText xml:space="preserve"> PAGE   \* MERGEFORMAT </w:instrText>
    </w:r>
    <w:r w:rsidRPr="002B6FDD">
      <w:rPr>
        <w:rFonts w:asciiTheme="minorHAnsi" w:hAnsiTheme="minorHAnsi"/>
      </w:rPr>
      <w:fldChar w:fldCharType="separate"/>
    </w:r>
    <w:r w:rsidR="00EE1227">
      <w:rPr>
        <w:rFonts w:asciiTheme="minorHAnsi" w:hAnsiTheme="minorHAnsi"/>
        <w:noProof/>
      </w:rPr>
      <w:t>113</w:t>
    </w:r>
    <w:r w:rsidRPr="002B6FDD">
      <w:rPr>
        <w:rFonts w:asciiTheme="minorHAnsi" w:hAnsiTheme="minorHAnsi"/>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662" w:rsidRPr="00854A82" w:rsidRDefault="00290662" w:rsidP="007755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662" w:rsidRDefault="00290662" w:rsidP="006D3CFD">
      <w:pPr>
        <w:spacing w:after="0" w:line="240" w:lineRule="auto"/>
      </w:pPr>
      <w:r>
        <w:separator/>
      </w:r>
    </w:p>
  </w:footnote>
  <w:footnote w:type="continuationSeparator" w:id="0">
    <w:p w:rsidR="00290662" w:rsidRDefault="00290662" w:rsidP="00775568">
      <w:r>
        <w:continuationSeparator/>
      </w:r>
    </w:p>
  </w:footnote>
  <w:footnote w:type="continuationNotice" w:id="1">
    <w:p w:rsidR="00290662" w:rsidRDefault="00290662">
      <w:pPr>
        <w:spacing w:before="0" w:after="0" w:line="240" w:lineRule="auto"/>
      </w:pPr>
    </w:p>
  </w:footnote>
  <w:footnote w:id="2">
    <w:p w:rsidR="00290662" w:rsidRDefault="00290662">
      <w:pPr>
        <w:pStyle w:val="FootnoteText"/>
      </w:pPr>
      <w:r>
        <w:rPr>
          <w:rStyle w:val="FootnoteReference"/>
        </w:rPr>
        <w:footnoteRef/>
      </w:r>
      <w:r>
        <w:t xml:space="preserve"> Madrasah are Islamic schools which teach the national curriculum in addition to providing extra religious instruction. Madrasah are regulated by the Ministry of Religious Affairs.</w:t>
      </w:r>
    </w:p>
  </w:footnote>
  <w:footnote w:id="3">
    <w:p w:rsidR="00290662" w:rsidRPr="00361DF6" w:rsidRDefault="00290662" w:rsidP="004556AB">
      <w:pPr>
        <w:pStyle w:val="FootnoteText"/>
      </w:pPr>
      <w:r>
        <w:rPr>
          <w:rStyle w:val="FootnoteReference"/>
        </w:rPr>
        <w:footnoteRef/>
      </w:r>
      <w:r>
        <w:t xml:space="preserve"> At the time of writing C1 was still scheduled to close on 30 June 2016 but POM understands that discussions are underway to extend the Component until December 2016.</w:t>
      </w:r>
    </w:p>
  </w:footnote>
  <w:footnote w:id="4">
    <w:p w:rsidR="00290662" w:rsidRPr="00A74CC7" w:rsidRDefault="00290662" w:rsidP="004556AB">
      <w:pPr>
        <w:pStyle w:val="FootnoteText"/>
      </w:pPr>
      <w:r>
        <w:rPr>
          <w:rStyle w:val="FootnoteReference"/>
        </w:rPr>
        <w:footnoteRef/>
      </w:r>
      <w:r>
        <w:t xml:space="preserve"> </w:t>
      </w:r>
      <w:r w:rsidRPr="00A74CC7">
        <w:t>DFAT’s [Education] Sector Investment Plan articulates a vision of demonstrating affordable and sustainable mechanisms to raise learning outcomes and by which Indonesia can improve the effectiveness of its education spend. The proposed program consists of four closely related investments operating at both sub-national and national level.</w:t>
      </w:r>
      <w:r>
        <w:t xml:space="preserve"> </w:t>
      </w:r>
    </w:p>
  </w:footnote>
  <w:footnote w:id="5">
    <w:p w:rsidR="00290662" w:rsidRPr="0022598A" w:rsidRDefault="00290662" w:rsidP="00F7738B">
      <w:pPr>
        <w:pStyle w:val="FootnoteText"/>
      </w:pPr>
      <w:r>
        <w:rPr>
          <w:rStyle w:val="FootnoteReference"/>
        </w:rPr>
        <w:footnoteRef/>
      </w:r>
      <w:r>
        <w:t xml:space="preserve"> The original budget for the Education Partnership was AUD 500m. A minute was signed by the Director General of AusAID on 23 April 2013, increasing the value of the EP from AUD 500m to AUD 524m. Budget revisions in 2014 and 2015 saw the budget reduce to AUD 368.8m.</w:t>
      </w:r>
    </w:p>
  </w:footnote>
  <w:footnote w:id="6">
    <w:p w:rsidR="00290662" w:rsidRPr="00196F93" w:rsidRDefault="00290662" w:rsidP="00F7738B">
      <w:pPr>
        <w:pStyle w:val="FootnoteText"/>
      </w:pPr>
      <w:r>
        <w:rPr>
          <w:rStyle w:val="FootnoteReference"/>
        </w:rPr>
        <w:footnoteRef/>
      </w:r>
      <w:r>
        <w:t xml:space="preserve"> As at end of March 2016.</w:t>
      </w:r>
    </w:p>
  </w:footnote>
  <w:footnote w:id="7">
    <w:p w:rsidR="00290662" w:rsidRPr="00361DF6" w:rsidRDefault="00290662" w:rsidP="00F7738B">
      <w:pPr>
        <w:pStyle w:val="FootnoteText"/>
      </w:pPr>
      <w:r>
        <w:rPr>
          <w:rStyle w:val="FootnoteReference"/>
        </w:rPr>
        <w:footnoteRef/>
      </w:r>
      <w:r>
        <w:t xml:space="preserve"> At the time of writing C1 was still scheduled to close on 30 June 2016 but POM understands that discussions are underway to extend the Component until December 2016.</w:t>
      </w:r>
    </w:p>
  </w:footnote>
  <w:footnote w:id="8">
    <w:p w:rsidR="00290662" w:rsidRPr="00A74CC7" w:rsidRDefault="00290662" w:rsidP="00F7738B">
      <w:pPr>
        <w:pStyle w:val="FootnoteText"/>
      </w:pPr>
      <w:r>
        <w:rPr>
          <w:rStyle w:val="FootnoteReference"/>
        </w:rPr>
        <w:footnoteRef/>
      </w:r>
      <w:r>
        <w:t xml:space="preserve"> </w:t>
      </w:r>
      <w:r w:rsidRPr="00A74CC7">
        <w:t>DFAT’s [Education] Sector Investment Plan articulates a vision of demonstrating affordable and sustainable mechanisms to raise learning outcomes and by which Indonesia can improve the effectiveness of its education spend. The proposed program consists of four closely related investments operating at both sub-national and national level.</w:t>
      </w:r>
      <w:r>
        <w:t xml:space="preserve"> </w:t>
      </w:r>
    </w:p>
  </w:footnote>
  <w:footnote w:id="9">
    <w:p w:rsidR="00290662" w:rsidRDefault="00290662">
      <w:pPr>
        <w:pStyle w:val="FootnoteText"/>
      </w:pPr>
      <w:r>
        <w:rPr>
          <w:rStyle w:val="FootnoteReference"/>
        </w:rPr>
        <w:footnoteRef/>
      </w:r>
      <w:r>
        <w:t xml:space="preserve"> Timeframes were tight and SSQ-C2 was unable to respond in time.</w:t>
      </w:r>
    </w:p>
  </w:footnote>
  <w:footnote w:id="10">
    <w:p w:rsidR="00290662" w:rsidRPr="00736CD3" w:rsidRDefault="00290662" w:rsidP="00736CD3">
      <w:pPr>
        <w:pStyle w:val="FootnoteText"/>
      </w:pPr>
      <w:r w:rsidRPr="00736CD3">
        <w:rPr>
          <w:rStyle w:val="FootnoteReference"/>
          <w:rFonts w:ascii="Calibri" w:hAnsi="Calibri"/>
          <w:sz w:val="20"/>
        </w:rPr>
        <w:footnoteRef/>
      </w:r>
      <w:r w:rsidRPr="00736CD3">
        <w:t xml:space="preserve"> Districts with low junior secondary enrolment were initially defined as districts with a JSE-GER of &lt;90%. This was subsequently revised in 2013 to &lt;95%.</w:t>
      </w:r>
    </w:p>
  </w:footnote>
  <w:footnote w:id="11">
    <w:p w:rsidR="00290662" w:rsidRPr="00736CD3" w:rsidRDefault="00290662" w:rsidP="00736CD3">
      <w:pPr>
        <w:pStyle w:val="FootnoteText"/>
      </w:pPr>
      <w:r w:rsidRPr="00736CD3">
        <w:rPr>
          <w:rStyle w:val="FootnoteReference"/>
          <w:rFonts w:ascii="Calibri" w:hAnsi="Calibri"/>
          <w:sz w:val="20"/>
        </w:rPr>
        <w:footnoteRef/>
      </w:r>
      <w:r w:rsidRPr="00736CD3">
        <w:t xml:space="preserve"> i.e. a change in practice and/or relationships which create better performance, e.g. in terms of the services received by end users. </w:t>
      </w:r>
    </w:p>
  </w:footnote>
  <w:footnote w:id="12">
    <w:p w:rsidR="00290662" w:rsidRPr="00736CD3" w:rsidRDefault="00290662" w:rsidP="00736CD3">
      <w:pPr>
        <w:pStyle w:val="FootnoteText"/>
      </w:pPr>
      <w:r w:rsidRPr="00736CD3">
        <w:rPr>
          <w:rStyle w:val="FootnoteReference"/>
          <w:rFonts w:ascii="Calibri" w:hAnsi="Calibri"/>
          <w:sz w:val="20"/>
        </w:rPr>
        <w:footnoteRef/>
      </w:r>
      <w:r w:rsidRPr="00736CD3">
        <w:t xml:space="preserve"> </w:t>
      </w:r>
      <w:r>
        <w:t xml:space="preserve">e.g. see </w:t>
      </w:r>
      <w:r w:rsidRPr="00736CD3">
        <w:t>DFAT (2015). Making performance count: enhancing the accountability and effectiveness of Australian aid. See http://dfat.gov.au/about-us/publications/Documents/framework-making-performance-count.pdf</w:t>
      </w:r>
    </w:p>
  </w:footnote>
  <w:footnote w:id="13">
    <w:p w:rsidR="00290662" w:rsidRPr="00736CD3" w:rsidRDefault="00290662" w:rsidP="00736CD3">
      <w:pPr>
        <w:pStyle w:val="FootnoteText"/>
      </w:pPr>
      <w:r w:rsidRPr="00736CD3">
        <w:rPr>
          <w:rStyle w:val="FootnoteReference"/>
        </w:rPr>
        <w:footnoteRef/>
      </w:r>
      <w:r w:rsidRPr="00736CD3">
        <w:t xml:space="preserve"> The number of classrooms is obtained by multiplying the number of USB by 6, and by multiplying the number of SATAP by 3</w:t>
      </w:r>
      <w:r>
        <w:t>.</w:t>
      </w:r>
    </w:p>
  </w:footnote>
  <w:footnote w:id="14">
    <w:p w:rsidR="00290662" w:rsidRPr="00736CD3" w:rsidRDefault="00290662" w:rsidP="00736CD3">
      <w:pPr>
        <w:pStyle w:val="FootnoteText"/>
      </w:pPr>
      <w:r w:rsidRPr="00736CD3">
        <w:rPr>
          <w:rStyle w:val="FootnoteReference"/>
        </w:rPr>
        <w:footnoteRef/>
      </w:r>
      <w:r w:rsidRPr="00736CD3">
        <w:t xml:space="preserve"> The number of additional student places is calculated by multiplying the number of classrooms by 36 (Minimum Service Standards).</w:t>
      </w:r>
    </w:p>
  </w:footnote>
  <w:footnote w:id="15">
    <w:p w:rsidR="00290662" w:rsidRPr="00736CD3" w:rsidRDefault="00290662" w:rsidP="00736CD3">
      <w:pPr>
        <w:pStyle w:val="FootnoteText"/>
      </w:pPr>
      <w:r w:rsidRPr="00736CD3">
        <w:rPr>
          <w:rStyle w:val="FootnoteReference"/>
        </w:rPr>
        <w:footnoteRef/>
      </w:r>
      <w:r w:rsidRPr="00736CD3">
        <w:t xml:space="preserve"> These processes were initiated by SSQ from Cycle 2 onwards at DFAT’s request.</w:t>
      </w:r>
    </w:p>
  </w:footnote>
  <w:footnote w:id="16">
    <w:p w:rsidR="00290662" w:rsidRDefault="00290662">
      <w:pPr>
        <w:pStyle w:val="FootnoteText"/>
      </w:pPr>
      <w:r>
        <w:rPr>
          <w:rStyle w:val="FootnoteReference"/>
        </w:rPr>
        <w:footnoteRef/>
      </w:r>
      <w:r>
        <w:t xml:space="preserve"> At the time of writing, the Embassy was reviewing its decision and it has signalled its intent to extend support to December 2016.</w:t>
      </w:r>
    </w:p>
  </w:footnote>
  <w:footnote w:id="17">
    <w:p w:rsidR="00290662" w:rsidRDefault="00290662" w:rsidP="00736CD3">
      <w:pPr>
        <w:pStyle w:val="FootnoteText"/>
      </w:pPr>
      <w:r w:rsidRPr="00736CD3">
        <w:rPr>
          <w:rStyle w:val="FootnoteReference"/>
        </w:rPr>
        <w:footnoteRef/>
      </w:r>
      <w:r>
        <w:t xml:space="preserve"> </w:t>
      </w:r>
      <w:r w:rsidRPr="00736CD3">
        <w:t>The ‘mini-USB’ may, for example, be a means of addressing trends whereby SATAP type schools are by-passed by potential users in favour of attending a stand-alone JSS.</w:t>
      </w:r>
    </w:p>
  </w:footnote>
  <w:footnote w:id="18">
    <w:p w:rsidR="00290662" w:rsidRPr="00736CD3" w:rsidRDefault="00290662" w:rsidP="00736CD3">
      <w:pPr>
        <w:pStyle w:val="FootnoteText"/>
      </w:pPr>
      <w:r>
        <w:rPr>
          <w:rStyle w:val="FootnoteReference"/>
        </w:rPr>
        <w:footnoteRef/>
      </w:r>
      <w:r>
        <w:t xml:space="preserve"> </w:t>
      </w:r>
      <w:r w:rsidRPr="00736CD3">
        <w:t>Construction management issues was only reviewed in Cycle</w:t>
      </w:r>
      <w:r>
        <w:t xml:space="preserve"> </w:t>
      </w:r>
      <w:r w:rsidRPr="00736CD3">
        <w:t>3 only</w:t>
      </w:r>
      <w:r>
        <w:t>.</w:t>
      </w:r>
    </w:p>
  </w:footnote>
  <w:footnote w:id="19">
    <w:p w:rsidR="00290662" w:rsidRPr="00064E8C" w:rsidRDefault="00290662" w:rsidP="00736CD3">
      <w:pPr>
        <w:pStyle w:val="FootnoteText"/>
      </w:pPr>
      <w:r>
        <w:rPr>
          <w:rStyle w:val="FootnoteReference"/>
        </w:rPr>
        <w:footnoteRef/>
      </w:r>
      <w:r>
        <w:t xml:space="preserve"> As of February 2016, five of these six incomplete schools were already completed. </w:t>
      </w:r>
    </w:p>
  </w:footnote>
  <w:footnote w:id="20">
    <w:p w:rsidR="00290662" w:rsidRDefault="00290662" w:rsidP="00751C70">
      <w:pPr>
        <w:pStyle w:val="FootnoteText"/>
      </w:pPr>
      <w:r>
        <w:rPr>
          <w:rStyle w:val="FootnoteReference"/>
        </w:rPr>
        <w:footnoteRef/>
      </w:r>
      <w:r>
        <w:t xml:space="preserve"> The projection is based on two facts: (a) by June 2015, 44 Cycle 3 schools were incomplete (18% of total Cycle-3 schools), and; (b) with a progress lag of 10% lag in Cycle 4 (see Figure 1), it is probable that 28% or 42 Cycle 4 schools will be incomplete as of June 2016.</w:t>
      </w:r>
    </w:p>
  </w:footnote>
  <w:footnote w:id="21">
    <w:p w:rsidR="00290662" w:rsidRDefault="00290662" w:rsidP="001D2009">
      <w:pPr>
        <w:pStyle w:val="FootnoteText"/>
      </w:pPr>
      <w:r>
        <w:rPr>
          <w:rStyle w:val="FootnoteReference"/>
        </w:rPr>
        <w:footnoteRef/>
      </w:r>
      <w:r>
        <w:t xml:space="preserve"> As of November 2015, construction had not commenced at six of the 150 sites due to land issues (four sites) and the replacement of SCC teams due to local conflict (two sites). Construction at two of these six sites only started in December 2015.</w:t>
      </w:r>
    </w:p>
  </w:footnote>
  <w:footnote w:id="22">
    <w:p w:rsidR="00290662" w:rsidRPr="00103A7F" w:rsidRDefault="00290662" w:rsidP="005C30EA">
      <w:pPr>
        <w:pStyle w:val="FootnoteText"/>
      </w:pPr>
      <w:r>
        <w:rPr>
          <w:rStyle w:val="FootnoteReference"/>
        </w:rPr>
        <w:footnoteRef/>
      </w:r>
      <w:r>
        <w:t xml:space="preserve"> The figure reflects the total number of students retrieved </w:t>
      </w:r>
      <w:r w:rsidRPr="00103A7F">
        <w:t xml:space="preserve">from </w:t>
      </w:r>
      <w:r>
        <w:t>DAPODIK website. It covers 727 of the 1,005 schools constructed in Cycles 1, 2, and 3.</w:t>
      </w:r>
    </w:p>
  </w:footnote>
  <w:footnote w:id="23">
    <w:p w:rsidR="00290662" w:rsidRPr="00ED1BF6" w:rsidRDefault="00290662" w:rsidP="005C30EA">
      <w:pPr>
        <w:pStyle w:val="FootnoteText"/>
      </w:pPr>
      <w:r w:rsidRPr="00ED1BF6">
        <w:rPr>
          <w:rStyle w:val="FootnoteReference"/>
        </w:rPr>
        <w:footnoteRef/>
      </w:r>
      <w:r w:rsidRPr="00ED1BF6">
        <w:t xml:space="preserve"> </w:t>
      </w:r>
      <w:r>
        <w:t>Correct as of January 2016 and based on the 1</w:t>
      </w:r>
      <w:r w:rsidRPr="00A20C7C">
        <w:rPr>
          <w:vertAlign w:val="superscript"/>
        </w:rPr>
        <w:t>st</w:t>
      </w:r>
      <w:r>
        <w:t xml:space="preserve"> semester of the 2015/16 academic year.</w:t>
      </w:r>
    </w:p>
  </w:footnote>
  <w:footnote w:id="24">
    <w:p w:rsidR="00290662" w:rsidRDefault="00290662" w:rsidP="005C30EA">
      <w:pPr>
        <w:pStyle w:val="FootnoteText"/>
      </w:pPr>
      <w:r>
        <w:rPr>
          <w:rStyle w:val="FootnoteReference"/>
        </w:rPr>
        <w:footnoteRef/>
      </w:r>
      <w:r>
        <w:t xml:space="preserve"> This is made possible by utilising existing SD facilities to house SMP classes.</w:t>
      </w:r>
    </w:p>
  </w:footnote>
  <w:footnote w:id="25">
    <w:p w:rsidR="00290662" w:rsidRPr="00BE7989" w:rsidRDefault="00290662" w:rsidP="005C30EA">
      <w:pPr>
        <w:pStyle w:val="FootnoteText"/>
      </w:pPr>
      <w:r>
        <w:rPr>
          <w:rStyle w:val="FootnoteReference"/>
        </w:rPr>
        <w:footnoteRef/>
      </w:r>
      <w:r>
        <w:t xml:space="preserve"> The </w:t>
      </w:r>
      <w:r w:rsidRPr="0069023F">
        <w:rPr>
          <w:i/>
        </w:rPr>
        <w:t>EOPO 1 Endline Evaluation Study</w:t>
      </w:r>
      <w:r>
        <w:t xml:space="preserve"> randomly sampled 100 of 451 school construction sites. The sampling of the study can be considered as representative of all Cycle 1 sites.</w:t>
      </w:r>
    </w:p>
  </w:footnote>
  <w:footnote w:id="26">
    <w:p w:rsidR="00290662" w:rsidRDefault="00290662" w:rsidP="00944318">
      <w:pPr>
        <w:pStyle w:val="FootnoteText"/>
      </w:pPr>
      <w:r>
        <w:rPr>
          <w:rStyle w:val="FootnoteReference"/>
        </w:rPr>
        <w:footnoteRef/>
      </w:r>
      <w:r>
        <w:t xml:space="preserve"> New enrolees are defined as prospective students who would not attend JSE schooling if the EP school was not constructed. The decision not to attend JSE schooling was for various reasons (e.g. no accessible JSE schooling, insufficient funding for transport costs, etc.). These new enrolees will have a direct effect on GER.</w:t>
      </w:r>
      <w:r w:rsidRPr="00944318">
        <w:t xml:space="preserve"> </w:t>
      </w:r>
      <w:r>
        <w:t>Transferees are defined as prospective students who would attend JSE schooling even if EP schools had not been constructed, albeit attending existing JSE schooling would be more expensive. These students will not directly increase GER of the districts. Nevertheless these students may result in improved GER as it is assumed that they are less likely to drop out of school.</w:t>
      </w:r>
    </w:p>
  </w:footnote>
  <w:footnote w:id="27">
    <w:p w:rsidR="00290662" w:rsidRDefault="00290662" w:rsidP="002B6FDD">
      <w:pPr>
        <w:pStyle w:val="FootnoteText"/>
      </w:pPr>
      <w:r>
        <w:rPr>
          <w:rStyle w:val="FootnoteReference"/>
        </w:rPr>
        <w:footnoteRef/>
      </w:r>
      <w:r>
        <w:t xml:space="preserve"> For the period </w:t>
      </w:r>
      <w:r w:rsidRPr="00433F4F">
        <w:t>2011/12 to 2014/15</w:t>
      </w:r>
      <w:r>
        <w:t>, the analysis draws on several data sources: MoEC enrolment data for Junior Secondary Education, 2011/12 to 2014/15 (for comparative purposes); BPS SUSENAS data, 2014 (for propensity matching); and the list of schools constructed by C1 (to identify participating and non-participating districts).</w:t>
      </w:r>
    </w:p>
  </w:footnote>
  <w:footnote w:id="28">
    <w:p w:rsidR="00290662" w:rsidRDefault="00290662" w:rsidP="005C30EA">
      <w:pPr>
        <w:pStyle w:val="FootnoteText"/>
      </w:pPr>
      <w:r>
        <w:rPr>
          <w:rStyle w:val="FootnoteReference"/>
        </w:rPr>
        <w:footnoteRef/>
      </w:r>
      <w:r>
        <w:t xml:space="preserve"> While the data is based on a sample of Cycle 1 schools, it is POM’s view that it represents a condition typical of schools constructed in subsequent cycles.</w:t>
      </w:r>
    </w:p>
  </w:footnote>
  <w:footnote w:id="29">
    <w:p w:rsidR="00290662" w:rsidRDefault="00290662" w:rsidP="005C30EA">
      <w:pPr>
        <w:pStyle w:val="FootnoteText"/>
      </w:pPr>
      <w:r>
        <w:rPr>
          <w:rStyle w:val="FootnoteReference"/>
        </w:rPr>
        <w:footnoteRef/>
      </w:r>
      <w:r>
        <w:t xml:space="preserve"> NSIP survey data collected in 2014 presented a far lower figure of only 3 teachers per school. In retrospect, it is likely that this was a case of under-reporting part-time contract teachers.</w:t>
      </w:r>
    </w:p>
  </w:footnote>
  <w:footnote w:id="30">
    <w:p w:rsidR="00290662" w:rsidRDefault="00290662" w:rsidP="005C30EA">
      <w:pPr>
        <w:pStyle w:val="FootnoteText"/>
      </w:pPr>
      <w:r>
        <w:rPr>
          <w:rStyle w:val="FootnoteReference"/>
        </w:rPr>
        <w:footnoteRef/>
      </w:r>
      <w:r>
        <w:t xml:space="preserve"> The ‘subsidy’ represented by the PNS salary payments was low by national standards due to the low ratio of PNS teachers in EP-funded schools</w:t>
      </w:r>
    </w:p>
  </w:footnote>
  <w:footnote w:id="31">
    <w:p w:rsidR="00290662" w:rsidRDefault="00290662" w:rsidP="005C30EA">
      <w:pPr>
        <w:pStyle w:val="FootnoteText"/>
      </w:pPr>
      <w:r>
        <w:rPr>
          <w:rStyle w:val="FootnoteReference"/>
        </w:rPr>
        <w:footnoteRef/>
      </w:r>
      <w:r>
        <w:t xml:space="preserve"> The 2014 AIBEP Study, for example, showed that parental perceptions of teacher quality were often based on status (PNS or not) and experience. While young teachers are often popular with students because they are ‘fun’, parental assessment of teaching quality frequently highlights the importance of discipline.</w:t>
      </w:r>
    </w:p>
  </w:footnote>
  <w:footnote w:id="32">
    <w:p w:rsidR="00290662" w:rsidRDefault="00290662" w:rsidP="005C30EA">
      <w:pPr>
        <w:pStyle w:val="FootnoteText"/>
      </w:pPr>
      <w:r>
        <w:rPr>
          <w:rStyle w:val="FootnoteReference"/>
        </w:rPr>
        <w:footnoteRef/>
      </w:r>
      <w:r>
        <w:t xml:space="preserve"> Indeed, the ‘inefficiencies’ of such small schools is offset by the strong likelihood that enrolled children are ‘new-enrolees’, thus contributing to improvements in GERs.</w:t>
      </w:r>
    </w:p>
  </w:footnote>
  <w:footnote w:id="33">
    <w:p w:rsidR="00290662" w:rsidRPr="00836CC3" w:rsidRDefault="00290662" w:rsidP="005C30EA">
      <w:r>
        <w:rPr>
          <w:rStyle w:val="FootnoteReference"/>
        </w:rPr>
        <w:footnoteRef/>
      </w:r>
      <w:r>
        <w:t xml:space="preserve"> </w:t>
      </w:r>
      <w:r w:rsidRPr="007F1AF5">
        <w:rPr>
          <w:sz w:val="18"/>
          <w:szCs w:val="18"/>
        </w:rPr>
        <w:t>Data collected during the 2015 Endline survey indicate that supply-side solutions have reached the limit of effectiveness in stimulating enrolments from key target groups. School construction had limited or no effect on changing enrolment patterns for remote students or students from households with low levels of educational attainment. Other variables that influence JSE enrolment and completion rates (marriage, opportunities in local labour markets) would likewise be more effectively treated with investments in strategies to stimulate demand for JSE.</w:t>
      </w:r>
      <w:r>
        <w:t xml:space="preserve"> </w:t>
      </w:r>
    </w:p>
    <w:p w:rsidR="00290662" w:rsidRDefault="00290662" w:rsidP="005C30EA">
      <w:pPr>
        <w:pStyle w:val="FootnoteText"/>
      </w:pPr>
    </w:p>
  </w:footnote>
  <w:footnote w:id="34">
    <w:p w:rsidR="00290662" w:rsidRDefault="00290662">
      <w:pPr>
        <w:pStyle w:val="FootnoteText"/>
      </w:pPr>
      <w:r>
        <w:rPr>
          <w:rStyle w:val="FootnoteReference"/>
        </w:rPr>
        <w:footnoteRef/>
      </w:r>
      <w:r>
        <w:t xml:space="preserve"> In the absence of an independent assessment of NSIP impact, it cannot be definitively stated that new schools were poorer for the loss of the program. </w:t>
      </w:r>
    </w:p>
  </w:footnote>
  <w:footnote w:id="35">
    <w:p w:rsidR="00290662" w:rsidRDefault="00290662" w:rsidP="002C3049">
      <w:pPr>
        <w:pStyle w:val="FootnoteText"/>
      </w:pPr>
      <w:r>
        <w:rPr>
          <w:rStyle w:val="FootnoteReference"/>
        </w:rPr>
        <w:footnoteRef/>
      </w:r>
      <w:r>
        <w:t xml:space="preserve"> Ministerial Decree No. 13/2007 on the </w:t>
      </w:r>
      <w:r w:rsidRPr="00BF5DCF">
        <w:rPr>
          <w:i/>
        </w:rPr>
        <w:t>Standards for School / Madrasah Principals</w:t>
      </w:r>
      <w:r>
        <w:t xml:space="preserve"> identifies the need for skills in the following areas: (i) personality; (ii) management; (iii) entrepreneurship; (iv) supervision; (v) social. </w:t>
      </w:r>
    </w:p>
  </w:footnote>
  <w:footnote w:id="36">
    <w:p w:rsidR="00290662" w:rsidRDefault="00290662" w:rsidP="002C3049">
      <w:pPr>
        <w:pStyle w:val="FootnoteText"/>
      </w:pPr>
      <w:r>
        <w:rPr>
          <w:rStyle w:val="FootnoteReference"/>
        </w:rPr>
        <w:footnoteRef/>
      </w:r>
      <w:r>
        <w:t xml:space="preserve"> On the </w:t>
      </w:r>
      <w:r w:rsidRPr="00BF5DCF">
        <w:rPr>
          <w:i/>
        </w:rPr>
        <w:t>Appointment of Teachers as Principals at Schools / Madrasah</w:t>
      </w:r>
      <w:r>
        <w:t>.</w:t>
      </w:r>
    </w:p>
  </w:footnote>
  <w:footnote w:id="37">
    <w:p w:rsidR="00290662" w:rsidRDefault="00290662" w:rsidP="002C3049">
      <w:pPr>
        <w:pStyle w:val="FootnoteText"/>
      </w:pPr>
      <w:r>
        <w:rPr>
          <w:rStyle w:val="FootnoteReference"/>
        </w:rPr>
        <w:footnoteRef/>
      </w:r>
      <w:r>
        <w:t xml:space="preserve"> The CPD is provided to improve the knowledge, skills, competencies and professionalism of principals. </w:t>
      </w:r>
    </w:p>
  </w:footnote>
  <w:footnote w:id="38">
    <w:p w:rsidR="00290662" w:rsidRDefault="00290662" w:rsidP="002C3049">
      <w:pPr>
        <w:pStyle w:val="FootnoteText"/>
      </w:pPr>
      <w:r>
        <w:rPr>
          <w:rStyle w:val="FootnoteReference"/>
        </w:rPr>
        <w:footnoteRef/>
      </w:r>
      <w:r>
        <w:t xml:space="preserve"> The SPD is provided to prepare supervisors to better mentor those principals participating in the CPD.</w:t>
      </w:r>
    </w:p>
  </w:footnote>
  <w:footnote w:id="39">
    <w:p w:rsidR="00290662" w:rsidRDefault="00290662" w:rsidP="002C3049">
      <w:pPr>
        <w:pStyle w:val="FootnoteText"/>
      </w:pPr>
      <w:r>
        <w:rPr>
          <w:rStyle w:val="FootnoteReference"/>
        </w:rPr>
        <w:footnoteRef/>
      </w:r>
      <w:r>
        <w:t xml:space="preserve"> The HRMD and SP&amp;FM are provided to District Education Offices and MoRA provincial offices to allow them to better plan human and financial resourcing.</w:t>
      </w:r>
    </w:p>
  </w:footnote>
  <w:footnote w:id="40">
    <w:p w:rsidR="00290662" w:rsidRDefault="00290662" w:rsidP="002C3049">
      <w:pPr>
        <w:pStyle w:val="FootnoteText"/>
      </w:pPr>
      <w:r>
        <w:rPr>
          <w:rStyle w:val="FootnoteReference"/>
        </w:rPr>
        <w:footnoteRef/>
      </w:r>
      <w:r>
        <w:t xml:space="preserve"> The PPP trains teachers to become principals.</w:t>
      </w:r>
    </w:p>
  </w:footnote>
  <w:footnote w:id="41">
    <w:p w:rsidR="00290662" w:rsidRDefault="00290662" w:rsidP="002C3049">
      <w:pPr>
        <w:pStyle w:val="FootnoteText"/>
      </w:pPr>
      <w:r>
        <w:rPr>
          <w:rStyle w:val="FootnoteReference"/>
        </w:rPr>
        <w:footnoteRef/>
      </w:r>
      <w:r>
        <w:t xml:space="preserve"> Madrasah are Islamic schools in which the teaching of the national curriculum is augmented with additional religious instruction. They are regulated by the Ministry of Religious Affairs (MoRA).</w:t>
      </w:r>
    </w:p>
  </w:footnote>
  <w:footnote w:id="42">
    <w:p w:rsidR="00290662" w:rsidRPr="00FA4291" w:rsidRDefault="00290662" w:rsidP="002C3049">
      <w:pPr>
        <w:pStyle w:val="FootnoteText"/>
      </w:pPr>
      <w:r>
        <w:rPr>
          <w:rStyle w:val="FootnoteReference"/>
        </w:rPr>
        <w:footnoteRef/>
      </w:r>
      <w:r>
        <w:t xml:space="preserve"> Previously it</w:t>
      </w:r>
      <w:r w:rsidRPr="00FA4291">
        <w:t xml:space="preserve"> was managed by </w:t>
      </w:r>
      <w:r w:rsidRPr="000536D5">
        <w:rPr>
          <w:i/>
        </w:rPr>
        <w:t>Pusbangtendik</w:t>
      </w:r>
      <w:r w:rsidRPr="00FA4291">
        <w:t xml:space="preserve"> under </w:t>
      </w:r>
      <w:r>
        <w:t xml:space="preserve">MoEC’s </w:t>
      </w:r>
      <w:r w:rsidRPr="00FA4291">
        <w:t>Board of Development for Human Resource Education and Culture and Education Quality</w:t>
      </w:r>
      <w:r>
        <w:t xml:space="preserve"> Assurance (Badan PSDMPK &amp; PMP or “</w:t>
      </w:r>
      <w:r w:rsidRPr="00FA4291">
        <w:t>Badan</w:t>
      </w:r>
      <w:r>
        <w:t>”).</w:t>
      </w:r>
    </w:p>
  </w:footnote>
  <w:footnote w:id="43">
    <w:p w:rsidR="00290662" w:rsidRDefault="00290662" w:rsidP="002C3049">
      <w:pPr>
        <w:pStyle w:val="FootnoteText"/>
      </w:pPr>
      <w:r>
        <w:rPr>
          <w:rStyle w:val="FootnoteReference"/>
        </w:rPr>
        <w:footnoteRef/>
      </w:r>
      <w:r>
        <w:t xml:space="preserve"> The relatively new province of North Kalimantan does not yet have an LPMP.</w:t>
      </w:r>
    </w:p>
  </w:footnote>
  <w:footnote w:id="44">
    <w:p w:rsidR="00290662" w:rsidRPr="008B3096" w:rsidRDefault="00290662" w:rsidP="002C3049">
      <w:pPr>
        <w:pStyle w:val="FootnoteText"/>
      </w:pPr>
      <w:r>
        <w:rPr>
          <w:rStyle w:val="FootnoteReference"/>
        </w:rPr>
        <w:footnoteRef/>
      </w:r>
      <w:r>
        <w:t xml:space="preserve"> Because they are </w:t>
      </w:r>
      <w:r w:rsidRPr="008B3096">
        <w:t>now under the authority the Directorate General for Basi</w:t>
      </w:r>
      <w:r>
        <w:t xml:space="preserve">c and Senior Secondary Education whereas responsibility for ProDEP resides with the </w:t>
      </w:r>
      <w:r w:rsidRPr="008B3096">
        <w:t>Directorate General for Teacher and Education Personnel</w:t>
      </w:r>
      <w:r>
        <w:t>, a different arm of MoEC. A number of LPMP personnel are now hired by Eligible Entities on an individual basis.</w:t>
      </w:r>
    </w:p>
  </w:footnote>
  <w:footnote w:id="45">
    <w:p w:rsidR="00290662" w:rsidRPr="000536D5" w:rsidRDefault="00290662" w:rsidP="002C3049">
      <w:pPr>
        <w:pStyle w:val="FootnoteText"/>
      </w:pPr>
      <w:r>
        <w:rPr>
          <w:rStyle w:val="FootnoteReference"/>
        </w:rPr>
        <w:footnoteRef/>
      </w:r>
      <w:r>
        <w:t xml:space="preserve"> This</w:t>
      </w:r>
      <w:r w:rsidRPr="000536D5">
        <w:t xml:space="preserve"> required EEs to shift their attention away from ProDEP because Curriculum 2013 was c</w:t>
      </w:r>
      <w:r>
        <w:t xml:space="preserve">onsidered to be a national priority and that required EEs to provide </w:t>
      </w:r>
      <w:r w:rsidRPr="00FA4CB6">
        <w:t xml:space="preserve">training to </w:t>
      </w:r>
      <w:r w:rsidRPr="002C2B57">
        <w:t>teachers and principals</w:t>
      </w:r>
      <w:r w:rsidRPr="00FA4CB6">
        <w:t>.</w:t>
      </w:r>
    </w:p>
  </w:footnote>
  <w:footnote w:id="46">
    <w:p w:rsidR="00290662" w:rsidRPr="00FA4CB6" w:rsidRDefault="00290662" w:rsidP="002C3049">
      <w:pPr>
        <w:pStyle w:val="FootnoteText"/>
      </w:pPr>
      <w:r>
        <w:rPr>
          <w:rStyle w:val="FootnoteReference"/>
        </w:rPr>
        <w:footnoteRef/>
      </w:r>
      <w:r>
        <w:t xml:space="preserve"> The letter prohibited the use of hotels as training venues for government activities. While the decision was later annulled, it led to implementation being </w:t>
      </w:r>
      <w:r w:rsidRPr="00FA4CB6">
        <w:t xml:space="preserve">put on hold for some time. </w:t>
      </w:r>
    </w:p>
  </w:footnote>
  <w:footnote w:id="47">
    <w:p w:rsidR="00290662" w:rsidRDefault="00290662" w:rsidP="002C3049">
      <w:pPr>
        <w:pStyle w:val="FootnoteText"/>
      </w:pPr>
      <w:r w:rsidRPr="00FA4CB6">
        <w:rPr>
          <w:rStyle w:val="FootnoteReference"/>
        </w:rPr>
        <w:footnoteRef/>
      </w:r>
      <w:r w:rsidRPr="00FA4CB6">
        <w:t xml:space="preserve"> A GoI official indicated to POM in </w:t>
      </w:r>
      <w:r w:rsidRPr="002C2B57">
        <w:t>February</w:t>
      </w:r>
      <w:r w:rsidRPr="00FA4CB6">
        <w:t xml:space="preserve"> 2016</w:t>
      </w:r>
      <w:r>
        <w:t xml:space="preserve"> that activities had been expected to start in February 2015.</w:t>
      </w:r>
    </w:p>
  </w:footnote>
  <w:footnote w:id="48">
    <w:p w:rsidR="00290662" w:rsidRDefault="00290662" w:rsidP="002C3049">
      <w:pPr>
        <w:pStyle w:val="FootnoteText"/>
      </w:pPr>
      <w:r>
        <w:rPr>
          <w:rStyle w:val="FootnoteReference"/>
        </w:rPr>
        <w:footnoteRef/>
      </w:r>
      <w:r>
        <w:t xml:space="preserve"> The eight P4TK are: (1) P4TK Early Childhood and Special Needs, Bandung; (2) P4TK Science and Technology, Bandung; (3) P4TK Business and Tourism, Jakarta; (4) P4TK Agriculture, Cianjur; (5) P4TK Machinery and Information Technology, Bandung; (6) P4TK Art and Culture, Yogyakarta; (7) P4TK Electronics and Automotive, Malang; and (8) P4TK Building and Electrics, Medan. </w:t>
      </w:r>
    </w:p>
  </w:footnote>
  <w:footnote w:id="49">
    <w:p w:rsidR="00290662" w:rsidRDefault="00290662" w:rsidP="002C3049">
      <w:pPr>
        <w:pStyle w:val="FootnoteText"/>
      </w:pPr>
      <w:r>
        <w:rPr>
          <w:rStyle w:val="FootnoteReference"/>
        </w:rPr>
        <w:footnoteRef/>
      </w:r>
      <w:r>
        <w:t xml:space="preserve"> The nine CPD UoLs are: (1) School planning; (2) Financial management; (3) Academic supervision; (4) Curriculum management; (5) New student management; (6) Facilities and infrastructure; (7) Teacher and staff management; (8) Mentoring; and (9) Coaching. </w:t>
      </w:r>
    </w:p>
  </w:footnote>
  <w:footnote w:id="50">
    <w:p w:rsidR="00290662" w:rsidRPr="00C34423" w:rsidRDefault="00290662" w:rsidP="002C3049">
      <w:pPr>
        <w:pStyle w:val="FootnoteText"/>
      </w:pPr>
      <w:r>
        <w:rPr>
          <w:rStyle w:val="FootnoteReference"/>
        </w:rPr>
        <w:footnoteRef/>
      </w:r>
      <w:r>
        <w:t xml:space="preserve"> The Baseline draws on 44 indicators of effective leadership and management practices derived from a </w:t>
      </w:r>
      <w:r w:rsidRPr="002F6ED6">
        <w:t xml:space="preserve">review of international literature </w:t>
      </w:r>
      <w:r>
        <w:t xml:space="preserve">conducted by POM consultant, </w:t>
      </w:r>
      <w:r w:rsidRPr="002F6ED6">
        <w:t xml:space="preserve">Prof. </w:t>
      </w:r>
      <w:r w:rsidRPr="00115BA8">
        <w:t xml:space="preserve">Caldwell. </w:t>
      </w:r>
      <w:r w:rsidRPr="003B6830">
        <w:rPr>
          <w:i/>
        </w:rPr>
        <w:t>See Thematic Literature Review for Component 2. Th</w:t>
      </w:r>
      <w:r w:rsidRPr="00115BA8">
        <w:t>e evaluation focuses on Phase 1 of CPD support only.</w:t>
      </w:r>
    </w:p>
  </w:footnote>
  <w:footnote w:id="51">
    <w:p w:rsidR="00290662" w:rsidRPr="002F6ED6" w:rsidRDefault="00290662" w:rsidP="002C3049">
      <w:pPr>
        <w:pStyle w:val="FootnoteText"/>
      </w:pPr>
      <w:r>
        <w:rPr>
          <w:rStyle w:val="FootnoteReference"/>
        </w:rPr>
        <w:footnoteRef/>
      </w:r>
      <w:r>
        <w:t xml:space="preserve"> A</w:t>
      </w:r>
      <w:r w:rsidRPr="002F6ED6">
        <w:t>gainst a set of indicators derived from NES and POM’s aforementioned review of international literature by Prof</w:t>
      </w:r>
      <w:r>
        <w:t xml:space="preserve">essor </w:t>
      </w:r>
      <w:r w:rsidRPr="002F6ED6">
        <w:t>Caldwell</w:t>
      </w:r>
      <w:r>
        <w:t>.</w:t>
      </w:r>
    </w:p>
  </w:footnote>
  <w:footnote w:id="52">
    <w:p w:rsidR="00290662" w:rsidRDefault="00290662" w:rsidP="002C3049">
      <w:pPr>
        <w:pStyle w:val="FootnoteText"/>
      </w:pPr>
      <w:r>
        <w:rPr>
          <w:rStyle w:val="FootnoteReference"/>
        </w:rPr>
        <w:footnoteRef/>
      </w:r>
      <w:r>
        <w:t xml:space="preserve"> Priorities described in the letter include: (1) improving the quality of teachers and principals; (2) improvement of vocational education; (3) reinforcement of educational curriculum and assessment system; (4) reinforcement of Indonesian language learning in Australia. </w:t>
      </w:r>
    </w:p>
  </w:footnote>
  <w:footnote w:id="53">
    <w:p w:rsidR="00290662" w:rsidRDefault="00290662" w:rsidP="002C3049">
      <w:pPr>
        <w:pStyle w:val="FootnoteText"/>
      </w:pPr>
      <w:r>
        <w:rPr>
          <w:rStyle w:val="FootnoteReference"/>
        </w:rPr>
        <w:footnoteRef/>
      </w:r>
      <w:r>
        <w:t xml:space="preserve"> </w:t>
      </w:r>
      <w:r w:rsidRPr="00D14AA9">
        <w:t xml:space="preserve">GoI officials believe that ProDEP should make a contribution to the achievement of a number of Renstra targets, including: (1) </w:t>
      </w:r>
      <w:r>
        <w:t>t</w:t>
      </w:r>
      <w:r w:rsidRPr="00D14AA9">
        <w:t>he number of professional school principals reaching at least 95% by 2019</w:t>
      </w:r>
      <w:r>
        <w:t>. The definition of “professional principals” is not clear to POM at the moment</w:t>
      </w:r>
      <w:r w:rsidRPr="00D14AA9">
        <w:t>, (2) an increase to the average score of knowledge and skill competence of educators and education personnel to 8.0 by 2019.</w:t>
      </w:r>
      <w:r>
        <w:t xml:space="preserve"> </w:t>
      </w:r>
    </w:p>
  </w:footnote>
  <w:footnote w:id="54">
    <w:p w:rsidR="00290662" w:rsidRDefault="00290662" w:rsidP="002C3049">
      <w:pPr>
        <w:pStyle w:val="FootnoteText"/>
      </w:pPr>
      <w:r>
        <w:rPr>
          <w:rStyle w:val="FootnoteReference"/>
        </w:rPr>
        <w:footnoteRef/>
      </w:r>
      <w:r>
        <w:t xml:space="preserve"> The purpose of the Grand Design is to provide a roadmap for improving the quality of madrasah education over the next five years.</w:t>
      </w:r>
    </w:p>
  </w:footnote>
  <w:footnote w:id="55">
    <w:p w:rsidR="00290662" w:rsidRDefault="00290662" w:rsidP="002C3049">
      <w:pPr>
        <w:pStyle w:val="FootnoteText"/>
      </w:pPr>
      <w:r>
        <w:rPr>
          <w:rStyle w:val="FootnoteReference"/>
        </w:rPr>
        <w:footnoteRef/>
      </w:r>
      <w:r>
        <w:t xml:space="preserve"> The former Head of Badan became the Rector of the State University of Medan (Unimed) and the former Secretary of Badan was appointed as Head of SEAMEO SEAMOLEC. The former Head of Division for the Development of Non-Teacher Technical and Functional Staff at Pusbangtendik was moved to the Training Center for MoEC officials.</w:t>
      </w:r>
    </w:p>
  </w:footnote>
  <w:footnote w:id="56">
    <w:p w:rsidR="00290662" w:rsidRDefault="00290662" w:rsidP="002C3049">
      <w:pPr>
        <w:pStyle w:val="FootnoteText"/>
      </w:pPr>
      <w:r>
        <w:rPr>
          <w:rStyle w:val="FootnoteReference"/>
        </w:rPr>
        <w:footnoteRef/>
      </w:r>
      <w:r>
        <w:t xml:space="preserve"> Specifically, MoEC’s preference not to have donor financing lodged in its annual budget implementation registration form (DIPA).</w:t>
      </w:r>
    </w:p>
  </w:footnote>
  <w:footnote w:id="57">
    <w:p w:rsidR="00290662" w:rsidRPr="00D507C2" w:rsidRDefault="00290662" w:rsidP="002C3049">
      <w:pPr>
        <w:pStyle w:val="FootnoteText"/>
      </w:pPr>
      <w:r>
        <w:rPr>
          <w:rStyle w:val="FootnoteReference"/>
        </w:rPr>
        <w:footnoteRef/>
      </w:r>
      <w:r>
        <w:t xml:space="preserve"> A target of 40,000 principals trained by 2015 compared to a result of 17,697 (16,434 participants trained in 2014 plus 1,263 newly trained principals in 2015). </w:t>
      </w:r>
    </w:p>
  </w:footnote>
  <w:footnote w:id="58">
    <w:p w:rsidR="00290662" w:rsidRDefault="00290662" w:rsidP="002C3049">
      <w:pPr>
        <w:pStyle w:val="FootnoteText"/>
      </w:pPr>
      <w:r>
        <w:rPr>
          <w:rStyle w:val="FootnoteReference"/>
        </w:rPr>
        <w:footnoteRef/>
      </w:r>
      <w:r>
        <w:t xml:space="preserve"> Should such a study now be implemented it will be undertaken after the end of the existing POM contract.</w:t>
      </w:r>
    </w:p>
  </w:footnote>
  <w:footnote w:id="59">
    <w:p w:rsidR="00290662" w:rsidRPr="00A9015F" w:rsidRDefault="00290662" w:rsidP="002C3049">
      <w:pPr>
        <w:pStyle w:val="FootnoteText"/>
      </w:pPr>
      <w:r>
        <w:rPr>
          <w:rStyle w:val="FootnoteReference"/>
        </w:rPr>
        <w:footnoteRef/>
      </w:r>
      <w:r>
        <w:t xml:space="preserve"> It should be noted that POM treats the findings of this report with some caution.</w:t>
      </w:r>
    </w:p>
  </w:footnote>
  <w:footnote w:id="60">
    <w:p w:rsidR="00290662" w:rsidRPr="007F4D95" w:rsidRDefault="00290662" w:rsidP="002C3049">
      <w:pPr>
        <w:pStyle w:val="FootnoteText"/>
      </w:pPr>
      <w:r>
        <w:rPr>
          <w:rStyle w:val="FootnoteReference"/>
        </w:rPr>
        <w:footnoteRef/>
      </w:r>
      <w:r>
        <w:t xml:space="preserve"> </w:t>
      </w:r>
      <w:r w:rsidRPr="007F4D95">
        <w:t>Correlation is statistically significant at confidence level of 95% (p=0.05)</w:t>
      </w:r>
      <w:r>
        <w:t>.</w:t>
      </w:r>
    </w:p>
  </w:footnote>
  <w:footnote w:id="61">
    <w:p w:rsidR="00290662" w:rsidRPr="00E20A38" w:rsidRDefault="00290662" w:rsidP="002C3049">
      <w:pPr>
        <w:pStyle w:val="FootnoteText"/>
      </w:pPr>
      <w:r>
        <w:rPr>
          <w:rStyle w:val="FootnoteReference"/>
        </w:rPr>
        <w:footnoteRef/>
      </w:r>
      <w:r>
        <w:t xml:space="preserve"> </w:t>
      </w:r>
      <w:r w:rsidRPr="00E20A38">
        <w:t xml:space="preserve">40 </w:t>
      </w:r>
      <w:r>
        <w:t xml:space="preserve">schools and eight Madrasah on top of which 1,200 schools/Madrasah featured in the quantitative survey. </w:t>
      </w:r>
    </w:p>
  </w:footnote>
  <w:footnote w:id="62">
    <w:p w:rsidR="00290662" w:rsidRDefault="00290662" w:rsidP="002C3049">
      <w:pPr>
        <w:pStyle w:val="FootnoteText"/>
      </w:pPr>
      <w:r>
        <w:rPr>
          <w:rStyle w:val="FootnoteReference"/>
        </w:rPr>
        <w:footnoteRef/>
      </w:r>
      <w:r>
        <w:t xml:space="preserve"> The sixteen districts are located across eight provinces, they are: (1) Karo district; (2) Simalungun district; (3) Cirebon city; (4) Indramayu district; (5) Jepara district; (6) Kudus district; (7) Pasuruan district; (8) Pasuruan city (9) Lebak district; (10) Serang district; (11) Minahasa district; (12) Manado city; (13) Takalar district; (14) Makasar city; (15) Konawe district; (16) South Konawe district. </w:t>
      </w:r>
    </w:p>
  </w:footnote>
  <w:footnote w:id="63">
    <w:p w:rsidR="00290662" w:rsidRPr="00196AC0" w:rsidRDefault="00290662" w:rsidP="002C3049">
      <w:pPr>
        <w:pStyle w:val="FootnoteText"/>
      </w:pPr>
      <w:r>
        <w:rPr>
          <w:rStyle w:val="FootnoteReference"/>
        </w:rPr>
        <w:footnoteRef/>
      </w:r>
      <w:r>
        <w:t xml:space="preserve"> See a fuller discussion in the 2014 APPR.</w:t>
      </w:r>
    </w:p>
  </w:footnote>
  <w:footnote w:id="64">
    <w:p w:rsidR="00290662" w:rsidRPr="00D507C2" w:rsidRDefault="00290662" w:rsidP="002C3049">
      <w:pPr>
        <w:pStyle w:val="FootnoteText"/>
      </w:pPr>
      <w:r>
        <w:rPr>
          <w:rStyle w:val="FootnoteReference"/>
        </w:rPr>
        <w:footnoteRef/>
      </w:r>
      <w:r>
        <w:t xml:space="preserve"> The emphasis placed on OLL in 2015 is therefore reassuring, albeit the geographical limitations of OLL modalities must always be considered. </w:t>
      </w:r>
    </w:p>
  </w:footnote>
  <w:footnote w:id="65">
    <w:p w:rsidR="00290662" w:rsidRDefault="00290662" w:rsidP="002C3049">
      <w:pPr>
        <w:pStyle w:val="FootnoteText"/>
      </w:pPr>
      <w:r>
        <w:rPr>
          <w:rStyle w:val="FootnoteReference"/>
        </w:rPr>
        <w:footnoteRef/>
      </w:r>
      <w:r>
        <w:t xml:space="preserve"> All hours of ProDEP training contribute credit points for principals’ promotion, with 30-60 training hours equalling one credit point. </w:t>
      </w:r>
    </w:p>
  </w:footnote>
  <w:footnote w:id="66">
    <w:p w:rsidR="00290662" w:rsidRDefault="00290662" w:rsidP="002C3049">
      <w:pPr>
        <w:pStyle w:val="FootnoteText"/>
      </w:pPr>
      <w:r>
        <w:rPr>
          <w:rStyle w:val="FootnoteReference"/>
        </w:rPr>
        <w:footnoteRef/>
      </w:r>
      <w:r>
        <w:t xml:space="preserve"> Before MoEC’s restructuring, LPMP acted as an eligible entity, providing training to primary school principals. As a consequence of its budget cuts, DFAT opted to focus on junior secondary school principals and all three modalities rather than a larger number of principals but fewer modalities. </w:t>
      </w:r>
    </w:p>
  </w:footnote>
  <w:footnote w:id="67">
    <w:p w:rsidR="00290662" w:rsidRPr="00445E0E" w:rsidRDefault="00290662" w:rsidP="002C3049">
      <w:pPr>
        <w:pStyle w:val="FootnoteText"/>
      </w:pPr>
      <w:r>
        <w:rPr>
          <w:rStyle w:val="FootnoteReference"/>
        </w:rPr>
        <w:footnoteRef/>
      </w:r>
      <w:r>
        <w:t xml:space="preserve"> For example, see POM’s Annual Sector Monitoring Report of December 2013 and the APPRs of 2013 and 2014. </w:t>
      </w:r>
    </w:p>
  </w:footnote>
  <w:footnote w:id="68">
    <w:p w:rsidR="00290662" w:rsidRDefault="00290662" w:rsidP="002C3049">
      <w:pPr>
        <w:pStyle w:val="FootnoteText"/>
      </w:pPr>
      <w:r>
        <w:rPr>
          <w:rStyle w:val="FootnoteReference"/>
        </w:rPr>
        <w:footnoteRef/>
      </w:r>
      <w:r>
        <w:t xml:space="preserve"> </w:t>
      </w:r>
      <w:r w:rsidRPr="00C91072">
        <w:t>The plan itself was discussed since 2014. However, the initiative was apparently wrongly recorded by MoEC’s Planning Bureau. Instead of being classified as APBN funding, the figure was registered under the special account (foreign aid) and was submitted to MoF. Finali</w:t>
      </w:r>
      <w:r>
        <w:t>s</w:t>
      </w:r>
      <w:r w:rsidRPr="00C91072">
        <w:t>ation of the 2015 budget and its approval by the Parliament meant that the decision was irreversible. POM has obtained the related special account records.</w:t>
      </w:r>
    </w:p>
  </w:footnote>
  <w:footnote w:id="69">
    <w:p w:rsidR="00290662" w:rsidRDefault="00290662" w:rsidP="002C3049">
      <w:pPr>
        <w:pStyle w:val="FootnoteText"/>
      </w:pPr>
      <w:r>
        <w:rPr>
          <w:rStyle w:val="FootnoteReference"/>
        </w:rPr>
        <w:footnoteRef/>
      </w:r>
      <w:r>
        <w:t xml:space="preserve"> The exact figure is IDR 98,409,236,000. </w:t>
      </w:r>
    </w:p>
  </w:footnote>
  <w:footnote w:id="70">
    <w:p w:rsidR="00290662" w:rsidRDefault="00290662" w:rsidP="002C3049">
      <w:pPr>
        <w:pStyle w:val="FootnoteText"/>
      </w:pPr>
      <w:r>
        <w:rPr>
          <w:rStyle w:val="FootnoteReference"/>
        </w:rPr>
        <w:footnoteRef/>
      </w:r>
      <w:r>
        <w:t xml:space="preserve"> The CPD is preceded with the training of DEO officials in HRMD and SP&amp;FM and preparing supervisors through SPD.</w:t>
      </w:r>
    </w:p>
  </w:footnote>
  <w:footnote w:id="71">
    <w:p w:rsidR="00290662" w:rsidRDefault="00290662" w:rsidP="00D3070C">
      <w:pPr>
        <w:pStyle w:val="FootnoteText"/>
        <w:rPr>
          <w:rFonts w:asciiTheme="minorHAnsi" w:hAnsiTheme="minorHAnsi" w:cstheme="minorBidi"/>
          <w:szCs w:val="20"/>
        </w:rPr>
      </w:pPr>
      <w:r>
        <w:rPr>
          <w:rStyle w:val="FootnoteReference"/>
          <w:rFonts w:cstheme="minorBidi"/>
          <w:sz w:val="18"/>
          <w:szCs w:val="18"/>
        </w:rPr>
        <w:footnoteRef/>
      </w:r>
      <w:r>
        <w:rPr>
          <w:sz w:val="18"/>
          <w:szCs w:val="18"/>
        </w:rPr>
        <w:t xml:space="preserve"> </w:t>
      </w:r>
      <w:r>
        <w:t xml:space="preserve">10.2% at the primary level and 22.4% at the junior secondary level. See </w:t>
      </w:r>
      <w:r w:rsidRPr="00132342">
        <w:rPr>
          <w:szCs w:val="20"/>
        </w:rPr>
        <w:t>ACDP</w:t>
      </w:r>
      <w:r>
        <w:rPr>
          <w:szCs w:val="20"/>
        </w:rPr>
        <w:t xml:space="preserve"> 021 (2014). </w:t>
      </w:r>
      <w:r w:rsidRPr="0027167E">
        <w:rPr>
          <w:i/>
          <w:szCs w:val="20"/>
        </w:rPr>
        <w:t>Overview of the Islamic sub-sector in Indonesia</w:t>
      </w:r>
      <w:r>
        <w:rPr>
          <w:szCs w:val="20"/>
        </w:rPr>
        <w:t xml:space="preserve"> (draft), p.</w:t>
      </w:r>
      <w:r w:rsidRPr="00132342">
        <w:rPr>
          <w:szCs w:val="20"/>
        </w:rPr>
        <w:t xml:space="preserve"> 21</w:t>
      </w:r>
      <w:r>
        <w:rPr>
          <w:szCs w:val="20"/>
        </w:rPr>
        <w:t>.</w:t>
      </w:r>
    </w:p>
  </w:footnote>
  <w:footnote w:id="72">
    <w:p w:rsidR="00290662" w:rsidRDefault="00290662" w:rsidP="00D3070C">
      <w:pPr>
        <w:pStyle w:val="FootnoteText"/>
        <w:rPr>
          <w:rFonts w:asciiTheme="minorHAnsi" w:hAnsiTheme="minorHAnsi" w:cstheme="minorBidi"/>
          <w:szCs w:val="20"/>
          <w:lang w:val="en-US"/>
        </w:rPr>
      </w:pPr>
      <w:r>
        <w:rPr>
          <w:rStyle w:val="FootnoteReference"/>
          <w:rFonts w:cstheme="minorBidi"/>
        </w:rPr>
        <w:footnoteRef/>
      </w:r>
      <w:r>
        <w:t xml:space="preserve"> </w:t>
      </w:r>
      <w:r>
        <w:rPr>
          <w:lang w:val="en-US"/>
        </w:rPr>
        <w:t xml:space="preserve">At the time of writing, MoRA’s </w:t>
      </w:r>
      <w:r w:rsidRPr="0069023F">
        <w:rPr>
          <w:i/>
          <w:lang w:val="en-US"/>
        </w:rPr>
        <w:t>Renstra</w:t>
      </w:r>
      <w:r>
        <w:rPr>
          <w:lang w:val="en-US"/>
        </w:rPr>
        <w:t xml:space="preserve"> for 2015-2019 had not been officially launched.</w:t>
      </w:r>
    </w:p>
  </w:footnote>
  <w:footnote w:id="73">
    <w:p w:rsidR="00290662" w:rsidRDefault="00290662" w:rsidP="00D3070C">
      <w:pPr>
        <w:pStyle w:val="FootnoteText"/>
        <w:rPr>
          <w:lang w:val="en-US"/>
        </w:rPr>
      </w:pPr>
      <w:r>
        <w:rPr>
          <w:rStyle w:val="FootnoteReference"/>
          <w:rFonts w:cstheme="minorBidi"/>
        </w:rPr>
        <w:footnoteRef/>
      </w:r>
      <w:r>
        <w:t xml:space="preserve"> </w:t>
      </w:r>
      <w:r>
        <w:rPr>
          <w:lang w:val="en-US"/>
        </w:rPr>
        <w:t xml:space="preserve">The development of the new regulation on MDCs stipulated a change in the title for these entities. They are now formally titled </w:t>
      </w:r>
      <w:r>
        <w:rPr>
          <w:i/>
          <w:lang w:val="en-US"/>
        </w:rPr>
        <w:t>Pusat Pengembangan Madrasah</w:t>
      </w:r>
      <w:r>
        <w:rPr>
          <w:lang w:val="en-US"/>
        </w:rPr>
        <w:t xml:space="preserve"> or PPM. In the interest of maintaining consistency with previous APPR reports, the acronym MDC is retained for this report. </w:t>
      </w:r>
    </w:p>
  </w:footnote>
  <w:footnote w:id="74">
    <w:p w:rsidR="00290662" w:rsidRDefault="00290662" w:rsidP="00D3070C">
      <w:pPr>
        <w:pStyle w:val="FootnoteText"/>
        <w:rPr>
          <w:rFonts w:asciiTheme="minorHAnsi" w:eastAsiaTheme="minorHAnsi" w:hAnsiTheme="minorHAnsi" w:cstheme="minorBidi"/>
          <w:lang w:val="en-US"/>
        </w:rPr>
      </w:pPr>
      <w:r>
        <w:rPr>
          <w:rStyle w:val="FootnoteReference"/>
          <w:rFonts w:cstheme="minorBidi"/>
        </w:rPr>
        <w:footnoteRef/>
      </w:r>
      <w:r>
        <w:t xml:space="preserve"> </w:t>
      </w:r>
      <w:r>
        <w:rPr>
          <w:lang w:val="en-US"/>
        </w:rPr>
        <w:t xml:space="preserve">Non-targeted Madrasah were not included from Phase 3 on the basis that it had become increasingly difficult to identify candidate institutions that met the basic criteria for participation. This was partly a consequence of the targeting of more marginal institutions in the first instance. The expansion of MoRA’s </w:t>
      </w:r>
      <w:r>
        <w:rPr>
          <w:i/>
          <w:lang w:val="en-US"/>
        </w:rPr>
        <w:t xml:space="preserve">Madrasah Up-Grading Program </w:t>
      </w:r>
      <w:r>
        <w:rPr>
          <w:lang w:val="en-US"/>
        </w:rPr>
        <w:t>also encompassed Madrasah that may otherwise have been drawn into the program as ‘non-targeted’ participants.</w:t>
      </w:r>
    </w:p>
  </w:footnote>
  <w:footnote w:id="75">
    <w:p w:rsidR="00290662" w:rsidRDefault="00290662" w:rsidP="00D3070C">
      <w:pPr>
        <w:pStyle w:val="FootnoteText"/>
        <w:rPr>
          <w:lang w:val="en-US"/>
        </w:rPr>
      </w:pPr>
      <w:r>
        <w:rPr>
          <w:rStyle w:val="FootnoteReference"/>
          <w:rFonts w:cstheme="minorBidi"/>
        </w:rPr>
        <w:footnoteRef/>
      </w:r>
      <w:r>
        <w:t xml:space="preserve"> </w:t>
      </w:r>
      <w:r>
        <w:rPr>
          <w:rFonts w:cs="Arial"/>
          <w:shd w:val="clear" w:color="auto" w:fill="FFFFFF"/>
        </w:rPr>
        <w:t xml:space="preserve">Of the remainder, 3.7% attained a C ranking, and 0.3% (4 Madrasah) were yet to be assessed. Prior to Phase 3, the cumulative average was 90.7% of targeted Madrasah ranked at A or B. See </w:t>
      </w:r>
      <w:r>
        <w:rPr>
          <w:i/>
          <w:lang w:val="en-US"/>
        </w:rPr>
        <w:t>School Systems and Quality Annual Progress Report 2015</w:t>
      </w:r>
      <w:r>
        <w:rPr>
          <w:lang w:val="en-US"/>
        </w:rPr>
        <w:t>. p. 25.</w:t>
      </w:r>
    </w:p>
  </w:footnote>
  <w:footnote w:id="76">
    <w:p w:rsidR="00290662" w:rsidRDefault="00290662" w:rsidP="00D3070C">
      <w:pPr>
        <w:pStyle w:val="FootnoteText"/>
        <w:rPr>
          <w:lang w:val="en-US"/>
        </w:rPr>
      </w:pPr>
      <w:r>
        <w:rPr>
          <w:rStyle w:val="FootnoteReference"/>
          <w:rFonts w:cstheme="minorBidi"/>
        </w:rPr>
        <w:footnoteRef/>
      </w:r>
      <w:r>
        <w:t xml:space="preserve"> </w:t>
      </w:r>
      <w:r>
        <w:rPr>
          <w:lang w:val="en-US"/>
        </w:rPr>
        <w:t>Responses included changes to training schedules in order to frontload modules that are most critical in terms of meeting assessment requirements, and intensive negotiations with provincial MoRA and BAN-S/M offices in order to secure the inclusion of supported Madrasah in accreditation quotas.</w:t>
      </w:r>
    </w:p>
  </w:footnote>
  <w:footnote w:id="77">
    <w:p w:rsidR="00290662" w:rsidRDefault="00290662" w:rsidP="00D3070C">
      <w:pPr>
        <w:pStyle w:val="FootnoteText"/>
        <w:rPr>
          <w:lang w:val="en-US"/>
        </w:rPr>
      </w:pPr>
      <w:r>
        <w:rPr>
          <w:rStyle w:val="FootnoteReference"/>
          <w:rFonts w:cstheme="minorBidi"/>
        </w:rPr>
        <w:footnoteRef/>
      </w:r>
      <w:r>
        <w:t xml:space="preserve"> MoRA financial commitments for these programs were Rp. 60 billion. </w:t>
      </w:r>
      <w:r>
        <w:rPr>
          <w:i/>
        </w:rPr>
        <w:t>SSQ Weekly Report,</w:t>
      </w:r>
      <w:r>
        <w:t xml:space="preserve"> March 20, 2015.</w:t>
      </w:r>
    </w:p>
  </w:footnote>
  <w:footnote w:id="78">
    <w:p w:rsidR="00290662" w:rsidRDefault="00290662" w:rsidP="007844FE">
      <w:pPr>
        <w:pStyle w:val="FootnoteText"/>
        <w:rPr>
          <w:rFonts w:eastAsiaTheme="minorHAnsi"/>
          <w:lang w:val="en-US"/>
        </w:rPr>
      </w:pPr>
      <w:r>
        <w:rPr>
          <w:rStyle w:val="FootnoteReference"/>
          <w:rFonts w:cstheme="minorBidi"/>
        </w:rPr>
        <w:footnoteRef/>
      </w:r>
      <w:r>
        <w:t xml:space="preserve"> The Islamic Education Quality Assurance Centre (</w:t>
      </w:r>
      <w:r>
        <w:rPr>
          <w:i/>
        </w:rPr>
        <w:t>Pusat Penjamin Mutu Pendidikan Islam</w:t>
      </w:r>
      <w:r>
        <w:t xml:space="preserve">) will be located in MoRA central at the Echelon 2 level. </w:t>
      </w:r>
      <w:r>
        <w:rPr>
          <w:i/>
        </w:rPr>
        <w:t>SSQ Weekly Report</w:t>
      </w:r>
      <w:r>
        <w:t>, 5 June, 2015.</w:t>
      </w:r>
    </w:p>
  </w:footnote>
  <w:footnote w:id="79">
    <w:p w:rsidR="00290662" w:rsidRPr="00B03240" w:rsidRDefault="00290662" w:rsidP="00206953">
      <w:pPr>
        <w:pStyle w:val="FootnoteText"/>
        <w:rPr>
          <w:lang w:val="en-US"/>
        </w:rPr>
      </w:pPr>
      <w:r>
        <w:rPr>
          <w:rStyle w:val="FootnoteReference"/>
        </w:rPr>
        <w:footnoteRef/>
      </w:r>
      <w:r>
        <w:t xml:space="preserve"> </w:t>
      </w:r>
      <w:r>
        <w:rPr>
          <w:lang w:val="en-US"/>
        </w:rPr>
        <w:t>The cuts were based on a 2013 decision to limit the provincial reach of the program and deepen activities in provinces with large numbers of madrasah. Correspondence, SSQ Management Team, 5 April 2016.</w:t>
      </w:r>
    </w:p>
  </w:footnote>
  <w:footnote w:id="80">
    <w:p w:rsidR="00290662" w:rsidRDefault="00290662" w:rsidP="007844FE">
      <w:pPr>
        <w:pStyle w:val="FootnoteText"/>
        <w:rPr>
          <w:lang w:val="en-US"/>
        </w:rPr>
      </w:pPr>
      <w:r>
        <w:rPr>
          <w:rStyle w:val="FootnoteReference"/>
          <w:rFonts w:cstheme="minorBidi"/>
        </w:rPr>
        <w:footnoteRef/>
      </w:r>
      <w:r>
        <w:t xml:space="preserve"> </w:t>
      </w:r>
      <w:r>
        <w:rPr>
          <w:rFonts w:eastAsiaTheme="minorEastAsia"/>
        </w:rPr>
        <w:t xml:space="preserve">It is unlikely, for example, that SNIPs would have been granted the same degree of input into discussions on the draft MDC regulation had they not proven to be such efficient mechanisms for </w:t>
      </w:r>
      <w:r w:rsidRPr="007844FE">
        <w:rPr>
          <w:rFonts w:eastAsiaTheme="minorEastAsia"/>
        </w:rPr>
        <w:t>accreditation</w:t>
      </w:r>
      <w:r>
        <w:rPr>
          <w:rFonts w:eastAsiaTheme="minorEastAsia"/>
        </w:rPr>
        <w:t xml:space="preserve"> preparation over the first two phases of the program. </w:t>
      </w:r>
    </w:p>
  </w:footnote>
  <w:footnote w:id="81">
    <w:p w:rsidR="00290662" w:rsidRPr="00A907A2" w:rsidRDefault="00290662">
      <w:pPr>
        <w:pStyle w:val="FootnoteText"/>
        <w:rPr>
          <w:lang w:val="en-US"/>
        </w:rPr>
      </w:pPr>
      <w:r>
        <w:rPr>
          <w:rStyle w:val="FootnoteReference"/>
        </w:rPr>
        <w:footnoteRef/>
      </w:r>
      <w:r>
        <w:t xml:space="preserve"> </w:t>
      </w:r>
      <w:r>
        <w:rPr>
          <w:lang w:val="en-US"/>
        </w:rPr>
        <w:t>All supported madrasah were technically at the TT or unaccredited level. However, selection processes for inclusion in the program included ‘mock assessments’ in order to determine which institutions were most in need of assistance.</w:t>
      </w:r>
    </w:p>
  </w:footnote>
  <w:footnote w:id="82">
    <w:p w:rsidR="00290662" w:rsidRDefault="00290662" w:rsidP="007844FE">
      <w:pPr>
        <w:pStyle w:val="FootnoteText"/>
        <w:rPr>
          <w:rFonts w:asciiTheme="minorHAnsi" w:eastAsiaTheme="minorHAnsi" w:hAnsiTheme="minorHAnsi" w:cstheme="minorBidi"/>
          <w:lang w:val="en-US"/>
        </w:rPr>
      </w:pPr>
      <w:r>
        <w:rPr>
          <w:rStyle w:val="FootnoteReference"/>
          <w:rFonts w:cstheme="minorBidi"/>
        </w:rPr>
        <w:footnoteRef/>
      </w:r>
      <w:r>
        <w:t xml:space="preserve"> </w:t>
      </w:r>
      <w:r>
        <w:rPr>
          <w:lang w:val="en-US"/>
        </w:rPr>
        <w:t>The need to assess appropriate levels of block grant support were listed as Recommendation 15 for C3 in the 2014 APPR, p. 45.</w:t>
      </w:r>
    </w:p>
  </w:footnote>
  <w:footnote w:id="83">
    <w:p w:rsidR="00290662" w:rsidRDefault="00290662" w:rsidP="007844FE">
      <w:pPr>
        <w:pStyle w:val="FootnoteText"/>
        <w:rPr>
          <w:lang w:val="en-US"/>
        </w:rPr>
      </w:pPr>
      <w:r>
        <w:rPr>
          <w:rStyle w:val="FootnoteReference"/>
          <w:rFonts w:cstheme="minorBidi"/>
        </w:rPr>
        <w:footnoteRef/>
      </w:r>
      <w:r>
        <w:t xml:space="preserve"> Evidence to support changes was a product two studies conducted in mid-2015. These </w:t>
      </w:r>
      <w:r w:rsidRPr="007844FE">
        <w:t>were</w:t>
      </w:r>
      <w:r>
        <w:t xml:space="preserve"> the POM-produced </w:t>
      </w:r>
      <w:r>
        <w:rPr>
          <w:i/>
          <w:lang w:val="en-US"/>
        </w:rPr>
        <w:t>EOPO 3 Evaluation Study: Endline Report</w:t>
      </w:r>
      <w:r>
        <w:rPr>
          <w:lang w:val="en-US"/>
        </w:rPr>
        <w:t xml:space="preserve"> and the </w:t>
      </w:r>
      <w:r>
        <w:rPr>
          <w:i/>
          <w:lang w:val="en-US"/>
        </w:rPr>
        <w:t>Comparative Study of Madrasah Development Centres</w:t>
      </w:r>
      <w:r>
        <w:rPr>
          <w:lang w:val="en-US"/>
        </w:rPr>
        <w:t>.</w:t>
      </w:r>
    </w:p>
  </w:footnote>
  <w:footnote w:id="84">
    <w:p w:rsidR="00290662" w:rsidRDefault="00290662" w:rsidP="007844FE">
      <w:pPr>
        <w:pStyle w:val="FootnoteText"/>
        <w:rPr>
          <w:lang w:val="en-US"/>
        </w:rPr>
      </w:pPr>
      <w:r>
        <w:rPr>
          <w:rStyle w:val="FootnoteReference"/>
          <w:rFonts w:cstheme="minorBidi"/>
        </w:rPr>
        <w:footnoteRef/>
      </w:r>
      <w:r>
        <w:t xml:space="preserve"> </w:t>
      </w:r>
      <w:r>
        <w:rPr>
          <w:lang w:val="en-US"/>
        </w:rPr>
        <w:t xml:space="preserve">SSQ’s success in demonstrating the possibilities for cost-sharing at the district level must be </w:t>
      </w:r>
      <w:r w:rsidRPr="007844FE">
        <w:t>credited</w:t>
      </w:r>
      <w:r>
        <w:rPr>
          <w:lang w:val="en-US"/>
        </w:rPr>
        <w:t xml:space="preserve"> for the inclusion of this proposal.</w:t>
      </w:r>
    </w:p>
  </w:footnote>
  <w:footnote w:id="85">
    <w:p w:rsidR="00290662" w:rsidRDefault="00290662" w:rsidP="007844FE">
      <w:pPr>
        <w:pStyle w:val="FootnoteText"/>
        <w:rPr>
          <w:lang w:val="en-US"/>
        </w:rPr>
      </w:pPr>
      <w:r>
        <w:rPr>
          <w:rStyle w:val="FootnoteReference"/>
          <w:rFonts w:cstheme="minorBidi"/>
        </w:rPr>
        <w:footnoteRef/>
      </w:r>
      <w:r>
        <w:t xml:space="preserve"> </w:t>
      </w:r>
      <w:r>
        <w:rPr>
          <w:rFonts w:eastAsiaTheme="minorEastAsia"/>
        </w:rPr>
        <w:t xml:space="preserve">MoRA’s primary accreditation program (track two or </w:t>
      </w:r>
      <w:r>
        <w:rPr>
          <w:rFonts w:eastAsiaTheme="minorEastAsia"/>
          <w:i/>
        </w:rPr>
        <w:t>replikasi</w:t>
      </w:r>
      <w:r>
        <w:rPr>
          <w:rFonts w:eastAsiaTheme="minorEastAsia"/>
        </w:rPr>
        <w:t xml:space="preserve">) is based upon for a condensed package of modules aimed at boosting Madrasah managerial and administrative capacity. Al-Maarif, the Central Java SNIP for Phase 2, elected to focus on providing Madrasah Based Management (MBM) training to 1,000 of its Madrasah for the purposes of independent accreditation preparation and general quality improvement. Independent capacity building activities carried out by the East Java SNIP have also been modelled on a system whereby Madrasah select training packages that are felt to best meet individual needs. </w:t>
      </w:r>
    </w:p>
  </w:footnote>
  <w:footnote w:id="86">
    <w:p w:rsidR="00290662" w:rsidRDefault="00290662" w:rsidP="007844FE">
      <w:pPr>
        <w:pStyle w:val="FootnoteText"/>
        <w:rPr>
          <w:lang w:val="en-US"/>
        </w:rPr>
      </w:pPr>
      <w:r>
        <w:rPr>
          <w:rStyle w:val="FootnoteReference"/>
          <w:rFonts w:cstheme="minorBidi"/>
        </w:rPr>
        <w:footnoteRef/>
      </w:r>
      <w:r>
        <w:t xml:space="preserve"> In the case of SNIPs that were MDCs, individuals may take up formal roles within the revised MDC structure. Alternatively, they may position themselves to provide a range of services as subcontractors. </w:t>
      </w:r>
      <w:r>
        <w:rPr>
          <w:bCs/>
        </w:rPr>
        <w:t>The Grand Design contains a range of recommendations in regard to training that cater strongly to individuals with SNIP experience.</w:t>
      </w:r>
    </w:p>
  </w:footnote>
  <w:footnote w:id="87">
    <w:p w:rsidR="00290662" w:rsidRDefault="00290662" w:rsidP="007844FE">
      <w:pPr>
        <w:pStyle w:val="FootnoteText"/>
        <w:rPr>
          <w:lang w:val="en-GB"/>
        </w:rPr>
      </w:pPr>
      <w:r>
        <w:rPr>
          <w:rStyle w:val="FootnoteReference"/>
          <w:rFonts w:cstheme="minorBidi"/>
        </w:rPr>
        <w:footnoteRef/>
      </w:r>
      <w:r>
        <w:t xml:space="preserve"> </w:t>
      </w:r>
      <w:r>
        <w:rPr>
          <w:i/>
          <w:lang w:val="en-US"/>
        </w:rPr>
        <w:t>SSQ Annual Progress Report 2015</w:t>
      </w:r>
      <w:r>
        <w:rPr>
          <w:lang w:val="en-US"/>
        </w:rPr>
        <w:t>, p. 34. Updated data for the full calendar year was provided by the SSQ Management Team in April, 2016. . External funding support for Target madrasah consisted of Rp. 8.9 million from madrasah communities, Rp. 300 million from local governments, and Rp</w:t>
      </w:r>
      <w:r w:rsidRPr="00B03240">
        <w:rPr>
          <w:lang w:val="en-US"/>
        </w:rPr>
        <w:t>. 3.9billion</w:t>
      </w:r>
      <w:r>
        <w:rPr>
          <w:lang w:val="en-US"/>
        </w:rPr>
        <w:t xml:space="preserve"> from MoRA.The budget allocation for 3,000 Madrasah participating in the replikasi program for 2015 was Rp. 54.6 billion from MoRA, and Rp. 2 billion from local government. These updated figures have not been verified by POM. It is recommended that a more complete assessment of external funding initiatives be conducted as a part of the Independent Completion Review.</w:t>
      </w:r>
    </w:p>
  </w:footnote>
  <w:footnote w:id="88">
    <w:p w:rsidR="00290662" w:rsidRDefault="00290662" w:rsidP="007844FE">
      <w:pPr>
        <w:pStyle w:val="FootnoteText"/>
        <w:rPr>
          <w:rFonts w:asciiTheme="minorHAnsi" w:eastAsiaTheme="minorHAnsi" w:hAnsiTheme="minorHAnsi" w:cstheme="minorBidi"/>
          <w:lang w:val="en-US"/>
        </w:rPr>
      </w:pPr>
      <w:r>
        <w:rPr>
          <w:rStyle w:val="FootnoteReference"/>
          <w:rFonts w:cstheme="minorBidi"/>
        </w:rPr>
        <w:footnoteRef/>
      </w:r>
      <w:r>
        <w:t xml:space="preserve"> </w:t>
      </w:r>
      <w:r>
        <w:rPr>
          <w:lang w:val="en-US"/>
        </w:rPr>
        <w:t xml:space="preserve">Not only are private Madrasah outside of the mainstream MoEC district education system, they frequently reside at the fringes of the MoRA system as well. </w:t>
      </w:r>
    </w:p>
  </w:footnote>
  <w:footnote w:id="89">
    <w:p w:rsidR="00290662" w:rsidRDefault="00290662" w:rsidP="007844FE">
      <w:pPr>
        <w:pStyle w:val="FootnoteText"/>
        <w:rPr>
          <w:lang w:val="en-US"/>
        </w:rPr>
      </w:pPr>
      <w:r>
        <w:rPr>
          <w:rStyle w:val="FootnoteReference"/>
          <w:rFonts w:cstheme="minorBidi"/>
        </w:rPr>
        <w:footnoteRef/>
      </w:r>
      <w:r>
        <w:t xml:space="preserve"> These associations include Madrasah Working Groups (</w:t>
      </w:r>
      <w:r>
        <w:rPr>
          <w:i/>
        </w:rPr>
        <w:t>Kelompok Kerja Madrasah</w:t>
      </w:r>
      <w:r>
        <w:t xml:space="preserve"> or KKM); Elementary Teachers Working Groups (</w:t>
      </w:r>
      <w:r>
        <w:rPr>
          <w:i/>
        </w:rPr>
        <w:t>Kelompok Kerja Guru</w:t>
      </w:r>
      <w:r>
        <w:t xml:space="preserve"> or KKG); and </w:t>
      </w:r>
      <w:r>
        <w:rPr>
          <w:lang w:val="en-US"/>
        </w:rPr>
        <w:t>Junior &amp; Senior Secondary Teachers Subject Matter Associations (</w:t>
      </w:r>
      <w:r>
        <w:rPr>
          <w:i/>
          <w:lang w:val="en-US"/>
        </w:rPr>
        <w:t>Musyawarah Guru Mata Pelajaran</w:t>
      </w:r>
      <w:r>
        <w:rPr>
          <w:lang w:val="en-US"/>
        </w:rPr>
        <w:t xml:space="preserve"> or MGMP).</w:t>
      </w:r>
    </w:p>
  </w:footnote>
  <w:footnote w:id="90">
    <w:p w:rsidR="00290662" w:rsidRDefault="00290662" w:rsidP="007844FE">
      <w:pPr>
        <w:pStyle w:val="FootnoteText"/>
        <w:rPr>
          <w:lang w:val="en-GB"/>
        </w:rPr>
      </w:pPr>
      <w:r>
        <w:rPr>
          <w:rStyle w:val="FootnoteReference"/>
          <w:rFonts w:cstheme="minorBidi"/>
        </w:rPr>
        <w:footnoteRef/>
      </w:r>
      <w:r>
        <w:t xml:space="preserve"> By the end of 2015, 202 KKM had received training from the SSQ managing contractor. This figure was 12% higher than the PMF target for the year. See </w:t>
      </w:r>
      <w:r>
        <w:rPr>
          <w:i/>
          <w:lang w:val="en-US"/>
        </w:rPr>
        <w:t>Performance Milestone Framework Report 2015</w:t>
      </w:r>
      <w:r>
        <w:rPr>
          <w:lang w:val="en-US"/>
        </w:rPr>
        <w:t xml:space="preserve">. POM, p. </w:t>
      </w:r>
      <w:r w:rsidRPr="00206953">
        <w:rPr>
          <w:lang w:val="en-US"/>
        </w:rPr>
        <w:t>53</w:t>
      </w:r>
      <w:r w:rsidRPr="00BD5D3A">
        <w:rPr>
          <w:lang w:val="en-US"/>
        </w:rPr>
        <w:t>.</w:t>
      </w:r>
      <w:r>
        <w:rPr>
          <w:lang w:val="en-US"/>
        </w:rPr>
        <w:t xml:space="preserve"> </w:t>
      </w:r>
    </w:p>
  </w:footnote>
  <w:footnote w:id="91">
    <w:p w:rsidR="00290662" w:rsidRDefault="00290662" w:rsidP="007844FE">
      <w:pPr>
        <w:pStyle w:val="FootnoteText"/>
        <w:rPr>
          <w:lang w:val="en-US"/>
        </w:rPr>
      </w:pPr>
      <w:r>
        <w:rPr>
          <w:rStyle w:val="FootnoteReference"/>
          <w:rFonts w:cstheme="minorBidi"/>
        </w:rPr>
        <w:footnoteRef/>
      </w:r>
      <w:r>
        <w:t xml:space="preserve"> Unlike the case with MoEC, MoRA district offices are relatively poorly resourced implementing units. </w:t>
      </w:r>
    </w:p>
  </w:footnote>
  <w:footnote w:id="92">
    <w:p w:rsidR="00290662" w:rsidRDefault="00290662" w:rsidP="007844FE">
      <w:pPr>
        <w:pStyle w:val="FootnoteText"/>
        <w:rPr>
          <w:rFonts w:asciiTheme="minorHAnsi" w:hAnsiTheme="minorHAnsi" w:cstheme="minorBidi"/>
          <w:szCs w:val="20"/>
          <w:lang w:val="en-US"/>
        </w:rPr>
      </w:pPr>
      <w:r>
        <w:rPr>
          <w:rStyle w:val="FootnoteReference"/>
          <w:rFonts w:cstheme="minorBidi"/>
        </w:rPr>
        <w:footnoteRef/>
      </w:r>
      <w:r>
        <w:t xml:space="preserve"> </w:t>
      </w:r>
      <w:r>
        <w:rPr>
          <w:lang w:val="en-US"/>
        </w:rPr>
        <w:t>The real figure is most-likely higher, as leading SNIP were active in delivering a range of C3-based services in non-target districts. SNIP Central Java and SNIP East Java were particularly active in rolling out modified C3 activities to Madrasah in a number of non-targeted districts. The exact number of Madrasah touched by such activities has not been verified.</w:t>
      </w:r>
    </w:p>
  </w:footnote>
  <w:footnote w:id="93">
    <w:p w:rsidR="00290662" w:rsidRPr="007844FE" w:rsidRDefault="00290662" w:rsidP="007844FE">
      <w:pPr>
        <w:pStyle w:val="FootnoteText"/>
      </w:pPr>
      <w:r>
        <w:rPr>
          <w:rStyle w:val="FootnoteReference"/>
          <w:rFonts w:cstheme="minorBidi"/>
        </w:rPr>
        <w:footnoteRef/>
      </w:r>
      <w:r>
        <w:t xml:space="preserve"> </w:t>
      </w:r>
      <w:r w:rsidRPr="007844FE">
        <w:t xml:space="preserve">PAIKEM: Pembelajaran Aktif, Inovatif, Kreatif, Efektif, dan Menyenangkan (Learning which is active, innovative, creative, effective, and enjoyable). PAIKEM was a specific training module delivered as a part of the assistance package for targeted and non-targeted </w:t>
      </w:r>
      <w:r>
        <w:t>Madrasah</w:t>
      </w:r>
      <w:r w:rsidRPr="007844FE">
        <w:t>.</w:t>
      </w:r>
    </w:p>
  </w:footnote>
  <w:footnote w:id="94">
    <w:p w:rsidR="00290662" w:rsidRDefault="00290662" w:rsidP="007844FE">
      <w:pPr>
        <w:pStyle w:val="FootnoteText"/>
        <w:rPr>
          <w:lang w:val="en-US"/>
        </w:rPr>
      </w:pPr>
      <w:r>
        <w:rPr>
          <w:rStyle w:val="FootnoteReference"/>
          <w:rFonts w:cstheme="minorBidi"/>
        </w:rPr>
        <w:footnoteRef/>
      </w:r>
      <w:r>
        <w:t xml:space="preserve"> The </w:t>
      </w:r>
      <w:r>
        <w:rPr>
          <w:lang w:val="en-US"/>
        </w:rPr>
        <w:t xml:space="preserve">assessment category of </w:t>
      </w:r>
      <w:r>
        <w:rPr>
          <w:i/>
          <w:lang w:val="en-US"/>
        </w:rPr>
        <w:t>Learning, Curriculum, and Instruction</w:t>
      </w:r>
      <w:r>
        <w:rPr>
          <w:lang w:val="en-US"/>
        </w:rPr>
        <w:t xml:space="preserve"> recorded the highest average increase in the </w:t>
      </w:r>
      <w:r w:rsidRPr="007844FE">
        <w:t>prevalence</w:t>
      </w:r>
      <w:r>
        <w:rPr>
          <w:lang w:val="en-US"/>
        </w:rPr>
        <w:t xml:space="preserve"> of practices that support quality service provision in the EOPO 3 Endline study. Analysis also showed that the impact of interventions in stimulating improvements in classroom practices was very high. See </w:t>
      </w:r>
      <w:r>
        <w:rPr>
          <w:i/>
          <w:lang w:val="en-US"/>
        </w:rPr>
        <w:t>EOPO 3 Evaluation Study: Endline Report</w:t>
      </w:r>
      <w:r>
        <w:rPr>
          <w:lang w:val="en-US"/>
        </w:rPr>
        <w:t>. POM, 2015, pp. 15, 32.</w:t>
      </w:r>
    </w:p>
  </w:footnote>
  <w:footnote w:id="95">
    <w:p w:rsidR="00290662" w:rsidRDefault="00290662" w:rsidP="007844FE">
      <w:pPr>
        <w:pStyle w:val="FootnoteText"/>
        <w:rPr>
          <w:lang w:val="en-US"/>
        </w:rPr>
      </w:pPr>
      <w:r>
        <w:rPr>
          <w:rStyle w:val="FootnoteReference"/>
          <w:rFonts w:cstheme="minorBidi"/>
        </w:rPr>
        <w:footnoteRef/>
      </w:r>
      <w:r>
        <w:t xml:space="preserve"> </w:t>
      </w:r>
      <w:r>
        <w:rPr>
          <w:i/>
        </w:rPr>
        <w:t xml:space="preserve">Comparative Study of </w:t>
      </w:r>
      <w:r>
        <w:rPr>
          <w:i/>
          <w:lang w:val="en-US"/>
        </w:rPr>
        <w:t>Madrasah Development Centres.</w:t>
      </w:r>
      <w:r>
        <w:rPr>
          <w:lang w:val="en-US"/>
        </w:rPr>
        <w:t xml:space="preserve"> POM, 2015, p. 25.</w:t>
      </w:r>
    </w:p>
  </w:footnote>
  <w:footnote w:id="96">
    <w:p w:rsidR="00290662" w:rsidRDefault="00290662" w:rsidP="007844FE">
      <w:pPr>
        <w:pStyle w:val="FootnoteText"/>
        <w:rPr>
          <w:lang w:val="en-US"/>
        </w:rPr>
      </w:pPr>
      <w:r>
        <w:rPr>
          <w:rStyle w:val="FootnoteReference"/>
          <w:rFonts w:cstheme="minorBidi"/>
        </w:rPr>
        <w:footnoteRef/>
      </w:r>
      <w:r>
        <w:t xml:space="preserve"> </w:t>
      </w:r>
      <w:r>
        <w:rPr>
          <w:lang w:val="en-US"/>
        </w:rPr>
        <w:t xml:space="preserve">Madrasah-Based Management was one of the training </w:t>
      </w:r>
      <w:r w:rsidRPr="007844FE">
        <w:t>modules</w:t>
      </w:r>
      <w:r>
        <w:rPr>
          <w:lang w:val="en-US"/>
        </w:rPr>
        <w:t xml:space="preserve"> delivered by the managing contractor.</w:t>
      </w:r>
    </w:p>
  </w:footnote>
  <w:footnote w:id="97">
    <w:p w:rsidR="00290662" w:rsidRDefault="00290662" w:rsidP="007844FE">
      <w:pPr>
        <w:pStyle w:val="FootnoteText"/>
        <w:rPr>
          <w:rFonts w:asciiTheme="minorHAnsi" w:eastAsiaTheme="minorHAnsi" w:hAnsiTheme="minorHAnsi" w:cstheme="minorBidi"/>
          <w:lang w:val="en-US"/>
        </w:rPr>
      </w:pPr>
      <w:r>
        <w:rPr>
          <w:rStyle w:val="FootnoteReference"/>
          <w:rFonts w:cstheme="minorBidi"/>
        </w:rPr>
        <w:footnoteRef/>
      </w:r>
      <w:r>
        <w:t xml:space="preserve"> </w:t>
      </w:r>
      <w:r>
        <w:rPr>
          <w:lang w:val="id-ID"/>
        </w:rPr>
        <w:t xml:space="preserve">Keputusan Direktur Jendral Pendidikan Islam </w:t>
      </w:r>
      <w:r w:rsidRPr="007844FE">
        <w:t>Nomor</w:t>
      </w:r>
      <w:r>
        <w:rPr>
          <w:lang w:val="id-ID"/>
        </w:rPr>
        <w:t xml:space="preserve"> 1385</w:t>
      </w:r>
      <w:r>
        <w:rPr>
          <w:lang w:val="en-US"/>
        </w:rPr>
        <w:t>,</w:t>
      </w:r>
      <w:r>
        <w:rPr>
          <w:lang w:val="id-ID"/>
        </w:rPr>
        <w:t xml:space="preserve"> tahun 201</w:t>
      </w:r>
      <w:r>
        <w:rPr>
          <w:lang w:val="en-US"/>
        </w:rPr>
        <w:t>4.</w:t>
      </w:r>
    </w:p>
  </w:footnote>
  <w:footnote w:id="98">
    <w:p w:rsidR="00290662" w:rsidRDefault="00290662" w:rsidP="007844FE">
      <w:pPr>
        <w:pStyle w:val="FootnoteText"/>
        <w:rPr>
          <w:lang w:val="en-US"/>
        </w:rPr>
      </w:pPr>
      <w:r>
        <w:rPr>
          <w:rStyle w:val="FootnoteReference"/>
          <w:rFonts w:cstheme="minorBidi"/>
        </w:rPr>
        <w:footnoteRef/>
      </w:r>
      <w:r>
        <w:t xml:space="preserve"> </w:t>
      </w:r>
      <w:r>
        <w:rPr>
          <w:lang w:val="en-US"/>
        </w:rPr>
        <w:t xml:space="preserve">It is anticipated that private institutions will play an important role in the expansion of senior secondary services under this new program. See ACDP 004. </w:t>
      </w:r>
      <w:r>
        <w:rPr>
          <w:i/>
          <w:lang w:val="en-US"/>
        </w:rPr>
        <w:t>General Senior Secondary Education Financing in Indonesia</w:t>
      </w:r>
      <w:r>
        <w:rPr>
          <w:lang w:val="en-US"/>
        </w:rPr>
        <w:t xml:space="preserve">, ACDP, 2013, p. 30. </w:t>
      </w:r>
    </w:p>
  </w:footnote>
  <w:footnote w:id="99">
    <w:p w:rsidR="00290662" w:rsidRDefault="00290662" w:rsidP="007844FE">
      <w:pPr>
        <w:pStyle w:val="FootnoteText"/>
        <w:rPr>
          <w:lang w:val="en-US"/>
        </w:rPr>
      </w:pPr>
      <w:r>
        <w:rPr>
          <w:rStyle w:val="FootnoteReference"/>
          <w:rFonts w:cstheme="minorBidi"/>
        </w:rPr>
        <w:footnoteRef/>
      </w:r>
      <w:r>
        <w:t xml:space="preserve"> </w:t>
      </w:r>
      <w:r>
        <w:rPr>
          <w:i/>
        </w:rPr>
        <w:t xml:space="preserve">Comparative Study of </w:t>
      </w:r>
      <w:r>
        <w:rPr>
          <w:i/>
          <w:lang w:val="en-US"/>
        </w:rPr>
        <w:t>Madrasah Development Centres.</w:t>
      </w:r>
      <w:r>
        <w:rPr>
          <w:lang w:val="en-US"/>
        </w:rPr>
        <w:t xml:space="preserve"> POM, 2015, pp. 20-23.</w:t>
      </w:r>
    </w:p>
  </w:footnote>
  <w:footnote w:id="100">
    <w:p w:rsidR="00290662" w:rsidRDefault="00290662" w:rsidP="007844FE">
      <w:pPr>
        <w:pStyle w:val="FootnoteText"/>
        <w:rPr>
          <w:lang w:val="en-US"/>
        </w:rPr>
      </w:pPr>
      <w:r>
        <w:rPr>
          <w:rStyle w:val="FootnoteReference"/>
          <w:rFonts w:cstheme="minorBidi"/>
        </w:rPr>
        <w:footnoteRef/>
      </w:r>
      <w:r>
        <w:t xml:space="preserve"> </w:t>
      </w:r>
      <w:r>
        <w:rPr>
          <w:i/>
        </w:rPr>
        <w:t xml:space="preserve">Comparative Study of </w:t>
      </w:r>
      <w:r>
        <w:rPr>
          <w:i/>
          <w:lang w:val="en-US"/>
        </w:rPr>
        <w:t>Madrasah Development Centres.</w:t>
      </w:r>
      <w:r>
        <w:rPr>
          <w:lang w:val="en-US"/>
        </w:rPr>
        <w:t xml:space="preserve"> POM, 2015, p. 30.</w:t>
      </w:r>
    </w:p>
  </w:footnote>
  <w:footnote w:id="101">
    <w:p w:rsidR="00290662" w:rsidRDefault="00290662" w:rsidP="007844FE">
      <w:pPr>
        <w:pStyle w:val="FootnoteText"/>
        <w:rPr>
          <w:lang w:val="en-US"/>
        </w:rPr>
      </w:pPr>
      <w:r>
        <w:rPr>
          <w:rStyle w:val="FootnoteReference"/>
          <w:rFonts w:cstheme="minorBidi"/>
        </w:rPr>
        <w:footnoteRef/>
      </w:r>
      <w:r>
        <w:t xml:space="preserve"> In Riau, the SNIP contract was amended so that mentors were only obligated to visit a school once per month, as opposed to the standard two visits. This was due to higher transportation and time costs. If well-funded and managed SNIP had to reduce service standards in areas where service costs were high, it may be anticipated that the pattern will be reproduced under the new MoRA scheme.</w:t>
      </w:r>
    </w:p>
  </w:footnote>
  <w:footnote w:id="102">
    <w:p w:rsidR="00290662" w:rsidRDefault="00290662" w:rsidP="007844FE">
      <w:pPr>
        <w:pStyle w:val="FootnoteText"/>
        <w:rPr>
          <w:lang w:val="en-US"/>
        </w:rPr>
      </w:pPr>
      <w:r>
        <w:rPr>
          <w:rStyle w:val="FootnoteReference"/>
          <w:rFonts w:cstheme="minorBidi"/>
        </w:rPr>
        <w:footnoteRef/>
      </w:r>
      <w:r>
        <w:t xml:space="preserve"> Analysis showed that the impact of training activities at the cluster level was dramatically boosted by the frequency of mentor follow-up visits to individual Madrasah.</w:t>
      </w:r>
      <w:r>
        <w:rPr>
          <w:i/>
          <w:lang w:val="en-US"/>
        </w:rPr>
        <w:t xml:space="preserve"> EOPO 3 Evaluation Study: Endline Report</w:t>
      </w:r>
      <w:r>
        <w:rPr>
          <w:lang w:val="en-US"/>
        </w:rPr>
        <w:t>. POM, 2015, p. 36.</w:t>
      </w:r>
    </w:p>
  </w:footnote>
  <w:footnote w:id="103">
    <w:p w:rsidR="00290662" w:rsidRDefault="00290662" w:rsidP="007844FE">
      <w:pPr>
        <w:pStyle w:val="FootnoteText"/>
        <w:rPr>
          <w:lang w:val="en-US"/>
        </w:rPr>
      </w:pPr>
      <w:r>
        <w:rPr>
          <w:rStyle w:val="FootnoteReference"/>
          <w:rFonts w:cstheme="minorBidi"/>
        </w:rPr>
        <w:footnoteRef/>
      </w:r>
      <w:r>
        <w:t xml:space="preserve"> </w:t>
      </w:r>
      <w:r>
        <w:rPr>
          <w:lang w:val="en-US"/>
        </w:rPr>
        <w:t>The Grand Design assigns a key role to KKM as intermediaries between individual Madrasah and MoRA training and quality assurance entities.</w:t>
      </w:r>
    </w:p>
  </w:footnote>
  <w:footnote w:id="104">
    <w:p w:rsidR="00290662" w:rsidRDefault="00290662" w:rsidP="00181F57">
      <w:pPr>
        <w:pStyle w:val="FootnoteText"/>
      </w:pPr>
      <w:r>
        <w:rPr>
          <w:rStyle w:val="FootnoteReference"/>
        </w:rPr>
        <w:footnoteRef/>
      </w:r>
      <w:r>
        <w:t xml:space="preserve"> For example, </w:t>
      </w:r>
      <w:r w:rsidRPr="0069023F">
        <w:rPr>
          <w:i/>
        </w:rPr>
        <w:t>Teacher Absenteeism Study</w:t>
      </w:r>
      <w:r>
        <w:t xml:space="preserve"> (ACDP 011);</w:t>
      </w:r>
      <w:r w:rsidRPr="00EC4A53">
        <w:t xml:space="preserve"> </w:t>
      </w:r>
      <w:r w:rsidRPr="0069023F">
        <w:rPr>
          <w:i/>
        </w:rPr>
        <w:t>Overview of the Islamic Education Sector</w:t>
      </w:r>
      <w:r>
        <w:t xml:space="preserve"> (ACDP 021); </w:t>
      </w:r>
      <w:r w:rsidRPr="0069023F">
        <w:rPr>
          <w:i/>
        </w:rPr>
        <w:t>Rural and Remote Area Education Strategic Planning for Tanah Papua</w:t>
      </w:r>
      <w:r>
        <w:t xml:space="preserve"> (ACDP 039)</w:t>
      </w:r>
      <w:r w:rsidRPr="00EC4A53">
        <w:t xml:space="preserve">; </w:t>
      </w:r>
      <w:r w:rsidRPr="0069023F">
        <w:rPr>
          <w:i/>
        </w:rPr>
        <w:t>Evaluation of Principals Preparation Program</w:t>
      </w:r>
      <w:r>
        <w:t xml:space="preserve"> (ACDP 042).</w:t>
      </w:r>
    </w:p>
  </w:footnote>
  <w:footnote w:id="105">
    <w:p w:rsidR="00290662" w:rsidRDefault="00290662" w:rsidP="00181F57">
      <w:pPr>
        <w:pStyle w:val="FootnoteText"/>
      </w:pPr>
      <w:r>
        <w:rPr>
          <w:rStyle w:val="FootnoteReference"/>
        </w:rPr>
        <w:footnoteRef/>
      </w:r>
      <w:r>
        <w:t xml:space="preserve"> For example, Policy Briefs on</w:t>
      </w:r>
      <w:r w:rsidRPr="00EC4A53">
        <w:rPr>
          <w:i/>
        </w:rPr>
        <w:t xml:space="preserve"> Teacher Absenteeism in Indonesia, University-Government-Industry Partnership for Economic Development in Indonesia </w:t>
      </w:r>
      <w:r w:rsidRPr="0069023F">
        <w:t>and</w:t>
      </w:r>
      <w:r w:rsidRPr="00EC4A53">
        <w:rPr>
          <w:i/>
        </w:rPr>
        <w:t xml:space="preserve"> Gender Equality in Education in Indonesia.</w:t>
      </w:r>
    </w:p>
  </w:footnote>
  <w:footnote w:id="106">
    <w:p w:rsidR="00290662" w:rsidRDefault="00290662" w:rsidP="00181F57">
      <w:pPr>
        <w:pStyle w:val="FootnoteText"/>
      </w:pPr>
      <w:r>
        <w:rPr>
          <w:rStyle w:val="FootnoteReference"/>
        </w:rPr>
        <w:footnoteRef/>
      </w:r>
      <w:r>
        <w:t xml:space="preserve"> For example, policy analysis support to MoEC’s</w:t>
      </w:r>
      <w:r w:rsidRPr="00EC4A53">
        <w:t xml:space="preserve"> new Center for Policy Analysis and Synchronisation (Pusat Analisis dan Sinkronisasi Kebijakan or PASKA)</w:t>
      </w:r>
      <w:r>
        <w:t xml:space="preserve"> and </w:t>
      </w:r>
      <w:r>
        <w:rPr>
          <w:i/>
        </w:rPr>
        <w:t>Capacity Building for Evaluation of Education Policies, Strategies and Programs through Overseas Course and Workshop</w:t>
      </w:r>
      <w:r>
        <w:t xml:space="preserve"> (ACDP 037).</w:t>
      </w:r>
    </w:p>
  </w:footnote>
  <w:footnote w:id="107">
    <w:p w:rsidR="00290662" w:rsidRDefault="00290662" w:rsidP="00181F57">
      <w:pPr>
        <w:pStyle w:val="FootnoteText"/>
      </w:pPr>
      <w:r>
        <w:rPr>
          <w:rStyle w:val="FootnoteReference"/>
        </w:rPr>
        <w:footnoteRef/>
      </w:r>
      <w:r>
        <w:t xml:space="preserve"> For example, </w:t>
      </w:r>
      <w:r>
        <w:rPr>
          <w:i/>
        </w:rPr>
        <w:t>Support to Textbook Development</w:t>
      </w:r>
      <w:r>
        <w:t xml:space="preserve"> (ACDP 013A).</w:t>
      </w:r>
    </w:p>
  </w:footnote>
  <w:footnote w:id="108">
    <w:p w:rsidR="00290662" w:rsidRPr="00DA1B0C" w:rsidRDefault="00290662" w:rsidP="00181F57">
      <w:pPr>
        <w:pStyle w:val="FootnoteText"/>
      </w:pPr>
      <w:r>
        <w:rPr>
          <w:rStyle w:val="FootnoteReference"/>
        </w:rPr>
        <w:footnoteRef/>
      </w:r>
      <w:r>
        <w:t xml:space="preserve"> Each donor provides funding in their own currency and so the total funds available will depend on exchange rate variations. </w:t>
      </w:r>
    </w:p>
  </w:footnote>
  <w:footnote w:id="109">
    <w:p w:rsidR="00290662" w:rsidRPr="004B4C85" w:rsidRDefault="00290662" w:rsidP="00181F57">
      <w:pPr>
        <w:pStyle w:val="FootnoteText"/>
      </w:pPr>
      <w:r>
        <w:rPr>
          <w:rStyle w:val="FootnoteReference"/>
        </w:rPr>
        <w:footnoteRef/>
      </w:r>
      <w:r>
        <w:t xml:space="preserve"> From 01 January 2016 the team was unified under one Team Leader. </w:t>
      </w:r>
    </w:p>
  </w:footnote>
  <w:footnote w:id="110">
    <w:p w:rsidR="00290662" w:rsidRPr="00DC29C6" w:rsidRDefault="00290662" w:rsidP="00181F57">
      <w:pPr>
        <w:pStyle w:val="FootnoteText"/>
      </w:pPr>
      <w:r>
        <w:rPr>
          <w:rStyle w:val="FootnoteReference"/>
        </w:rPr>
        <w:footnoteRef/>
      </w:r>
      <w:r>
        <w:t xml:space="preserve"> Based on an Exchange of Letters between the ADB and DFAT. </w:t>
      </w:r>
    </w:p>
  </w:footnote>
  <w:footnote w:id="111">
    <w:p w:rsidR="00290662" w:rsidRPr="004B4C85" w:rsidRDefault="00290662" w:rsidP="00181F57">
      <w:pPr>
        <w:pStyle w:val="FootnoteText"/>
      </w:pPr>
      <w:r>
        <w:rPr>
          <w:rStyle w:val="FootnoteReference"/>
        </w:rPr>
        <w:footnoteRef/>
      </w:r>
      <w:r>
        <w:t xml:space="preserve"> </w:t>
      </w:r>
      <w:r w:rsidRPr="004B4C85">
        <w:t>i) Improving the Quality and Relevance of Senior Secondary Vocational Education in Aceh; ii) Improving Teacher Workforce Planning and Management in Aceh, and; iii) Evaluation of the Use of Special Autonomy and Oil &amp; Gas Funds for Education in Aceh</w:t>
      </w:r>
      <w:r>
        <w:t>.</w:t>
      </w:r>
    </w:p>
  </w:footnote>
  <w:footnote w:id="112">
    <w:p w:rsidR="00290662" w:rsidRPr="00327BD2" w:rsidRDefault="00290662" w:rsidP="00181F57">
      <w:pPr>
        <w:pStyle w:val="FootnoteText"/>
      </w:pPr>
      <w:r>
        <w:rPr>
          <w:rStyle w:val="FootnoteReference"/>
        </w:rPr>
        <w:footnoteRef/>
      </w:r>
      <w:r>
        <w:t xml:space="preserve"> For example, in the 2013 APPR POM noted that ACDP should “</w:t>
      </w:r>
      <w:r w:rsidRPr="00327BD2">
        <w:t>ACDP should consider options to better bundle findings, i.e. so evidence is provided by theme and not just by report-by-report</w:t>
      </w:r>
      <w:r>
        <w:t>” (Table 12, p. 39). In the 2014 APPR POM recommended measures that “maximise</w:t>
      </w:r>
      <w:r w:rsidRPr="00327BD2">
        <w:t xml:space="preserve"> the po</w:t>
      </w:r>
      <w:r>
        <w:t>tential of its ‘back catalogue’” (Table 24, p. 59).</w:t>
      </w:r>
    </w:p>
  </w:footnote>
  <w:footnote w:id="113">
    <w:p w:rsidR="00290662" w:rsidRPr="00FB7560" w:rsidRDefault="00290662" w:rsidP="00181F57">
      <w:pPr>
        <w:pStyle w:val="FootnoteText"/>
      </w:pPr>
      <w:r>
        <w:rPr>
          <w:rStyle w:val="FootnoteReference"/>
        </w:rPr>
        <w:footnoteRef/>
      </w:r>
      <w:r>
        <w:t xml:space="preserve"> From September 2015.</w:t>
      </w:r>
    </w:p>
  </w:footnote>
  <w:footnote w:id="114">
    <w:p w:rsidR="00290662" w:rsidRPr="00DB41BC" w:rsidRDefault="00290662" w:rsidP="00181F57">
      <w:pPr>
        <w:pStyle w:val="FootnoteText"/>
      </w:pPr>
      <w:r>
        <w:rPr>
          <w:rStyle w:val="FootnoteReference"/>
        </w:rPr>
        <w:footnoteRef/>
      </w:r>
      <w:r>
        <w:t xml:space="preserve"> As reflected in the draft Aid Investment Plan Performance Assessment Framework (February 2016), which includes the following indicator: “T</w:t>
      </w:r>
      <w:r w:rsidRPr="00D042AF">
        <w:t>he number of significant instances where DFAT support has resulted in improved policy</w:t>
      </w:r>
      <w:r>
        <w:t>”.</w:t>
      </w:r>
    </w:p>
  </w:footnote>
  <w:footnote w:id="115">
    <w:p w:rsidR="00290662" w:rsidRPr="000C7D6F" w:rsidRDefault="00290662" w:rsidP="00181F57">
      <w:pPr>
        <w:pStyle w:val="FootnoteText"/>
      </w:pPr>
      <w:r>
        <w:rPr>
          <w:rStyle w:val="FootnoteReference"/>
        </w:rPr>
        <w:footnoteRef/>
      </w:r>
      <w:r>
        <w:t xml:space="preserve"> Unlike Components 1-3, ACDP does not participate in the EP Performance Milestone Framework process, in large part because ACDP adheres to its own M&amp;E Strategy which is, in places, inconsistent with the EP logic (see the 2013 and 2014 APPRs for a fuller commentary). </w:t>
      </w:r>
    </w:p>
  </w:footnote>
  <w:footnote w:id="116">
    <w:p w:rsidR="00290662" w:rsidRDefault="00290662">
      <w:pPr>
        <w:pStyle w:val="FootnoteText"/>
      </w:pPr>
      <w:r>
        <w:rPr>
          <w:rStyle w:val="FootnoteReference"/>
        </w:rPr>
        <w:footnoteRef/>
      </w:r>
      <w:r>
        <w:t xml:space="preserve"> This is not a criticism of a</w:t>
      </w:r>
      <w:r w:rsidRPr="003549F8">
        <w:t xml:space="preserve"> ‘rolling commentary’</w:t>
      </w:r>
      <w:r>
        <w:t xml:space="preserve"> </w:t>
      </w:r>
      <w:r w:rsidRPr="0069023F">
        <w:rPr>
          <w:i/>
        </w:rPr>
        <w:t>per se</w:t>
      </w:r>
      <w:r>
        <w:t xml:space="preserve">: POM recognises that reflections on the relevance and results of earlier studies are both necessary and welcomed. Rather it is comment about the difficulties associated with interpreting progress against workplan intentions. </w:t>
      </w:r>
    </w:p>
  </w:footnote>
  <w:footnote w:id="117">
    <w:p w:rsidR="00290662" w:rsidRPr="007258F6" w:rsidRDefault="00290662" w:rsidP="00181F57">
      <w:pPr>
        <w:pStyle w:val="FootnoteText"/>
      </w:pPr>
      <w:r>
        <w:rPr>
          <w:rStyle w:val="FootnoteReference"/>
        </w:rPr>
        <w:footnoteRef/>
      </w:r>
      <w:r>
        <w:t xml:space="preserve"> e</w:t>
      </w:r>
      <w:r w:rsidRPr="007258F6">
        <w:t xml:space="preserve">.g. in the case of </w:t>
      </w:r>
      <w:r w:rsidRPr="005E432A">
        <w:rPr>
          <w:i/>
        </w:rPr>
        <w:t>Support to Development of MoEC Renstra 2015-19</w:t>
      </w:r>
      <w:r>
        <w:t xml:space="preserve"> (</w:t>
      </w:r>
      <w:r w:rsidRPr="007258F6">
        <w:t>ACDP 015A</w:t>
      </w:r>
      <w:r>
        <w:t>).</w:t>
      </w:r>
    </w:p>
  </w:footnote>
  <w:footnote w:id="118">
    <w:p w:rsidR="00290662" w:rsidRPr="007258F6" w:rsidRDefault="00290662" w:rsidP="00181F57">
      <w:pPr>
        <w:pStyle w:val="FootnoteText"/>
      </w:pPr>
      <w:r>
        <w:rPr>
          <w:rStyle w:val="FootnoteReference"/>
        </w:rPr>
        <w:footnoteRef/>
      </w:r>
      <w:r>
        <w:t xml:space="preserve"> </w:t>
      </w:r>
      <w:r w:rsidRPr="007258F6">
        <w:t xml:space="preserve">e.g. see </w:t>
      </w:r>
      <w:r w:rsidRPr="005E432A">
        <w:rPr>
          <w:i/>
        </w:rPr>
        <w:t>Linking National Plans for Acceleration and Expansion of Economic Development to Programming in the Education Sector</w:t>
      </w:r>
      <w:r>
        <w:t xml:space="preserve"> (ACDP 016).</w:t>
      </w:r>
    </w:p>
  </w:footnote>
  <w:footnote w:id="119">
    <w:p w:rsidR="00290662" w:rsidRPr="007258F6" w:rsidRDefault="00290662" w:rsidP="00181F57">
      <w:pPr>
        <w:pStyle w:val="FootnoteText"/>
      </w:pPr>
      <w:r>
        <w:rPr>
          <w:rStyle w:val="FootnoteReference"/>
        </w:rPr>
        <w:footnoteRef/>
      </w:r>
      <w:r>
        <w:t xml:space="preserve"> </w:t>
      </w:r>
      <w:r w:rsidRPr="007258F6">
        <w:t xml:space="preserve">e.g. 22 </w:t>
      </w:r>
      <w:r w:rsidRPr="005E432A">
        <w:rPr>
          <w:i/>
        </w:rPr>
        <w:t>Early Childhood Education Quality Assurance Systems Development</w:t>
      </w:r>
      <w:r>
        <w:t xml:space="preserve"> (ACDP 022) and </w:t>
      </w:r>
      <w:r w:rsidRPr="005E432A">
        <w:rPr>
          <w:i/>
        </w:rPr>
        <w:t>Overview of the Islamic Education Sector</w:t>
      </w:r>
      <w:r>
        <w:t xml:space="preserve"> (ACDP 021) respectively. </w:t>
      </w:r>
    </w:p>
  </w:footnote>
  <w:footnote w:id="120">
    <w:p w:rsidR="00290662" w:rsidRPr="00023BF6" w:rsidRDefault="00290662" w:rsidP="005E2FB8">
      <w:pPr>
        <w:pStyle w:val="FootnoteText"/>
      </w:pPr>
      <w:r>
        <w:rPr>
          <w:rStyle w:val="FootnoteReference"/>
        </w:rPr>
        <w:footnoteRef/>
      </w:r>
      <w:r>
        <w:t xml:space="preserve"> See the 2014 APPR.</w:t>
      </w:r>
    </w:p>
  </w:footnote>
  <w:footnote w:id="121">
    <w:p w:rsidR="00290662" w:rsidRPr="00EF7D35" w:rsidRDefault="00290662" w:rsidP="005E2FB8">
      <w:pPr>
        <w:pStyle w:val="FootnoteText"/>
      </w:pPr>
      <w:r>
        <w:rPr>
          <w:rStyle w:val="FootnoteReference"/>
        </w:rPr>
        <w:footnoteRef/>
      </w:r>
      <w:r>
        <w:t xml:space="preserve"> See the 2014 APPR.</w:t>
      </w:r>
    </w:p>
  </w:footnote>
  <w:footnote w:id="122">
    <w:p w:rsidR="00A56343" w:rsidRDefault="00A56343">
      <w:pPr>
        <w:pStyle w:val="FootnoteText"/>
      </w:pPr>
      <w:r>
        <w:rPr>
          <w:rStyle w:val="FootnoteReference"/>
        </w:rPr>
        <w:footnoteRef/>
      </w:r>
      <w:r>
        <w:t xml:space="preserve"> The EP represents Australia’s contribution to the </w:t>
      </w:r>
      <w:r w:rsidRPr="00A56343">
        <w:t>Joint EC-</w:t>
      </w:r>
      <w:r>
        <w:t>DFAT</w:t>
      </w:r>
      <w:r w:rsidRPr="00A56343">
        <w:t xml:space="preserve"> Education Sector Support Programme (ESSP)</w:t>
      </w:r>
      <w:r>
        <w:t xml:space="preserve">. The ESSP </w:t>
      </w:r>
      <w:r w:rsidRPr="00A56343">
        <w:t>support</w:t>
      </w:r>
      <w:r>
        <w:t>s</w:t>
      </w:r>
      <w:r w:rsidRPr="00A56343">
        <w:t xml:space="preserve"> Indonesia's strategic plan</w:t>
      </w:r>
      <w:r>
        <w:t xml:space="preserve">s for the education sector. </w:t>
      </w:r>
    </w:p>
  </w:footnote>
  <w:footnote w:id="123">
    <w:p w:rsidR="00290662" w:rsidRPr="002E2138" w:rsidRDefault="00290662" w:rsidP="00E46DFA">
      <w:pPr>
        <w:pStyle w:val="FootnoteText"/>
        <w:rPr>
          <w:rFonts w:asciiTheme="minorHAnsi" w:hAnsiTheme="minorHAnsi"/>
        </w:rPr>
      </w:pPr>
      <w:r w:rsidRPr="002E2138">
        <w:rPr>
          <w:rStyle w:val="FootnoteReference"/>
          <w:rFonts w:asciiTheme="minorHAnsi" w:hAnsiTheme="minorHAnsi"/>
          <w:szCs w:val="20"/>
        </w:rPr>
        <w:footnoteRef/>
      </w:r>
      <w:r w:rsidRPr="002E2138">
        <w:rPr>
          <w:rFonts w:asciiTheme="minorHAnsi" w:hAnsiTheme="minorHAnsi"/>
        </w:rPr>
        <w:t xml:space="preserve"> Infrastructure Technical Oversight Group (C1); Staff Development Technical Oversight Group (C2); Islamic School Accreditation Technical Oversight Group (C3); and the Analytical and Capacity Development Technical Oversight Group (C4).</w:t>
      </w:r>
    </w:p>
  </w:footnote>
  <w:footnote w:id="124">
    <w:p w:rsidR="00290662" w:rsidRPr="00012ACB" w:rsidRDefault="00290662" w:rsidP="00E46DFA">
      <w:pPr>
        <w:pStyle w:val="FootnoteText"/>
      </w:pPr>
      <w:r>
        <w:rPr>
          <w:rStyle w:val="FootnoteReference"/>
        </w:rPr>
        <w:footnoteRef/>
      </w:r>
      <w:r>
        <w:t xml:space="preserve"> Key MoRA officials remained unchanged in 2015.</w:t>
      </w:r>
    </w:p>
  </w:footnote>
  <w:footnote w:id="125">
    <w:p w:rsidR="00290662" w:rsidRPr="0092059B" w:rsidRDefault="00290662" w:rsidP="00E46DFA">
      <w:pPr>
        <w:pStyle w:val="FootnoteText"/>
        <w:rPr>
          <w:rFonts w:asciiTheme="minorHAnsi" w:hAnsiTheme="minorHAnsi"/>
          <w:szCs w:val="20"/>
        </w:rPr>
      </w:pPr>
      <w:r w:rsidRPr="0092059B">
        <w:rPr>
          <w:rStyle w:val="FootnoteReference"/>
          <w:rFonts w:asciiTheme="minorHAnsi" w:hAnsiTheme="minorHAnsi"/>
          <w:sz w:val="20"/>
          <w:szCs w:val="20"/>
        </w:rPr>
        <w:footnoteRef/>
      </w:r>
      <w:r w:rsidRPr="0092059B">
        <w:rPr>
          <w:rFonts w:asciiTheme="minorHAnsi" w:hAnsiTheme="minorHAnsi"/>
          <w:szCs w:val="20"/>
        </w:rPr>
        <w:t xml:space="preserve"> It is noteworthy that ProDEP and ACDP are complex institutional and systems strengthening initiatives. It is also noteworthy that POM is concerned about the current effectiveness and projected impact of ProDEP, and the sustainability of ACDP-related investments. </w:t>
      </w:r>
    </w:p>
  </w:footnote>
  <w:footnote w:id="126">
    <w:p w:rsidR="00290662" w:rsidRPr="0092059B" w:rsidRDefault="00290662" w:rsidP="00E46DFA">
      <w:pPr>
        <w:pStyle w:val="FootnoteText"/>
        <w:rPr>
          <w:rFonts w:asciiTheme="minorHAnsi" w:hAnsiTheme="minorHAnsi"/>
          <w:szCs w:val="20"/>
        </w:rPr>
      </w:pPr>
      <w:r w:rsidRPr="0092059B">
        <w:rPr>
          <w:rStyle w:val="FootnoteReference"/>
          <w:rFonts w:asciiTheme="minorHAnsi" w:hAnsiTheme="minorHAnsi"/>
          <w:sz w:val="20"/>
          <w:szCs w:val="20"/>
        </w:rPr>
        <w:footnoteRef/>
      </w:r>
      <w:r w:rsidRPr="0092059B">
        <w:rPr>
          <w:rFonts w:asciiTheme="minorHAnsi" w:hAnsiTheme="minorHAnsi"/>
          <w:szCs w:val="20"/>
        </w:rPr>
        <w:t xml:space="preserve"> </w:t>
      </w:r>
      <w:r w:rsidRPr="0092059B">
        <w:rPr>
          <w:rFonts w:asciiTheme="minorHAnsi" w:hAnsiTheme="minorHAnsi"/>
          <w:bCs/>
          <w:szCs w:val="20"/>
        </w:rPr>
        <w:t xml:space="preserve">The absence of </w:t>
      </w:r>
      <w:r w:rsidR="00A56343">
        <w:rPr>
          <w:rFonts w:asciiTheme="minorHAnsi" w:hAnsiTheme="minorHAnsi"/>
          <w:bCs/>
          <w:szCs w:val="20"/>
        </w:rPr>
        <w:t xml:space="preserve">C1 ITOG and </w:t>
      </w:r>
      <w:r w:rsidRPr="0092059B">
        <w:rPr>
          <w:rFonts w:asciiTheme="minorHAnsi" w:hAnsiTheme="minorHAnsi"/>
          <w:bCs/>
          <w:szCs w:val="20"/>
        </w:rPr>
        <w:t xml:space="preserve">C2 SDTOG meetings </w:t>
      </w:r>
      <w:r w:rsidR="00A56343">
        <w:rPr>
          <w:rFonts w:asciiTheme="minorHAnsi" w:hAnsiTheme="minorHAnsi"/>
          <w:bCs/>
          <w:szCs w:val="20"/>
        </w:rPr>
        <w:t>are</w:t>
      </w:r>
      <w:r w:rsidRPr="0092059B">
        <w:rPr>
          <w:rFonts w:asciiTheme="minorHAnsi" w:hAnsiTheme="minorHAnsi"/>
          <w:bCs/>
          <w:szCs w:val="20"/>
        </w:rPr>
        <w:t xml:space="preserve"> case</w:t>
      </w:r>
      <w:r w:rsidR="00A56343">
        <w:rPr>
          <w:rFonts w:asciiTheme="minorHAnsi" w:hAnsiTheme="minorHAnsi"/>
          <w:bCs/>
          <w:szCs w:val="20"/>
        </w:rPr>
        <w:t>s</w:t>
      </w:r>
      <w:r w:rsidRPr="0092059B">
        <w:rPr>
          <w:rFonts w:asciiTheme="minorHAnsi" w:hAnsiTheme="minorHAnsi"/>
          <w:bCs/>
          <w:szCs w:val="20"/>
        </w:rPr>
        <w:t xml:space="preserve"> in point</w:t>
      </w:r>
      <w:r w:rsidRPr="0092059B">
        <w:rPr>
          <w:rFonts w:asciiTheme="minorHAnsi" w:hAnsiTheme="minorHAnsi"/>
          <w:szCs w:val="20"/>
        </w:rPr>
        <w:t>. ToGs and GoGs were held on the following dates: C2 SDTOG, 13 February 2015; C3 MTOG 6 February 2015; C4 ATOG, 18 March 2016; GOG 15 December 2015</w:t>
      </w:r>
      <w:r w:rsidR="00A56343" w:rsidRPr="0092059B">
        <w:rPr>
          <w:rFonts w:asciiTheme="minorHAnsi" w:hAnsiTheme="minorHAnsi"/>
          <w:szCs w:val="20"/>
        </w:rPr>
        <w:t>.</w:t>
      </w:r>
      <w:r w:rsidR="00A56343">
        <w:rPr>
          <w:rFonts w:asciiTheme="minorHAnsi" w:hAnsiTheme="minorHAnsi"/>
          <w:szCs w:val="20"/>
        </w:rPr>
        <w:t xml:space="preserve"> The last ITOG was held on 13 May 2014. </w:t>
      </w:r>
      <w:r w:rsidRPr="0092059B">
        <w:rPr>
          <w:rFonts w:asciiTheme="minorHAnsi" w:hAnsiTheme="minorHAnsi"/>
          <w:szCs w:val="20"/>
        </w:rPr>
        <w:t>Source: email from Diah Pratiwi (DFAT), 18 and 20 January 2016.</w:t>
      </w:r>
    </w:p>
    <w:p w:rsidR="00290662" w:rsidRPr="008415FB" w:rsidRDefault="00290662" w:rsidP="00E46DFA">
      <w:pPr>
        <w:pStyle w:val="FootnoteText"/>
      </w:pPr>
    </w:p>
  </w:footnote>
  <w:footnote w:id="127">
    <w:p w:rsidR="00290662" w:rsidRPr="007205EE" w:rsidRDefault="00290662" w:rsidP="00E46DFA">
      <w:pPr>
        <w:pStyle w:val="FootnoteText"/>
      </w:pPr>
      <w:r>
        <w:rPr>
          <w:rStyle w:val="FootnoteReference"/>
        </w:rPr>
        <w:footnoteRef/>
      </w:r>
      <w:r>
        <w:t xml:space="preserve"> </w:t>
      </w:r>
      <w:r w:rsidRPr="008415FB">
        <w:t xml:space="preserve">C3 was </w:t>
      </w:r>
      <w:r>
        <w:t xml:space="preserve">largely </w:t>
      </w:r>
      <w:r w:rsidRPr="008415FB">
        <w:t>unaffected because the decision to trim its budget in 2015 was taken</w:t>
      </w:r>
      <w:r>
        <w:t xml:space="preserve"> in the preceding </w:t>
      </w:r>
      <w:r w:rsidRPr="008415FB">
        <w:t xml:space="preserve">year. DFAT’s allocation to C4, by contrast, was amended from AUD 25m to AUD 20m but money was not cut </w:t>
      </w:r>
      <w:r w:rsidRPr="008415FB">
        <w:rPr>
          <w:i/>
        </w:rPr>
        <w:t>per se</w:t>
      </w:r>
      <w:r w:rsidRPr="008415FB">
        <w:t xml:space="preserve"> in 2015. Rather, DFAT chose not </w:t>
      </w:r>
      <w:r>
        <w:t xml:space="preserve">to </w:t>
      </w:r>
      <w:r w:rsidRPr="008415FB">
        <w:t xml:space="preserve">release the final tranche to ADB in 2016. POM’s budget remained unchanged. DFAT chose to bring </w:t>
      </w:r>
      <w:r>
        <w:t xml:space="preserve">to </w:t>
      </w:r>
      <w:r w:rsidRPr="008415FB">
        <w:t xml:space="preserve">an early conclusion the EP Education Partnership Outreach Services contract, bringing forward its end </w:t>
      </w:r>
      <w:r>
        <w:t xml:space="preserve">date </w:t>
      </w:r>
      <w:r w:rsidRPr="008415FB">
        <w:t xml:space="preserve">from June 2016 to </w:t>
      </w:r>
      <w:r w:rsidRPr="0036741E">
        <w:t>June 2015</w:t>
      </w:r>
      <w:r w:rsidRPr="008415FB">
        <w:t xml:space="preserve">. </w:t>
      </w:r>
    </w:p>
  </w:footnote>
  <w:footnote w:id="128">
    <w:p w:rsidR="00290662" w:rsidRPr="005852E8" w:rsidRDefault="00290662" w:rsidP="00E46DFA">
      <w:pPr>
        <w:pStyle w:val="FootnoteText"/>
      </w:pPr>
      <w:r>
        <w:rPr>
          <w:rStyle w:val="FootnoteReference"/>
        </w:rPr>
        <w:footnoteRef/>
      </w:r>
      <w:r>
        <w:t xml:space="preserve"> This is not to say that Implementing Partners do not work politically when pursuing development outcomes. They are often acutely aware of the prevailing political economy and the role that </w:t>
      </w:r>
      <w:r w:rsidRPr="005852E8">
        <w:t xml:space="preserve">incentives, networks and influences </w:t>
      </w:r>
      <w:r>
        <w:t xml:space="preserve">can play in shaping program implementation and success. </w:t>
      </w:r>
    </w:p>
  </w:footnote>
  <w:footnote w:id="129">
    <w:p w:rsidR="00290662" w:rsidRPr="00D0232E" w:rsidRDefault="00290662" w:rsidP="00E46DFA">
      <w:pPr>
        <w:pStyle w:val="FootnoteText"/>
      </w:pPr>
      <w:r>
        <w:rPr>
          <w:rStyle w:val="FootnoteReference"/>
        </w:rPr>
        <w:footnoteRef/>
      </w:r>
      <w:r>
        <w:t xml:space="preserve"> The 2015 Australian Aid Stakeholder Survey is the second such survey of Australian aid experts and practitioners undertaken by aid think-tank, the Development Policy Centre, based at The Australian National University. The first survey was held in 2013, prior to the integration of AusAID and the large aid cuts. The second survey was carried out in the second half of 2015.</w:t>
      </w:r>
    </w:p>
  </w:footnote>
  <w:footnote w:id="130">
    <w:p w:rsidR="00290662" w:rsidRPr="00D0232E" w:rsidRDefault="00290662" w:rsidP="00E46DFA">
      <w:pPr>
        <w:pStyle w:val="FootnoteText"/>
      </w:pPr>
      <w:r>
        <w:rPr>
          <w:rStyle w:val="FootnoteReference"/>
        </w:rPr>
        <w:footnoteRef/>
      </w:r>
      <w:r>
        <w:t xml:space="preserve"> </w:t>
      </w:r>
      <w:r w:rsidRPr="003269C9">
        <w:t>e.g.</w:t>
      </w:r>
      <w:r>
        <w:t xml:space="preserve"> see</w:t>
      </w:r>
      <w:r w:rsidRPr="003269C9">
        <w:t xml:space="preserve"> </w:t>
      </w:r>
      <w:r w:rsidRPr="00D875C1">
        <w:rPr>
          <w:i/>
        </w:rPr>
        <w:t>Making Performance Count</w:t>
      </w:r>
      <w:r>
        <w:t>, 2014.</w:t>
      </w:r>
    </w:p>
  </w:footnote>
  <w:footnote w:id="131">
    <w:p w:rsidR="00290662" w:rsidRPr="003269C9" w:rsidRDefault="00290662" w:rsidP="00E46DFA">
      <w:pPr>
        <w:pStyle w:val="FootnoteText"/>
      </w:pPr>
      <w:r>
        <w:rPr>
          <w:rStyle w:val="FootnoteReference"/>
        </w:rPr>
        <w:footnoteRef/>
      </w:r>
      <w:r>
        <w:t xml:space="preserve"> While ACDP’s forward budget was cut by AUD 5m this will only effect its extension to mid-2017.</w:t>
      </w:r>
    </w:p>
  </w:footnote>
  <w:footnote w:id="132">
    <w:p w:rsidR="00290662" w:rsidRPr="001D47AE" w:rsidRDefault="00290662" w:rsidP="00E46DFA">
      <w:pPr>
        <w:pStyle w:val="FootnoteText"/>
      </w:pPr>
      <w:r>
        <w:rPr>
          <w:rStyle w:val="FootnoteReference"/>
        </w:rPr>
        <w:footnoteRef/>
      </w:r>
      <w:r>
        <w:t xml:space="preserve"> </w:t>
      </w:r>
      <w:r w:rsidRPr="001D47AE">
        <w:rPr>
          <w:bCs/>
        </w:rPr>
        <w:t>e.g. the EP’s poor gender and social inclusion performance as identified in DFAT’s own AQC of 2015 and POM’s APPRs of 2013 and 2014</w:t>
      </w:r>
      <w:r>
        <w:rPr>
          <w:bC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27" w:rsidRDefault="00EE122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662" w:rsidRDefault="00290662" w:rsidP="00775568">
    <w:pPr>
      <w:pStyle w:val="Header"/>
    </w:pPr>
    <w:r w:rsidRPr="00F0409A">
      <w:rPr>
        <w:noProof/>
        <w:lang w:eastAsia="en-AU"/>
      </w:rPr>
      <w:drawing>
        <wp:anchor distT="0" distB="0" distL="114300" distR="114300" simplePos="0" relativeHeight="251677696" behindDoc="1" locked="0" layoutInCell="1" allowOverlap="1" wp14:anchorId="18844D2F" wp14:editId="2691D526">
          <wp:simplePos x="0" y="0"/>
          <wp:positionH relativeFrom="page">
            <wp:align>right</wp:align>
          </wp:positionH>
          <wp:positionV relativeFrom="paragraph">
            <wp:posOffset>303575</wp:posOffset>
          </wp:positionV>
          <wp:extent cx="7571232" cy="475488"/>
          <wp:effectExtent l="0" t="0" r="0" b="1270"/>
          <wp:wrapNone/>
          <wp:docPr id="18" name="Picture 18"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662" w:rsidRDefault="00290662" w:rsidP="00775568">
    <w:pPr>
      <w:pStyle w:val="Header"/>
    </w:pPr>
    <w:r w:rsidRPr="00F0409A">
      <w:rPr>
        <w:noProof/>
        <w:lang w:eastAsia="en-AU"/>
      </w:rPr>
      <w:drawing>
        <wp:anchor distT="0" distB="0" distL="114300" distR="114300" simplePos="0" relativeHeight="251671552" behindDoc="1" locked="0" layoutInCell="1" allowOverlap="1" wp14:anchorId="43AAE650" wp14:editId="0E52628B">
          <wp:simplePos x="0" y="0"/>
          <wp:positionH relativeFrom="page">
            <wp:align>right</wp:align>
          </wp:positionH>
          <wp:positionV relativeFrom="paragraph">
            <wp:posOffset>303575</wp:posOffset>
          </wp:positionV>
          <wp:extent cx="7571232" cy="475488"/>
          <wp:effectExtent l="0" t="0" r="0" b="1270"/>
          <wp:wrapNone/>
          <wp:docPr id="20" name="Picture 20"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662" w:rsidRPr="00CB4A84" w:rsidRDefault="00290662" w:rsidP="00775568">
    <w:pPr>
      <w:rPr>
        <w:rFonts w:asciiTheme="minorHAnsi" w:hAnsiTheme="minorHAnsi" w:cstheme="minorHAnsi"/>
      </w:rPr>
    </w:pPr>
    <w:r w:rsidRPr="00F0409A">
      <w:rPr>
        <w:noProof/>
        <w:lang w:eastAsia="en-AU"/>
      </w:rPr>
      <w:drawing>
        <wp:anchor distT="0" distB="0" distL="114300" distR="114300" simplePos="0" relativeHeight="251673600" behindDoc="1" locked="0" layoutInCell="1" allowOverlap="1" wp14:anchorId="11B9D801" wp14:editId="21A05DE8">
          <wp:simplePos x="0" y="0"/>
          <wp:positionH relativeFrom="rightMargin">
            <wp:posOffset>-6219825</wp:posOffset>
          </wp:positionH>
          <wp:positionV relativeFrom="paragraph">
            <wp:posOffset>12700</wp:posOffset>
          </wp:positionV>
          <wp:extent cx="7379208" cy="475488"/>
          <wp:effectExtent l="0" t="0" r="0" b="1270"/>
          <wp:wrapNone/>
          <wp:docPr id="2561" name="Picture 2561"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9208"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662" w:rsidRDefault="00290662" w:rsidP="0077556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662" w:rsidRDefault="00290662" w:rsidP="0077556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662" w:rsidRDefault="00290662" w:rsidP="007755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27" w:rsidRDefault="00EE12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27" w:rsidRDefault="00EE122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662" w:rsidRDefault="00290662" w:rsidP="00775568">
    <w:pPr>
      <w:pStyle w:val="Header"/>
    </w:pPr>
    <w:r w:rsidRPr="00F0409A">
      <w:rPr>
        <w:noProof/>
        <w:lang w:eastAsia="en-AU"/>
      </w:rPr>
      <w:drawing>
        <wp:anchor distT="0" distB="0" distL="114300" distR="114300" simplePos="0" relativeHeight="251661312" behindDoc="1" locked="0" layoutInCell="1" allowOverlap="1" wp14:anchorId="5AFED088" wp14:editId="7C92E684">
          <wp:simplePos x="0" y="0"/>
          <wp:positionH relativeFrom="page">
            <wp:align>right</wp:align>
          </wp:positionH>
          <wp:positionV relativeFrom="paragraph">
            <wp:posOffset>303575</wp:posOffset>
          </wp:positionV>
          <wp:extent cx="7571232" cy="475488"/>
          <wp:effectExtent l="0" t="0" r="0" b="1270"/>
          <wp:wrapNone/>
          <wp:docPr id="5" name="Picture 5"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662" w:rsidRDefault="00290662" w:rsidP="00775568">
    <w:pPr>
      <w:pStyle w:val="Header"/>
    </w:pPr>
    <w:r w:rsidRPr="00F0409A">
      <w:rPr>
        <w:noProof/>
        <w:lang w:eastAsia="en-AU"/>
      </w:rPr>
      <w:drawing>
        <wp:anchor distT="0" distB="0" distL="114300" distR="114300" simplePos="0" relativeHeight="251663360" behindDoc="1" locked="0" layoutInCell="1" allowOverlap="1" wp14:anchorId="6F915563" wp14:editId="3585B6DE">
          <wp:simplePos x="0" y="0"/>
          <wp:positionH relativeFrom="page">
            <wp:align>right</wp:align>
          </wp:positionH>
          <wp:positionV relativeFrom="paragraph">
            <wp:posOffset>303575</wp:posOffset>
          </wp:positionV>
          <wp:extent cx="7571232" cy="475488"/>
          <wp:effectExtent l="0" t="0" r="0" b="1270"/>
          <wp:wrapNone/>
          <wp:docPr id="6" name="Picture 6"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662" w:rsidRDefault="00290662" w:rsidP="00775568">
    <w:pPr>
      <w:pStyle w:val="Header"/>
    </w:pPr>
    <w:r w:rsidRPr="00F0409A">
      <w:rPr>
        <w:noProof/>
        <w:lang w:eastAsia="en-AU"/>
      </w:rPr>
      <w:drawing>
        <wp:anchor distT="0" distB="0" distL="114300" distR="114300" simplePos="0" relativeHeight="251675648" behindDoc="1" locked="0" layoutInCell="1" allowOverlap="1" wp14:anchorId="314ADFFF" wp14:editId="20801A39">
          <wp:simplePos x="0" y="0"/>
          <wp:positionH relativeFrom="page">
            <wp:align>right</wp:align>
          </wp:positionH>
          <wp:positionV relativeFrom="paragraph">
            <wp:posOffset>303575</wp:posOffset>
          </wp:positionV>
          <wp:extent cx="7571232" cy="475488"/>
          <wp:effectExtent l="0" t="0" r="0" b="1270"/>
          <wp:wrapNone/>
          <wp:docPr id="7" name="Picture 7"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662" w:rsidRDefault="00290662" w:rsidP="00775568">
    <w:pPr>
      <w:pStyle w:val="Header"/>
    </w:pPr>
    <w:r w:rsidRPr="00F0409A">
      <w:rPr>
        <w:noProof/>
        <w:lang w:eastAsia="en-AU"/>
      </w:rPr>
      <w:drawing>
        <wp:anchor distT="0" distB="0" distL="114300" distR="114300" simplePos="0" relativeHeight="251665408" behindDoc="1" locked="0" layoutInCell="1" allowOverlap="1" wp14:anchorId="6D7AB55A" wp14:editId="178C23D3">
          <wp:simplePos x="0" y="0"/>
          <wp:positionH relativeFrom="page">
            <wp:align>right</wp:align>
          </wp:positionH>
          <wp:positionV relativeFrom="paragraph">
            <wp:posOffset>303575</wp:posOffset>
          </wp:positionV>
          <wp:extent cx="7571232" cy="475488"/>
          <wp:effectExtent l="0" t="0" r="0" b="1270"/>
          <wp:wrapNone/>
          <wp:docPr id="8" name="Picture 8"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0662" w:rsidRDefault="00290662" w:rsidP="0077556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662" w:rsidRDefault="00290662" w:rsidP="00775568">
    <w:pPr>
      <w:pStyle w:val="Header"/>
    </w:pPr>
    <w:r w:rsidRPr="00F0409A">
      <w:rPr>
        <w:noProof/>
        <w:lang w:eastAsia="en-AU"/>
      </w:rPr>
      <w:drawing>
        <wp:anchor distT="0" distB="0" distL="114300" distR="114300" simplePos="0" relativeHeight="251669504" behindDoc="1" locked="0" layoutInCell="1" allowOverlap="1" wp14:anchorId="01407B9D" wp14:editId="21D2EB76">
          <wp:simplePos x="0" y="0"/>
          <wp:positionH relativeFrom="page">
            <wp:align>right</wp:align>
          </wp:positionH>
          <wp:positionV relativeFrom="paragraph">
            <wp:posOffset>303575</wp:posOffset>
          </wp:positionV>
          <wp:extent cx="7571232" cy="475488"/>
          <wp:effectExtent l="0" t="0" r="0" b="1270"/>
          <wp:wrapNone/>
          <wp:docPr id="9" name="Picture 9"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662" w:rsidRDefault="00290662" w:rsidP="00775568">
    <w:pPr>
      <w:pStyle w:val="Header"/>
    </w:pPr>
    <w:r w:rsidRPr="00F0409A">
      <w:rPr>
        <w:noProof/>
        <w:lang w:eastAsia="en-AU"/>
      </w:rPr>
      <w:drawing>
        <wp:anchor distT="0" distB="0" distL="114300" distR="114300" simplePos="0" relativeHeight="251679744" behindDoc="1" locked="0" layoutInCell="1" allowOverlap="1" wp14:anchorId="1A27B8E4" wp14:editId="00ECD3C1">
          <wp:simplePos x="0" y="0"/>
          <wp:positionH relativeFrom="page">
            <wp:align>right</wp:align>
          </wp:positionH>
          <wp:positionV relativeFrom="paragraph">
            <wp:posOffset>303575</wp:posOffset>
          </wp:positionV>
          <wp:extent cx="7571232" cy="475488"/>
          <wp:effectExtent l="0" t="0" r="0" b="1270"/>
          <wp:wrapNone/>
          <wp:docPr id="10" name="Picture 10"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DF48996"/>
    <w:lvl w:ilvl="0">
      <w:start w:val="1"/>
      <w:numFmt w:val="bullet"/>
      <w:pStyle w:val="ListBullet"/>
      <w:lvlText w:val=""/>
      <w:lvlJc w:val="left"/>
      <w:pPr>
        <w:tabs>
          <w:tab w:val="num" w:pos="1440"/>
        </w:tabs>
        <w:ind w:left="1440" w:hanging="720"/>
      </w:pPr>
      <w:rPr>
        <w:rFonts w:ascii="Symbol" w:hAnsi="Symbol" w:hint="default"/>
      </w:rPr>
    </w:lvl>
  </w:abstractNum>
  <w:abstractNum w:abstractNumId="1">
    <w:nsid w:val="024245B1"/>
    <w:multiLevelType w:val="hybridMultilevel"/>
    <w:tmpl w:val="8AC88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646F20"/>
    <w:multiLevelType w:val="hybridMultilevel"/>
    <w:tmpl w:val="FF9C90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0753C5"/>
    <w:multiLevelType w:val="hybridMultilevel"/>
    <w:tmpl w:val="DE3C2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3A1FB2"/>
    <w:multiLevelType w:val="hybridMultilevel"/>
    <w:tmpl w:val="47725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E6728CC"/>
    <w:multiLevelType w:val="hybridMultilevel"/>
    <w:tmpl w:val="CDE0C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6C7D7B"/>
    <w:multiLevelType w:val="hybridMultilevel"/>
    <w:tmpl w:val="3528A4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F4A4D80"/>
    <w:multiLevelType w:val="hybridMultilevel"/>
    <w:tmpl w:val="E4EA9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4E41BE9"/>
    <w:multiLevelType w:val="hybridMultilevel"/>
    <w:tmpl w:val="B0D43FEC"/>
    <w:lvl w:ilvl="0" w:tplc="7258104C">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86923AB"/>
    <w:multiLevelType w:val="hybridMultilevel"/>
    <w:tmpl w:val="9710D4F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0">
    <w:nsid w:val="18CC0D51"/>
    <w:multiLevelType w:val="hybridMultilevel"/>
    <w:tmpl w:val="3FDC6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92D17D2"/>
    <w:multiLevelType w:val="hybridMultilevel"/>
    <w:tmpl w:val="FF32D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9E3006"/>
    <w:multiLevelType w:val="hybridMultilevel"/>
    <w:tmpl w:val="24589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11B4877"/>
    <w:multiLevelType w:val="singleLevel"/>
    <w:tmpl w:val="E29291F8"/>
    <w:lvl w:ilvl="0">
      <w:start w:val="1"/>
      <w:numFmt w:val="bullet"/>
      <w:pStyle w:val="Bullet1"/>
      <w:lvlText w:val=""/>
      <w:lvlJc w:val="left"/>
      <w:pPr>
        <w:tabs>
          <w:tab w:val="num" w:pos="288"/>
        </w:tabs>
        <w:ind w:left="288" w:hanging="288"/>
      </w:pPr>
      <w:rPr>
        <w:rFonts w:ascii="Wingdings" w:hAnsi="Wingdings" w:cs="Times New Roman" w:hint="default"/>
        <w:b w:val="0"/>
        <w:i w:val="0"/>
        <w:sz w:val="24"/>
        <w:szCs w:val="24"/>
      </w:rPr>
    </w:lvl>
  </w:abstractNum>
  <w:abstractNum w:abstractNumId="14">
    <w:nsid w:val="24D4116B"/>
    <w:multiLevelType w:val="hybridMultilevel"/>
    <w:tmpl w:val="C36C9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638705B"/>
    <w:multiLevelType w:val="hybridMultilevel"/>
    <w:tmpl w:val="49023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63C09CB"/>
    <w:multiLevelType w:val="hybridMultilevel"/>
    <w:tmpl w:val="C6846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6C46C20"/>
    <w:multiLevelType w:val="hybridMultilevel"/>
    <w:tmpl w:val="C4BC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6D56FB2"/>
    <w:multiLevelType w:val="hybridMultilevel"/>
    <w:tmpl w:val="8FFEA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7202CEA"/>
    <w:multiLevelType w:val="hybridMultilevel"/>
    <w:tmpl w:val="D334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B981D30"/>
    <w:multiLevelType w:val="hybridMultilevel"/>
    <w:tmpl w:val="C92C2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04177B3"/>
    <w:multiLevelType w:val="hybridMultilevel"/>
    <w:tmpl w:val="B4362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8B81EC9"/>
    <w:multiLevelType w:val="hybridMultilevel"/>
    <w:tmpl w:val="75C46234"/>
    <w:lvl w:ilvl="0" w:tplc="A66E7B2E">
      <w:start w:val="1"/>
      <w:numFmt w:val="bullet"/>
      <w:lvlText w:val=""/>
      <w:lvlJc w:val="left"/>
      <w:pPr>
        <w:ind w:left="1919" w:hanging="360"/>
      </w:pPr>
      <w:rPr>
        <w:rFonts w:ascii="Symbol" w:hAnsi="Symbol" w:hint="default"/>
      </w:rPr>
    </w:lvl>
    <w:lvl w:ilvl="1" w:tplc="0C090019">
      <w:start w:val="1"/>
      <w:numFmt w:val="bullet"/>
      <w:lvlText w:val="o"/>
      <w:lvlJc w:val="left"/>
      <w:pPr>
        <w:ind w:left="1497" w:hanging="360"/>
      </w:pPr>
      <w:rPr>
        <w:rFonts w:ascii="Courier New" w:hAnsi="Courier New" w:cs="Times New Roman" w:hint="default"/>
      </w:rPr>
    </w:lvl>
    <w:lvl w:ilvl="2" w:tplc="0C09001B">
      <w:start w:val="1"/>
      <w:numFmt w:val="bullet"/>
      <w:lvlText w:val=""/>
      <w:lvlJc w:val="left"/>
      <w:pPr>
        <w:ind w:left="2217" w:hanging="360"/>
      </w:pPr>
      <w:rPr>
        <w:rFonts w:ascii="Wingdings" w:hAnsi="Wingdings" w:hint="default"/>
      </w:rPr>
    </w:lvl>
    <w:lvl w:ilvl="3" w:tplc="0C09000F">
      <w:start w:val="1"/>
      <w:numFmt w:val="bullet"/>
      <w:lvlText w:val=""/>
      <w:lvlJc w:val="left"/>
      <w:pPr>
        <w:ind w:left="2937" w:hanging="360"/>
      </w:pPr>
      <w:rPr>
        <w:rFonts w:ascii="Symbol" w:hAnsi="Symbol" w:hint="default"/>
      </w:rPr>
    </w:lvl>
    <w:lvl w:ilvl="4" w:tplc="0C090019">
      <w:start w:val="1"/>
      <w:numFmt w:val="bullet"/>
      <w:lvlText w:val="o"/>
      <w:lvlJc w:val="left"/>
      <w:pPr>
        <w:ind w:left="3657" w:hanging="360"/>
      </w:pPr>
      <w:rPr>
        <w:rFonts w:ascii="Courier New" w:hAnsi="Courier New" w:cs="Times New Roman" w:hint="default"/>
      </w:rPr>
    </w:lvl>
    <w:lvl w:ilvl="5" w:tplc="0C09001B">
      <w:start w:val="1"/>
      <w:numFmt w:val="bullet"/>
      <w:lvlText w:val=""/>
      <w:lvlJc w:val="left"/>
      <w:pPr>
        <w:ind w:left="4377" w:hanging="360"/>
      </w:pPr>
      <w:rPr>
        <w:rFonts w:ascii="Wingdings" w:hAnsi="Wingdings" w:hint="default"/>
      </w:rPr>
    </w:lvl>
    <w:lvl w:ilvl="6" w:tplc="0C09000F">
      <w:start w:val="1"/>
      <w:numFmt w:val="bullet"/>
      <w:lvlText w:val=""/>
      <w:lvlJc w:val="left"/>
      <w:pPr>
        <w:ind w:left="5097" w:hanging="360"/>
      </w:pPr>
      <w:rPr>
        <w:rFonts w:ascii="Symbol" w:hAnsi="Symbol" w:hint="default"/>
      </w:rPr>
    </w:lvl>
    <w:lvl w:ilvl="7" w:tplc="0C090019">
      <w:start w:val="1"/>
      <w:numFmt w:val="bullet"/>
      <w:lvlText w:val="o"/>
      <w:lvlJc w:val="left"/>
      <w:pPr>
        <w:ind w:left="5817" w:hanging="360"/>
      </w:pPr>
      <w:rPr>
        <w:rFonts w:ascii="Courier New" w:hAnsi="Courier New" w:cs="Times New Roman" w:hint="default"/>
      </w:rPr>
    </w:lvl>
    <w:lvl w:ilvl="8" w:tplc="0C09001B">
      <w:start w:val="1"/>
      <w:numFmt w:val="bullet"/>
      <w:lvlText w:val=""/>
      <w:lvlJc w:val="left"/>
      <w:pPr>
        <w:ind w:left="6537" w:hanging="360"/>
      </w:pPr>
      <w:rPr>
        <w:rFonts w:ascii="Wingdings" w:hAnsi="Wingdings" w:hint="default"/>
      </w:rPr>
    </w:lvl>
  </w:abstractNum>
  <w:abstractNum w:abstractNumId="23">
    <w:nsid w:val="393B5EAE"/>
    <w:multiLevelType w:val="hybridMultilevel"/>
    <w:tmpl w:val="EA14C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E2B26EC"/>
    <w:multiLevelType w:val="hybridMultilevel"/>
    <w:tmpl w:val="E86E6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27F4CD6"/>
    <w:multiLevelType w:val="hybridMultilevel"/>
    <w:tmpl w:val="D3446E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608769C"/>
    <w:multiLevelType w:val="hybridMultilevel"/>
    <w:tmpl w:val="0C6834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46310DDB"/>
    <w:multiLevelType w:val="hybridMultilevel"/>
    <w:tmpl w:val="A638230C"/>
    <w:lvl w:ilvl="0" w:tplc="A6406D38">
      <w:start w:val="1"/>
      <w:numFmt w:val="bullet"/>
      <w:pStyle w:val="Score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B2F085C"/>
    <w:multiLevelType w:val="hybridMultilevel"/>
    <w:tmpl w:val="E09C45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FEC6532"/>
    <w:multiLevelType w:val="hybridMultilevel"/>
    <w:tmpl w:val="006ED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2007FDA"/>
    <w:multiLevelType w:val="hybridMultilevel"/>
    <w:tmpl w:val="3FAAD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2F11D59"/>
    <w:multiLevelType w:val="hybridMultilevel"/>
    <w:tmpl w:val="0F72CED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5C948D3"/>
    <w:multiLevelType w:val="hybridMultilevel"/>
    <w:tmpl w:val="F424D3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801671D"/>
    <w:multiLevelType w:val="multilevel"/>
    <w:tmpl w:val="23B07024"/>
    <w:lvl w:ilvl="0">
      <w:start w:val="1"/>
      <w:numFmt w:val="decimal"/>
      <w:lvlText w:val="%1"/>
      <w:lvlJc w:val="left"/>
      <w:pPr>
        <w:ind w:left="432" w:hanging="432"/>
      </w:pPr>
    </w:lvl>
    <w:lvl w:ilvl="1">
      <w:start w:val="1"/>
      <w:numFmt w:val="decimal"/>
      <w:lvlText w:val="%1.%2"/>
      <w:lvlJc w:val="left"/>
      <w:pPr>
        <w:ind w:left="256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nsid w:val="59457F66"/>
    <w:multiLevelType w:val="hybridMultilevel"/>
    <w:tmpl w:val="E09C45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9CF2DAC"/>
    <w:multiLevelType w:val="hybridMultilevel"/>
    <w:tmpl w:val="B73AACD4"/>
    <w:lvl w:ilvl="0" w:tplc="081670E0">
      <w:start w:val="1"/>
      <w:numFmt w:val="bullet"/>
      <w:pStyle w:val="Bulletswithsinglespacingfont11"/>
      <w:lvlText w:val=""/>
      <w:lvlJc w:val="left"/>
      <w:pPr>
        <w:ind w:left="360" w:hanging="360"/>
      </w:pPr>
      <w:rPr>
        <w:rFonts w:ascii="Symbol" w:hAnsi="Symbol" w:hint="default"/>
        <w:color w:val="4F81B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DDC09A3"/>
    <w:multiLevelType w:val="hybridMultilevel"/>
    <w:tmpl w:val="B2248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EDE2288"/>
    <w:multiLevelType w:val="hybridMultilevel"/>
    <w:tmpl w:val="EE8E6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2005F02"/>
    <w:multiLevelType w:val="multilevel"/>
    <w:tmpl w:val="DFE01526"/>
    <w:lvl w:ilvl="0">
      <w:start w:val="1"/>
      <w:numFmt w:val="decimal"/>
      <w:pStyle w:val="CONLevel1"/>
      <w:lvlText w:val="%1."/>
      <w:lvlJc w:val="left"/>
      <w:pPr>
        <w:tabs>
          <w:tab w:val="num" w:pos="720"/>
        </w:tabs>
        <w:ind w:left="720" w:hanging="720"/>
      </w:pPr>
      <w:rPr>
        <w:rFonts w:ascii="Times New Roman" w:hAnsi="Times New Roman" w:hint="default"/>
        <w:b w:val="0"/>
        <w:i w:val="0"/>
        <w:sz w:val="24"/>
      </w:rPr>
    </w:lvl>
    <w:lvl w:ilvl="1">
      <w:start w:val="1"/>
      <w:numFmt w:val="decimal"/>
      <w:pStyle w:val="CONLevel11"/>
      <w:lvlText w:val="%1.%2"/>
      <w:lvlJc w:val="left"/>
      <w:pPr>
        <w:tabs>
          <w:tab w:val="num" w:pos="720"/>
        </w:tabs>
        <w:ind w:left="720" w:hanging="706"/>
      </w:pPr>
      <w:rPr>
        <w:rFonts w:ascii="Times New Roman" w:hAnsi="Times New Roman" w:hint="default"/>
        <w:b w:val="0"/>
        <w:i w:val="0"/>
        <w:sz w:val="24"/>
      </w:rPr>
    </w:lvl>
    <w:lvl w:ilvl="2">
      <w:start w:val="1"/>
      <w:numFmt w:val="lowerLetter"/>
      <w:pStyle w:val="CONLevela"/>
      <w:lvlText w:val="(%3)"/>
      <w:lvlJc w:val="left"/>
      <w:pPr>
        <w:tabs>
          <w:tab w:val="num" w:pos="1440"/>
        </w:tabs>
        <w:ind w:left="1440" w:hanging="720"/>
      </w:pPr>
      <w:rPr>
        <w:rFonts w:ascii="Times New Roman" w:hAnsi="Times New Roman" w:hint="default"/>
        <w:b w:val="0"/>
        <w:i w:val="0"/>
        <w:sz w:val="24"/>
      </w:rPr>
    </w:lvl>
    <w:lvl w:ilvl="3">
      <w:start w:val="1"/>
      <w:numFmt w:val="lowerRoman"/>
      <w:pStyle w:val="CONLeveli"/>
      <w:lvlText w:val="(%4)"/>
      <w:lvlJc w:val="left"/>
      <w:pPr>
        <w:tabs>
          <w:tab w:val="num" w:pos="2280"/>
        </w:tabs>
        <w:ind w:left="2280" w:hanging="720"/>
      </w:pPr>
      <w:rPr>
        <w:rFonts w:hint="default"/>
        <w:b w:val="0"/>
        <w:i w:val="0"/>
        <w:sz w:val="24"/>
        <w:szCs w:val="24"/>
      </w:rPr>
    </w:lvl>
    <w:lvl w:ilvl="4">
      <w:start w:val="1"/>
      <w:numFmt w:val="upperLetter"/>
      <w:pStyle w:val="CONLevelA0"/>
      <w:lvlText w:val="(%5)"/>
      <w:lvlJc w:val="left"/>
      <w:pPr>
        <w:tabs>
          <w:tab w:val="num" w:pos="2880"/>
        </w:tabs>
        <w:ind w:left="2880" w:hanging="720"/>
      </w:pPr>
      <w:rPr>
        <w:rFonts w:ascii="Times New Roman" w:hAnsi="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nsid w:val="6397673A"/>
    <w:multiLevelType w:val="hybridMultilevel"/>
    <w:tmpl w:val="A76C7F6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3CD7AB9"/>
    <w:multiLevelType w:val="hybridMultilevel"/>
    <w:tmpl w:val="9F0AA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4EE5470"/>
    <w:multiLevelType w:val="hybridMultilevel"/>
    <w:tmpl w:val="03CE690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57A530D"/>
    <w:multiLevelType w:val="hybridMultilevel"/>
    <w:tmpl w:val="B9E06E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61B6F58"/>
    <w:multiLevelType w:val="multilevel"/>
    <w:tmpl w:val="5F4EB140"/>
    <w:lvl w:ilvl="0">
      <w:start w:val="1"/>
      <w:numFmt w:val="upperLetter"/>
      <w:pStyle w:val="HeadingAP1"/>
      <w:lvlText w:val="Appendix %1"/>
      <w:lvlJc w:val="left"/>
      <w:pPr>
        <w:tabs>
          <w:tab w:val="num" w:pos="1797"/>
        </w:tabs>
        <w:ind w:left="1797" w:hanging="1797"/>
      </w:pPr>
      <w:rPr>
        <w:rFonts w:hint="default"/>
      </w:rPr>
    </w:lvl>
    <w:lvl w:ilvl="1">
      <w:start w:val="1"/>
      <w:numFmt w:val="decimal"/>
      <w:pStyle w:val="HeadingAP2"/>
      <w:lvlText w:val="%1.%2"/>
      <w:lvlJc w:val="left"/>
      <w:pPr>
        <w:tabs>
          <w:tab w:val="num" w:pos="1009"/>
        </w:tabs>
        <w:ind w:left="1009" w:hanging="1009"/>
      </w:pPr>
      <w:rPr>
        <w:rFonts w:hint="default"/>
      </w:rPr>
    </w:lvl>
    <w:lvl w:ilvl="2">
      <w:start w:val="1"/>
      <w:numFmt w:val="decimal"/>
      <w:pStyle w:val="HeadingAP3"/>
      <w:lvlText w:val="%1.%2.%3"/>
      <w:lvlJc w:val="left"/>
      <w:pPr>
        <w:tabs>
          <w:tab w:val="num" w:pos="1009"/>
        </w:tabs>
        <w:ind w:left="1009" w:hanging="1009"/>
      </w:pPr>
      <w:rPr>
        <w:rFonts w:hint="default"/>
      </w:rPr>
    </w:lvl>
    <w:lvl w:ilvl="3">
      <w:start w:val="1"/>
      <w:numFmt w:val="none"/>
      <w:pStyle w:val="HeadingAP4"/>
      <w:suff w:val="nothing"/>
      <w:lvlText w:val=""/>
      <w:lvlJc w:val="left"/>
      <w:pPr>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4">
    <w:nsid w:val="66EF1D5D"/>
    <w:multiLevelType w:val="hybridMultilevel"/>
    <w:tmpl w:val="840A0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70A2FFC"/>
    <w:multiLevelType w:val="hybridMultilevel"/>
    <w:tmpl w:val="0A583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F5A1011"/>
    <w:multiLevelType w:val="multilevel"/>
    <w:tmpl w:val="A5924CD4"/>
    <w:lvl w:ilvl="0">
      <w:start w:val="1"/>
      <w:numFmt w:val="decimal"/>
      <w:pStyle w:val="Heading1"/>
      <w:lvlText w:val="%1"/>
      <w:lvlJc w:val="left"/>
      <w:pPr>
        <w:ind w:left="6740" w:hanging="360"/>
      </w:pPr>
      <w:rPr>
        <w:rFonts w:hint="default"/>
      </w:rPr>
    </w:lvl>
    <w:lvl w:ilvl="1">
      <w:start w:val="1"/>
      <w:numFmt w:val="decimal"/>
      <w:pStyle w:val="Heading2"/>
      <w:isLgl/>
      <w:lvlText w:val="%1.%2"/>
      <w:lvlJc w:val="left"/>
      <w:pPr>
        <w:ind w:left="720" w:hanging="360"/>
      </w:pPr>
      <w:rPr>
        <w:rFonts w:hint="default"/>
      </w:rPr>
    </w:lvl>
    <w:lvl w:ilvl="2">
      <w:start w:val="1"/>
      <w:numFmt w:val="decimal"/>
      <w:pStyle w:val="Heading3"/>
      <w:isLgl/>
      <w:lvlText w:val="%1.%2.%3"/>
      <w:lvlJc w:val="left"/>
      <w:pPr>
        <w:ind w:left="1080" w:hanging="720"/>
      </w:pPr>
      <w:rPr>
        <w:rFonts w:hint="default"/>
      </w:rPr>
    </w:lvl>
    <w:lvl w:ilvl="3">
      <w:start w:val="1"/>
      <w:numFmt w:val="decimal"/>
      <w:pStyle w:val="Heading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3"/>
  </w:num>
  <w:num w:numId="3">
    <w:abstractNumId w:val="33"/>
  </w:num>
  <w:num w:numId="4">
    <w:abstractNumId w:val="43"/>
  </w:num>
  <w:num w:numId="5">
    <w:abstractNumId w:val="35"/>
  </w:num>
  <w:num w:numId="6">
    <w:abstractNumId w:val="46"/>
  </w:num>
  <w:num w:numId="7">
    <w:abstractNumId w:val="38"/>
  </w:num>
  <w:num w:numId="8">
    <w:abstractNumId w:val="22"/>
  </w:num>
  <w:num w:numId="9">
    <w:abstractNumId w:val="26"/>
  </w:num>
  <w:num w:numId="10">
    <w:abstractNumId w:val="9"/>
  </w:num>
  <w:num w:numId="11">
    <w:abstractNumId w:val="26"/>
  </w:num>
  <w:num w:numId="12">
    <w:abstractNumId w:val="39"/>
  </w:num>
  <w:num w:numId="13">
    <w:abstractNumId w:val="1"/>
  </w:num>
  <w:num w:numId="14">
    <w:abstractNumId w:val="12"/>
  </w:num>
  <w:num w:numId="15">
    <w:abstractNumId w:val="3"/>
  </w:num>
  <w:num w:numId="16">
    <w:abstractNumId w:val="27"/>
  </w:num>
  <w:num w:numId="17">
    <w:abstractNumId w:val="32"/>
  </w:num>
  <w:num w:numId="18">
    <w:abstractNumId w:val="42"/>
  </w:num>
  <w:num w:numId="19">
    <w:abstractNumId w:val="6"/>
  </w:num>
  <w:num w:numId="20">
    <w:abstractNumId w:val="37"/>
  </w:num>
  <w:num w:numId="21">
    <w:abstractNumId w:val="18"/>
  </w:num>
  <w:num w:numId="22">
    <w:abstractNumId w:val="5"/>
  </w:num>
  <w:num w:numId="23">
    <w:abstractNumId w:val="16"/>
  </w:num>
  <w:num w:numId="24">
    <w:abstractNumId w:val="23"/>
  </w:num>
  <w:num w:numId="25">
    <w:abstractNumId w:val="29"/>
  </w:num>
  <w:num w:numId="26">
    <w:abstractNumId w:val="44"/>
  </w:num>
  <w:num w:numId="27">
    <w:abstractNumId w:val="10"/>
  </w:num>
  <w:num w:numId="28">
    <w:abstractNumId w:val="14"/>
  </w:num>
  <w:num w:numId="29">
    <w:abstractNumId w:val="20"/>
  </w:num>
  <w:num w:numId="30">
    <w:abstractNumId w:val="17"/>
  </w:num>
  <w:num w:numId="31">
    <w:abstractNumId w:val="45"/>
  </w:num>
  <w:num w:numId="32">
    <w:abstractNumId w:val="11"/>
  </w:num>
  <w:num w:numId="33">
    <w:abstractNumId w:val="19"/>
  </w:num>
  <w:num w:numId="34">
    <w:abstractNumId w:val="25"/>
  </w:num>
  <w:num w:numId="35">
    <w:abstractNumId w:val="31"/>
  </w:num>
  <w:num w:numId="36">
    <w:abstractNumId w:val="4"/>
  </w:num>
  <w:num w:numId="37">
    <w:abstractNumId w:val="30"/>
  </w:num>
  <w:num w:numId="38">
    <w:abstractNumId w:val="7"/>
  </w:num>
  <w:num w:numId="39">
    <w:abstractNumId w:val="40"/>
  </w:num>
  <w:num w:numId="40">
    <w:abstractNumId w:val="21"/>
  </w:num>
  <w:num w:numId="41">
    <w:abstractNumId w:val="15"/>
  </w:num>
  <w:num w:numId="42">
    <w:abstractNumId w:val="41"/>
  </w:num>
  <w:num w:numId="43">
    <w:abstractNumId w:val="8"/>
  </w:num>
  <w:num w:numId="44">
    <w:abstractNumId w:val="24"/>
  </w:num>
  <w:num w:numId="45">
    <w:abstractNumId w:val="28"/>
  </w:num>
  <w:num w:numId="46">
    <w:abstractNumId w:val="36"/>
  </w:num>
  <w:num w:numId="47">
    <w:abstractNumId w:val="2"/>
  </w:num>
  <w:num w:numId="48">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10241">
      <o:colormru v:ext="edit" colors="#002a6c"/>
    </o:shapedefaults>
  </w:hdrShapeDefaults>
  <w:footnotePr>
    <w:footnote w:id="-1"/>
    <w:footnote w:id="0"/>
    <w:footnote w:id="1"/>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1EC"/>
    <w:rsid w:val="000008BB"/>
    <w:rsid w:val="000010AE"/>
    <w:rsid w:val="00001FC8"/>
    <w:rsid w:val="0000225C"/>
    <w:rsid w:val="00002483"/>
    <w:rsid w:val="00002711"/>
    <w:rsid w:val="00002BB4"/>
    <w:rsid w:val="00003054"/>
    <w:rsid w:val="000031F4"/>
    <w:rsid w:val="0000341B"/>
    <w:rsid w:val="000036BE"/>
    <w:rsid w:val="0000381A"/>
    <w:rsid w:val="00003A03"/>
    <w:rsid w:val="0000468E"/>
    <w:rsid w:val="000046CB"/>
    <w:rsid w:val="00004DA6"/>
    <w:rsid w:val="0000550E"/>
    <w:rsid w:val="000055C5"/>
    <w:rsid w:val="0000598F"/>
    <w:rsid w:val="00006767"/>
    <w:rsid w:val="00006A00"/>
    <w:rsid w:val="00007205"/>
    <w:rsid w:val="0000724A"/>
    <w:rsid w:val="000077C2"/>
    <w:rsid w:val="00007C60"/>
    <w:rsid w:val="00007D98"/>
    <w:rsid w:val="00007DC4"/>
    <w:rsid w:val="000100E5"/>
    <w:rsid w:val="000101D5"/>
    <w:rsid w:val="000109F7"/>
    <w:rsid w:val="00010BDB"/>
    <w:rsid w:val="000112A4"/>
    <w:rsid w:val="00011BED"/>
    <w:rsid w:val="000129E9"/>
    <w:rsid w:val="00012B91"/>
    <w:rsid w:val="00012F8C"/>
    <w:rsid w:val="000130E5"/>
    <w:rsid w:val="00013854"/>
    <w:rsid w:val="00013AFB"/>
    <w:rsid w:val="00013F55"/>
    <w:rsid w:val="000140F0"/>
    <w:rsid w:val="0001433B"/>
    <w:rsid w:val="00014934"/>
    <w:rsid w:val="00014ADC"/>
    <w:rsid w:val="00014BF2"/>
    <w:rsid w:val="0001578D"/>
    <w:rsid w:val="00015838"/>
    <w:rsid w:val="00015960"/>
    <w:rsid w:val="00015D9D"/>
    <w:rsid w:val="00016036"/>
    <w:rsid w:val="000161BD"/>
    <w:rsid w:val="00016411"/>
    <w:rsid w:val="00016AF7"/>
    <w:rsid w:val="00017338"/>
    <w:rsid w:val="000173E2"/>
    <w:rsid w:val="00017ABE"/>
    <w:rsid w:val="00017B83"/>
    <w:rsid w:val="00017C53"/>
    <w:rsid w:val="00017E4C"/>
    <w:rsid w:val="00020016"/>
    <w:rsid w:val="00020466"/>
    <w:rsid w:val="0002074D"/>
    <w:rsid w:val="00020F04"/>
    <w:rsid w:val="000215DE"/>
    <w:rsid w:val="00021604"/>
    <w:rsid w:val="00021E52"/>
    <w:rsid w:val="000223DA"/>
    <w:rsid w:val="000228FE"/>
    <w:rsid w:val="00022909"/>
    <w:rsid w:val="000229C1"/>
    <w:rsid w:val="00022A4B"/>
    <w:rsid w:val="0002366B"/>
    <w:rsid w:val="000237CF"/>
    <w:rsid w:val="000237E1"/>
    <w:rsid w:val="0002386A"/>
    <w:rsid w:val="00023870"/>
    <w:rsid w:val="00023B70"/>
    <w:rsid w:val="0002409D"/>
    <w:rsid w:val="00024537"/>
    <w:rsid w:val="00024B7F"/>
    <w:rsid w:val="00024E2C"/>
    <w:rsid w:val="000250D1"/>
    <w:rsid w:val="00026177"/>
    <w:rsid w:val="000265E4"/>
    <w:rsid w:val="0002678A"/>
    <w:rsid w:val="00026A4A"/>
    <w:rsid w:val="00027037"/>
    <w:rsid w:val="000277D4"/>
    <w:rsid w:val="00027CC2"/>
    <w:rsid w:val="00031566"/>
    <w:rsid w:val="00031571"/>
    <w:rsid w:val="00031A5C"/>
    <w:rsid w:val="00031F69"/>
    <w:rsid w:val="000327A7"/>
    <w:rsid w:val="000328A3"/>
    <w:rsid w:val="00034032"/>
    <w:rsid w:val="0003469D"/>
    <w:rsid w:val="000349C9"/>
    <w:rsid w:val="00034CD8"/>
    <w:rsid w:val="00035930"/>
    <w:rsid w:val="00035A6D"/>
    <w:rsid w:val="00035AAE"/>
    <w:rsid w:val="00036068"/>
    <w:rsid w:val="000360B1"/>
    <w:rsid w:val="00036454"/>
    <w:rsid w:val="00036C8A"/>
    <w:rsid w:val="00036C95"/>
    <w:rsid w:val="00037463"/>
    <w:rsid w:val="000379EF"/>
    <w:rsid w:val="00037A73"/>
    <w:rsid w:val="00037E6E"/>
    <w:rsid w:val="000400C4"/>
    <w:rsid w:val="0004042D"/>
    <w:rsid w:val="00040659"/>
    <w:rsid w:val="00040729"/>
    <w:rsid w:val="000408C5"/>
    <w:rsid w:val="0004092E"/>
    <w:rsid w:val="000409EE"/>
    <w:rsid w:val="00040AD1"/>
    <w:rsid w:val="00040C3F"/>
    <w:rsid w:val="00040D5A"/>
    <w:rsid w:val="000411B3"/>
    <w:rsid w:val="0004176F"/>
    <w:rsid w:val="0004193B"/>
    <w:rsid w:val="0004392A"/>
    <w:rsid w:val="0004426C"/>
    <w:rsid w:val="000444B9"/>
    <w:rsid w:val="00044826"/>
    <w:rsid w:val="000454EF"/>
    <w:rsid w:val="0004592B"/>
    <w:rsid w:val="00045CAA"/>
    <w:rsid w:val="000461A4"/>
    <w:rsid w:val="000462A2"/>
    <w:rsid w:val="000464CC"/>
    <w:rsid w:val="000465B4"/>
    <w:rsid w:val="00046E85"/>
    <w:rsid w:val="00047863"/>
    <w:rsid w:val="00050760"/>
    <w:rsid w:val="00050EC5"/>
    <w:rsid w:val="00051168"/>
    <w:rsid w:val="00051341"/>
    <w:rsid w:val="00051ABF"/>
    <w:rsid w:val="00051B87"/>
    <w:rsid w:val="00052080"/>
    <w:rsid w:val="000525F0"/>
    <w:rsid w:val="000527D1"/>
    <w:rsid w:val="00052C10"/>
    <w:rsid w:val="00052F45"/>
    <w:rsid w:val="0005382C"/>
    <w:rsid w:val="00054597"/>
    <w:rsid w:val="000545C9"/>
    <w:rsid w:val="00054F3B"/>
    <w:rsid w:val="00055139"/>
    <w:rsid w:val="0005573E"/>
    <w:rsid w:val="00055F11"/>
    <w:rsid w:val="00055FDA"/>
    <w:rsid w:val="000561F6"/>
    <w:rsid w:val="0005654B"/>
    <w:rsid w:val="0005658E"/>
    <w:rsid w:val="00056676"/>
    <w:rsid w:val="00056838"/>
    <w:rsid w:val="00056D06"/>
    <w:rsid w:val="00056ECF"/>
    <w:rsid w:val="00057A0D"/>
    <w:rsid w:val="000602E0"/>
    <w:rsid w:val="0006071E"/>
    <w:rsid w:val="00060735"/>
    <w:rsid w:val="00060C49"/>
    <w:rsid w:val="000611AA"/>
    <w:rsid w:val="00061FFA"/>
    <w:rsid w:val="00062459"/>
    <w:rsid w:val="0006283F"/>
    <w:rsid w:val="00062CCA"/>
    <w:rsid w:val="00062DAC"/>
    <w:rsid w:val="00062FA4"/>
    <w:rsid w:val="00063360"/>
    <w:rsid w:val="0006354D"/>
    <w:rsid w:val="00063661"/>
    <w:rsid w:val="00063680"/>
    <w:rsid w:val="000636AB"/>
    <w:rsid w:val="00063738"/>
    <w:rsid w:val="000638CB"/>
    <w:rsid w:val="00063AA2"/>
    <w:rsid w:val="00063E90"/>
    <w:rsid w:val="00063EA7"/>
    <w:rsid w:val="00064027"/>
    <w:rsid w:val="00064694"/>
    <w:rsid w:val="000649AC"/>
    <w:rsid w:val="00064D87"/>
    <w:rsid w:val="00065CFF"/>
    <w:rsid w:val="000665C5"/>
    <w:rsid w:val="0006695C"/>
    <w:rsid w:val="0006697D"/>
    <w:rsid w:val="00066A72"/>
    <w:rsid w:val="00066B86"/>
    <w:rsid w:val="0006766D"/>
    <w:rsid w:val="00067C26"/>
    <w:rsid w:val="00067CDC"/>
    <w:rsid w:val="0007056A"/>
    <w:rsid w:val="0007080F"/>
    <w:rsid w:val="00070D2F"/>
    <w:rsid w:val="00071402"/>
    <w:rsid w:val="00071679"/>
    <w:rsid w:val="0007229A"/>
    <w:rsid w:val="0007241A"/>
    <w:rsid w:val="00072C5B"/>
    <w:rsid w:val="00073208"/>
    <w:rsid w:val="00073A4F"/>
    <w:rsid w:val="000748F7"/>
    <w:rsid w:val="00074C2B"/>
    <w:rsid w:val="00074CB8"/>
    <w:rsid w:val="00075365"/>
    <w:rsid w:val="000753B2"/>
    <w:rsid w:val="000754A0"/>
    <w:rsid w:val="00075611"/>
    <w:rsid w:val="000756C0"/>
    <w:rsid w:val="00075909"/>
    <w:rsid w:val="00075A95"/>
    <w:rsid w:val="00075A99"/>
    <w:rsid w:val="00075B43"/>
    <w:rsid w:val="0007684D"/>
    <w:rsid w:val="0007692A"/>
    <w:rsid w:val="00076DB9"/>
    <w:rsid w:val="00077214"/>
    <w:rsid w:val="00077540"/>
    <w:rsid w:val="0007764E"/>
    <w:rsid w:val="00077F78"/>
    <w:rsid w:val="0008055A"/>
    <w:rsid w:val="00080B2A"/>
    <w:rsid w:val="00080D96"/>
    <w:rsid w:val="00080FD1"/>
    <w:rsid w:val="00081254"/>
    <w:rsid w:val="000812D5"/>
    <w:rsid w:val="000812F7"/>
    <w:rsid w:val="00081328"/>
    <w:rsid w:val="000817ED"/>
    <w:rsid w:val="00082023"/>
    <w:rsid w:val="000823EE"/>
    <w:rsid w:val="000825F2"/>
    <w:rsid w:val="00082AB6"/>
    <w:rsid w:val="00082F46"/>
    <w:rsid w:val="000835DC"/>
    <w:rsid w:val="0008398E"/>
    <w:rsid w:val="00084141"/>
    <w:rsid w:val="00085492"/>
    <w:rsid w:val="000854EF"/>
    <w:rsid w:val="00085679"/>
    <w:rsid w:val="00085BF7"/>
    <w:rsid w:val="00085CCE"/>
    <w:rsid w:val="00085F1D"/>
    <w:rsid w:val="0008610F"/>
    <w:rsid w:val="00086299"/>
    <w:rsid w:val="000865B0"/>
    <w:rsid w:val="00087248"/>
    <w:rsid w:val="00087893"/>
    <w:rsid w:val="000878B0"/>
    <w:rsid w:val="00087A7B"/>
    <w:rsid w:val="00087CE9"/>
    <w:rsid w:val="00087DAF"/>
    <w:rsid w:val="00090A2C"/>
    <w:rsid w:val="00090E6A"/>
    <w:rsid w:val="00091022"/>
    <w:rsid w:val="00091630"/>
    <w:rsid w:val="000918A9"/>
    <w:rsid w:val="00091AF8"/>
    <w:rsid w:val="000928BF"/>
    <w:rsid w:val="00092B3A"/>
    <w:rsid w:val="00093450"/>
    <w:rsid w:val="000934F0"/>
    <w:rsid w:val="00093D27"/>
    <w:rsid w:val="00094221"/>
    <w:rsid w:val="0009422C"/>
    <w:rsid w:val="00095169"/>
    <w:rsid w:val="0009533E"/>
    <w:rsid w:val="000954C8"/>
    <w:rsid w:val="0009620D"/>
    <w:rsid w:val="00096552"/>
    <w:rsid w:val="00096C3C"/>
    <w:rsid w:val="000A0385"/>
    <w:rsid w:val="000A0A09"/>
    <w:rsid w:val="000A0C77"/>
    <w:rsid w:val="000A0CF8"/>
    <w:rsid w:val="000A0EC1"/>
    <w:rsid w:val="000A1140"/>
    <w:rsid w:val="000A11D8"/>
    <w:rsid w:val="000A1A9F"/>
    <w:rsid w:val="000A1CFE"/>
    <w:rsid w:val="000A1E86"/>
    <w:rsid w:val="000A2167"/>
    <w:rsid w:val="000A2986"/>
    <w:rsid w:val="000A2AEA"/>
    <w:rsid w:val="000A2EBC"/>
    <w:rsid w:val="000A3AF2"/>
    <w:rsid w:val="000A3E5E"/>
    <w:rsid w:val="000A48A3"/>
    <w:rsid w:val="000A4F06"/>
    <w:rsid w:val="000A570D"/>
    <w:rsid w:val="000A5A78"/>
    <w:rsid w:val="000A6160"/>
    <w:rsid w:val="000A7185"/>
    <w:rsid w:val="000A791D"/>
    <w:rsid w:val="000A7E89"/>
    <w:rsid w:val="000B0125"/>
    <w:rsid w:val="000B01BF"/>
    <w:rsid w:val="000B0473"/>
    <w:rsid w:val="000B06C9"/>
    <w:rsid w:val="000B0B8C"/>
    <w:rsid w:val="000B0BF7"/>
    <w:rsid w:val="000B0D37"/>
    <w:rsid w:val="000B0EE0"/>
    <w:rsid w:val="000B1139"/>
    <w:rsid w:val="000B16A3"/>
    <w:rsid w:val="000B1AC6"/>
    <w:rsid w:val="000B283B"/>
    <w:rsid w:val="000B2A26"/>
    <w:rsid w:val="000B2E32"/>
    <w:rsid w:val="000B33F7"/>
    <w:rsid w:val="000B401C"/>
    <w:rsid w:val="000B51C2"/>
    <w:rsid w:val="000B52C0"/>
    <w:rsid w:val="000B52F7"/>
    <w:rsid w:val="000B54A2"/>
    <w:rsid w:val="000B594A"/>
    <w:rsid w:val="000B5B31"/>
    <w:rsid w:val="000B5ED4"/>
    <w:rsid w:val="000B67A3"/>
    <w:rsid w:val="000B752B"/>
    <w:rsid w:val="000B783B"/>
    <w:rsid w:val="000B7B10"/>
    <w:rsid w:val="000C0260"/>
    <w:rsid w:val="000C0770"/>
    <w:rsid w:val="000C08CE"/>
    <w:rsid w:val="000C0E0C"/>
    <w:rsid w:val="000C119D"/>
    <w:rsid w:val="000C14FF"/>
    <w:rsid w:val="000C1F50"/>
    <w:rsid w:val="000C1FBE"/>
    <w:rsid w:val="000C2323"/>
    <w:rsid w:val="000C261C"/>
    <w:rsid w:val="000C2761"/>
    <w:rsid w:val="000C27DD"/>
    <w:rsid w:val="000C2A3D"/>
    <w:rsid w:val="000C3413"/>
    <w:rsid w:val="000C34EB"/>
    <w:rsid w:val="000C37F6"/>
    <w:rsid w:val="000C3831"/>
    <w:rsid w:val="000C3A22"/>
    <w:rsid w:val="000C3B2E"/>
    <w:rsid w:val="000C4006"/>
    <w:rsid w:val="000C4799"/>
    <w:rsid w:val="000C4BC9"/>
    <w:rsid w:val="000C4DCC"/>
    <w:rsid w:val="000C4E91"/>
    <w:rsid w:val="000C50AC"/>
    <w:rsid w:val="000C5723"/>
    <w:rsid w:val="000C5B0F"/>
    <w:rsid w:val="000C5F77"/>
    <w:rsid w:val="000C6215"/>
    <w:rsid w:val="000C79DB"/>
    <w:rsid w:val="000C7E2C"/>
    <w:rsid w:val="000D0283"/>
    <w:rsid w:val="000D0655"/>
    <w:rsid w:val="000D0CD0"/>
    <w:rsid w:val="000D1211"/>
    <w:rsid w:val="000D12AD"/>
    <w:rsid w:val="000D141E"/>
    <w:rsid w:val="000D1591"/>
    <w:rsid w:val="000D18A1"/>
    <w:rsid w:val="000D18B6"/>
    <w:rsid w:val="000D1918"/>
    <w:rsid w:val="000D2B06"/>
    <w:rsid w:val="000D361C"/>
    <w:rsid w:val="000D3672"/>
    <w:rsid w:val="000D3A26"/>
    <w:rsid w:val="000D4284"/>
    <w:rsid w:val="000D464C"/>
    <w:rsid w:val="000D4771"/>
    <w:rsid w:val="000D4826"/>
    <w:rsid w:val="000D55BB"/>
    <w:rsid w:val="000D5860"/>
    <w:rsid w:val="000D5B1C"/>
    <w:rsid w:val="000D5E04"/>
    <w:rsid w:val="000D5E91"/>
    <w:rsid w:val="000D5F0E"/>
    <w:rsid w:val="000D6019"/>
    <w:rsid w:val="000D6813"/>
    <w:rsid w:val="000D7119"/>
    <w:rsid w:val="000D7195"/>
    <w:rsid w:val="000D748B"/>
    <w:rsid w:val="000D7878"/>
    <w:rsid w:val="000D7FB7"/>
    <w:rsid w:val="000E0338"/>
    <w:rsid w:val="000E0770"/>
    <w:rsid w:val="000E1A37"/>
    <w:rsid w:val="000E227D"/>
    <w:rsid w:val="000E26AA"/>
    <w:rsid w:val="000E2FAF"/>
    <w:rsid w:val="000E3819"/>
    <w:rsid w:val="000E399E"/>
    <w:rsid w:val="000E3A49"/>
    <w:rsid w:val="000E3B34"/>
    <w:rsid w:val="000E3E4F"/>
    <w:rsid w:val="000E42A7"/>
    <w:rsid w:val="000E458E"/>
    <w:rsid w:val="000E480F"/>
    <w:rsid w:val="000E54F7"/>
    <w:rsid w:val="000E5769"/>
    <w:rsid w:val="000E5EAF"/>
    <w:rsid w:val="000E669E"/>
    <w:rsid w:val="000E66F7"/>
    <w:rsid w:val="000E6C4E"/>
    <w:rsid w:val="000E6F9C"/>
    <w:rsid w:val="000E7168"/>
    <w:rsid w:val="000E7727"/>
    <w:rsid w:val="000F053D"/>
    <w:rsid w:val="000F0754"/>
    <w:rsid w:val="000F160C"/>
    <w:rsid w:val="000F1AA4"/>
    <w:rsid w:val="000F1D2B"/>
    <w:rsid w:val="000F1EE1"/>
    <w:rsid w:val="000F232C"/>
    <w:rsid w:val="000F298E"/>
    <w:rsid w:val="000F2BED"/>
    <w:rsid w:val="000F2CF9"/>
    <w:rsid w:val="000F2D6E"/>
    <w:rsid w:val="000F2E79"/>
    <w:rsid w:val="000F30DC"/>
    <w:rsid w:val="000F38A8"/>
    <w:rsid w:val="000F3A99"/>
    <w:rsid w:val="000F499E"/>
    <w:rsid w:val="000F4A2A"/>
    <w:rsid w:val="000F5438"/>
    <w:rsid w:val="000F555C"/>
    <w:rsid w:val="000F58E8"/>
    <w:rsid w:val="000F5E2C"/>
    <w:rsid w:val="000F65A3"/>
    <w:rsid w:val="000F6C88"/>
    <w:rsid w:val="000F6F9F"/>
    <w:rsid w:val="000F715A"/>
    <w:rsid w:val="000F7605"/>
    <w:rsid w:val="000F7E19"/>
    <w:rsid w:val="00100967"/>
    <w:rsid w:val="00100A23"/>
    <w:rsid w:val="00100B9D"/>
    <w:rsid w:val="00100D76"/>
    <w:rsid w:val="00101FD7"/>
    <w:rsid w:val="00102068"/>
    <w:rsid w:val="00102108"/>
    <w:rsid w:val="00102FBC"/>
    <w:rsid w:val="001035F5"/>
    <w:rsid w:val="001039A1"/>
    <w:rsid w:val="00103A86"/>
    <w:rsid w:val="00103D99"/>
    <w:rsid w:val="00104CA6"/>
    <w:rsid w:val="00104E79"/>
    <w:rsid w:val="001054DC"/>
    <w:rsid w:val="001054EA"/>
    <w:rsid w:val="00105B02"/>
    <w:rsid w:val="00105FD6"/>
    <w:rsid w:val="00106802"/>
    <w:rsid w:val="00106CB6"/>
    <w:rsid w:val="001079D2"/>
    <w:rsid w:val="00107C07"/>
    <w:rsid w:val="00107EAB"/>
    <w:rsid w:val="00110205"/>
    <w:rsid w:val="001113A4"/>
    <w:rsid w:val="001113C2"/>
    <w:rsid w:val="00111CB2"/>
    <w:rsid w:val="00111DD1"/>
    <w:rsid w:val="00112BE9"/>
    <w:rsid w:val="00112D86"/>
    <w:rsid w:val="00112EBB"/>
    <w:rsid w:val="00112F6E"/>
    <w:rsid w:val="0011352C"/>
    <w:rsid w:val="001136B9"/>
    <w:rsid w:val="00113790"/>
    <w:rsid w:val="00113D2F"/>
    <w:rsid w:val="00114396"/>
    <w:rsid w:val="00114C81"/>
    <w:rsid w:val="0011577A"/>
    <w:rsid w:val="00115BA8"/>
    <w:rsid w:val="00116348"/>
    <w:rsid w:val="00116B56"/>
    <w:rsid w:val="00116E25"/>
    <w:rsid w:val="0011718F"/>
    <w:rsid w:val="001173EB"/>
    <w:rsid w:val="00117CB3"/>
    <w:rsid w:val="00120152"/>
    <w:rsid w:val="00120A01"/>
    <w:rsid w:val="00120AFA"/>
    <w:rsid w:val="00120BD6"/>
    <w:rsid w:val="001220EB"/>
    <w:rsid w:val="001224AA"/>
    <w:rsid w:val="00122CC1"/>
    <w:rsid w:val="00122FAE"/>
    <w:rsid w:val="00123902"/>
    <w:rsid w:val="00123B63"/>
    <w:rsid w:val="00123DFB"/>
    <w:rsid w:val="00123F1E"/>
    <w:rsid w:val="0012473E"/>
    <w:rsid w:val="00124EEE"/>
    <w:rsid w:val="0012505A"/>
    <w:rsid w:val="0012518F"/>
    <w:rsid w:val="0012581B"/>
    <w:rsid w:val="00125AA8"/>
    <w:rsid w:val="00125CCF"/>
    <w:rsid w:val="00125D77"/>
    <w:rsid w:val="001264B5"/>
    <w:rsid w:val="00126917"/>
    <w:rsid w:val="001269CE"/>
    <w:rsid w:val="00127F33"/>
    <w:rsid w:val="0013020B"/>
    <w:rsid w:val="00130929"/>
    <w:rsid w:val="00130BBE"/>
    <w:rsid w:val="001310E4"/>
    <w:rsid w:val="00131507"/>
    <w:rsid w:val="0013172A"/>
    <w:rsid w:val="00131978"/>
    <w:rsid w:val="001319AC"/>
    <w:rsid w:val="001319EF"/>
    <w:rsid w:val="0013275F"/>
    <w:rsid w:val="00132860"/>
    <w:rsid w:val="00132ABE"/>
    <w:rsid w:val="00133870"/>
    <w:rsid w:val="00133BCD"/>
    <w:rsid w:val="00133E5C"/>
    <w:rsid w:val="00133F21"/>
    <w:rsid w:val="00134B3A"/>
    <w:rsid w:val="00135853"/>
    <w:rsid w:val="001358CC"/>
    <w:rsid w:val="00135CCE"/>
    <w:rsid w:val="00135F78"/>
    <w:rsid w:val="00136EB7"/>
    <w:rsid w:val="001376A8"/>
    <w:rsid w:val="00137D7F"/>
    <w:rsid w:val="00137DE1"/>
    <w:rsid w:val="00137F02"/>
    <w:rsid w:val="00137F40"/>
    <w:rsid w:val="00140032"/>
    <w:rsid w:val="00140327"/>
    <w:rsid w:val="00140511"/>
    <w:rsid w:val="00140901"/>
    <w:rsid w:val="001409A2"/>
    <w:rsid w:val="001428D3"/>
    <w:rsid w:val="00142963"/>
    <w:rsid w:val="00142B1E"/>
    <w:rsid w:val="00143873"/>
    <w:rsid w:val="001441F4"/>
    <w:rsid w:val="001446BE"/>
    <w:rsid w:val="00144932"/>
    <w:rsid w:val="001449DE"/>
    <w:rsid w:val="0014515D"/>
    <w:rsid w:val="00145174"/>
    <w:rsid w:val="00145458"/>
    <w:rsid w:val="0014566B"/>
    <w:rsid w:val="001457F5"/>
    <w:rsid w:val="00146082"/>
    <w:rsid w:val="00146523"/>
    <w:rsid w:val="001469B9"/>
    <w:rsid w:val="00146C78"/>
    <w:rsid w:val="001471CE"/>
    <w:rsid w:val="001473BD"/>
    <w:rsid w:val="00147D13"/>
    <w:rsid w:val="0015009B"/>
    <w:rsid w:val="00150F12"/>
    <w:rsid w:val="0015131A"/>
    <w:rsid w:val="00151D5E"/>
    <w:rsid w:val="00151FD0"/>
    <w:rsid w:val="001525DA"/>
    <w:rsid w:val="00152865"/>
    <w:rsid w:val="00152C03"/>
    <w:rsid w:val="00153207"/>
    <w:rsid w:val="00153387"/>
    <w:rsid w:val="00153718"/>
    <w:rsid w:val="00153D2F"/>
    <w:rsid w:val="00153F5D"/>
    <w:rsid w:val="001546E0"/>
    <w:rsid w:val="00154725"/>
    <w:rsid w:val="00154B76"/>
    <w:rsid w:val="00155987"/>
    <w:rsid w:val="00155A7F"/>
    <w:rsid w:val="00155CA4"/>
    <w:rsid w:val="00155FAA"/>
    <w:rsid w:val="001560A3"/>
    <w:rsid w:val="001561D3"/>
    <w:rsid w:val="00156237"/>
    <w:rsid w:val="0015624A"/>
    <w:rsid w:val="00156561"/>
    <w:rsid w:val="00156952"/>
    <w:rsid w:val="00156E51"/>
    <w:rsid w:val="00157F4F"/>
    <w:rsid w:val="0016009E"/>
    <w:rsid w:val="001605EE"/>
    <w:rsid w:val="0016067E"/>
    <w:rsid w:val="001607B4"/>
    <w:rsid w:val="0016097A"/>
    <w:rsid w:val="00161221"/>
    <w:rsid w:val="00162459"/>
    <w:rsid w:val="00162533"/>
    <w:rsid w:val="00162535"/>
    <w:rsid w:val="001629E3"/>
    <w:rsid w:val="00162AAC"/>
    <w:rsid w:val="001631B7"/>
    <w:rsid w:val="001639D1"/>
    <w:rsid w:val="001640AE"/>
    <w:rsid w:val="001643B0"/>
    <w:rsid w:val="00164CB5"/>
    <w:rsid w:val="00164CFF"/>
    <w:rsid w:val="001664D8"/>
    <w:rsid w:val="001666A4"/>
    <w:rsid w:val="001668CB"/>
    <w:rsid w:val="00167B18"/>
    <w:rsid w:val="0017073C"/>
    <w:rsid w:val="00170A9A"/>
    <w:rsid w:val="001710F3"/>
    <w:rsid w:val="0017134E"/>
    <w:rsid w:val="001714A0"/>
    <w:rsid w:val="00171921"/>
    <w:rsid w:val="00171B72"/>
    <w:rsid w:val="001723CA"/>
    <w:rsid w:val="00172947"/>
    <w:rsid w:val="00172DC9"/>
    <w:rsid w:val="00172FFC"/>
    <w:rsid w:val="001730FB"/>
    <w:rsid w:val="001743BA"/>
    <w:rsid w:val="00174DAE"/>
    <w:rsid w:val="0017510C"/>
    <w:rsid w:val="00175298"/>
    <w:rsid w:val="001765E7"/>
    <w:rsid w:val="0017797D"/>
    <w:rsid w:val="00177B64"/>
    <w:rsid w:val="00177D5F"/>
    <w:rsid w:val="00177E40"/>
    <w:rsid w:val="00180549"/>
    <w:rsid w:val="00180685"/>
    <w:rsid w:val="0018169B"/>
    <w:rsid w:val="001816CA"/>
    <w:rsid w:val="00181767"/>
    <w:rsid w:val="00181F57"/>
    <w:rsid w:val="00181F7B"/>
    <w:rsid w:val="00182023"/>
    <w:rsid w:val="00183584"/>
    <w:rsid w:val="00184B59"/>
    <w:rsid w:val="00185409"/>
    <w:rsid w:val="001854F6"/>
    <w:rsid w:val="00185E1D"/>
    <w:rsid w:val="00186184"/>
    <w:rsid w:val="001864FB"/>
    <w:rsid w:val="001868C8"/>
    <w:rsid w:val="00186DBF"/>
    <w:rsid w:val="00187254"/>
    <w:rsid w:val="0018753E"/>
    <w:rsid w:val="001902FF"/>
    <w:rsid w:val="00190F8B"/>
    <w:rsid w:val="001912AC"/>
    <w:rsid w:val="001912D1"/>
    <w:rsid w:val="00191799"/>
    <w:rsid w:val="00191A9B"/>
    <w:rsid w:val="00192E93"/>
    <w:rsid w:val="0019306F"/>
    <w:rsid w:val="001932BC"/>
    <w:rsid w:val="001932CE"/>
    <w:rsid w:val="00193C26"/>
    <w:rsid w:val="00194573"/>
    <w:rsid w:val="001949EF"/>
    <w:rsid w:val="00194B89"/>
    <w:rsid w:val="00195B60"/>
    <w:rsid w:val="00195CE7"/>
    <w:rsid w:val="00196794"/>
    <w:rsid w:val="00196CA0"/>
    <w:rsid w:val="00196F93"/>
    <w:rsid w:val="001970DD"/>
    <w:rsid w:val="00197457"/>
    <w:rsid w:val="001977DD"/>
    <w:rsid w:val="00197BD7"/>
    <w:rsid w:val="00197C61"/>
    <w:rsid w:val="001A02E1"/>
    <w:rsid w:val="001A038A"/>
    <w:rsid w:val="001A04A6"/>
    <w:rsid w:val="001A1292"/>
    <w:rsid w:val="001A12A8"/>
    <w:rsid w:val="001A15B5"/>
    <w:rsid w:val="001A185F"/>
    <w:rsid w:val="001A1BAD"/>
    <w:rsid w:val="001A22F3"/>
    <w:rsid w:val="001A2695"/>
    <w:rsid w:val="001A284F"/>
    <w:rsid w:val="001A2FF0"/>
    <w:rsid w:val="001A37DC"/>
    <w:rsid w:val="001A3D91"/>
    <w:rsid w:val="001A3F6A"/>
    <w:rsid w:val="001A43B7"/>
    <w:rsid w:val="001A4444"/>
    <w:rsid w:val="001A5D3A"/>
    <w:rsid w:val="001A5E75"/>
    <w:rsid w:val="001A6771"/>
    <w:rsid w:val="001A6B0C"/>
    <w:rsid w:val="001A6B8E"/>
    <w:rsid w:val="001A6C47"/>
    <w:rsid w:val="001A6D1C"/>
    <w:rsid w:val="001A6E2E"/>
    <w:rsid w:val="001A6EB0"/>
    <w:rsid w:val="001A7CDB"/>
    <w:rsid w:val="001A7D3B"/>
    <w:rsid w:val="001A7D68"/>
    <w:rsid w:val="001A7EE4"/>
    <w:rsid w:val="001A7FD0"/>
    <w:rsid w:val="001B013F"/>
    <w:rsid w:val="001B02AE"/>
    <w:rsid w:val="001B05D9"/>
    <w:rsid w:val="001B08BC"/>
    <w:rsid w:val="001B12D2"/>
    <w:rsid w:val="001B159D"/>
    <w:rsid w:val="001B1A21"/>
    <w:rsid w:val="001B1F08"/>
    <w:rsid w:val="001B21B4"/>
    <w:rsid w:val="001B22AE"/>
    <w:rsid w:val="001B33CF"/>
    <w:rsid w:val="001B368F"/>
    <w:rsid w:val="001B37AB"/>
    <w:rsid w:val="001B386A"/>
    <w:rsid w:val="001B3A99"/>
    <w:rsid w:val="001B43CD"/>
    <w:rsid w:val="001B46A1"/>
    <w:rsid w:val="001B4A03"/>
    <w:rsid w:val="001B4B34"/>
    <w:rsid w:val="001B4E48"/>
    <w:rsid w:val="001B545E"/>
    <w:rsid w:val="001B58C2"/>
    <w:rsid w:val="001B59E3"/>
    <w:rsid w:val="001B60CC"/>
    <w:rsid w:val="001B6708"/>
    <w:rsid w:val="001B6833"/>
    <w:rsid w:val="001B707A"/>
    <w:rsid w:val="001B70CB"/>
    <w:rsid w:val="001B750D"/>
    <w:rsid w:val="001B75B0"/>
    <w:rsid w:val="001B7C28"/>
    <w:rsid w:val="001B7F47"/>
    <w:rsid w:val="001B7F6F"/>
    <w:rsid w:val="001C0142"/>
    <w:rsid w:val="001C0291"/>
    <w:rsid w:val="001C0E3F"/>
    <w:rsid w:val="001C0E76"/>
    <w:rsid w:val="001C0EDD"/>
    <w:rsid w:val="001C135C"/>
    <w:rsid w:val="001C1AC2"/>
    <w:rsid w:val="001C215E"/>
    <w:rsid w:val="001C255F"/>
    <w:rsid w:val="001C272C"/>
    <w:rsid w:val="001C27B7"/>
    <w:rsid w:val="001C28C7"/>
    <w:rsid w:val="001C3EBE"/>
    <w:rsid w:val="001C41DC"/>
    <w:rsid w:val="001C5252"/>
    <w:rsid w:val="001C5619"/>
    <w:rsid w:val="001C5956"/>
    <w:rsid w:val="001C5CE2"/>
    <w:rsid w:val="001C6069"/>
    <w:rsid w:val="001C6458"/>
    <w:rsid w:val="001C64BF"/>
    <w:rsid w:val="001C6623"/>
    <w:rsid w:val="001C6CB0"/>
    <w:rsid w:val="001C7279"/>
    <w:rsid w:val="001C7412"/>
    <w:rsid w:val="001D002B"/>
    <w:rsid w:val="001D07BA"/>
    <w:rsid w:val="001D0E1E"/>
    <w:rsid w:val="001D10B2"/>
    <w:rsid w:val="001D139D"/>
    <w:rsid w:val="001D1B9F"/>
    <w:rsid w:val="001D2009"/>
    <w:rsid w:val="001D2056"/>
    <w:rsid w:val="001D20F1"/>
    <w:rsid w:val="001D234C"/>
    <w:rsid w:val="001D27D3"/>
    <w:rsid w:val="001D2B3C"/>
    <w:rsid w:val="001D2CD5"/>
    <w:rsid w:val="001D2EF2"/>
    <w:rsid w:val="001D3348"/>
    <w:rsid w:val="001D3402"/>
    <w:rsid w:val="001D35B5"/>
    <w:rsid w:val="001D3698"/>
    <w:rsid w:val="001D386E"/>
    <w:rsid w:val="001D3B4B"/>
    <w:rsid w:val="001D3B7D"/>
    <w:rsid w:val="001D40DF"/>
    <w:rsid w:val="001D425D"/>
    <w:rsid w:val="001D4B24"/>
    <w:rsid w:val="001D6083"/>
    <w:rsid w:val="001D6A82"/>
    <w:rsid w:val="001D6D33"/>
    <w:rsid w:val="001D6EE6"/>
    <w:rsid w:val="001D7048"/>
    <w:rsid w:val="001D788E"/>
    <w:rsid w:val="001D7BC4"/>
    <w:rsid w:val="001D7F0D"/>
    <w:rsid w:val="001D7FC8"/>
    <w:rsid w:val="001E0119"/>
    <w:rsid w:val="001E01CB"/>
    <w:rsid w:val="001E020D"/>
    <w:rsid w:val="001E0397"/>
    <w:rsid w:val="001E0810"/>
    <w:rsid w:val="001E09A5"/>
    <w:rsid w:val="001E0BDD"/>
    <w:rsid w:val="001E0E2A"/>
    <w:rsid w:val="001E0F30"/>
    <w:rsid w:val="001E130A"/>
    <w:rsid w:val="001E1494"/>
    <w:rsid w:val="001E1593"/>
    <w:rsid w:val="001E2340"/>
    <w:rsid w:val="001E29B5"/>
    <w:rsid w:val="001E2A58"/>
    <w:rsid w:val="001E35C3"/>
    <w:rsid w:val="001E375A"/>
    <w:rsid w:val="001E3934"/>
    <w:rsid w:val="001E3A10"/>
    <w:rsid w:val="001E3C39"/>
    <w:rsid w:val="001E3D0A"/>
    <w:rsid w:val="001E3D1D"/>
    <w:rsid w:val="001E4D11"/>
    <w:rsid w:val="001E5575"/>
    <w:rsid w:val="001E5F43"/>
    <w:rsid w:val="001E6E15"/>
    <w:rsid w:val="001E72D0"/>
    <w:rsid w:val="001E7895"/>
    <w:rsid w:val="001F0970"/>
    <w:rsid w:val="001F0C99"/>
    <w:rsid w:val="001F1296"/>
    <w:rsid w:val="001F14CD"/>
    <w:rsid w:val="001F22C9"/>
    <w:rsid w:val="001F2766"/>
    <w:rsid w:val="001F2BF1"/>
    <w:rsid w:val="001F2C5F"/>
    <w:rsid w:val="001F37C9"/>
    <w:rsid w:val="001F3CA1"/>
    <w:rsid w:val="001F3FE6"/>
    <w:rsid w:val="001F4E85"/>
    <w:rsid w:val="001F50EB"/>
    <w:rsid w:val="001F5C4B"/>
    <w:rsid w:val="001F5CF6"/>
    <w:rsid w:val="001F6157"/>
    <w:rsid w:val="001F6696"/>
    <w:rsid w:val="001F6C64"/>
    <w:rsid w:val="0020033F"/>
    <w:rsid w:val="002008D3"/>
    <w:rsid w:val="002010DB"/>
    <w:rsid w:val="0020123F"/>
    <w:rsid w:val="00202748"/>
    <w:rsid w:val="00202AFB"/>
    <w:rsid w:val="00202DAA"/>
    <w:rsid w:val="00203750"/>
    <w:rsid w:val="002038A2"/>
    <w:rsid w:val="002038E3"/>
    <w:rsid w:val="00203B8E"/>
    <w:rsid w:val="00203C39"/>
    <w:rsid w:val="002050E7"/>
    <w:rsid w:val="00205B0E"/>
    <w:rsid w:val="00205C7C"/>
    <w:rsid w:val="00206217"/>
    <w:rsid w:val="00206404"/>
    <w:rsid w:val="002064A6"/>
    <w:rsid w:val="00206733"/>
    <w:rsid w:val="00206953"/>
    <w:rsid w:val="00206A14"/>
    <w:rsid w:val="00206AB0"/>
    <w:rsid w:val="00206BAB"/>
    <w:rsid w:val="00206D9D"/>
    <w:rsid w:val="00207B55"/>
    <w:rsid w:val="00207E15"/>
    <w:rsid w:val="0021038D"/>
    <w:rsid w:val="002104D1"/>
    <w:rsid w:val="00211095"/>
    <w:rsid w:val="00211485"/>
    <w:rsid w:val="002118B1"/>
    <w:rsid w:val="00212004"/>
    <w:rsid w:val="0021243A"/>
    <w:rsid w:val="002129E3"/>
    <w:rsid w:val="00212E49"/>
    <w:rsid w:val="00212E8D"/>
    <w:rsid w:val="00212EBE"/>
    <w:rsid w:val="00212F32"/>
    <w:rsid w:val="0021301A"/>
    <w:rsid w:val="002132AC"/>
    <w:rsid w:val="00213411"/>
    <w:rsid w:val="0021343C"/>
    <w:rsid w:val="00213C3C"/>
    <w:rsid w:val="002145BB"/>
    <w:rsid w:val="002145D4"/>
    <w:rsid w:val="00215567"/>
    <w:rsid w:val="00215578"/>
    <w:rsid w:val="00215A8F"/>
    <w:rsid w:val="00215C9D"/>
    <w:rsid w:val="00215C9E"/>
    <w:rsid w:val="002160BB"/>
    <w:rsid w:val="00216105"/>
    <w:rsid w:val="002164E3"/>
    <w:rsid w:val="0021670E"/>
    <w:rsid w:val="0021779E"/>
    <w:rsid w:val="00217995"/>
    <w:rsid w:val="0022091F"/>
    <w:rsid w:val="00220C1E"/>
    <w:rsid w:val="0022104D"/>
    <w:rsid w:val="00221790"/>
    <w:rsid w:val="002219B3"/>
    <w:rsid w:val="002219F1"/>
    <w:rsid w:val="00221E29"/>
    <w:rsid w:val="00221ED7"/>
    <w:rsid w:val="002226E2"/>
    <w:rsid w:val="00222DCE"/>
    <w:rsid w:val="00222EFB"/>
    <w:rsid w:val="002233D6"/>
    <w:rsid w:val="0022473D"/>
    <w:rsid w:val="00224C27"/>
    <w:rsid w:val="00224C2A"/>
    <w:rsid w:val="00225887"/>
    <w:rsid w:val="0022598A"/>
    <w:rsid w:val="00225D87"/>
    <w:rsid w:val="00225EF1"/>
    <w:rsid w:val="0022659D"/>
    <w:rsid w:val="00227D9D"/>
    <w:rsid w:val="0023015E"/>
    <w:rsid w:val="00230242"/>
    <w:rsid w:val="002304B8"/>
    <w:rsid w:val="0023094A"/>
    <w:rsid w:val="00231CB8"/>
    <w:rsid w:val="00231F87"/>
    <w:rsid w:val="002322DC"/>
    <w:rsid w:val="00232ABB"/>
    <w:rsid w:val="00232B29"/>
    <w:rsid w:val="00233B22"/>
    <w:rsid w:val="00233F5C"/>
    <w:rsid w:val="002342B2"/>
    <w:rsid w:val="002342DC"/>
    <w:rsid w:val="00234400"/>
    <w:rsid w:val="002345ED"/>
    <w:rsid w:val="00234646"/>
    <w:rsid w:val="0023489B"/>
    <w:rsid w:val="002348B6"/>
    <w:rsid w:val="00234C8F"/>
    <w:rsid w:val="00234E29"/>
    <w:rsid w:val="0023616F"/>
    <w:rsid w:val="002366FA"/>
    <w:rsid w:val="00236A0A"/>
    <w:rsid w:val="00236BAA"/>
    <w:rsid w:val="0023716D"/>
    <w:rsid w:val="0023759D"/>
    <w:rsid w:val="00237910"/>
    <w:rsid w:val="00237D77"/>
    <w:rsid w:val="002406E3"/>
    <w:rsid w:val="00240D2A"/>
    <w:rsid w:val="00240ED7"/>
    <w:rsid w:val="0024156A"/>
    <w:rsid w:val="00242124"/>
    <w:rsid w:val="002424A1"/>
    <w:rsid w:val="0024257F"/>
    <w:rsid w:val="00242830"/>
    <w:rsid w:val="00242B37"/>
    <w:rsid w:val="00242D1A"/>
    <w:rsid w:val="00242FB6"/>
    <w:rsid w:val="00243AD7"/>
    <w:rsid w:val="0024400F"/>
    <w:rsid w:val="00244019"/>
    <w:rsid w:val="00244A7F"/>
    <w:rsid w:val="00244CEE"/>
    <w:rsid w:val="00244E0A"/>
    <w:rsid w:val="0024509E"/>
    <w:rsid w:val="0024589A"/>
    <w:rsid w:val="002458B5"/>
    <w:rsid w:val="00245A03"/>
    <w:rsid w:val="00245A84"/>
    <w:rsid w:val="00245D79"/>
    <w:rsid w:val="00246329"/>
    <w:rsid w:val="00247052"/>
    <w:rsid w:val="002478E9"/>
    <w:rsid w:val="00247BAA"/>
    <w:rsid w:val="00247C16"/>
    <w:rsid w:val="00247E2A"/>
    <w:rsid w:val="00250143"/>
    <w:rsid w:val="002501AF"/>
    <w:rsid w:val="0025032A"/>
    <w:rsid w:val="002503BC"/>
    <w:rsid w:val="002503E4"/>
    <w:rsid w:val="00250478"/>
    <w:rsid w:val="00250884"/>
    <w:rsid w:val="002510D1"/>
    <w:rsid w:val="00251321"/>
    <w:rsid w:val="002515D1"/>
    <w:rsid w:val="00251694"/>
    <w:rsid w:val="0025175B"/>
    <w:rsid w:val="002517D9"/>
    <w:rsid w:val="00251A02"/>
    <w:rsid w:val="00251B53"/>
    <w:rsid w:val="00251BCC"/>
    <w:rsid w:val="00251D0D"/>
    <w:rsid w:val="00251D5F"/>
    <w:rsid w:val="002521E7"/>
    <w:rsid w:val="002526F2"/>
    <w:rsid w:val="00252EE4"/>
    <w:rsid w:val="00253494"/>
    <w:rsid w:val="00253789"/>
    <w:rsid w:val="00253952"/>
    <w:rsid w:val="002548CF"/>
    <w:rsid w:val="00254908"/>
    <w:rsid w:val="00254BAB"/>
    <w:rsid w:val="002556E1"/>
    <w:rsid w:val="002557E1"/>
    <w:rsid w:val="00255D6A"/>
    <w:rsid w:val="0025632A"/>
    <w:rsid w:val="0025642A"/>
    <w:rsid w:val="00256637"/>
    <w:rsid w:val="00257112"/>
    <w:rsid w:val="00257283"/>
    <w:rsid w:val="002601ED"/>
    <w:rsid w:val="0026038E"/>
    <w:rsid w:val="0026072B"/>
    <w:rsid w:val="00260757"/>
    <w:rsid w:val="00260A6F"/>
    <w:rsid w:val="00260D78"/>
    <w:rsid w:val="00260D7F"/>
    <w:rsid w:val="00261A0A"/>
    <w:rsid w:val="00261CE1"/>
    <w:rsid w:val="0026216D"/>
    <w:rsid w:val="00262989"/>
    <w:rsid w:val="0026302D"/>
    <w:rsid w:val="0026303F"/>
    <w:rsid w:val="00263712"/>
    <w:rsid w:val="00263F95"/>
    <w:rsid w:val="0026454A"/>
    <w:rsid w:val="002649FD"/>
    <w:rsid w:val="00264E77"/>
    <w:rsid w:val="00265158"/>
    <w:rsid w:val="002654A2"/>
    <w:rsid w:val="0026556A"/>
    <w:rsid w:val="002659F6"/>
    <w:rsid w:val="00265DEE"/>
    <w:rsid w:val="00266C92"/>
    <w:rsid w:val="00267072"/>
    <w:rsid w:val="00267133"/>
    <w:rsid w:val="00267261"/>
    <w:rsid w:val="00267340"/>
    <w:rsid w:val="002674BC"/>
    <w:rsid w:val="00267556"/>
    <w:rsid w:val="00267BC5"/>
    <w:rsid w:val="00267C8B"/>
    <w:rsid w:val="0027037E"/>
    <w:rsid w:val="002704D6"/>
    <w:rsid w:val="00270977"/>
    <w:rsid w:val="00270B17"/>
    <w:rsid w:val="00270B2C"/>
    <w:rsid w:val="00270C53"/>
    <w:rsid w:val="00270DDA"/>
    <w:rsid w:val="00270F03"/>
    <w:rsid w:val="00271284"/>
    <w:rsid w:val="0027184C"/>
    <w:rsid w:val="002718F9"/>
    <w:rsid w:val="002719DD"/>
    <w:rsid w:val="00271BB5"/>
    <w:rsid w:val="00271DC5"/>
    <w:rsid w:val="002721D9"/>
    <w:rsid w:val="00272560"/>
    <w:rsid w:val="00272813"/>
    <w:rsid w:val="00272832"/>
    <w:rsid w:val="00272D35"/>
    <w:rsid w:val="0027326B"/>
    <w:rsid w:val="00273679"/>
    <w:rsid w:val="00273937"/>
    <w:rsid w:val="00273E8E"/>
    <w:rsid w:val="002746B2"/>
    <w:rsid w:val="002749C7"/>
    <w:rsid w:val="00274BC6"/>
    <w:rsid w:val="00274D35"/>
    <w:rsid w:val="002751B5"/>
    <w:rsid w:val="00275761"/>
    <w:rsid w:val="00275AF3"/>
    <w:rsid w:val="00275C2B"/>
    <w:rsid w:val="00275E4B"/>
    <w:rsid w:val="00276372"/>
    <w:rsid w:val="00276628"/>
    <w:rsid w:val="0027688F"/>
    <w:rsid w:val="00277184"/>
    <w:rsid w:val="00277AC1"/>
    <w:rsid w:val="00280613"/>
    <w:rsid w:val="00280CF1"/>
    <w:rsid w:val="00281F62"/>
    <w:rsid w:val="002829A6"/>
    <w:rsid w:val="00282BE7"/>
    <w:rsid w:val="00282BF9"/>
    <w:rsid w:val="00282CDB"/>
    <w:rsid w:val="00282E7E"/>
    <w:rsid w:val="002830A4"/>
    <w:rsid w:val="00283437"/>
    <w:rsid w:val="002834C0"/>
    <w:rsid w:val="00283C57"/>
    <w:rsid w:val="00284709"/>
    <w:rsid w:val="00284B53"/>
    <w:rsid w:val="002850F7"/>
    <w:rsid w:val="002858FE"/>
    <w:rsid w:val="00285C29"/>
    <w:rsid w:val="00285D8C"/>
    <w:rsid w:val="00286477"/>
    <w:rsid w:val="002868A4"/>
    <w:rsid w:val="00286990"/>
    <w:rsid w:val="002900E3"/>
    <w:rsid w:val="00290321"/>
    <w:rsid w:val="00290662"/>
    <w:rsid w:val="0029068C"/>
    <w:rsid w:val="002906A8"/>
    <w:rsid w:val="00290A81"/>
    <w:rsid w:val="00290FDA"/>
    <w:rsid w:val="002910E3"/>
    <w:rsid w:val="002910E8"/>
    <w:rsid w:val="00291645"/>
    <w:rsid w:val="0029188D"/>
    <w:rsid w:val="00291A9D"/>
    <w:rsid w:val="00291AE0"/>
    <w:rsid w:val="00291EDF"/>
    <w:rsid w:val="00292600"/>
    <w:rsid w:val="00292A04"/>
    <w:rsid w:val="00293145"/>
    <w:rsid w:val="00293265"/>
    <w:rsid w:val="0029339D"/>
    <w:rsid w:val="002933E6"/>
    <w:rsid w:val="002933E9"/>
    <w:rsid w:val="00293831"/>
    <w:rsid w:val="00293843"/>
    <w:rsid w:val="00293DDE"/>
    <w:rsid w:val="00293EDD"/>
    <w:rsid w:val="0029408F"/>
    <w:rsid w:val="0029459C"/>
    <w:rsid w:val="002949B6"/>
    <w:rsid w:val="00294D01"/>
    <w:rsid w:val="00294DF1"/>
    <w:rsid w:val="00295411"/>
    <w:rsid w:val="00295423"/>
    <w:rsid w:val="002957B1"/>
    <w:rsid w:val="002960AD"/>
    <w:rsid w:val="00296FD5"/>
    <w:rsid w:val="002976F2"/>
    <w:rsid w:val="002978D3"/>
    <w:rsid w:val="002979DC"/>
    <w:rsid w:val="002A0085"/>
    <w:rsid w:val="002A035C"/>
    <w:rsid w:val="002A091C"/>
    <w:rsid w:val="002A0A1A"/>
    <w:rsid w:val="002A0AAA"/>
    <w:rsid w:val="002A0B13"/>
    <w:rsid w:val="002A0F8C"/>
    <w:rsid w:val="002A14C6"/>
    <w:rsid w:val="002A1CB2"/>
    <w:rsid w:val="002A1EF0"/>
    <w:rsid w:val="002A1F5B"/>
    <w:rsid w:val="002A1FB8"/>
    <w:rsid w:val="002A24E7"/>
    <w:rsid w:val="002A292F"/>
    <w:rsid w:val="002A2C82"/>
    <w:rsid w:val="002A2E86"/>
    <w:rsid w:val="002A33BA"/>
    <w:rsid w:val="002A4259"/>
    <w:rsid w:val="002A4562"/>
    <w:rsid w:val="002A5684"/>
    <w:rsid w:val="002A5CAE"/>
    <w:rsid w:val="002A5EBD"/>
    <w:rsid w:val="002A5FC6"/>
    <w:rsid w:val="002A616F"/>
    <w:rsid w:val="002A6A83"/>
    <w:rsid w:val="002A6C5C"/>
    <w:rsid w:val="002A7931"/>
    <w:rsid w:val="002A7932"/>
    <w:rsid w:val="002A7A7D"/>
    <w:rsid w:val="002A7A82"/>
    <w:rsid w:val="002A7D67"/>
    <w:rsid w:val="002B0575"/>
    <w:rsid w:val="002B0A4F"/>
    <w:rsid w:val="002B0E91"/>
    <w:rsid w:val="002B0F50"/>
    <w:rsid w:val="002B0F9B"/>
    <w:rsid w:val="002B10F3"/>
    <w:rsid w:val="002B1222"/>
    <w:rsid w:val="002B12D8"/>
    <w:rsid w:val="002B1805"/>
    <w:rsid w:val="002B2172"/>
    <w:rsid w:val="002B24CD"/>
    <w:rsid w:val="002B26B4"/>
    <w:rsid w:val="002B293D"/>
    <w:rsid w:val="002B2B32"/>
    <w:rsid w:val="002B2D35"/>
    <w:rsid w:val="002B2F0E"/>
    <w:rsid w:val="002B3641"/>
    <w:rsid w:val="002B3939"/>
    <w:rsid w:val="002B3A49"/>
    <w:rsid w:val="002B427F"/>
    <w:rsid w:val="002B4683"/>
    <w:rsid w:val="002B4C49"/>
    <w:rsid w:val="002B4C99"/>
    <w:rsid w:val="002B52FC"/>
    <w:rsid w:val="002B59A6"/>
    <w:rsid w:val="002B6C03"/>
    <w:rsid w:val="002B6EB4"/>
    <w:rsid w:val="002B6ECD"/>
    <w:rsid w:val="002B6FDD"/>
    <w:rsid w:val="002B7196"/>
    <w:rsid w:val="002B75BE"/>
    <w:rsid w:val="002B77CE"/>
    <w:rsid w:val="002B7925"/>
    <w:rsid w:val="002B7B97"/>
    <w:rsid w:val="002C0554"/>
    <w:rsid w:val="002C0E03"/>
    <w:rsid w:val="002C1059"/>
    <w:rsid w:val="002C1670"/>
    <w:rsid w:val="002C23D4"/>
    <w:rsid w:val="002C2A44"/>
    <w:rsid w:val="002C3029"/>
    <w:rsid w:val="002C3049"/>
    <w:rsid w:val="002C327E"/>
    <w:rsid w:val="002C328F"/>
    <w:rsid w:val="002C371B"/>
    <w:rsid w:val="002C4CD8"/>
    <w:rsid w:val="002C4CE8"/>
    <w:rsid w:val="002C5073"/>
    <w:rsid w:val="002C5D78"/>
    <w:rsid w:val="002C5E9B"/>
    <w:rsid w:val="002C66EB"/>
    <w:rsid w:val="002C66F3"/>
    <w:rsid w:val="002C67B3"/>
    <w:rsid w:val="002C720B"/>
    <w:rsid w:val="002C72CD"/>
    <w:rsid w:val="002C744D"/>
    <w:rsid w:val="002C7A6C"/>
    <w:rsid w:val="002C7EC2"/>
    <w:rsid w:val="002D011A"/>
    <w:rsid w:val="002D1005"/>
    <w:rsid w:val="002D1015"/>
    <w:rsid w:val="002D14D9"/>
    <w:rsid w:val="002D14E2"/>
    <w:rsid w:val="002D18E3"/>
    <w:rsid w:val="002D1A52"/>
    <w:rsid w:val="002D1D01"/>
    <w:rsid w:val="002D1F5B"/>
    <w:rsid w:val="002D2B4E"/>
    <w:rsid w:val="002D3358"/>
    <w:rsid w:val="002D3865"/>
    <w:rsid w:val="002D3931"/>
    <w:rsid w:val="002D3F52"/>
    <w:rsid w:val="002D47BB"/>
    <w:rsid w:val="002D52FC"/>
    <w:rsid w:val="002D57CE"/>
    <w:rsid w:val="002D5E21"/>
    <w:rsid w:val="002D5FD2"/>
    <w:rsid w:val="002D621D"/>
    <w:rsid w:val="002D6DD6"/>
    <w:rsid w:val="002D6EFC"/>
    <w:rsid w:val="002D7492"/>
    <w:rsid w:val="002D7D73"/>
    <w:rsid w:val="002E07D3"/>
    <w:rsid w:val="002E097A"/>
    <w:rsid w:val="002E0E66"/>
    <w:rsid w:val="002E1241"/>
    <w:rsid w:val="002E1895"/>
    <w:rsid w:val="002E342A"/>
    <w:rsid w:val="002E36B6"/>
    <w:rsid w:val="002E39D6"/>
    <w:rsid w:val="002E3A8B"/>
    <w:rsid w:val="002E3A96"/>
    <w:rsid w:val="002E4084"/>
    <w:rsid w:val="002E425E"/>
    <w:rsid w:val="002E4628"/>
    <w:rsid w:val="002E4692"/>
    <w:rsid w:val="002E4E4E"/>
    <w:rsid w:val="002E4FDD"/>
    <w:rsid w:val="002E5AE6"/>
    <w:rsid w:val="002E6207"/>
    <w:rsid w:val="002E65AE"/>
    <w:rsid w:val="002E6BD7"/>
    <w:rsid w:val="002E76F1"/>
    <w:rsid w:val="002E7ABC"/>
    <w:rsid w:val="002E7E91"/>
    <w:rsid w:val="002F0111"/>
    <w:rsid w:val="002F0351"/>
    <w:rsid w:val="002F068F"/>
    <w:rsid w:val="002F13BA"/>
    <w:rsid w:val="002F14A2"/>
    <w:rsid w:val="002F1C10"/>
    <w:rsid w:val="002F1DD6"/>
    <w:rsid w:val="002F1FD5"/>
    <w:rsid w:val="002F23E8"/>
    <w:rsid w:val="002F2552"/>
    <w:rsid w:val="002F2857"/>
    <w:rsid w:val="002F28EB"/>
    <w:rsid w:val="002F2A9F"/>
    <w:rsid w:val="002F306E"/>
    <w:rsid w:val="002F313D"/>
    <w:rsid w:val="002F3D90"/>
    <w:rsid w:val="002F41AD"/>
    <w:rsid w:val="002F44D9"/>
    <w:rsid w:val="002F4933"/>
    <w:rsid w:val="002F4BD6"/>
    <w:rsid w:val="002F4BEB"/>
    <w:rsid w:val="002F4FBA"/>
    <w:rsid w:val="002F4FFC"/>
    <w:rsid w:val="002F5307"/>
    <w:rsid w:val="002F5316"/>
    <w:rsid w:val="002F53E3"/>
    <w:rsid w:val="002F62AE"/>
    <w:rsid w:val="002F63E7"/>
    <w:rsid w:val="002F64F4"/>
    <w:rsid w:val="002F684E"/>
    <w:rsid w:val="002F6BDF"/>
    <w:rsid w:val="002F70BD"/>
    <w:rsid w:val="002F735A"/>
    <w:rsid w:val="002F778D"/>
    <w:rsid w:val="0030070A"/>
    <w:rsid w:val="00300741"/>
    <w:rsid w:val="00300C78"/>
    <w:rsid w:val="00300CA5"/>
    <w:rsid w:val="0030228C"/>
    <w:rsid w:val="00303966"/>
    <w:rsid w:val="00303A0A"/>
    <w:rsid w:val="00303CC2"/>
    <w:rsid w:val="003045F0"/>
    <w:rsid w:val="0030460A"/>
    <w:rsid w:val="00304908"/>
    <w:rsid w:val="00304D21"/>
    <w:rsid w:val="00304F7D"/>
    <w:rsid w:val="003054BB"/>
    <w:rsid w:val="00305730"/>
    <w:rsid w:val="00305B64"/>
    <w:rsid w:val="003061D3"/>
    <w:rsid w:val="003065FA"/>
    <w:rsid w:val="00306631"/>
    <w:rsid w:val="00306771"/>
    <w:rsid w:val="00307299"/>
    <w:rsid w:val="003078FE"/>
    <w:rsid w:val="00307CE9"/>
    <w:rsid w:val="00307D43"/>
    <w:rsid w:val="003101A6"/>
    <w:rsid w:val="0031081A"/>
    <w:rsid w:val="00310AA5"/>
    <w:rsid w:val="00310B4F"/>
    <w:rsid w:val="00310C3F"/>
    <w:rsid w:val="00310D3B"/>
    <w:rsid w:val="00310F87"/>
    <w:rsid w:val="003110D2"/>
    <w:rsid w:val="00311393"/>
    <w:rsid w:val="00311865"/>
    <w:rsid w:val="003122FB"/>
    <w:rsid w:val="00312383"/>
    <w:rsid w:val="0031243D"/>
    <w:rsid w:val="00312538"/>
    <w:rsid w:val="00312E17"/>
    <w:rsid w:val="00313042"/>
    <w:rsid w:val="00313793"/>
    <w:rsid w:val="00313947"/>
    <w:rsid w:val="00313AAA"/>
    <w:rsid w:val="003140B8"/>
    <w:rsid w:val="00314695"/>
    <w:rsid w:val="00315046"/>
    <w:rsid w:val="00315873"/>
    <w:rsid w:val="003159D2"/>
    <w:rsid w:val="00315D50"/>
    <w:rsid w:val="00315DCA"/>
    <w:rsid w:val="00316178"/>
    <w:rsid w:val="00316676"/>
    <w:rsid w:val="00316A24"/>
    <w:rsid w:val="003170BC"/>
    <w:rsid w:val="003178A9"/>
    <w:rsid w:val="00317EA2"/>
    <w:rsid w:val="00321169"/>
    <w:rsid w:val="003216D9"/>
    <w:rsid w:val="00321D55"/>
    <w:rsid w:val="00321D60"/>
    <w:rsid w:val="00322162"/>
    <w:rsid w:val="0032288A"/>
    <w:rsid w:val="003235DD"/>
    <w:rsid w:val="00323C2B"/>
    <w:rsid w:val="00323DAE"/>
    <w:rsid w:val="003248E0"/>
    <w:rsid w:val="00324992"/>
    <w:rsid w:val="00324A4C"/>
    <w:rsid w:val="00324F92"/>
    <w:rsid w:val="00325766"/>
    <w:rsid w:val="003260E8"/>
    <w:rsid w:val="003262AE"/>
    <w:rsid w:val="0032714E"/>
    <w:rsid w:val="00327710"/>
    <w:rsid w:val="00327841"/>
    <w:rsid w:val="00327B51"/>
    <w:rsid w:val="00330682"/>
    <w:rsid w:val="00330D4D"/>
    <w:rsid w:val="00330E30"/>
    <w:rsid w:val="00330FD1"/>
    <w:rsid w:val="00331F3F"/>
    <w:rsid w:val="00332695"/>
    <w:rsid w:val="003329BC"/>
    <w:rsid w:val="00332DA6"/>
    <w:rsid w:val="003335AE"/>
    <w:rsid w:val="00333AA2"/>
    <w:rsid w:val="00333C52"/>
    <w:rsid w:val="00333DD6"/>
    <w:rsid w:val="00334717"/>
    <w:rsid w:val="00334E25"/>
    <w:rsid w:val="00334F48"/>
    <w:rsid w:val="00334F5A"/>
    <w:rsid w:val="003354D9"/>
    <w:rsid w:val="0033566B"/>
    <w:rsid w:val="00336066"/>
    <w:rsid w:val="003368AF"/>
    <w:rsid w:val="00336D73"/>
    <w:rsid w:val="00336EF5"/>
    <w:rsid w:val="0033799F"/>
    <w:rsid w:val="00340003"/>
    <w:rsid w:val="00340075"/>
    <w:rsid w:val="00340F68"/>
    <w:rsid w:val="0034101D"/>
    <w:rsid w:val="00342290"/>
    <w:rsid w:val="0034289C"/>
    <w:rsid w:val="003429FD"/>
    <w:rsid w:val="00342D43"/>
    <w:rsid w:val="00342DAE"/>
    <w:rsid w:val="00342E00"/>
    <w:rsid w:val="0034327A"/>
    <w:rsid w:val="003436F0"/>
    <w:rsid w:val="00343816"/>
    <w:rsid w:val="00343C45"/>
    <w:rsid w:val="003448F2"/>
    <w:rsid w:val="00344E77"/>
    <w:rsid w:val="0034528F"/>
    <w:rsid w:val="003454D1"/>
    <w:rsid w:val="003458E3"/>
    <w:rsid w:val="00345970"/>
    <w:rsid w:val="003465D5"/>
    <w:rsid w:val="00346659"/>
    <w:rsid w:val="00346838"/>
    <w:rsid w:val="00346F42"/>
    <w:rsid w:val="00347416"/>
    <w:rsid w:val="003474AC"/>
    <w:rsid w:val="00347706"/>
    <w:rsid w:val="0035022E"/>
    <w:rsid w:val="003507B7"/>
    <w:rsid w:val="0035112A"/>
    <w:rsid w:val="0035121E"/>
    <w:rsid w:val="003517E3"/>
    <w:rsid w:val="0035183D"/>
    <w:rsid w:val="003518CB"/>
    <w:rsid w:val="00351DA0"/>
    <w:rsid w:val="00351E4B"/>
    <w:rsid w:val="003520C4"/>
    <w:rsid w:val="00352569"/>
    <w:rsid w:val="003526C5"/>
    <w:rsid w:val="0035381C"/>
    <w:rsid w:val="00353861"/>
    <w:rsid w:val="00353B45"/>
    <w:rsid w:val="00353CC1"/>
    <w:rsid w:val="00354125"/>
    <w:rsid w:val="0035418E"/>
    <w:rsid w:val="003549AA"/>
    <w:rsid w:val="003549F8"/>
    <w:rsid w:val="00354B3A"/>
    <w:rsid w:val="00354ECB"/>
    <w:rsid w:val="00355348"/>
    <w:rsid w:val="003557F7"/>
    <w:rsid w:val="00355820"/>
    <w:rsid w:val="00355B28"/>
    <w:rsid w:val="003560DE"/>
    <w:rsid w:val="003566A7"/>
    <w:rsid w:val="00356843"/>
    <w:rsid w:val="00357697"/>
    <w:rsid w:val="003603C7"/>
    <w:rsid w:val="0036055B"/>
    <w:rsid w:val="0036080D"/>
    <w:rsid w:val="00360E68"/>
    <w:rsid w:val="00361358"/>
    <w:rsid w:val="003616C8"/>
    <w:rsid w:val="00361D74"/>
    <w:rsid w:val="00361F4C"/>
    <w:rsid w:val="00362602"/>
    <w:rsid w:val="00362B31"/>
    <w:rsid w:val="00362E41"/>
    <w:rsid w:val="00363CBA"/>
    <w:rsid w:val="003643FE"/>
    <w:rsid w:val="00364C4C"/>
    <w:rsid w:val="003654C5"/>
    <w:rsid w:val="00365923"/>
    <w:rsid w:val="00365CE4"/>
    <w:rsid w:val="0036605A"/>
    <w:rsid w:val="00366331"/>
    <w:rsid w:val="00366EA8"/>
    <w:rsid w:val="00367ABE"/>
    <w:rsid w:val="00367CB5"/>
    <w:rsid w:val="00367EE3"/>
    <w:rsid w:val="00370E8D"/>
    <w:rsid w:val="0037106E"/>
    <w:rsid w:val="0037265A"/>
    <w:rsid w:val="00372BBC"/>
    <w:rsid w:val="00372D57"/>
    <w:rsid w:val="003740AB"/>
    <w:rsid w:val="00374763"/>
    <w:rsid w:val="003758B2"/>
    <w:rsid w:val="00375B13"/>
    <w:rsid w:val="00375E2D"/>
    <w:rsid w:val="00377048"/>
    <w:rsid w:val="003771A3"/>
    <w:rsid w:val="00380787"/>
    <w:rsid w:val="0038089C"/>
    <w:rsid w:val="00380B71"/>
    <w:rsid w:val="0038180D"/>
    <w:rsid w:val="00381AF7"/>
    <w:rsid w:val="00381F1A"/>
    <w:rsid w:val="00382676"/>
    <w:rsid w:val="003829D7"/>
    <w:rsid w:val="00382FD7"/>
    <w:rsid w:val="00383150"/>
    <w:rsid w:val="00383B36"/>
    <w:rsid w:val="00383FD7"/>
    <w:rsid w:val="0038416F"/>
    <w:rsid w:val="00384A43"/>
    <w:rsid w:val="00384BD9"/>
    <w:rsid w:val="00384D85"/>
    <w:rsid w:val="00384EFF"/>
    <w:rsid w:val="00385523"/>
    <w:rsid w:val="003857FE"/>
    <w:rsid w:val="00385BD2"/>
    <w:rsid w:val="003869D7"/>
    <w:rsid w:val="00386CF5"/>
    <w:rsid w:val="00386DE9"/>
    <w:rsid w:val="0038742A"/>
    <w:rsid w:val="00387609"/>
    <w:rsid w:val="00387806"/>
    <w:rsid w:val="00387885"/>
    <w:rsid w:val="00390A95"/>
    <w:rsid w:val="003910CD"/>
    <w:rsid w:val="00391B0B"/>
    <w:rsid w:val="003922B1"/>
    <w:rsid w:val="00392425"/>
    <w:rsid w:val="00392475"/>
    <w:rsid w:val="003924DF"/>
    <w:rsid w:val="00392517"/>
    <w:rsid w:val="003928D8"/>
    <w:rsid w:val="00392D23"/>
    <w:rsid w:val="00392DDF"/>
    <w:rsid w:val="00392F0D"/>
    <w:rsid w:val="00392FAD"/>
    <w:rsid w:val="00393577"/>
    <w:rsid w:val="00393BB3"/>
    <w:rsid w:val="00393E4B"/>
    <w:rsid w:val="0039476E"/>
    <w:rsid w:val="003950D9"/>
    <w:rsid w:val="00395326"/>
    <w:rsid w:val="003953D3"/>
    <w:rsid w:val="003959B5"/>
    <w:rsid w:val="00396005"/>
    <w:rsid w:val="0039604B"/>
    <w:rsid w:val="00396227"/>
    <w:rsid w:val="00396814"/>
    <w:rsid w:val="00397361"/>
    <w:rsid w:val="003A0869"/>
    <w:rsid w:val="003A0990"/>
    <w:rsid w:val="003A09C1"/>
    <w:rsid w:val="003A0A1C"/>
    <w:rsid w:val="003A0AAA"/>
    <w:rsid w:val="003A0B42"/>
    <w:rsid w:val="003A0F8A"/>
    <w:rsid w:val="003A170D"/>
    <w:rsid w:val="003A2157"/>
    <w:rsid w:val="003A2B44"/>
    <w:rsid w:val="003A38CC"/>
    <w:rsid w:val="003A3B94"/>
    <w:rsid w:val="003A43E1"/>
    <w:rsid w:val="003A594A"/>
    <w:rsid w:val="003A595F"/>
    <w:rsid w:val="003A597E"/>
    <w:rsid w:val="003A5DC5"/>
    <w:rsid w:val="003A6076"/>
    <w:rsid w:val="003A6692"/>
    <w:rsid w:val="003A6BC8"/>
    <w:rsid w:val="003A77E5"/>
    <w:rsid w:val="003A7900"/>
    <w:rsid w:val="003A7D61"/>
    <w:rsid w:val="003A7D8B"/>
    <w:rsid w:val="003A7F2D"/>
    <w:rsid w:val="003B0F6F"/>
    <w:rsid w:val="003B1541"/>
    <w:rsid w:val="003B1CB4"/>
    <w:rsid w:val="003B2518"/>
    <w:rsid w:val="003B2BF1"/>
    <w:rsid w:val="003B2F33"/>
    <w:rsid w:val="003B377B"/>
    <w:rsid w:val="003B395A"/>
    <w:rsid w:val="003B4E50"/>
    <w:rsid w:val="003B4F6B"/>
    <w:rsid w:val="003B55A4"/>
    <w:rsid w:val="003B587F"/>
    <w:rsid w:val="003B5F6B"/>
    <w:rsid w:val="003B6830"/>
    <w:rsid w:val="003B737A"/>
    <w:rsid w:val="003B751C"/>
    <w:rsid w:val="003B75C6"/>
    <w:rsid w:val="003C042F"/>
    <w:rsid w:val="003C0A71"/>
    <w:rsid w:val="003C0AE1"/>
    <w:rsid w:val="003C0BAB"/>
    <w:rsid w:val="003C13C2"/>
    <w:rsid w:val="003C168C"/>
    <w:rsid w:val="003C1883"/>
    <w:rsid w:val="003C1E22"/>
    <w:rsid w:val="003C1F4C"/>
    <w:rsid w:val="003C2081"/>
    <w:rsid w:val="003C239D"/>
    <w:rsid w:val="003C2FD8"/>
    <w:rsid w:val="003C377B"/>
    <w:rsid w:val="003C3ABF"/>
    <w:rsid w:val="003C3C64"/>
    <w:rsid w:val="003C4166"/>
    <w:rsid w:val="003C5041"/>
    <w:rsid w:val="003C549A"/>
    <w:rsid w:val="003C5937"/>
    <w:rsid w:val="003C5E66"/>
    <w:rsid w:val="003C5F6F"/>
    <w:rsid w:val="003C6012"/>
    <w:rsid w:val="003C6043"/>
    <w:rsid w:val="003C631C"/>
    <w:rsid w:val="003C765B"/>
    <w:rsid w:val="003C7C2F"/>
    <w:rsid w:val="003D0383"/>
    <w:rsid w:val="003D04B0"/>
    <w:rsid w:val="003D097A"/>
    <w:rsid w:val="003D0A5E"/>
    <w:rsid w:val="003D0F52"/>
    <w:rsid w:val="003D15F8"/>
    <w:rsid w:val="003D1EAC"/>
    <w:rsid w:val="003D2011"/>
    <w:rsid w:val="003D20EC"/>
    <w:rsid w:val="003D2353"/>
    <w:rsid w:val="003D2664"/>
    <w:rsid w:val="003D2884"/>
    <w:rsid w:val="003D2B38"/>
    <w:rsid w:val="003D2B56"/>
    <w:rsid w:val="003D2DAC"/>
    <w:rsid w:val="003D2FAE"/>
    <w:rsid w:val="003D3839"/>
    <w:rsid w:val="003D3B38"/>
    <w:rsid w:val="003D3BB7"/>
    <w:rsid w:val="003D3C04"/>
    <w:rsid w:val="003D49CE"/>
    <w:rsid w:val="003D5595"/>
    <w:rsid w:val="003D56F5"/>
    <w:rsid w:val="003D5B4A"/>
    <w:rsid w:val="003D61A0"/>
    <w:rsid w:val="003D6AC9"/>
    <w:rsid w:val="003D6C80"/>
    <w:rsid w:val="003D7213"/>
    <w:rsid w:val="003D7B43"/>
    <w:rsid w:val="003E041C"/>
    <w:rsid w:val="003E0942"/>
    <w:rsid w:val="003E09CD"/>
    <w:rsid w:val="003E0B5F"/>
    <w:rsid w:val="003E119C"/>
    <w:rsid w:val="003E12B1"/>
    <w:rsid w:val="003E1475"/>
    <w:rsid w:val="003E1511"/>
    <w:rsid w:val="003E174D"/>
    <w:rsid w:val="003E17F1"/>
    <w:rsid w:val="003E19A5"/>
    <w:rsid w:val="003E1F6F"/>
    <w:rsid w:val="003E20E5"/>
    <w:rsid w:val="003E2281"/>
    <w:rsid w:val="003E27A7"/>
    <w:rsid w:val="003E2B95"/>
    <w:rsid w:val="003E2C19"/>
    <w:rsid w:val="003E2F36"/>
    <w:rsid w:val="003E442C"/>
    <w:rsid w:val="003E4A58"/>
    <w:rsid w:val="003E4A9E"/>
    <w:rsid w:val="003E4DC9"/>
    <w:rsid w:val="003E58F8"/>
    <w:rsid w:val="003E5F4E"/>
    <w:rsid w:val="003E68D5"/>
    <w:rsid w:val="003E6DC7"/>
    <w:rsid w:val="003E724C"/>
    <w:rsid w:val="003E7329"/>
    <w:rsid w:val="003E7E40"/>
    <w:rsid w:val="003E7FF8"/>
    <w:rsid w:val="003F0391"/>
    <w:rsid w:val="003F10CC"/>
    <w:rsid w:val="003F117E"/>
    <w:rsid w:val="003F1490"/>
    <w:rsid w:val="003F1A9A"/>
    <w:rsid w:val="003F1ADB"/>
    <w:rsid w:val="003F1D6B"/>
    <w:rsid w:val="003F2199"/>
    <w:rsid w:val="003F2896"/>
    <w:rsid w:val="003F2A50"/>
    <w:rsid w:val="003F2B6E"/>
    <w:rsid w:val="003F2DC4"/>
    <w:rsid w:val="003F2EC1"/>
    <w:rsid w:val="003F350B"/>
    <w:rsid w:val="003F3A08"/>
    <w:rsid w:val="003F3B37"/>
    <w:rsid w:val="003F3BF4"/>
    <w:rsid w:val="003F3D0E"/>
    <w:rsid w:val="003F3E33"/>
    <w:rsid w:val="003F3FEB"/>
    <w:rsid w:val="003F46D5"/>
    <w:rsid w:val="003F4B51"/>
    <w:rsid w:val="003F50BB"/>
    <w:rsid w:val="003F5663"/>
    <w:rsid w:val="003F56FD"/>
    <w:rsid w:val="003F6547"/>
    <w:rsid w:val="003F6A54"/>
    <w:rsid w:val="003F6BE1"/>
    <w:rsid w:val="003F732A"/>
    <w:rsid w:val="003F7364"/>
    <w:rsid w:val="003F7615"/>
    <w:rsid w:val="003F7803"/>
    <w:rsid w:val="004006D9"/>
    <w:rsid w:val="0040093F"/>
    <w:rsid w:val="00400D64"/>
    <w:rsid w:val="004010B7"/>
    <w:rsid w:val="00401A46"/>
    <w:rsid w:val="00401C4F"/>
    <w:rsid w:val="00401FE6"/>
    <w:rsid w:val="00402406"/>
    <w:rsid w:val="0040256B"/>
    <w:rsid w:val="004025D2"/>
    <w:rsid w:val="00402727"/>
    <w:rsid w:val="00402C7F"/>
    <w:rsid w:val="00402ECB"/>
    <w:rsid w:val="00402FBF"/>
    <w:rsid w:val="00403742"/>
    <w:rsid w:val="004038B9"/>
    <w:rsid w:val="00403F1E"/>
    <w:rsid w:val="0040459D"/>
    <w:rsid w:val="004048C2"/>
    <w:rsid w:val="00405232"/>
    <w:rsid w:val="004054FC"/>
    <w:rsid w:val="0040651E"/>
    <w:rsid w:val="004067A8"/>
    <w:rsid w:val="00407901"/>
    <w:rsid w:val="00407C08"/>
    <w:rsid w:val="0041024C"/>
    <w:rsid w:val="0041031C"/>
    <w:rsid w:val="00410A0C"/>
    <w:rsid w:val="00410C0F"/>
    <w:rsid w:val="00410E2D"/>
    <w:rsid w:val="004116F2"/>
    <w:rsid w:val="004117C4"/>
    <w:rsid w:val="004117E8"/>
    <w:rsid w:val="00411974"/>
    <w:rsid w:val="004128A2"/>
    <w:rsid w:val="00412B76"/>
    <w:rsid w:val="00413261"/>
    <w:rsid w:val="004138F1"/>
    <w:rsid w:val="004155B1"/>
    <w:rsid w:val="004158F0"/>
    <w:rsid w:val="00416B92"/>
    <w:rsid w:val="00416C31"/>
    <w:rsid w:val="00416EFE"/>
    <w:rsid w:val="004170A3"/>
    <w:rsid w:val="00417EA0"/>
    <w:rsid w:val="0042093A"/>
    <w:rsid w:val="00420B33"/>
    <w:rsid w:val="00420BC0"/>
    <w:rsid w:val="00420E17"/>
    <w:rsid w:val="00420F67"/>
    <w:rsid w:val="0042115D"/>
    <w:rsid w:val="00421383"/>
    <w:rsid w:val="004213E1"/>
    <w:rsid w:val="00421660"/>
    <w:rsid w:val="00421EFD"/>
    <w:rsid w:val="0042258E"/>
    <w:rsid w:val="004228F4"/>
    <w:rsid w:val="00423131"/>
    <w:rsid w:val="0042354D"/>
    <w:rsid w:val="0042362E"/>
    <w:rsid w:val="004236E1"/>
    <w:rsid w:val="00424035"/>
    <w:rsid w:val="004241C4"/>
    <w:rsid w:val="00424BE7"/>
    <w:rsid w:val="00424C6E"/>
    <w:rsid w:val="00425BEC"/>
    <w:rsid w:val="00425D59"/>
    <w:rsid w:val="00425E8F"/>
    <w:rsid w:val="00426352"/>
    <w:rsid w:val="00426493"/>
    <w:rsid w:val="0042688C"/>
    <w:rsid w:val="00427739"/>
    <w:rsid w:val="00430616"/>
    <w:rsid w:val="00431933"/>
    <w:rsid w:val="004319C1"/>
    <w:rsid w:val="00431FCF"/>
    <w:rsid w:val="00432996"/>
    <w:rsid w:val="00433502"/>
    <w:rsid w:val="0043467C"/>
    <w:rsid w:val="004348EA"/>
    <w:rsid w:val="00435049"/>
    <w:rsid w:val="004352E6"/>
    <w:rsid w:val="0043535F"/>
    <w:rsid w:val="00435386"/>
    <w:rsid w:val="0043541F"/>
    <w:rsid w:val="00435D0E"/>
    <w:rsid w:val="004360F9"/>
    <w:rsid w:val="0043619B"/>
    <w:rsid w:val="00436EF4"/>
    <w:rsid w:val="0043769A"/>
    <w:rsid w:val="00437A20"/>
    <w:rsid w:val="00437E0B"/>
    <w:rsid w:val="004400C5"/>
    <w:rsid w:val="00440211"/>
    <w:rsid w:val="00440988"/>
    <w:rsid w:val="00440F0D"/>
    <w:rsid w:val="0044108E"/>
    <w:rsid w:val="00441416"/>
    <w:rsid w:val="00441620"/>
    <w:rsid w:val="00441BA5"/>
    <w:rsid w:val="00442738"/>
    <w:rsid w:val="00442991"/>
    <w:rsid w:val="00442A7A"/>
    <w:rsid w:val="00442B41"/>
    <w:rsid w:val="00442C78"/>
    <w:rsid w:val="00442C7F"/>
    <w:rsid w:val="00443000"/>
    <w:rsid w:val="00443193"/>
    <w:rsid w:val="004437FC"/>
    <w:rsid w:val="004438EE"/>
    <w:rsid w:val="00443C43"/>
    <w:rsid w:val="00444009"/>
    <w:rsid w:val="00444100"/>
    <w:rsid w:val="00444865"/>
    <w:rsid w:val="00444DC6"/>
    <w:rsid w:val="00444EA0"/>
    <w:rsid w:val="004450A3"/>
    <w:rsid w:val="004450C1"/>
    <w:rsid w:val="00445286"/>
    <w:rsid w:val="004452F6"/>
    <w:rsid w:val="00445468"/>
    <w:rsid w:val="00445483"/>
    <w:rsid w:val="00446AAE"/>
    <w:rsid w:val="00446D98"/>
    <w:rsid w:val="00447D50"/>
    <w:rsid w:val="00447E6B"/>
    <w:rsid w:val="00447E96"/>
    <w:rsid w:val="0045096D"/>
    <w:rsid w:val="00451004"/>
    <w:rsid w:val="00451109"/>
    <w:rsid w:val="00451AE8"/>
    <w:rsid w:val="00451EA1"/>
    <w:rsid w:val="00451F10"/>
    <w:rsid w:val="004523AC"/>
    <w:rsid w:val="00452625"/>
    <w:rsid w:val="004527F3"/>
    <w:rsid w:val="00452BE3"/>
    <w:rsid w:val="00452EEB"/>
    <w:rsid w:val="004531CA"/>
    <w:rsid w:val="004538C8"/>
    <w:rsid w:val="00453C2E"/>
    <w:rsid w:val="00453F86"/>
    <w:rsid w:val="0045444A"/>
    <w:rsid w:val="004546CA"/>
    <w:rsid w:val="00454781"/>
    <w:rsid w:val="00454C88"/>
    <w:rsid w:val="00454D89"/>
    <w:rsid w:val="004556AB"/>
    <w:rsid w:val="00455B74"/>
    <w:rsid w:val="004560FE"/>
    <w:rsid w:val="00456D09"/>
    <w:rsid w:val="0045726B"/>
    <w:rsid w:val="00457B56"/>
    <w:rsid w:val="00460AED"/>
    <w:rsid w:val="00461002"/>
    <w:rsid w:val="00461758"/>
    <w:rsid w:val="00461CC4"/>
    <w:rsid w:val="004623D7"/>
    <w:rsid w:val="004624CC"/>
    <w:rsid w:val="00462C57"/>
    <w:rsid w:val="00463740"/>
    <w:rsid w:val="004638A9"/>
    <w:rsid w:val="00463BB3"/>
    <w:rsid w:val="00463D08"/>
    <w:rsid w:val="00464426"/>
    <w:rsid w:val="00464674"/>
    <w:rsid w:val="004646EA"/>
    <w:rsid w:val="00464958"/>
    <w:rsid w:val="00464E61"/>
    <w:rsid w:val="0046589B"/>
    <w:rsid w:val="00465A2A"/>
    <w:rsid w:val="00465C8C"/>
    <w:rsid w:val="00465CED"/>
    <w:rsid w:val="00465D3E"/>
    <w:rsid w:val="004661BD"/>
    <w:rsid w:val="00466355"/>
    <w:rsid w:val="0046650E"/>
    <w:rsid w:val="00466FA8"/>
    <w:rsid w:val="004675D5"/>
    <w:rsid w:val="00467730"/>
    <w:rsid w:val="004702C6"/>
    <w:rsid w:val="00470637"/>
    <w:rsid w:val="004707D2"/>
    <w:rsid w:val="00470A54"/>
    <w:rsid w:val="00470A8A"/>
    <w:rsid w:val="00471018"/>
    <w:rsid w:val="0047126D"/>
    <w:rsid w:val="00471339"/>
    <w:rsid w:val="0047165C"/>
    <w:rsid w:val="00471766"/>
    <w:rsid w:val="00471B63"/>
    <w:rsid w:val="00472385"/>
    <w:rsid w:val="004725F7"/>
    <w:rsid w:val="00472873"/>
    <w:rsid w:val="004729A3"/>
    <w:rsid w:val="004729E4"/>
    <w:rsid w:val="00472A06"/>
    <w:rsid w:val="004730DC"/>
    <w:rsid w:val="004739B0"/>
    <w:rsid w:val="00473A86"/>
    <w:rsid w:val="00473C0B"/>
    <w:rsid w:val="0047418D"/>
    <w:rsid w:val="00474514"/>
    <w:rsid w:val="00474E22"/>
    <w:rsid w:val="00474FD8"/>
    <w:rsid w:val="0047536D"/>
    <w:rsid w:val="0047542D"/>
    <w:rsid w:val="0047547A"/>
    <w:rsid w:val="004755C0"/>
    <w:rsid w:val="004757E2"/>
    <w:rsid w:val="00475C58"/>
    <w:rsid w:val="00475C7A"/>
    <w:rsid w:val="00476B33"/>
    <w:rsid w:val="00476C74"/>
    <w:rsid w:val="0047760A"/>
    <w:rsid w:val="00477829"/>
    <w:rsid w:val="00480050"/>
    <w:rsid w:val="0048063E"/>
    <w:rsid w:val="0048168E"/>
    <w:rsid w:val="00481B51"/>
    <w:rsid w:val="00481B94"/>
    <w:rsid w:val="00481DB5"/>
    <w:rsid w:val="004826E1"/>
    <w:rsid w:val="00482A39"/>
    <w:rsid w:val="00482AA9"/>
    <w:rsid w:val="00482BB0"/>
    <w:rsid w:val="00482D81"/>
    <w:rsid w:val="004833B6"/>
    <w:rsid w:val="00483462"/>
    <w:rsid w:val="00483AA3"/>
    <w:rsid w:val="00483EB5"/>
    <w:rsid w:val="00484019"/>
    <w:rsid w:val="004845F1"/>
    <w:rsid w:val="00484A96"/>
    <w:rsid w:val="00484FF4"/>
    <w:rsid w:val="0048565C"/>
    <w:rsid w:val="004862FA"/>
    <w:rsid w:val="00486441"/>
    <w:rsid w:val="0048692E"/>
    <w:rsid w:val="00486BE8"/>
    <w:rsid w:val="0048735C"/>
    <w:rsid w:val="004878FF"/>
    <w:rsid w:val="00487E28"/>
    <w:rsid w:val="0049002C"/>
    <w:rsid w:val="004903BA"/>
    <w:rsid w:val="0049040B"/>
    <w:rsid w:val="00490540"/>
    <w:rsid w:val="00490832"/>
    <w:rsid w:val="004908E4"/>
    <w:rsid w:val="0049099B"/>
    <w:rsid w:val="00490C7B"/>
    <w:rsid w:val="00490CD6"/>
    <w:rsid w:val="0049128B"/>
    <w:rsid w:val="004914B2"/>
    <w:rsid w:val="00491998"/>
    <w:rsid w:val="00492038"/>
    <w:rsid w:val="00492563"/>
    <w:rsid w:val="004927EA"/>
    <w:rsid w:val="0049282C"/>
    <w:rsid w:val="00492924"/>
    <w:rsid w:val="004931C0"/>
    <w:rsid w:val="004938D2"/>
    <w:rsid w:val="00493B28"/>
    <w:rsid w:val="00493CE3"/>
    <w:rsid w:val="00493D82"/>
    <w:rsid w:val="00493E92"/>
    <w:rsid w:val="00494062"/>
    <w:rsid w:val="00494825"/>
    <w:rsid w:val="0049583F"/>
    <w:rsid w:val="00496537"/>
    <w:rsid w:val="0049672A"/>
    <w:rsid w:val="00496E02"/>
    <w:rsid w:val="00497540"/>
    <w:rsid w:val="00497678"/>
    <w:rsid w:val="0049774C"/>
    <w:rsid w:val="00497A03"/>
    <w:rsid w:val="00497D1A"/>
    <w:rsid w:val="00497F00"/>
    <w:rsid w:val="004A012E"/>
    <w:rsid w:val="004A0409"/>
    <w:rsid w:val="004A07A4"/>
    <w:rsid w:val="004A09A3"/>
    <w:rsid w:val="004A0A77"/>
    <w:rsid w:val="004A1076"/>
    <w:rsid w:val="004A17FF"/>
    <w:rsid w:val="004A31C2"/>
    <w:rsid w:val="004A3DB1"/>
    <w:rsid w:val="004A3FE6"/>
    <w:rsid w:val="004A41E4"/>
    <w:rsid w:val="004A41F3"/>
    <w:rsid w:val="004A4CBA"/>
    <w:rsid w:val="004A51AF"/>
    <w:rsid w:val="004A59AC"/>
    <w:rsid w:val="004A59EE"/>
    <w:rsid w:val="004A5A68"/>
    <w:rsid w:val="004A62FE"/>
    <w:rsid w:val="004A648F"/>
    <w:rsid w:val="004A68F3"/>
    <w:rsid w:val="004A698E"/>
    <w:rsid w:val="004A7105"/>
    <w:rsid w:val="004A793E"/>
    <w:rsid w:val="004A7AB5"/>
    <w:rsid w:val="004B0394"/>
    <w:rsid w:val="004B0589"/>
    <w:rsid w:val="004B0D96"/>
    <w:rsid w:val="004B1032"/>
    <w:rsid w:val="004B14B7"/>
    <w:rsid w:val="004B17D5"/>
    <w:rsid w:val="004B1A59"/>
    <w:rsid w:val="004B1A99"/>
    <w:rsid w:val="004B1AF2"/>
    <w:rsid w:val="004B2EC1"/>
    <w:rsid w:val="004B2F7F"/>
    <w:rsid w:val="004B32F0"/>
    <w:rsid w:val="004B380C"/>
    <w:rsid w:val="004B3E2B"/>
    <w:rsid w:val="004B3EE3"/>
    <w:rsid w:val="004B4585"/>
    <w:rsid w:val="004B4660"/>
    <w:rsid w:val="004B4963"/>
    <w:rsid w:val="004B4B80"/>
    <w:rsid w:val="004B58AE"/>
    <w:rsid w:val="004B5D91"/>
    <w:rsid w:val="004B6F67"/>
    <w:rsid w:val="004B7288"/>
    <w:rsid w:val="004B7E43"/>
    <w:rsid w:val="004C046C"/>
    <w:rsid w:val="004C0BA3"/>
    <w:rsid w:val="004C120D"/>
    <w:rsid w:val="004C155A"/>
    <w:rsid w:val="004C1966"/>
    <w:rsid w:val="004C1E97"/>
    <w:rsid w:val="004C2264"/>
    <w:rsid w:val="004C2CCB"/>
    <w:rsid w:val="004C2D6D"/>
    <w:rsid w:val="004C2E15"/>
    <w:rsid w:val="004C2F01"/>
    <w:rsid w:val="004C307C"/>
    <w:rsid w:val="004C3785"/>
    <w:rsid w:val="004C454F"/>
    <w:rsid w:val="004C4C09"/>
    <w:rsid w:val="004C4D38"/>
    <w:rsid w:val="004C53AA"/>
    <w:rsid w:val="004C5C39"/>
    <w:rsid w:val="004C5FDB"/>
    <w:rsid w:val="004C619A"/>
    <w:rsid w:val="004C619F"/>
    <w:rsid w:val="004C6357"/>
    <w:rsid w:val="004C687A"/>
    <w:rsid w:val="004C692B"/>
    <w:rsid w:val="004C69AA"/>
    <w:rsid w:val="004C6C7B"/>
    <w:rsid w:val="004C7749"/>
    <w:rsid w:val="004C7AB1"/>
    <w:rsid w:val="004C7BF7"/>
    <w:rsid w:val="004D0D8B"/>
    <w:rsid w:val="004D1075"/>
    <w:rsid w:val="004D1A85"/>
    <w:rsid w:val="004D2AB4"/>
    <w:rsid w:val="004D2B6F"/>
    <w:rsid w:val="004D35C5"/>
    <w:rsid w:val="004D3621"/>
    <w:rsid w:val="004D3CB9"/>
    <w:rsid w:val="004D3EF0"/>
    <w:rsid w:val="004D4029"/>
    <w:rsid w:val="004D4233"/>
    <w:rsid w:val="004D43A2"/>
    <w:rsid w:val="004D4644"/>
    <w:rsid w:val="004D4703"/>
    <w:rsid w:val="004D47D2"/>
    <w:rsid w:val="004D4B44"/>
    <w:rsid w:val="004D51C3"/>
    <w:rsid w:val="004D56FE"/>
    <w:rsid w:val="004D5A94"/>
    <w:rsid w:val="004D5EA4"/>
    <w:rsid w:val="004D5EC8"/>
    <w:rsid w:val="004D5F2C"/>
    <w:rsid w:val="004D62B9"/>
    <w:rsid w:val="004D6390"/>
    <w:rsid w:val="004D6A33"/>
    <w:rsid w:val="004D6BC2"/>
    <w:rsid w:val="004D74D4"/>
    <w:rsid w:val="004D7629"/>
    <w:rsid w:val="004D774B"/>
    <w:rsid w:val="004D7763"/>
    <w:rsid w:val="004D7A86"/>
    <w:rsid w:val="004E00FB"/>
    <w:rsid w:val="004E029E"/>
    <w:rsid w:val="004E0346"/>
    <w:rsid w:val="004E0DBD"/>
    <w:rsid w:val="004E10FA"/>
    <w:rsid w:val="004E134E"/>
    <w:rsid w:val="004E1DB5"/>
    <w:rsid w:val="004E2006"/>
    <w:rsid w:val="004E2106"/>
    <w:rsid w:val="004E24C2"/>
    <w:rsid w:val="004E27D9"/>
    <w:rsid w:val="004E2D90"/>
    <w:rsid w:val="004E355C"/>
    <w:rsid w:val="004E3613"/>
    <w:rsid w:val="004E3C8D"/>
    <w:rsid w:val="004E4712"/>
    <w:rsid w:val="004E4E6B"/>
    <w:rsid w:val="004E57AD"/>
    <w:rsid w:val="004E610A"/>
    <w:rsid w:val="004E6706"/>
    <w:rsid w:val="004E6B84"/>
    <w:rsid w:val="004E6C59"/>
    <w:rsid w:val="004E6E0A"/>
    <w:rsid w:val="004F0D88"/>
    <w:rsid w:val="004F0FA1"/>
    <w:rsid w:val="004F1D92"/>
    <w:rsid w:val="004F2233"/>
    <w:rsid w:val="004F2287"/>
    <w:rsid w:val="004F274E"/>
    <w:rsid w:val="004F2FE0"/>
    <w:rsid w:val="004F3238"/>
    <w:rsid w:val="004F373B"/>
    <w:rsid w:val="004F3B6A"/>
    <w:rsid w:val="004F3F30"/>
    <w:rsid w:val="004F446D"/>
    <w:rsid w:val="004F4551"/>
    <w:rsid w:val="004F4AAC"/>
    <w:rsid w:val="004F59B6"/>
    <w:rsid w:val="004F5A27"/>
    <w:rsid w:val="004F5E7F"/>
    <w:rsid w:val="004F6AF4"/>
    <w:rsid w:val="004F6EB4"/>
    <w:rsid w:val="004F717D"/>
    <w:rsid w:val="004F720F"/>
    <w:rsid w:val="004F721F"/>
    <w:rsid w:val="004F7321"/>
    <w:rsid w:val="004F74CB"/>
    <w:rsid w:val="004F75FC"/>
    <w:rsid w:val="004F76EB"/>
    <w:rsid w:val="004F78B5"/>
    <w:rsid w:val="00500197"/>
    <w:rsid w:val="00500747"/>
    <w:rsid w:val="00500932"/>
    <w:rsid w:val="00500D9A"/>
    <w:rsid w:val="00500DA1"/>
    <w:rsid w:val="0050130C"/>
    <w:rsid w:val="0050143B"/>
    <w:rsid w:val="00502077"/>
    <w:rsid w:val="005022F1"/>
    <w:rsid w:val="00502A97"/>
    <w:rsid w:val="00502E01"/>
    <w:rsid w:val="005031CA"/>
    <w:rsid w:val="005032C1"/>
    <w:rsid w:val="00503306"/>
    <w:rsid w:val="005033E9"/>
    <w:rsid w:val="0050368D"/>
    <w:rsid w:val="0050395B"/>
    <w:rsid w:val="00503D23"/>
    <w:rsid w:val="00503DA3"/>
    <w:rsid w:val="0050407A"/>
    <w:rsid w:val="00504263"/>
    <w:rsid w:val="00504608"/>
    <w:rsid w:val="00504D35"/>
    <w:rsid w:val="005058BC"/>
    <w:rsid w:val="00505C9A"/>
    <w:rsid w:val="00505DE9"/>
    <w:rsid w:val="005065DA"/>
    <w:rsid w:val="00507180"/>
    <w:rsid w:val="005071E7"/>
    <w:rsid w:val="005074A9"/>
    <w:rsid w:val="005075A6"/>
    <w:rsid w:val="0050764E"/>
    <w:rsid w:val="00507B37"/>
    <w:rsid w:val="00510102"/>
    <w:rsid w:val="005104BA"/>
    <w:rsid w:val="005107F4"/>
    <w:rsid w:val="00510BEA"/>
    <w:rsid w:val="00510D10"/>
    <w:rsid w:val="0051208C"/>
    <w:rsid w:val="00512B4A"/>
    <w:rsid w:val="00512B91"/>
    <w:rsid w:val="005135AD"/>
    <w:rsid w:val="00513A00"/>
    <w:rsid w:val="00513C06"/>
    <w:rsid w:val="00514039"/>
    <w:rsid w:val="005142C9"/>
    <w:rsid w:val="00514989"/>
    <w:rsid w:val="005151C7"/>
    <w:rsid w:val="005153C3"/>
    <w:rsid w:val="005153F6"/>
    <w:rsid w:val="0051571F"/>
    <w:rsid w:val="00515DCD"/>
    <w:rsid w:val="00515FA6"/>
    <w:rsid w:val="005162BB"/>
    <w:rsid w:val="00516C2F"/>
    <w:rsid w:val="00516D05"/>
    <w:rsid w:val="00516DFF"/>
    <w:rsid w:val="00517257"/>
    <w:rsid w:val="00517297"/>
    <w:rsid w:val="00517973"/>
    <w:rsid w:val="00517A98"/>
    <w:rsid w:val="005200D1"/>
    <w:rsid w:val="00520D97"/>
    <w:rsid w:val="00520E09"/>
    <w:rsid w:val="00520F99"/>
    <w:rsid w:val="00521387"/>
    <w:rsid w:val="00521891"/>
    <w:rsid w:val="005218AD"/>
    <w:rsid w:val="005222E2"/>
    <w:rsid w:val="005225B5"/>
    <w:rsid w:val="00522782"/>
    <w:rsid w:val="00522B27"/>
    <w:rsid w:val="00522CC5"/>
    <w:rsid w:val="00522F88"/>
    <w:rsid w:val="005237CC"/>
    <w:rsid w:val="00523973"/>
    <w:rsid w:val="00523D5E"/>
    <w:rsid w:val="005242E7"/>
    <w:rsid w:val="005243CE"/>
    <w:rsid w:val="00525718"/>
    <w:rsid w:val="005259E7"/>
    <w:rsid w:val="00525BEF"/>
    <w:rsid w:val="00525E7C"/>
    <w:rsid w:val="005261A9"/>
    <w:rsid w:val="005262F6"/>
    <w:rsid w:val="0052646C"/>
    <w:rsid w:val="00526655"/>
    <w:rsid w:val="00526730"/>
    <w:rsid w:val="00526AD2"/>
    <w:rsid w:val="00526ECC"/>
    <w:rsid w:val="0052723B"/>
    <w:rsid w:val="00527513"/>
    <w:rsid w:val="00530259"/>
    <w:rsid w:val="00530776"/>
    <w:rsid w:val="0053117D"/>
    <w:rsid w:val="0053159E"/>
    <w:rsid w:val="00531798"/>
    <w:rsid w:val="00531AB8"/>
    <w:rsid w:val="00531CDB"/>
    <w:rsid w:val="0053224C"/>
    <w:rsid w:val="005338BC"/>
    <w:rsid w:val="00533A72"/>
    <w:rsid w:val="00535369"/>
    <w:rsid w:val="00536219"/>
    <w:rsid w:val="0053687E"/>
    <w:rsid w:val="00536B8B"/>
    <w:rsid w:val="00536CD8"/>
    <w:rsid w:val="0053717A"/>
    <w:rsid w:val="005371ED"/>
    <w:rsid w:val="00537395"/>
    <w:rsid w:val="00537893"/>
    <w:rsid w:val="00537938"/>
    <w:rsid w:val="00540058"/>
    <w:rsid w:val="005400AC"/>
    <w:rsid w:val="00540622"/>
    <w:rsid w:val="00541068"/>
    <w:rsid w:val="00541C4C"/>
    <w:rsid w:val="00541CA7"/>
    <w:rsid w:val="005423D9"/>
    <w:rsid w:val="005423ED"/>
    <w:rsid w:val="00542423"/>
    <w:rsid w:val="0054274E"/>
    <w:rsid w:val="00542F78"/>
    <w:rsid w:val="00544C24"/>
    <w:rsid w:val="00544FF2"/>
    <w:rsid w:val="005451A9"/>
    <w:rsid w:val="0054520C"/>
    <w:rsid w:val="00545716"/>
    <w:rsid w:val="00545843"/>
    <w:rsid w:val="00545D5F"/>
    <w:rsid w:val="00545FAC"/>
    <w:rsid w:val="00545FF0"/>
    <w:rsid w:val="00546A86"/>
    <w:rsid w:val="00546E99"/>
    <w:rsid w:val="00546EAF"/>
    <w:rsid w:val="005473B0"/>
    <w:rsid w:val="00547C2D"/>
    <w:rsid w:val="00550237"/>
    <w:rsid w:val="005507F9"/>
    <w:rsid w:val="00550F55"/>
    <w:rsid w:val="00550FD6"/>
    <w:rsid w:val="00551E3D"/>
    <w:rsid w:val="00552498"/>
    <w:rsid w:val="005528CB"/>
    <w:rsid w:val="00552DB8"/>
    <w:rsid w:val="00552E21"/>
    <w:rsid w:val="00553108"/>
    <w:rsid w:val="005532CB"/>
    <w:rsid w:val="005536BC"/>
    <w:rsid w:val="005536C5"/>
    <w:rsid w:val="0055472F"/>
    <w:rsid w:val="00554B80"/>
    <w:rsid w:val="00554D3E"/>
    <w:rsid w:val="005555B4"/>
    <w:rsid w:val="005556A3"/>
    <w:rsid w:val="0055576C"/>
    <w:rsid w:val="00555893"/>
    <w:rsid w:val="00555DE6"/>
    <w:rsid w:val="00556008"/>
    <w:rsid w:val="005561D8"/>
    <w:rsid w:val="00556204"/>
    <w:rsid w:val="00556EBA"/>
    <w:rsid w:val="00557009"/>
    <w:rsid w:val="00557662"/>
    <w:rsid w:val="00557791"/>
    <w:rsid w:val="0055796C"/>
    <w:rsid w:val="005579F1"/>
    <w:rsid w:val="00557DE7"/>
    <w:rsid w:val="0056028D"/>
    <w:rsid w:val="00560D35"/>
    <w:rsid w:val="005610D5"/>
    <w:rsid w:val="00561211"/>
    <w:rsid w:val="0056142D"/>
    <w:rsid w:val="005615DC"/>
    <w:rsid w:val="005618FE"/>
    <w:rsid w:val="00561C16"/>
    <w:rsid w:val="00562F0C"/>
    <w:rsid w:val="005635CE"/>
    <w:rsid w:val="00563AFE"/>
    <w:rsid w:val="00563CEE"/>
    <w:rsid w:val="00563F7D"/>
    <w:rsid w:val="00564200"/>
    <w:rsid w:val="00564A08"/>
    <w:rsid w:val="00565B74"/>
    <w:rsid w:val="00565F7B"/>
    <w:rsid w:val="0056614F"/>
    <w:rsid w:val="00566290"/>
    <w:rsid w:val="005667E7"/>
    <w:rsid w:val="00566975"/>
    <w:rsid w:val="005675C6"/>
    <w:rsid w:val="00567B46"/>
    <w:rsid w:val="00570CFC"/>
    <w:rsid w:val="0057238F"/>
    <w:rsid w:val="00572728"/>
    <w:rsid w:val="0057281D"/>
    <w:rsid w:val="00573026"/>
    <w:rsid w:val="00573133"/>
    <w:rsid w:val="005732C3"/>
    <w:rsid w:val="00573388"/>
    <w:rsid w:val="00573477"/>
    <w:rsid w:val="00573EB4"/>
    <w:rsid w:val="00575089"/>
    <w:rsid w:val="005753BE"/>
    <w:rsid w:val="0057542D"/>
    <w:rsid w:val="00575751"/>
    <w:rsid w:val="00575832"/>
    <w:rsid w:val="0057615B"/>
    <w:rsid w:val="005768A0"/>
    <w:rsid w:val="00577A59"/>
    <w:rsid w:val="00577BDD"/>
    <w:rsid w:val="00577CC5"/>
    <w:rsid w:val="005801DC"/>
    <w:rsid w:val="0058038A"/>
    <w:rsid w:val="005807D9"/>
    <w:rsid w:val="00580D0E"/>
    <w:rsid w:val="00580FE5"/>
    <w:rsid w:val="00581723"/>
    <w:rsid w:val="005818C1"/>
    <w:rsid w:val="00581A19"/>
    <w:rsid w:val="00581ECD"/>
    <w:rsid w:val="0058220C"/>
    <w:rsid w:val="0058268D"/>
    <w:rsid w:val="00582AF8"/>
    <w:rsid w:val="00582FC2"/>
    <w:rsid w:val="005831F8"/>
    <w:rsid w:val="0058369D"/>
    <w:rsid w:val="0058377F"/>
    <w:rsid w:val="00584D2F"/>
    <w:rsid w:val="00584EC5"/>
    <w:rsid w:val="0058524F"/>
    <w:rsid w:val="00585830"/>
    <w:rsid w:val="00586B02"/>
    <w:rsid w:val="00586C82"/>
    <w:rsid w:val="00586E1B"/>
    <w:rsid w:val="00586ECF"/>
    <w:rsid w:val="005872E0"/>
    <w:rsid w:val="00587914"/>
    <w:rsid w:val="00587DE2"/>
    <w:rsid w:val="00587EC5"/>
    <w:rsid w:val="005902F4"/>
    <w:rsid w:val="00591114"/>
    <w:rsid w:val="00591979"/>
    <w:rsid w:val="00591DFB"/>
    <w:rsid w:val="00591EB5"/>
    <w:rsid w:val="005921A1"/>
    <w:rsid w:val="005946B8"/>
    <w:rsid w:val="0059472D"/>
    <w:rsid w:val="0059483F"/>
    <w:rsid w:val="005949B9"/>
    <w:rsid w:val="00595124"/>
    <w:rsid w:val="00595F84"/>
    <w:rsid w:val="005964DA"/>
    <w:rsid w:val="005965DF"/>
    <w:rsid w:val="005966E2"/>
    <w:rsid w:val="00596BEB"/>
    <w:rsid w:val="00596E85"/>
    <w:rsid w:val="0059741C"/>
    <w:rsid w:val="00597DDC"/>
    <w:rsid w:val="00597EE3"/>
    <w:rsid w:val="00597FD2"/>
    <w:rsid w:val="005A0827"/>
    <w:rsid w:val="005A090E"/>
    <w:rsid w:val="005A120F"/>
    <w:rsid w:val="005A1419"/>
    <w:rsid w:val="005A1687"/>
    <w:rsid w:val="005A17D9"/>
    <w:rsid w:val="005A1A54"/>
    <w:rsid w:val="005A1B41"/>
    <w:rsid w:val="005A1B6F"/>
    <w:rsid w:val="005A1C99"/>
    <w:rsid w:val="005A1D66"/>
    <w:rsid w:val="005A248F"/>
    <w:rsid w:val="005A27AD"/>
    <w:rsid w:val="005A31A5"/>
    <w:rsid w:val="005A321E"/>
    <w:rsid w:val="005A322B"/>
    <w:rsid w:val="005A3270"/>
    <w:rsid w:val="005A3D5D"/>
    <w:rsid w:val="005A44BA"/>
    <w:rsid w:val="005A4787"/>
    <w:rsid w:val="005A4ADB"/>
    <w:rsid w:val="005A4D04"/>
    <w:rsid w:val="005A4D98"/>
    <w:rsid w:val="005A503E"/>
    <w:rsid w:val="005A50B7"/>
    <w:rsid w:val="005A5277"/>
    <w:rsid w:val="005A550A"/>
    <w:rsid w:val="005A551F"/>
    <w:rsid w:val="005A5719"/>
    <w:rsid w:val="005A5BA3"/>
    <w:rsid w:val="005A5CC1"/>
    <w:rsid w:val="005A612A"/>
    <w:rsid w:val="005A6E38"/>
    <w:rsid w:val="005A6F0A"/>
    <w:rsid w:val="005A70B2"/>
    <w:rsid w:val="005A72A9"/>
    <w:rsid w:val="005A7348"/>
    <w:rsid w:val="005A7724"/>
    <w:rsid w:val="005A78C7"/>
    <w:rsid w:val="005B099E"/>
    <w:rsid w:val="005B0DC0"/>
    <w:rsid w:val="005B12B1"/>
    <w:rsid w:val="005B1374"/>
    <w:rsid w:val="005B139E"/>
    <w:rsid w:val="005B1431"/>
    <w:rsid w:val="005B209E"/>
    <w:rsid w:val="005B2398"/>
    <w:rsid w:val="005B23F1"/>
    <w:rsid w:val="005B240F"/>
    <w:rsid w:val="005B242A"/>
    <w:rsid w:val="005B2603"/>
    <w:rsid w:val="005B2772"/>
    <w:rsid w:val="005B287A"/>
    <w:rsid w:val="005B295F"/>
    <w:rsid w:val="005B30A7"/>
    <w:rsid w:val="005B3188"/>
    <w:rsid w:val="005B363F"/>
    <w:rsid w:val="005B3791"/>
    <w:rsid w:val="005B3B1D"/>
    <w:rsid w:val="005B3CF4"/>
    <w:rsid w:val="005B442F"/>
    <w:rsid w:val="005B5083"/>
    <w:rsid w:val="005B51EA"/>
    <w:rsid w:val="005B5715"/>
    <w:rsid w:val="005B775E"/>
    <w:rsid w:val="005B7D11"/>
    <w:rsid w:val="005C0457"/>
    <w:rsid w:val="005C0527"/>
    <w:rsid w:val="005C09F7"/>
    <w:rsid w:val="005C0F0B"/>
    <w:rsid w:val="005C0F13"/>
    <w:rsid w:val="005C184E"/>
    <w:rsid w:val="005C1A76"/>
    <w:rsid w:val="005C1BE7"/>
    <w:rsid w:val="005C1DD2"/>
    <w:rsid w:val="005C2176"/>
    <w:rsid w:val="005C25AA"/>
    <w:rsid w:val="005C2742"/>
    <w:rsid w:val="005C2810"/>
    <w:rsid w:val="005C3088"/>
    <w:rsid w:val="005C30EA"/>
    <w:rsid w:val="005C31E2"/>
    <w:rsid w:val="005C3752"/>
    <w:rsid w:val="005C38C3"/>
    <w:rsid w:val="005C40B2"/>
    <w:rsid w:val="005C475A"/>
    <w:rsid w:val="005C4A5C"/>
    <w:rsid w:val="005C4ECC"/>
    <w:rsid w:val="005C4F83"/>
    <w:rsid w:val="005C5A41"/>
    <w:rsid w:val="005C5BD7"/>
    <w:rsid w:val="005C5E2F"/>
    <w:rsid w:val="005C6228"/>
    <w:rsid w:val="005C679D"/>
    <w:rsid w:val="005C6A8C"/>
    <w:rsid w:val="005C6E3E"/>
    <w:rsid w:val="005C7236"/>
    <w:rsid w:val="005C7342"/>
    <w:rsid w:val="005C74C8"/>
    <w:rsid w:val="005C7EBD"/>
    <w:rsid w:val="005D061D"/>
    <w:rsid w:val="005D0EE3"/>
    <w:rsid w:val="005D0F43"/>
    <w:rsid w:val="005D1377"/>
    <w:rsid w:val="005D1626"/>
    <w:rsid w:val="005D2775"/>
    <w:rsid w:val="005D2BF0"/>
    <w:rsid w:val="005D64CF"/>
    <w:rsid w:val="005D70CC"/>
    <w:rsid w:val="005D71A2"/>
    <w:rsid w:val="005D7550"/>
    <w:rsid w:val="005D7703"/>
    <w:rsid w:val="005D7B0C"/>
    <w:rsid w:val="005E0383"/>
    <w:rsid w:val="005E03F6"/>
    <w:rsid w:val="005E0BC3"/>
    <w:rsid w:val="005E136C"/>
    <w:rsid w:val="005E17FA"/>
    <w:rsid w:val="005E1AD8"/>
    <w:rsid w:val="005E1D50"/>
    <w:rsid w:val="005E20A5"/>
    <w:rsid w:val="005E2411"/>
    <w:rsid w:val="005E254E"/>
    <w:rsid w:val="005E2FB8"/>
    <w:rsid w:val="005E2FC7"/>
    <w:rsid w:val="005E3434"/>
    <w:rsid w:val="005E34D5"/>
    <w:rsid w:val="005E390B"/>
    <w:rsid w:val="005E390E"/>
    <w:rsid w:val="005E411D"/>
    <w:rsid w:val="005E4267"/>
    <w:rsid w:val="005E4460"/>
    <w:rsid w:val="005E4A1E"/>
    <w:rsid w:val="005E61BD"/>
    <w:rsid w:val="005E66DA"/>
    <w:rsid w:val="005E6CB3"/>
    <w:rsid w:val="005E77B5"/>
    <w:rsid w:val="005E792D"/>
    <w:rsid w:val="005E7BD9"/>
    <w:rsid w:val="005E7D01"/>
    <w:rsid w:val="005F06B7"/>
    <w:rsid w:val="005F0B7F"/>
    <w:rsid w:val="005F0C94"/>
    <w:rsid w:val="005F1626"/>
    <w:rsid w:val="005F17B1"/>
    <w:rsid w:val="005F2262"/>
    <w:rsid w:val="005F2630"/>
    <w:rsid w:val="005F265E"/>
    <w:rsid w:val="005F2662"/>
    <w:rsid w:val="005F2D7D"/>
    <w:rsid w:val="005F2DE7"/>
    <w:rsid w:val="005F33EE"/>
    <w:rsid w:val="005F4302"/>
    <w:rsid w:val="005F439C"/>
    <w:rsid w:val="005F45AF"/>
    <w:rsid w:val="005F4624"/>
    <w:rsid w:val="005F47AF"/>
    <w:rsid w:val="005F4900"/>
    <w:rsid w:val="005F4EB2"/>
    <w:rsid w:val="005F5015"/>
    <w:rsid w:val="005F5470"/>
    <w:rsid w:val="005F594B"/>
    <w:rsid w:val="005F5956"/>
    <w:rsid w:val="005F6693"/>
    <w:rsid w:val="005F6DEF"/>
    <w:rsid w:val="005F7115"/>
    <w:rsid w:val="005F779F"/>
    <w:rsid w:val="006000B8"/>
    <w:rsid w:val="00600192"/>
    <w:rsid w:val="0060031B"/>
    <w:rsid w:val="00600822"/>
    <w:rsid w:val="006009FF"/>
    <w:rsid w:val="00600BCE"/>
    <w:rsid w:val="00600F5F"/>
    <w:rsid w:val="006013D6"/>
    <w:rsid w:val="006014BF"/>
    <w:rsid w:val="00601C21"/>
    <w:rsid w:val="006020AE"/>
    <w:rsid w:val="006029BE"/>
    <w:rsid w:val="00602B34"/>
    <w:rsid w:val="00603249"/>
    <w:rsid w:val="00603B53"/>
    <w:rsid w:val="00604093"/>
    <w:rsid w:val="00604230"/>
    <w:rsid w:val="006048E5"/>
    <w:rsid w:val="006048F8"/>
    <w:rsid w:val="00604B75"/>
    <w:rsid w:val="00604CAF"/>
    <w:rsid w:val="00604E52"/>
    <w:rsid w:val="00604E5B"/>
    <w:rsid w:val="0060538A"/>
    <w:rsid w:val="00605CB2"/>
    <w:rsid w:val="00605D19"/>
    <w:rsid w:val="00605F2A"/>
    <w:rsid w:val="00606308"/>
    <w:rsid w:val="0060657C"/>
    <w:rsid w:val="00606AB8"/>
    <w:rsid w:val="00606C96"/>
    <w:rsid w:val="00606CEC"/>
    <w:rsid w:val="00606CEF"/>
    <w:rsid w:val="006107F7"/>
    <w:rsid w:val="006109BE"/>
    <w:rsid w:val="00610A07"/>
    <w:rsid w:val="00611665"/>
    <w:rsid w:val="006116AC"/>
    <w:rsid w:val="00611A61"/>
    <w:rsid w:val="00611F2D"/>
    <w:rsid w:val="0061259A"/>
    <w:rsid w:val="0061272A"/>
    <w:rsid w:val="00612921"/>
    <w:rsid w:val="00612F60"/>
    <w:rsid w:val="0061320E"/>
    <w:rsid w:val="00613462"/>
    <w:rsid w:val="0061361C"/>
    <w:rsid w:val="00614469"/>
    <w:rsid w:val="00614A74"/>
    <w:rsid w:val="00615940"/>
    <w:rsid w:val="00615BBC"/>
    <w:rsid w:val="00615C27"/>
    <w:rsid w:val="00615CE3"/>
    <w:rsid w:val="00616499"/>
    <w:rsid w:val="00616523"/>
    <w:rsid w:val="00616B4F"/>
    <w:rsid w:val="00617216"/>
    <w:rsid w:val="006175AF"/>
    <w:rsid w:val="0061786D"/>
    <w:rsid w:val="0062010E"/>
    <w:rsid w:val="00620804"/>
    <w:rsid w:val="00620AF6"/>
    <w:rsid w:val="00620E0F"/>
    <w:rsid w:val="006213D1"/>
    <w:rsid w:val="00621442"/>
    <w:rsid w:val="00621B15"/>
    <w:rsid w:val="00622037"/>
    <w:rsid w:val="006225AC"/>
    <w:rsid w:val="00623899"/>
    <w:rsid w:val="00623B60"/>
    <w:rsid w:val="00624F07"/>
    <w:rsid w:val="006250D4"/>
    <w:rsid w:val="00625391"/>
    <w:rsid w:val="006253B5"/>
    <w:rsid w:val="006254AA"/>
    <w:rsid w:val="00625DDD"/>
    <w:rsid w:val="00625F27"/>
    <w:rsid w:val="006268AA"/>
    <w:rsid w:val="00626D57"/>
    <w:rsid w:val="0062719A"/>
    <w:rsid w:val="0062726C"/>
    <w:rsid w:val="0062768B"/>
    <w:rsid w:val="00627B8D"/>
    <w:rsid w:val="00627DED"/>
    <w:rsid w:val="006303B7"/>
    <w:rsid w:val="00631996"/>
    <w:rsid w:val="00631A21"/>
    <w:rsid w:val="00631F43"/>
    <w:rsid w:val="00633791"/>
    <w:rsid w:val="006339A5"/>
    <w:rsid w:val="006341E4"/>
    <w:rsid w:val="00634D91"/>
    <w:rsid w:val="00634DC9"/>
    <w:rsid w:val="00635006"/>
    <w:rsid w:val="00635AAE"/>
    <w:rsid w:val="00635D14"/>
    <w:rsid w:val="006361B9"/>
    <w:rsid w:val="0063634A"/>
    <w:rsid w:val="006363EA"/>
    <w:rsid w:val="0063699B"/>
    <w:rsid w:val="006369D7"/>
    <w:rsid w:val="00636F06"/>
    <w:rsid w:val="006378A9"/>
    <w:rsid w:val="00637CF1"/>
    <w:rsid w:val="006402F0"/>
    <w:rsid w:val="006403A7"/>
    <w:rsid w:val="00640E44"/>
    <w:rsid w:val="00640E4D"/>
    <w:rsid w:val="006410A5"/>
    <w:rsid w:val="006411A5"/>
    <w:rsid w:val="00641550"/>
    <w:rsid w:val="006417E5"/>
    <w:rsid w:val="00641D9D"/>
    <w:rsid w:val="006429F1"/>
    <w:rsid w:val="00643C39"/>
    <w:rsid w:val="00643E4A"/>
    <w:rsid w:val="00644435"/>
    <w:rsid w:val="00644466"/>
    <w:rsid w:val="0064539D"/>
    <w:rsid w:val="00645B1F"/>
    <w:rsid w:val="00645B34"/>
    <w:rsid w:val="00645CC8"/>
    <w:rsid w:val="00645CE0"/>
    <w:rsid w:val="0064602B"/>
    <w:rsid w:val="00646928"/>
    <w:rsid w:val="00646E07"/>
    <w:rsid w:val="00646ECB"/>
    <w:rsid w:val="00647041"/>
    <w:rsid w:val="0064728F"/>
    <w:rsid w:val="006477CD"/>
    <w:rsid w:val="00647BF1"/>
    <w:rsid w:val="00650BBC"/>
    <w:rsid w:val="00650EB6"/>
    <w:rsid w:val="00650F75"/>
    <w:rsid w:val="00650FF9"/>
    <w:rsid w:val="0065123A"/>
    <w:rsid w:val="00651585"/>
    <w:rsid w:val="006524D6"/>
    <w:rsid w:val="006526D9"/>
    <w:rsid w:val="0065279C"/>
    <w:rsid w:val="0065285B"/>
    <w:rsid w:val="006537C4"/>
    <w:rsid w:val="00653ADB"/>
    <w:rsid w:val="00653BF4"/>
    <w:rsid w:val="00654BF2"/>
    <w:rsid w:val="00654F28"/>
    <w:rsid w:val="006551FE"/>
    <w:rsid w:val="006552D7"/>
    <w:rsid w:val="006555B6"/>
    <w:rsid w:val="006556F5"/>
    <w:rsid w:val="00655B30"/>
    <w:rsid w:val="00655BED"/>
    <w:rsid w:val="00655DB3"/>
    <w:rsid w:val="006561C4"/>
    <w:rsid w:val="00656A44"/>
    <w:rsid w:val="00656DB8"/>
    <w:rsid w:val="006571C7"/>
    <w:rsid w:val="00657521"/>
    <w:rsid w:val="00657CBE"/>
    <w:rsid w:val="00657FA5"/>
    <w:rsid w:val="00660275"/>
    <w:rsid w:val="0066062F"/>
    <w:rsid w:val="00660634"/>
    <w:rsid w:val="00660ED4"/>
    <w:rsid w:val="00661FE4"/>
    <w:rsid w:val="00662059"/>
    <w:rsid w:val="00662C5A"/>
    <w:rsid w:val="0066505E"/>
    <w:rsid w:val="00665416"/>
    <w:rsid w:val="0066574E"/>
    <w:rsid w:val="00665999"/>
    <w:rsid w:val="00665EEF"/>
    <w:rsid w:val="0066662C"/>
    <w:rsid w:val="00666679"/>
    <w:rsid w:val="0066694A"/>
    <w:rsid w:val="00666A13"/>
    <w:rsid w:val="00666CB7"/>
    <w:rsid w:val="00666CCA"/>
    <w:rsid w:val="00666F80"/>
    <w:rsid w:val="00667BF4"/>
    <w:rsid w:val="00667F53"/>
    <w:rsid w:val="00670392"/>
    <w:rsid w:val="006703E1"/>
    <w:rsid w:val="006709E6"/>
    <w:rsid w:val="00670BEA"/>
    <w:rsid w:val="00670CEA"/>
    <w:rsid w:val="00671AB5"/>
    <w:rsid w:val="006721CD"/>
    <w:rsid w:val="006724B8"/>
    <w:rsid w:val="00672645"/>
    <w:rsid w:val="00672DF8"/>
    <w:rsid w:val="00672EDC"/>
    <w:rsid w:val="00672F45"/>
    <w:rsid w:val="00673F18"/>
    <w:rsid w:val="0067438F"/>
    <w:rsid w:val="00675545"/>
    <w:rsid w:val="00675A11"/>
    <w:rsid w:val="00675BB4"/>
    <w:rsid w:val="00675EC2"/>
    <w:rsid w:val="006761D8"/>
    <w:rsid w:val="00676C1A"/>
    <w:rsid w:val="00676DA3"/>
    <w:rsid w:val="00676E5A"/>
    <w:rsid w:val="00677AAF"/>
    <w:rsid w:val="00677AF0"/>
    <w:rsid w:val="00680169"/>
    <w:rsid w:val="00680343"/>
    <w:rsid w:val="00680A81"/>
    <w:rsid w:val="00680BDC"/>
    <w:rsid w:val="0068190E"/>
    <w:rsid w:val="006819E4"/>
    <w:rsid w:val="006827CA"/>
    <w:rsid w:val="0068309B"/>
    <w:rsid w:val="00683713"/>
    <w:rsid w:val="00683A52"/>
    <w:rsid w:val="00683D5B"/>
    <w:rsid w:val="00684174"/>
    <w:rsid w:val="0068463D"/>
    <w:rsid w:val="00684958"/>
    <w:rsid w:val="0068495B"/>
    <w:rsid w:val="006849CA"/>
    <w:rsid w:val="0068505E"/>
    <w:rsid w:val="0068521F"/>
    <w:rsid w:val="006852CB"/>
    <w:rsid w:val="006858EB"/>
    <w:rsid w:val="00685DD6"/>
    <w:rsid w:val="006860C5"/>
    <w:rsid w:val="00686428"/>
    <w:rsid w:val="0068644A"/>
    <w:rsid w:val="0068651C"/>
    <w:rsid w:val="00686649"/>
    <w:rsid w:val="00686B6E"/>
    <w:rsid w:val="00686BF5"/>
    <w:rsid w:val="00686CE6"/>
    <w:rsid w:val="006872BA"/>
    <w:rsid w:val="006874F7"/>
    <w:rsid w:val="00687B47"/>
    <w:rsid w:val="00687DF8"/>
    <w:rsid w:val="0069023F"/>
    <w:rsid w:val="0069054A"/>
    <w:rsid w:val="00690653"/>
    <w:rsid w:val="00690AA0"/>
    <w:rsid w:val="006917F9"/>
    <w:rsid w:val="00692BDF"/>
    <w:rsid w:val="00693E96"/>
    <w:rsid w:val="00693F6E"/>
    <w:rsid w:val="0069430B"/>
    <w:rsid w:val="00694844"/>
    <w:rsid w:val="006949E9"/>
    <w:rsid w:val="00694F03"/>
    <w:rsid w:val="00695380"/>
    <w:rsid w:val="00695A1E"/>
    <w:rsid w:val="00695BE3"/>
    <w:rsid w:val="00696147"/>
    <w:rsid w:val="006967BA"/>
    <w:rsid w:val="00696B11"/>
    <w:rsid w:val="00697229"/>
    <w:rsid w:val="00697903"/>
    <w:rsid w:val="00697CC7"/>
    <w:rsid w:val="00697D1C"/>
    <w:rsid w:val="006A04D0"/>
    <w:rsid w:val="006A08DB"/>
    <w:rsid w:val="006A0D9B"/>
    <w:rsid w:val="006A15F6"/>
    <w:rsid w:val="006A2414"/>
    <w:rsid w:val="006A2848"/>
    <w:rsid w:val="006A3730"/>
    <w:rsid w:val="006A38E9"/>
    <w:rsid w:val="006A3B96"/>
    <w:rsid w:val="006A3CC3"/>
    <w:rsid w:val="006A40F8"/>
    <w:rsid w:val="006A447B"/>
    <w:rsid w:val="006A4604"/>
    <w:rsid w:val="006A4918"/>
    <w:rsid w:val="006A4E92"/>
    <w:rsid w:val="006A5316"/>
    <w:rsid w:val="006A5392"/>
    <w:rsid w:val="006A5BC6"/>
    <w:rsid w:val="006A5C68"/>
    <w:rsid w:val="006A672B"/>
    <w:rsid w:val="006A67A5"/>
    <w:rsid w:val="006A67EC"/>
    <w:rsid w:val="006A6A9E"/>
    <w:rsid w:val="006A6E90"/>
    <w:rsid w:val="006A6F64"/>
    <w:rsid w:val="006A7513"/>
    <w:rsid w:val="006A7937"/>
    <w:rsid w:val="006B0AE4"/>
    <w:rsid w:val="006B1F6F"/>
    <w:rsid w:val="006B23D9"/>
    <w:rsid w:val="006B2657"/>
    <w:rsid w:val="006B27D9"/>
    <w:rsid w:val="006B3034"/>
    <w:rsid w:val="006B314B"/>
    <w:rsid w:val="006B33E3"/>
    <w:rsid w:val="006B34BF"/>
    <w:rsid w:val="006B40CB"/>
    <w:rsid w:val="006B4661"/>
    <w:rsid w:val="006B4AED"/>
    <w:rsid w:val="006B4C07"/>
    <w:rsid w:val="006B5488"/>
    <w:rsid w:val="006B567C"/>
    <w:rsid w:val="006B60FB"/>
    <w:rsid w:val="006B618F"/>
    <w:rsid w:val="006B6C5B"/>
    <w:rsid w:val="006B7581"/>
    <w:rsid w:val="006B7DE5"/>
    <w:rsid w:val="006C00A8"/>
    <w:rsid w:val="006C0B73"/>
    <w:rsid w:val="006C0D80"/>
    <w:rsid w:val="006C105D"/>
    <w:rsid w:val="006C1128"/>
    <w:rsid w:val="006C11F9"/>
    <w:rsid w:val="006C13B1"/>
    <w:rsid w:val="006C15BC"/>
    <w:rsid w:val="006C1D43"/>
    <w:rsid w:val="006C2110"/>
    <w:rsid w:val="006C2159"/>
    <w:rsid w:val="006C2B40"/>
    <w:rsid w:val="006C2CB0"/>
    <w:rsid w:val="006C2F44"/>
    <w:rsid w:val="006C372D"/>
    <w:rsid w:val="006C40EB"/>
    <w:rsid w:val="006C4117"/>
    <w:rsid w:val="006C437F"/>
    <w:rsid w:val="006C4BEB"/>
    <w:rsid w:val="006C53D7"/>
    <w:rsid w:val="006C563A"/>
    <w:rsid w:val="006C581A"/>
    <w:rsid w:val="006C5B9F"/>
    <w:rsid w:val="006C5C3B"/>
    <w:rsid w:val="006C6378"/>
    <w:rsid w:val="006C70F2"/>
    <w:rsid w:val="006C71F8"/>
    <w:rsid w:val="006C7432"/>
    <w:rsid w:val="006C7C96"/>
    <w:rsid w:val="006D0004"/>
    <w:rsid w:val="006D01ED"/>
    <w:rsid w:val="006D02A0"/>
    <w:rsid w:val="006D0714"/>
    <w:rsid w:val="006D079D"/>
    <w:rsid w:val="006D0C75"/>
    <w:rsid w:val="006D0CA4"/>
    <w:rsid w:val="006D1796"/>
    <w:rsid w:val="006D1A14"/>
    <w:rsid w:val="006D1CB7"/>
    <w:rsid w:val="006D1FD9"/>
    <w:rsid w:val="006D258D"/>
    <w:rsid w:val="006D2E1B"/>
    <w:rsid w:val="006D3174"/>
    <w:rsid w:val="006D3CFD"/>
    <w:rsid w:val="006D4239"/>
    <w:rsid w:val="006D4DD4"/>
    <w:rsid w:val="006D4EFD"/>
    <w:rsid w:val="006D4F50"/>
    <w:rsid w:val="006D4FB4"/>
    <w:rsid w:val="006D52C5"/>
    <w:rsid w:val="006D5444"/>
    <w:rsid w:val="006D549C"/>
    <w:rsid w:val="006D587D"/>
    <w:rsid w:val="006D5B43"/>
    <w:rsid w:val="006D5E3F"/>
    <w:rsid w:val="006D5F66"/>
    <w:rsid w:val="006D6220"/>
    <w:rsid w:val="006D6998"/>
    <w:rsid w:val="006D6E3B"/>
    <w:rsid w:val="006D72F4"/>
    <w:rsid w:val="006D73CF"/>
    <w:rsid w:val="006D7705"/>
    <w:rsid w:val="006E083D"/>
    <w:rsid w:val="006E0D0B"/>
    <w:rsid w:val="006E10C4"/>
    <w:rsid w:val="006E15D0"/>
    <w:rsid w:val="006E173A"/>
    <w:rsid w:val="006E1F77"/>
    <w:rsid w:val="006E1FB6"/>
    <w:rsid w:val="006E2264"/>
    <w:rsid w:val="006E26F0"/>
    <w:rsid w:val="006E275A"/>
    <w:rsid w:val="006E2DA0"/>
    <w:rsid w:val="006E3374"/>
    <w:rsid w:val="006E3625"/>
    <w:rsid w:val="006E3643"/>
    <w:rsid w:val="006E3EFB"/>
    <w:rsid w:val="006E419C"/>
    <w:rsid w:val="006E42C4"/>
    <w:rsid w:val="006E439E"/>
    <w:rsid w:val="006E48D1"/>
    <w:rsid w:val="006E4AEE"/>
    <w:rsid w:val="006E54AE"/>
    <w:rsid w:val="006E5729"/>
    <w:rsid w:val="006E5967"/>
    <w:rsid w:val="006E5B43"/>
    <w:rsid w:val="006E5C1E"/>
    <w:rsid w:val="006E5E68"/>
    <w:rsid w:val="006E5FA6"/>
    <w:rsid w:val="006E5FE1"/>
    <w:rsid w:val="006E7A16"/>
    <w:rsid w:val="006E7C38"/>
    <w:rsid w:val="006E7EC4"/>
    <w:rsid w:val="006F077B"/>
    <w:rsid w:val="006F0A7E"/>
    <w:rsid w:val="006F0CE4"/>
    <w:rsid w:val="006F0E24"/>
    <w:rsid w:val="006F0EF9"/>
    <w:rsid w:val="006F1352"/>
    <w:rsid w:val="006F15E8"/>
    <w:rsid w:val="006F18ED"/>
    <w:rsid w:val="006F1C08"/>
    <w:rsid w:val="006F1C23"/>
    <w:rsid w:val="006F285C"/>
    <w:rsid w:val="006F28A4"/>
    <w:rsid w:val="006F2BC0"/>
    <w:rsid w:val="006F2BD9"/>
    <w:rsid w:val="006F33BF"/>
    <w:rsid w:val="006F3F18"/>
    <w:rsid w:val="006F4367"/>
    <w:rsid w:val="006F43D8"/>
    <w:rsid w:val="006F4A7F"/>
    <w:rsid w:val="006F4E71"/>
    <w:rsid w:val="006F567A"/>
    <w:rsid w:val="006F573A"/>
    <w:rsid w:val="006F623B"/>
    <w:rsid w:val="006F65A3"/>
    <w:rsid w:val="006F6969"/>
    <w:rsid w:val="006F7D03"/>
    <w:rsid w:val="007001C5"/>
    <w:rsid w:val="00700A98"/>
    <w:rsid w:val="00700C98"/>
    <w:rsid w:val="0070125F"/>
    <w:rsid w:val="007012AE"/>
    <w:rsid w:val="00701606"/>
    <w:rsid w:val="007018F4"/>
    <w:rsid w:val="007019BA"/>
    <w:rsid w:val="00701F57"/>
    <w:rsid w:val="0070259E"/>
    <w:rsid w:val="00702631"/>
    <w:rsid w:val="00702DFC"/>
    <w:rsid w:val="0070304B"/>
    <w:rsid w:val="00703105"/>
    <w:rsid w:val="0070323D"/>
    <w:rsid w:val="00703316"/>
    <w:rsid w:val="00704342"/>
    <w:rsid w:val="00704457"/>
    <w:rsid w:val="00704931"/>
    <w:rsid w:val="007049C8"/>
    <w:rsid w:val="00704E76"/>
    <w:rsid w:val="00705CE2"/>
    <w:rsid w:val="00705CF0"/>
    <w:rsid w:val="007064DD"/>
    <w:rsid w:val="0070657C"/>
    <w:rsid w:val="00706EFC"/>
    <w:rsid w:val="00706FB8"/>
    <w:rsid w:val="007109F0"/>
    <w:rsid w:val="0071153E"/>
    <w:rsid w:val="00711C5B"/>
    <w:rsid w:val="007121E0"/>
    <w:rsid w:val="007127CE"/>
    <w:rsid w:val="00712FDD"/>
    <w:rsid w:val="00713BAD"/>
    <w:rsid w:val="0071404F"/>
    <w:rsid w:val="0071470B"/>
    <w:rsid w:val="00714BC4"/>
    <w:rsid w:val="007150E7"/>
    <w:rsid w:val="007157D4"/>
    <w:rsid w:val="00715DF5"/>
    <w:rsid w:val="00716453"/>
    <w:rsid w:val="00716D60"/>
    <w:rsid w:val="00716FBE"/>
    <w:rsid w:val="007173D9"/>
    <w:rsid w:val="0071756E"/>
    <w:rsid w:val="00717FA5"/>
    <w:rsid w:val="0072003B"/>
    <w:rsid w:val="00720979"/>
    <w:rsid w:val="00720A3E"/>
    <w:rsid w:val="00720BED"/>
    <w:rsid w:val="00720DBC"/>
    <w:rsid w:val="00720DC5"/>
    <w:rsid w:val="00720ED8"/>
    <w:rsid w:val="007214FD"/>
    <w:rsid w:val="0072168C"/>
    <w:rsid w:val="0072185A"/>
    <w:rsid w:val="00722245"/>
    <w:rsid w:val="00722597"/>
    <w:rsid w:val="0072264C"/>
    <w:rsid w:val="00722CAD"/>
    <w:rsid w:val="00723442"/>
    <w:rsid w:val="00723458"/>
    <w:rsid w:val="00723682"/>
    <w:rsid w:val="00723825"/>
    <w:rsid w:val="007238A9"/>
    <w:rsid w:val="00723951"/>
    <w:rsid w:val="00723D72"/>
    <w:rsid w:val="00724159"/>
    <w:rsid w:val="0072470F"/>
    <w:rsid w:val="00724DD7"/>
    <w:rsid w:val="00725986"/>
    <w:rsid w:val="00725D0C"/>
    <w:rsid w:val="00725F79"/>
    <w:rsid w:val="007261D9"/>
    <w:rsid w:val="0072620C"/>
    <w:rsid w:val="00726402"/>
    <w:rsid w:val="007265A6"/>
    <w:rsid w:val="007269E9"/>
    <w:rsid w:val="00726A51"/>
    <w:rsid w:val="007270D4"/>
    <w:rsid w:val="0072747B"/>
    <w:rsid w:val="007274BF"/>
    <w:rsid w:val="00727BEF"/>
    <w:rsid w:val="00730314"/>
    <w:rsid w:val="00730383"/>
    <w:rsid w:val="00730776"/>
    <w:rsid w:val="00731044"/>
    <w:rsid w:val="00731149"/>
    <w:rsid w:val="007312EC"/>
    <w:rsid w:val="0073157E"/>
    <w:rsid w:val="00731946"/>
    <w:rsid w:val="00731A4A"/>
    <w:rsid w:val="00731F1F"/>
    <w:rsid w:val="00731FBD"/>
    <w:rsid w:val="00732552"/>
    <w:rsid w:val="00732567"/>
    <w:rsid w:val="00732E8E"/>
    <w:rsid w:val="00733390"/>
    <w:rsid w:val="00734D06"/>
    <w:rsid w:val="00735430"/>
    <w:rsid w:val="0073555C"/>
    <w:rsid w:val="007365DA"/>
    <w:rsid w:val="007369B3"/>
    <w:rsid w:val="00736CD3"/>
    <w:rsid w:val="0073716A"/>
    <w:rsid w:val="00737B66"/>
    <w:rsid w:val="00737BEC"/>
    <w:rsid w:val="00737D66"/>
    <w:rsid w:val="00737E86"/>
    <w:rsid w:val="007401C1"/>
    <w:rsid w:val="00740600"/>
    <w:rsid w:val="00740943"/>
    <w:rsid w:val="00740C03"/>
    <w:rsid w:val="0074100E"/>
    <w:rsid w:val="007418D5"/>
    <w:rsid w:val="007424E5"/>
    <w:rsid w:val="0074296F"/>
    <w:rsid w:val="007429E5"/>
    <w:rsid w:val="00742AF0"/>
    <w:rsid w:val="00743269"/>
    <w:rsid w:val="00743366"/>
    <w:rsid w:val="00743482"/>
    <w:rsid w:val="007436CF"/>
    <w:rsid w:val="00744C76"/>
    <w:rsid w:val="007450E4"/>
    <w:rsid w:val="0074564D"/>
    <w:rsid w:val="00745E21"/>
    <w:rsid w:val="00746680"/>
    <w:rsid w:val="00746709"/>
    <w:rsid w:val="007472D7"/>
    <w:rsid w:val="00747A52"/>
    <w:rsid w:val="00750009"/>
    <w:rsid w:val="00750B29"/>
    <w:rsid w:val="00751583"/>
    <w:rsid w:val="0075188E"/>
    <w:rsid w:val="00751C70"/>
    <w:rsid w:val="00751D26"/>
    <w:rsid w:val="00751EA4"/>
    <w:rsid w:val="00752029"/>
    <w:rsid w:val="00752600"/>
    <w:rsid w:val="00752665"/>
    <w:rsid w:val="00752CCC"/>
    <w:rsid w:val="00752E22"/>
    <w:rsid w:val="00752F51"/>
    <w:rsid w:val="0075304D"/>
    <w:rsid w:val="00753171"/>
    <w:rsid w:val="00753174"/>
    <w:rsid w:val="007546CF"/>
    <w:rsid w:val="00754851"/>
    <w:rsid w:val="0075497B"/>
    <w:rsid w:val="00754995"/>
    <w:rsid w:val="00754BD5"/>
    <w:rsid w:val="0075545F"/>
    <w:rsid w:val="00755756"/>
    <w:rsid w:val="007558AB"/>
    <w:rsid w:val="00755BA7"/>
    <w:rsid w:val="00755BB1"/>
    <w:rsid w:val="00755CB6"/>
    <w:rsid w:val="00756025"/>
    <w:rsid w:val="0075609A"/>
    <w:rsid w:val="007569CA"/>
    <w:rsid w:val="00756ACD"/>
    <w:rsid w:val="00756D23"/>
    <w:rsid w:val="007574E2"/>
    <w:rsid w:val="007575F6"/>
    <w:rsid w:val="007579B4"/>
    <w:rsid w:val="00760113"/>
    <w:rsid w:val="007609C8"/>
    <w:rsid w:val="00760BB3"/>
    <w:rsid w:val="00760F32"/>
    <w:rsid w:val="007611A2"/>
    <w:rsid w:val="00761CFB"/>
    <w:rsid w:val="007622D6"/>
    <w:rsid w:val="00762C20"/>
    <w:rsid w:val="00762C68"/>
    <w:rsid w:val="00763002"/>
    <w:rsid w:val="007632DB"/>
    <w:rsid w:val="00763459"/>
    <w:rsid w:val="00763BA0"/>
    <w:rsid w:val="00763C21"/>
    <w:rsid w:val="007640EB"/>
    <w:rsid w:val="007641DC"/>
    <w:rsid w:val="007642E8"/>
    <w:rsid w:val="007645F2"/>
    <w:rsid w:val="00764632"/>
    <w:rsid w:val="0076464D"/>
    <w:rsid w:val="007647BD"/>
    <w:rsid w:val="00764FA4"/>
    <w:rsid w:val="00765455"/>
    <w:rsid w:val="00765844"/>
    <w:rsid w:val="00765923"/>
    <w:rsid w:val="00765946"/>
    <w:rsid w:val="00765F1A"/>
    <w:rsid w:val="0076654E"/>
    <w:rsid w:val="00766A0B"/>
    <w:rsid w:val="00766A7B"/>
    <w:rsid w:val="007674DA"/>
    <w:rsid w:val="0077106E"/>
    <w:rsid w:val="00771101"/>
    <w:rsid w:val="0077140B"/>
    <w:rsid w:val="00771CA4"/>
    <w:rsid w:val="00771E02"/>
    <w:rsid w:val="0077239E"/>
    <w:rsid w:val="007723CA"/>
    <w:rsid w:val="00772A13"/>
    <w:rsid w:val="00772B7F"/>
    <w:rsid w:val="00772F3A"/>
    <w:rsid w:val="007734B6"/>
    <w:rsid w:val="00773755"/>
    <w:rsid w:val="0077380B"/>
    <w:rsid w:val="007742CA"/>
    <w:rsid w:val="0077438B"/>
    <w:rsid w:val="00775568"/>
    <w:rsid w:val="007756D6"/>
    <w:rsid w:val="007760C9"/>
    <w:rsid w:val="0077610C"/>
    <w:rsid w:val="0077623E"/>
    <w:rsid w:val="0077671D"/>
    <w:rsid w:val="0077694B"/>
    <w:rsid w:val="00777191"/>
    <w:rsid w:val="007779E2"/>
    <w:rsid w:val="00777CC0"/>
    <w:rsid w:val="00780049"/>
    <w:rsid w:val="0078074E"/>
    <w:rsid w:val="0078075A"/>
    <w:rsid w:val="00780F74"/>
    <w:rsid w:val="00780F9F"/>
    <w:rsid w:val="00781F03"/>
    <w:rsid w:val="007821C8"/>
    <w:rsid w:val="007821EA"/>
    <w:rsid w:val="00782976"/>
    <w:rsid w:val="00783C95"/>
    <w:rsid w:val="00784041"/>
    <w:rsid w:val="00784494"/>
    <w:rsid w:val="007844FE"/>
    <w:rsid w:val="007845D5"/>
    <w:rsid w:val="0078476E"/>
    <w:rsid w:val="00784C6A"/>
    <w:rsid w:val="007851AB"/>
    <w:rsid w:val="0078560D"/>
    <w:rsid w:val="0078589C"/>
    <w:rsid w:val="00786C20"/>
    <w:rsid w:val="00786C58"/>
    <w:rsid w:val="007871C2"/>
    <w:rsid w:val="007876EE"/>
    <w:rsid w:val="007878B0"/>
    <w:rsid w:val="00787C9C"/>
    <w:rsid w:val="007900B1"/>
    <w:rsid w:val="00790626"/>
    <w:rsid w:val="00790A02"/>
    <w:rsid w:val="00790B24"/>
    <w:rsid w:val="00790BFC"/>
    <w:rsid w:val="00790E9A"/>
    <w:rsid w:val="00791581"/>
    <w:rsid w:val="00791CE9"/>
    <w:rsid w:val="00791DB2"/>
    <w:rsid w:val="00791EEA"/>
    <w:rsid w:val="007938E4"/>
    <w:rsid w:val="007938E8"/>
    <w:rsid w:val="007939C4"/>
    <w:rsid w:val="00793AAF"/>
    <w:rsid w:val="00793FBE"/>
    <w:rsid w:val="0079403E"/>
    <w:rsid w:val="007940CF"/>
    <w:rsid w:val="0079439C"/>
    <w:rsid w:val="007943A9"/>
    <w:rsid w:val="007944EE"/>
    <w:rsid w:val="00794AD1"/>
    <w:rsid w:val="00794B58"/>
    <w:rsid w:val="00795194"/>
    <w:rsid w:val="00795224"/>
    <w:rsid w:val="0079566A"/>
    <w:rsid w:val="007958DE"/>
    <w:rsid w:val="00795B24"/>
    <w:rsid w:val="00795D17"/>
    <w:rsid w:val="00795D30"/>
    <w:rsid w:val="00796FF4"/>
    <w:rsid w:val="00797407"/>
    <w:rsid w:val="00797A7E"/>
    <w:rsid w:val="00797DC4"/>
    <w:rsid w:val="007A0252"/>
    <w:rsid w:val="007A0D8E"/>
    <w:rsid w:val="007A15D7"/>
    <w:rsid w:val="007A191C"/>
    <w:rsid w:val="007A2D76"/>
    <w:rsid w:val="007A3A03"/>
    <w:rsid w:val="007A4584"/>
    <w:rsid w:val="007A45EB"/>
    <w:rsid w:val="007A49C8"/>
    <w:rsid w:val="007A585C"/>
    <w:rsid w:val="007A5874"/>
    <w:rsid w:val="007A5B61"/>
    <w:rsid w:val="007A651A"/>
    <w:rsid w:val="007A6983"/>
    <w:rsid w:val="007A7315"/>
    <w:rsid w:val="007A73B0"/>
    <w:rsid w:val="007A73EA"/>
    <w:rsid w:val="007A75B1"/>
    <w:rsid w:val="007A7B64"/>
    <w:rsid w:val="007B0111"/>
    <w:rsid w:val="007B0A65"/>
    <w:rsid w:val="007B0DC5"/>
    <w:rsid w:val="007B17D5"/>
    <w:rsid w:val="007B1F91"/>
    <w:rsid w:val="007B2109"/>
    <w:rsid w:val="007B216C"/>
    <w:rsid w:val="007B251A"/>
    <w:rsid w:val="007B2F53"/>
    <w:rsid w:val="007B3072"/>
    <w:rsid w:val="007B30D5"/>
    <w:rsid w:val="007B33E7"/>
    <w:rsid w:val="007B3423"/>
    <w:rsid w:val="007B3810"/>
    <w:rsid w:val="007B3F69"/>
    <w:rsid w:val="007B4272"/>
    <w:rsid w:val="007B45BF"/>
    <w:rsid w:val="007B4663"/>
    <w:rsid w:val="007B5563"/>
    <w:rsid w:val="007B5638"/>
    <w:rsid w:val="007B5782"/>
    <w:rsid w:val="007B578B"/>
    <w:rsid w:val="007B5B7F"/>
    <w:rsid w:val="007B6252"/>
    <w:rsid w:val="007B6449"/>
    <w:rsid w:val="007B64C2"/>
    <w:rsid w:val="007B6A1D"/>
    <w:rsid w:val="007B75B0"/>
    <w:rsid w:val="007B7DE7"/>
    <w:rsid w:val="007C029F"/>
    <w:rsid w:val="007C02D8"/>
    <w:rsid w:val="007C03A7"/>
    <w:rsid w:val="007C1204"/>
    <w:rsid w:val="007C14D1"/>
    <w:rsid w:val="007C1560"/>
    <w:rsid w:val="007C1EF0"/>
    <w:rsid w:val="007C1FF8"/>
    <w:rsid w:val="007C21FF"/>
    <w:rsid w:val="007C22B6"/>
    <w:rsid w:val="007C22CC"/>
    <w:rsid w:val="007C26A6"/>
    <w:rsid w:val="007C2882"/>
    <w:rsid w:val="007C28A2"/>
    <w:rsid w:val="007C296F"/>
    <w:rsid w:val="007C29DE"/>
    <w:rsid w:val="007C2DE9"/>
    <w:rsid w:val="007C336F"/>
    <w:rsid w:val="007C36EA"/>
    <w:rsid w:val="007C37B4"/>
    <w:rsid w:val="007C3879"/>
    <w:rsid w:val="007C3A7F"/>
    <w:rsid w:val="007C407E"/>
    <w:rsid w:val="007C408B"/>
    <w:rsid w:val="007C4902"/>
    <w:rsid w:val="007C4FF4"/>
    <w:rsid w:val="007C6065"/>
    <w:rsid w:val="007C6A98"/>
    <w:rsid w:val="007C6E6F"/>
    <w:rsid w:val="007C6F27"/>
    <w:rsid w:val="007C79D3"/>
    <w:rsid w:val="007C7C04"/>
    <w:rsid w:val="007C7D2C"/>
    <w:rsid w:val="007D0265"/>
    <w:rsid w:val="007D04E5"/>
    <w:rsid w:val="007D100C"/>
    <w:rsid w:val="007D15D4"/>
    <w:rsid w:val="007D1639"/>
    <w:rsid w:val="007D1BBE"/>
    <w:rsid w:val="007D1E26"/>
    <w:rsid w:val="007D1F96"/>
    <w:rsid w:val="007D20F6"/>
    <w:rsid w:val="007D279E"/>
    <w:rsid w:val="007D2C6C"/>
    <w:rsid w:val="007D3949"/>
    <w:rsid w:val="007D3B3D"/>
    <w:rsid w:val="007D3DB2"/>
    <w:rsid w:val="007D42D3"/>
    <w:rsid w:val="007D46CA"/>
    <w:rsid w:val="007D4C8D"/>
    <w:rsid w:val="007D4D5D"/>
    <w:rsid w:val="007D5217"/>
    <w:rsid w:val="007D56D7"/>
    <w:rsid w:val="007D5916"/>
    <w:rsid w:val="007D6046"/>
    <w:rsid w:val="007D6732"/>
    <w:rsid w:val="007D67E5"/>
    <w:rsid w:val="007D685B"/>
    <w:rsid w:val="007D686E"/>
    <w:rsid w:val="007D7BB7"/>
    <w:rsid w:val="007E014D"/>
    <w:rsid w:val="007E1685"/>
    <w:rsid w:val="007E17A0"/>
    <w:rsid w:val="007E1A3F"/>
    <w:rsid w:val="007E1B55"/>
    <w:rsid w:val="007E2A58"/>
    <w:rsid w:val="007E2EE1"/>
    <w:rsid w:val="007E354D"/>
    <w:rsid w:val="007E3644"/>
    <w:rsid w:val="007E3B14"/>
    <w:rsid w:val="007E3B9C"/>
    <w:rsid w:val="007E4001"/>
    <w:rsid w:val="007E43FF"/>
    <w:rsid w:val="007E538E"/>
    <w:rsid w:val="007E56E2"/>
    <w:rsid w:val="007E5709"/>
    <w:rsid w:val="007E5A15"/>
    <w:rsid w:val="007E61E9"/>
    <w:rsid w:val="007E636C"/>
    <w:rsid w:val="007E654D"/>
    <w:rsid w:val="007E6DB6"/>
    <w:rsid w:val="007E6E73"/>
    <w:rsid w:val="007E707A"/>
    <w:rsid w:val="007E7B7A"/>
    <w:rsid w:val="007F01C0"/>
    <w:rsid w:val="007F01D8"/>
    <w:rsid w:val="007F0541"/>
    <w:rsid w:val="007F0A7A"/>
    <w:rsid w:val="007F0C40"/>
    <w:rsid w:val="007F0F1C"/>
    <w:rsid w:val="007F1466"/>
    <w:rsid w:val="007F2113"/>
    <w:rsid w:val="007F244B"/>
    <w:rsid w:val="007F2518"/>
    <w:rsid w:val="007F29DA"/>
    <w:rsid w:val="007F2F8B"/>
    <w:rsid w:val="007F321D"/>
    <w:rsid w:val="007F389B"/>
    <w:rsid w:val="007F3928"/>
    <w:rsid w:val="007F40A1"/>
    <w:rsid w:val="007F4C7F"/>
    <w:rsid w:val="007F519C"/>
    <w:rsid w:val="007F5352"/>
    <w:rsid w:val="007F550E"/>
    <w:rsid w:val="007F5861"/>
    <w:rsid w:val="007F5967"/>
    <w:rsid w:val="007F5BFF"/>
    <w:rsid w:val="007F5E3B"/>
    <w:rsid w:val="007F5EEA"/>
    <w:rsid w:val="007F645D"/>
    <w:rsid w:val="007F67C3"/>
    <w:rsid w:val="007F6E2E"/>
    <w:rsid w:val="007F6E9C"/>
    <w:rsid w:val="007F6F2B"/>
    <w:rsid w:val="007F714F"/>
    <w:rsid w:val="007F73BF"/>
    <w:rsid w:val="007F75E0"/>
    <w:rsid w:val="007F770B"/>
    <w:rsid w:val="007F7A40"/>
    <w:rsid w:val="00800061"/>
    <w:rsid w:val="0080089A"/>
    <w:rsid w:val="00800AA0"/>
    <w:rsid w:val="008015C1"/>
    <w:rsid w:val="00801B33"/>
    <w:rsid w:val="00801BF5"/>
    <w:rsid w:val="0080277E"/>
    <w:rsid w:val="00802BEC"/>
    <w:rsid w:val="00803615"/>
    <w:rsid w:val="00803B13"/>
    <w:rsid w:val="00803B3F"/>
    <w:rsid w:val="00804433"/>
    <w:rsid w:val="008046BC"/>
    <w:rsid w:val="0080471F"/>
    <w:rsid w:val="00804A24"/>
    <w:rsid w:val="00804DE7"/>
    <w:rsid w:val="00805B22"/>
    <w:rsid w:val="00805BD0"/>
    <w:rsid w:val="008060DF"/>
    <w:rsid w:val="00806279"/>
    <w:rsid w:val="00806D5B"/>
    <w:rsid w:val="00806D8A"/>
    <w:rsid w:val="008077B6"/>
    <w:rsid w:val="008078C9"/>
    <w:rsid w:val="00807D39"/>
    <w:rsid w:val="00807F9A"/>
    <w:rsid w:val="008103D0"/>
    <w:rsid w:val="00810703"/>
    <w:rsid w:val="00810A7C"/>
    <w:rsid w:val="008112D8"/>
    <w:rsid w:val="008115F7"/>
    <w:rsid w:val="0081165C"/>
    <w:rsid w:val="00812052"/>
    <w:rsid w:val="00812E1B"/>
    <w:rsid w:val="0081304E"/>
    <w:rsid w:val="0081374C"/>
    <w:rsid w:val="00813F0A"/>
    <w:rsid w:val="00814744"/>
    <w:rsid w:val="00814B71"/>
    <w:rsid w:val="00815CE4"/>
    <w:rsid w:val="00816782"/>
    <w:rsid w:val="008168F4"/>
    <w:rsid w:val="00816A0A"/>
    <w:rsid w:val="00817332"/>
    <w:rsid w:val="0081760F"/>
    <w:rsid w:val="008176ED"/>
    <w:rsid w:val="00817845"/>
    <w:rsid w:val="00817A80"/>
    <w:rsid w:val="00817B0F"/>
    <w:rsid w:val="008200EA"/>
    <w:rsid w:val="00820B3C"/>
    <w:rsid w:val="00820DBE"/>
    <w:rsid w:val="008210FC"/>
    <w:rsid w:val="0082126C"/>
    <w:rsid w:val="00821D48"/>
    <w:rsid w:val="008224F8"/>
    <w:rsid w:val="00822590"/>
    <w:rsid w:val="00823721"/>
    <w:rsid w:val="00823B4D"/>
    <w:rsid w:val="00824338"/>
    <w:rsid w:val="00824D8C"/>
    <w:rsid w:val="00824F5F"/>
    <w:rsid w:val="008252BE"/>
    <w:rsid w:val="00825A76"/>
    <w:rsid w:val="00825CE2"/>
    <w:rsid w:val="00825D1C"/>
    <w:rsid w:val="00825D2B"/>
    <w:rsid w:val="0082676E"/>
    <w:rsid w:val="00826988"/>
    <w:rsid w:val="00827B4A"/>
    <w:rsid w:val="00827DC6"/>
    <w:rsid w:val="00831071"/>
    <w:rsid w:val="008311C3"/>
    <w:rsid w:val="0083142C"/>
    <w:rsid w:val="00831C82"/>
    <w:rsid w:val="008321E8"/>
    <w:rsid w:val="00832560"/>
    <w:rsid w:val="00832CD6"/>
    <w:rsid w:val="0083304E"/>
    <w:rsid w:val="0083313C"/>
    <w:rsid w:val="00833959"/>
    <w:rsid w:val="00833B1A"/>
    <w:rsid w:val="00833CDC"/>
    <w:rsid w:val="00833E6B"/>
    <w:rsid w:val="008345B7"/>
    <w:rsid w:val="0083487A"/>
    <w:rsid w:val="008348FB"/>
    <w:rsid w:val="00834AA5"/>
    <w:rsid w:val="00834C93"/>
    <w:rsid w:val="00834CB4"/>
    <w:rsid w:val="00834DFE"/>
    <w:rsid w:val="00835D44"/>
    <w:rsid w:val="00835E08"/>
    <w:rsid w:val="00836340"/>
    <w:rsid w:val="00836562"/>
    <w:rsid w:val="00836BA8"/>
    <w:rsid w:val="00836E81"/>
    <w:rsid w:val="0083793F"/>
    <w:rsid w:val="0084021D"/>
    <w:rsid w:val="008405A0"/>
    <w:rsid w:val="0084073A"/>
    <w:rsid w:val="00840BB4"/>
    <w:rsid w:val="00840D13"/>
    <w:rsid w:val="0084120B"/>
    <w:rsid w:val="0084149E"/>
    <w:rsid w:val="008418CE"/>
    <w:rsid w:val="00842A00"/>
    <w:rsid w:val="00842C8F"/>
    <w:rsid w:val="00842DE6"/>
    <w:rsid w:val="00842E93"/>
    <w:rsid w:val="00842E95"/>
    <w:rsid w:val="008433C1"/>
    <w:rsid w:val="00843441"/>
    <w:rsid w:val="008436EA"/>
    <w:rsid w:val="00843DB7"/>
    <w:rsid w:val="00844688"/>
    <w:rsid w:val="00844BCA"/>
    <w:rsid w:val="00844DB6"/>
    <w:rsid w:val="0084508D"/>
    <w:rsid w:val="00845D74"/>
    <w:rsid w:val="0084620E"/>
    <w:rsid w:val="008463C2"/>
    <w:rsid w:val="008464E2"/>
    <w:rsid w:val="00846FAC"/>
    <w:rsid w:val="00850067"/>
    <w:rsid w:val="00850187"/>
    <w:rsid w:val="00850608"/>
    <w:rsid w:val="00850F18"/>
    <w:rsid w:val="0085149C"/>
    <w:rsid w:val="008516CD"/>
    <w:rsid w:val="00851EC7"/>
    <w:rsid w:val="0085202E"/>
    <w:rsid w:val="00852531"/>
    <w:rsid w:val="0085275C"/>
    <w:rsid w:val="00852C9F"/>
    <w:rsid w:val="00853376"/>
    <w:rsid w:val="00853468"/>
    <w:rsid w:val="00853769"/>
    <w:rsid w:val="00853885"/>
    <w:rsid w:val="00854A82"/>
    <w:rsid w:val="00854CD1"/>
    <w:rsid w:val="00854F96"/>
    <w:rsid w:val="00855464"/>
    <w:rsid w:val="008555A5"/>
    <w:rsid w:val="008556CD"/>
    <w:rsid w:val="008560F5"/>
    <w:rsid w:val="00857129"/>
    <w:rsid w:val="008572EA"/>
    <w:rsid w:val="008573EA"/>
    <w:rsid w:val="008576B7"/>
    <w:rsid w:val="00857FFE"/>
    <w:rsid w:val="00860563"/>
    <w:rsid w:val="008613A1"/>
    <w:rsid w:val="0086184A"/>
    <w:rsid w:val="008618B0"/>
    <w:rsid w:val="00861922"/>
    <w:rsid w:val="008621C2"/>
    <w:rsid w:val="00862635"/>
    <w:rsid w:val="008629F5"/>
    <w:rsid w:val="008633D4"/>
    <w:rsid w:val="00863B2B"/>
    <w:rsid w:val="0086403D"/>
    <w:rsid w:val="00864133"/>
    <w:rsid w:val="00864249"/>
    <w:rsid w:val="0086493E"/>
    <w:rsid w:val="00864A9A"/>
    <w:rsid w:val="00864BAE"/>
    <w:rsid w:val="00864D14"/>
    <w:rsid w:val="00865DDB"/>
    <w:rsid w:val="0086668D"/>
    <w:rsid w:val="008670C3"/>
    <w:rsid w:val="00867A88"/>
    <w:rsid w:val="00867FC6"/>
    <w:rsid w:val="0087035C"/>
    <w:rsid w:val="00870A66"/>
    <w:rsid w:val="008717DF"/>
    <w:rsid w:val="00871CB1"/>
    <w:rsid w:val="00871FE6"/>
    <w:rsid w:val="00872520"/>
    <w:rsid w:val="00872A73"/>
    <w:rsid w:val="00872BF2"/>
    <w:rsid w:val="00873297"/>
    <w:rsid w:val="0087360C"/>
    <w:rsid w:val="0087375D"/>
    <w:rsid w:val="00873F54"/>
    <w:rsid w:val="00874480"/>
    <w:rsid w:val="008747C4"/>
    <w:rsid w:val="008751C7"/>
    <w:rsid w:val="00875B40"/>
    <w:rsid w:val="008763F3"/>
    <w:rsid w:val="0087641B"/>
    <w:rsid w:val="0087649D"/>
    <w:rsid w:val="00876716"/>
    <w:rsid w:val="00876863"/>
    <w:rsid w:val="008768BE"/>
    <w:rsid w:val="00876D6A"/>
    <w:rsid w:val="00876E80"/>
    <w:rsid w:val="00877147"/>
    <w:rsid w:val="0088004F"/>
    <w:rsid w:val="00880B11"/>
    <w:rsid w:val="0088111E"/>
    <w:rsid w:val="00881525"/>
    <w:rsid w:val="00881928"/>
    <w:rsid w:val="008819C6"/>
    <w:rsid w:val="00881DAC"/>
    <w:rsid w:val="00882712"/>
    <w:rsid w:val="008829F4"/>
    <w:rsid w:val="0088305F"/>
    <w:rsid w:val="00883144"/>
    <w:rsid w:val="00883342"/>
    <w:rsid w:val="008834AA"/>
    <w:rsid w:val="00883711"/>
    <w:rsid w:val="00883C08"/>
    <w:rsid w:val="00884006"/>
    <w:rsid w:val="008845AD"/>
    <w:rsid w:val="008845B3"/>
    <w:rsid w:val="00884783"/>
    <w:rsid w:val="00884C6C"/>
    <w:rsid w:val="008854C0"/>
    <w:rsid w:val="008859DD"/>
    <w:rsid w:val="0088699D"/>
    <w:rsid w:val="00887523"/>
    <w:rsid w:val="00887565"/>
    <w:rsid w:val="008901AD"/>
    <w:rsid w:val="008904A6"/>
    <w:rsid w:val="00890678"/>
    <w:rsid w:val="008906D0"/>
    <w:rsid w:val="0089082F"/>
    <w:rsid w:val="00890B09"/>
    <w:rsid w:val="00891032"/>
    <w:rsid w:val="008911F5"/>
    <w:rsid w:val="0089151C"/>
    <w:rsid w:val="008917AC"/>
    <w:rsid w:val="008918D2"/>
    <w:rsid w:val="00891CD3"/>
    <w:rsid w:val="00891F96"/>
    <w:rsid w:val="00892308"/>
    <w:rsid w:val="008923FD"/>
    <w:rsid w:val="00892415"/>
    <w:rsid w:val="008925B0"/>
    <w:rsid w:val="0089292C"/>
    <w:rsid w:val="0089345F"/>
    <w:rsid w:val="008939F4"/>
    <w:rsid w:val="008940E6"/>
    <w:rsid w:val="008945EA"/>
    <w:rsid w:val="0089486A"/>
    <w:rsid w:val="00894AB8"/>
    <w:rsid w:val="00894F4A"/>
    <w:rsid w:val="00895280"/>
    <w:rsid w:val="00895464"/>
    <w:rsid w:val="00895B27"/>
    <w:rsid w:val="00895C53"/>
    <w:rsid w:val="00895D5F"/>
    <w:rsid w:val="00896042"/>
    <w:rsid w:val="008961A2"/>
    <w:rsid w:val="00896295"/>
    <w:rsid w:val="0089630A"/>
    <w:rsid w:val="00896DF8"/>
    <w:rsid w:val="008970B0"/>
    <w:rsid w:val="008972CA"/>
    <w:rsid w:val="008973BE"/>
    <w:rsid w:val="00897547"/>
    <w:rsid w:val="0089784A"/>
    <w:rsid w:val="00897965"/>
    <w:rsid w:val="00897ED6"/>
    <w:rsid w:val="008A0872"/>
    <w:rsid w:val="008A0969"/>
    <w:rsid w:val="008A0994"/>
    <w:rsid w:val="008A0D7C"/>
    <w:rsid w:val="008A0F38"/>
    <w:rsid w:val="008A183A"/>
    <w:rsid w:val="008A1AE2"/>
    <w:rsid w:val="008A1C23"/>
    <w:rsid w:val="008A23B7"/>
    <w:rsid w:val="008A3364"/>
    <w:rsid w:val="008A363C"/>
    <w:rsid w:val="008A36C4"/>
    <w:rsid w:val="008A392C"/>
    <w:rsid w:val="008A3A0F"/>
    <w:rsid w:val="008A3A12"/>
    <w:rsid w:val="008A3B38"/>
    <w:rsid w:val="008A4925"/>
    <w:rsid w:val="008A59E9"/>
    <w:rsid w:val="008A5B04"/>
    <w:rsid w:val="008A5CBF"/>
    <w:rsid w:val="008A5F76"/>
    <w:rsid w:val="008A6920"/>
    <w:rsid w:val="008A6E11"/>
    <w:rsid w:val="008A71DC"/>
    <w:rsid w:val="008A743F"/>
    <w:rsid w:val="008A7E81"/>
    <w:rsid w:val="008B03DC"/>
    <w:rsid w:val="008B0C35"/>
    <w:rsid w:val="008B13DF"/>
    <w:rsid w:val="008B17B9"/>
    <w:rsid w:val="008B1BFC"/>
    <w:rsid w:val="008B1E16"/>
    <w:rsid w:val="008B1F3C"/>
    <w:rsid w:val="008B2BC3"/>
    <w:rsid w:val="008B3F86"/>
    <w:rsid w:val="008B40FF"/>
    <w:rsid w:val="008B4314"/>
    <w:rsid w:val="008B4435"/>
    <w:rsid w:val="008B48AA"/>
    <w:rsid w:val="008B4A4E"/>
    <w:rsid w:val="008B4B0A"/>
    <w:rsid w:val="008B4DCF"/>
    <w:rsid w:val="008B4E70"/>
    <w:rsid w:val="008B5376"/>
    <w:rsid w:val="008B551D"/>
    <w:rsid w:val="008B5DD0"/>
    <w:rsid w:val="008B5FA0"/>
    <w:rsid w:val="008B6004"/>
    <w:rsid w:val="008B6199"/>
    <w:rsid w:val="008B6268"/>
    <w:rsid w:val="008B62E1"/>
    <w:rsid w:val="008B6375"/>
    <w:rsid w:val="008B67C1"/>
    <w:rsid w:val="008B73F3"/>
    <w:rsid w:val="008B7B7F"/>
    <w:rsid w:val="008C0B13"/>
    <w:rsid w:val="008C0B6E"/>
    <w:rsid w:val="008C174E"/>
    <w:rsid w:val="008C3153"/>
    <w:rsid w:val="008C32B0"/>
    <w:rsid w:val="008C3E76"/>
    <w:rsid w:val="008C4218"/>
    <w:rsid w:val="008C42D1"/>
    <w:rsid w:val="008C49AC"/>
    <w:rsid w:val="008C4A1C"/>
    <w:rsid w:val="008C5A01"/>
    <w:rsid w:val="008C5BA1"/>
    <w:rsid w:val="008C685C"/>
    <w:rsid w:val="008C6B62"/>
    <w:rsid w:val="008C7725"/>
    <w:rsid w:val="008C7BE3"/>
    <w:rsid w:val="008C7DFC"/>
    <w:rsid w:val="008D028A"/>
    <w:rsid w:val="008D073A"/>
    <w:rsid w:val="008D0991"/>
    <w:rsid w:val="008D0A53"/>
    <w:rsid w:val="008D15EC"/>
    <w:rsid w:val="008D17F1"/>
    <w:rsid w:val="008D2621"/>
    <w:rsid w:val="008D280C"/>
    <w:rsid w:val="008D2891"/>
    <w:rsid w:val="008D2DE8"/>
    <w:rsid w:val="008D2E96"/>
    <w:rsid w:val="008D30BA"/>
    <w:rsid w:val="008D30C2"/>
    <w:rsid w:val="008D3B93"/>
    <w:rsid w:val="008D3D31"/>
    <w:rsid w:val="008D3D67"/>
    <w:rsid w:val="008D3FEF"/>
    <w:rsid w:val="008D4C0A"/>
    <w:rsid w:val="008D4FC4"/>
    <w:rsid w:val="008D5081"/>
    <w:rsid w:val="008D5684"/>
    <w:rsid w:val="008D5A16"/>
    <w:rsid w:val="008D5A45"/>
    <w:rsid w:val="008D6898"/>
    <w:rsid w:val="008D757D"/>
    <w:rsid w:val="008D76B2"/>
    <w:rsid w:val="008D7FBD"/>
    <w:rsid w:val="008E1C39"/>
    <w:rsid w:val="008E224F"/>
    <w:rsid w:val="008E2B52"/>
    <w:rsid w:val="008E3A8E"/>
    <w:rsid w:val="008E3CE9"/>
    <w:rsid w:val="008E3DA4"/>
    <w:rsid w:val="008E4991"/>
    <w:rsid w:val="008E4AA8"/>
    <w:rsid w:val="008E4B25"/>
    <w:rsid w:val="008E4BBA"/>
    <w:rsid w:val="008E4FD5"/>
    <w:rsid w:val="008E50F7"/>
    <w:rsid w:val="008E5245"/>
    <w:rsid w:val="008E55EE"/>
    <w:rsid w:val="008E619E"/>
    <w:rsid w:val="008E6AFD"/>
    <w:rsid w:val="008E71E2"/>
    <w:rsid w:val="008F0201"/>
    <w:rsid w:val="008F0DA7"/>
    <w:rsid w:val="008F106F"/>
    <w:rsid w:val="008F110D"/>
    <w:rsid w:val="008F1558"/>
    <w:rsid w:val="008F2108"/>
    <w:rsid w:val="008F2220"/>
    <w:rsid w:val="008F234C"/>
    <w:rsid w:val="008F28E1"/>
    <w:rsid w:val="008F2A88"/>
    <w:rsid w:val="008F2D9C"/>
    <w:rsid w:val="008F35EF"/>
    <w:rsid w:val="008F36E7"/>
    <w:rsid w:val="008F3927"/>
    <w:rsid w:val="008F417A"/>
    <w:rsid w:val="008F48A2"/>
    <w:rsid w:val="008F4D23"/>
    <w:rsid w:val="008F4F7E"/>
    <w:rsid w:val="008F5A8C"/>
    <w:rsid w:val="008F5B1B"/>
    <w:rsid w:val="008F61E8"/>
    <w:rsid w:val="008F6896"/>
    <w:rsid w:val="008F6E0C"/>
    <w:rsid w:val="008F7277"/>
    <w:rsid w:val="008F74E5"/>
    <w:rsid w:val="008F7917"/>
    <w:rsid w:val="008F7D61"/>
    <w:rsid w:val="00900296"/>
    <w:rsid w:val="009002F4"/>
    <w:rsid w:val="0090049F"/>
    <w:rsid w:val="009011C4"/>
    <w:rsid w:val="009011E8"/>
    <w:rsid w:val="00901258"/>
    <w:rsid w:val="009018F4"/>
    <w:rsid w:val="00901B84"/>
    <w:rsid w:val="009020A3"/>
    <w:rsid w:val="00902112"/>
    <w:rsid w:val="0090221F"/>
    <w:rsid w:val="009024DC"/>
    <w:rsid w:val="009024F6"/>
    <w:rsid w:val="00902641"/>
    <w:rsid w:val="00902A25"/>
    <w:rsid w:val="00902A57"/>
    <w:rsid w:val="00902C00"/>
    <w:rsid w:val="00902D03"/>
    <w:rsid w:val="00902FB2"/>
    <w:rsid w:val="00903008"/>
    <w:rsid w:val="009030B8"/>
    <w:rsid w:val="009032F4"/>
    <w:rsid w:val="00903541"/>
    <w:rsid w:val="00903F0B"/>
    <w:rsid w:val="00904F7D"/>
    <w:rsid w:val="009053F4"/>
    <w:rsid w:val="00905471"/>
    <w:rsid w:val="00905CC6"/>
    <w:rsid w:val="009069F2"/>
    <w:rsid w:val="0090757C"/>
    <w:rsid w:val="00907928"/>
    <w:rsid w:val="00907F5C"/>
    <w:rsid w:val="00910373"/>
    <w:rsid w:val="00910B80"/>
    <w:rsid w:val="00912198"/>
    <w:rsid w:val="00912355"/>
    <w:rsid w:val="00912497"/>
    <w:rsid w:val="00912587"/>
    <w:rsid w:val="00912B07"/>
    <w:rsid w:val="00912E38"/>
    <w:rsid w:val="009137F8"/>
    <w:rsid w:val="00913B8E"/>
    <w:rsid w:val="00913CCF"/>
    <w:rsid w:val="00914A10"/>
    <w:rsid w:val="00915210"/>
    <w:rsid w:val="00915964"/>
    <w:rsid w:val="00916509"/>
    <w:rsid w:val="00916740"/>
    <w:rsid w:val="00916924"/>
    <w:rsid w:val="00916EC6"/>
    <w:rsid w:val="009172DE"/>
    <w:rsid w:val="00917611"/>
    <w:rsid w:val="00917847"/>
    <w:rsid w:val="00917867"/>
    <w:rsid w:val="0091794F"/>
    <w:rsid w:val="00917AB4"/>
    <w:rsid w:val="00920101"/>
    <w:rsid w:val="00920364"/>
    <w:rsid w:val="0092059B"/>
    <w:rsid w:val="00920E61"/>
    <w:rsid w:val="009211A6"/>
    <w:rsid w:val="0092121D"/>
    <w:rsid w:val="00921344"/>
    <w:rsid w:val="0092184B"/>
    <w:rsid w:val="00921C4D"/>
    <w:rsid w:val="009227F4"/>
    <w:rsid w:val="00922987"/>
    <w:rsid w:val="00923175"/>
    <w:rsid w:val="0092399C"/>
    <w:rsid w:val="00923AE8"/>
    <w:rsid w:val="00924126"/>
    <w:rsid w:val="0092417E"/>
    <w:rsid w:val="009249BA"/>
    <w:rsid w:val="00925195"/>
    <w:rsid w:val="00925BC9"/>
    <w:rsid w:val="009265AF"/>
    <w:rsid w:val="009267D2"/>
    <w:rsid w:val="0092693D"/>
    <w:rsid w:val="009271B2"/>
    <w:rsid w:val="009276BC"/>
    <w:rsid w:val="00927A3C"/>
    <w:rsid w:val="00927C08"/>
    <w:rsid w:val="00930A73"/>
    <w:rsid w:val="00931367"/>
    <w:rsid w:val="00931CCD"/>
    <w:rsid w:val="00931F51"/>
    <w:rsid w:val="00932169"/>
    <w:rsid w:val="0093239E"/>
    <w:rsid w:val="00932540"/>
    <w:rsid w:val="00932632"/>
    <w:rsid w:val="00932786"/>
    <w:rsid w:val="009327C3"/>
    <w:rsid w:val="00933AF8"/>
    <w:rsid w:val="0093418B"/>
    <w:rsid w:val="009342EC"/>
    <w:rsid w:val="00935046"/>
    <w:rsid w:val="009352B0"/>
    <w:rsid w:val="00935427"/>
    <w:rsid w:val="009354BA"/>
    <w:rsid w:val="00936296"/>
    <w:rsid w:val="00936E34"/>
    <w:rsid w:val="00937F21"/>
    <w:rsid w:val="009400BF"/>
    <w:rsid w:val="00940C3D"/>
    <w:rsid w:val="00941174"/>
    <w:rsid w:val="00941238"/>
    <w:rsid w:val="00941464"/>
    <w:rsid w:val="00941515"/>
    <w:rsid w:val="0094161E"/>
    <w:rsid w:val="00941701"/>
    <w:rsid w:val="0094191D"/>
    <w:rsid w:val="00942EA4"/>
    <w:rsid w:val="009435AB"/>
    <w:rsid w:val="009435BA"/>
    <w:rsid w:val="00943DF6"/>
    <w:rsid w:val="00943F5E"/>
    <w:rsid w:val="00944318"/>
    <w:rsid w:val="0094499D"/>
    <w:rsid w:val="00944AA5"/>
    <w:rsid w:val="00944DA8"/>
    <w:rsid w:val="00945147"/>
    <w:rsid w:val="0094523E"/>
    <w:rsid w:val="00945866"/>
    <w:rsid w:val="00945F61"/>
    <w:rsid w:val="009468AA"/>
    <w:rsid w:val="00946D3F"/>
    <w:rsid w:val="00946DBC"/>
    <w:rsid w:val="00946EBD"/>
    <w:rsid w:val="0094715A"/>
    <w:rsid w:val="0094780E"/>
    <w:rsid w:val="00947858"/>
    <w:rsid w:val="0094792D"/>
    <w:rsid w:val="00950695"/>
    <w:rsid w:val="00950777"/>
    <w:rsid w:val="00950861"/>
    <w:rsid w:val="00950C7E"/>
    <w:rsid w:val="00951A05"/>
    <w:rsid w:val="0095274B"/>
    <w:rsid w:val="00952A49"/>
    <w:rsid w:val="00953069"/>
    <w:rsid w:val="0095335A"/>
    <w:rsid w:val="00953AD4"/>
    <w:rsid w:val="00953BAA"/>
    <w:rsid w:val="00953CD9"/>
    <w:rsid w:val="00953CF8"/>
    <w:rsid w:val="00954AF7"/>
    <w:rsid w:val="00956117"/>
    <w:rsid w:val="00956262"/>
    <w:rsid w:val="00956DA3"/>
    <w:rsid w:val="00957A8C"/>
    <w:rsid w:val="00957EE9"/>
    <w:rsid w:val="00960017"/>
    <w:rsid w:val="00960137"/>
    <w:rsid w:val="0096040F"/>
    <w:rsid w:val="009609B0"/>
    <w:rsid w:val="00960AD7"/>
    <w:rsid w:val="00960D94"/>
    <w:rsid w:val="00960FF5"/>
    <w:rsid w:val="009613D4"/>
    <w:rsid w:val="00961896"/>
    <w:rsid w:val="00962008"/>
    <w:rsid w:val="00962E37"/>
    <w:rsid w:val="009630BB"/>
    <w:rsid w:val="009638C9"/>
    <w:rsid w:val="00964D10"/>
    <w:rsid w:val="00965223"/>
    <w:rsid w:val="00965590"/>
    <w:rsid w:val="00966212"/>
    <w:rsid w:val="0096624A"/>
    <w:rsid w:val="009678DA"/>
    <w:rsid w:val="00967F60"/>
    <w:rsid w:val="00970788"/>
    <w:rsid w:val="00970B86"/>
    <w:rsid w:val="00971390"/>
    <w:rsid w:val="00971D6C"/>
    <w:rsid w:val="00971E49"/>
    <w:rsid w:val="00973650"/>
    <w:rsid w:val="0097382F"/>
    <w:rsid w:val="009739AE"/>
    <w:rsid w:val="00973E18"/>
    <w:rsid w:val="00975168"/>
    <w:rsid w:val="0097576E"/>
    <w:rsid w:val="009757E5"/>
    <w:rsid w:val="00975D9C"/>
    <w:rsid w:val="00976D1A"/>
    <w:rsid w:val="00976DC7"/>
    <w:rsid w:val="00976E53"/>
    <w:rsid w:val="009777BB"/>
    <w:rsid w:val="00977A68"/>
    <w:rsid w:val="00977CB2"/>
    <w:rsid w:val="00980094"/>
    <w:rsid w:val="009803EF"/>
    <w:rsid w:val="0098055C"/>
    <w:rsid w:val="00980653"/>
    <w:rsid w:val="00980BBE"/>
    <w:rsid w:val="00980D29"/>
    <w:rsid w:val="00980DB4"/>
    <w:rsid w:val="00981272"/>
    <w:rsid w:val="0098175D"/>
    <w:rsid w:val="009818CA"/>
    <w:rsid w:val="00982785"/>
    <w:rsid w:val="00983D7A"/>
    <w:rsid w:val="00983D9B"/>
    <w:rsid w:val="00984578"/>
    <w:rsid w:val="00985354"/>
    <w:rsid w:val="00985389"/>
    <w:rsid w:val="00985609"/>
    <w:rsid w:val="009857A4"/>
    <w:rsid w:val="009862A8"/>
    <w:rsid w:val="009869D2"/>
    <w:rsid w:val="00987F23"/>
    <w:rsid w:val="00990251"/>
    <w:rsid w:val="009902CF"/>
    <w:rsid w:val="009903A6"/>
    <w:rsid w:val="00990583"/>
    <w:rsid w:val="00990AA3"/>
    <w:rsid w:val="00990C10"/>
    <w:rsid w:val="00991039"/>
    <w:rsid w:val="009911FE"/>
    <w:rsid w:val="00991354"/>
    <w:rsid w:val="009916E1"/>
    <w:rsid w:val="00991A56"/>
    <w:rsid w:val="00991D05"/>
    <w:rsid w:val="00992D8C"/>
    <w:rsid w:val="009934C3"/>
    <w:rsid w:val="0099364E"/>
    <w:rsid w:val="00993C7D"/>
    <w:rsid w:val="00994307"/>
    <w:rsid w:val="00994368"/>
    <w:rsid w:val="00994C1F"/>
    <w:rsid w:val="00994C63"/>
    <w:rsid w:val="00994D50"/>
    <w:rsid w:val="00995486"/>
    <w:rsid w:val="009962EF"/>
    <w:rsid w:val="0099698B"/>
    <w:rsid w:val="0099699D"/>
    <w:rsid w:val="00997049"/>
    <w:rsid w:val="009972C0"/>
    <w:rsid w:val="00997BCE"/>
    <w:rsid w:val="00997D39"/>
    <w:rsid w:val="00997E37"/>
    <w:rsid w:val="009A0222"/>
    <w:rsid w:val="009A0765"/>
    <w:rsid w:val="009A07B3"/>
    <w:rsid w:val="009A07F8"/>
    <w:rsid w:val="009A1614"/>
    <w:rsid w:val="009A267D"/>
    <w:rsid w:val="009A285E"/>
    <w:rsid w:val="009A2E98"/>
    <w:rsid w:val="009A3031"/>
    <w:rsid w:val="009A33F8"/>
    <w:rsid w:val="009A3CE5"/>
    <w:rsid w:val="009A3D76"/>
    <w:rsid w:val="009A3FB5"/>
    <w:rsid w:val="009A403B"/>
    <w:rsid w:val="009A428F"/>
    <w:rsid w:val="009A429D"/>
    <w:rsid w:val="009A4A64"/>
    <w:rsid w:val="009A4E66"/>
    <w:rsid w:val="009A5439"/>
    <w:rsid w:val="009A547E"/>
    <w:rsid w:val="009A55A8"/>
    <w:rsid w:val="009A6553"/>
    <w:rsid w:val="009A7466"/>
    <w:rsid w:val="009A74CC"/>
    <w:rsid w:val="009A7526"/>
    <w:rsid w:val="009A7645"/>
    <w:rsid w:val="009A7E82"/>
    <w:rsid w:val="009B005A"/>
    <w:rsid w:val="009B02F3"/>
    <w:rsid w:val="009B04FE"/>
    <w:rsid w:val="009B05E9"/>
    <w:rsid w:val="009B15AA"/>
    <w:rsid w:val="009B1A16"/>
    <w:rsid w:val="009B2D0E"/>
    <w:rsid w:val="009B3039"/>
    <w:rsid w:val="009B30EE"/>
    <w:rsid w:val="009B3596"/>
    <w:rsid w:val="009B3B8A"/>
    <w:rsid w:val="009B458D"/>
    <w:rsid w:val="009B45EE"/>
    <w:rsid w:val="009B47B3"/>
    <w:rsid w:val="009B5619"/>
    <w:rsid w:val="009B5688"/>
    <w:rsid w:val="009B573B"/>
    <w:rsid w:val="009B57F3"/>
    <w:rsid w:val="009B5852"/>
    <w:rsid w:val="009B5964"/>
    <w:rsid w:val="009B5FE9"/>
    <w:rsid w:val="009B6198"/>
    <w:rsid w:val="009B63A2"/>
    <w:rsid w:val="009B6E8B"/>
    <w:rsid w:val="009B75BC"/>
    <w:rsid w:val="009C0285"/>
    <w:rsid w:val="009C0A18"/>
    <w:rsid w:val="009C0D87"/>
    <w:rsid w:val="009C0F45"/>
    <w:rsid w:val="009C11D0"/>
    <w:rsid w:val="009C13CF"/>
    <w:rsid w:val="009C3055"/>
    <w:rsid w:val="009C4263"/>
    <w:rsid w:val="009C4F07"/>
    <w:rsid w:val="009C509F"/>
    <w:rsid w:val="009C51EB"/>
    <w:rsid w:val="009C5219"/>
    <w:rsid w:val="009C5291"/>
    <w:rsid w:val="009C53D6"/>
    <w:rsid w:val="009C5D6F"/>
    <w:rsid w:val="009C5E80"/>
    <w:rsid w:val="009C6148"/>
    <w:rsid w:val="009C6305"/>
    <w:rsid w:val="009C63E2"/>
    <w:rsid w:val="009C69E6"/>
    <w:rsid w:val="009C6EF2"/>
    <w:rsid w:val="009C7243"/>
    <w:rsid w:val="009C7605"/>
    <w:rsid w:val="009C7898"/>
    <w:rsid w:val="009C7E4C"/>
    <w:rsid w:val="009D11A5"/>
    <w:rsid w:val="009D1A14"/>
    <w:rsid w:val="009D1A2C"/>
    <w:rsid w:val="009D205C"/>
    <w:rsid w:val="009D2DD3"/>
    <w:rsid w:val="009D4045"/>
    <w:rsid w:val="009D40F3"/>
    <w:rsid w:val="009D4333"/>
    <w:rsid w:val="009D468C"/>
    <w:rsid w:val="009D46F5"/>
    <w:rsid w:val="009D48A6"/>
    <w:rsid w:val="009D4DDB"/>
    <w:rsid w:val="009D5BB0"/>
    <w:rsid w:val="009D5EA5"/>
    <w:rsid w:val="009D68C0"/>
    <w:rsid w:val="009D6AAE"/>
    <w:rsid w:val="009D6DDB"/>
    <w:rsid w:val="009D7019"/>
    <w:rsid w:val="009D7150"/>
    <w:rsid w:val="009D7431"/>
    <w:rsid w:val="009D763A"/>
    <w:rsid w:val="009E01E7"/>
    <w:rsid w:val="009E0325"/>
    <w:rsid w:val="009E1C39"/>
    <w:rsid w:val="009E28A5"/>
    <w:rsid w:val="009E2AE8"/>
    <w:rsid w:val="009E32C3"/>
    <w:rsid w:val="009E353B"/>
    <w:rsid w:val="009E3798"/>
    <w:rsid w:val="009E4256"/>
    <w:rsid w:val="009E4619"/>
    <w:rsid w:val="009E488F"/>
    <w:rsid w:val="009E4D89"/>
    <w:rsid w:val="009E4F62"/>
    <w:rsid w:val="009E578B"/>
    <w:rsid w:val="009E640D"/>
    <w:rsid w:val="009E687D"/>
    <w:rsid w:val="009E721C"/>
    <w:rsid w:val="009E7544"/>
    <w:rsid w:val="009F0189"/>
    <w:rsid w:val="009F024F"/>
    <w:rsid w:val="009F0DD8"/>
    <w:rsid w:val="009F0EF8"/>
    <w:rsid w:val="009F1218"/>
    <w:rsid w:val="009F146B"/>
    <w:rsid w:val="009F1867"/>
    <w:rsid w:val="009F1DB8"/>
    <w:rsid w:val="009F28DE"/>
    <w:rsid w:val="009F3345"/>
    <w:rsid w:val="009F35AE"/>
    <w:rsid w:val="009F36AD"/>
    <w:rsid w:val="009F3B13"/>
    <w:rsid w:val="009F3B79"/>
    <w:rsid w:val="009F3FA3"/>
    <w:rsid w:val="009F4346"/>
    <w:rsid w:val="009F4557"/>
    <w:rsid w:val="009F531D"/>
    <w:rsid w:val="009F5B6B"/>
    <w:rsid w:val="009F5C90"/>
    <w:rsid w:val="009F5D8A"/>
    <w:rsid w:val="009F5D9A"/>
    <w:rsid w:val="009F5E43"/>
    <w:rsid w:val="009F7F70"/>
    <w:rsid w:val="009F7FA1"/>
    <w:rsid w:val="009F7FD5"/>
    <w:rsid w:val="00A00842"/>
    <w:rsid w:val="00A00B23"/>
    <w:rsid w:val="00A00E68"/>
    <w:rsid w:val="00A01A21"/>
    <w:rsid w:val="00A01A36"/>
    <w:rsid w:val="00A01AE2"/>
    <w:rsid w:val="00A01E35"/>
    <w:rsid w:val="00A022E4"/>
    <w:rsid w:val="00A0254D"/>
    <w:rsid w:val="00A02EF9"/>
    <w:rsid w:val="00A033BA"/>
    <w:rsid w:val="00A033EC"/>
    <w:rsid w:val="00A034AE"/>
    <w:rsid w:val="00A03CA9"/>
    <w:rsid w:val="00A03CD7"/>
    <w:rsid w:val="00A03D25"/>
    <w:rsid w:val="00A03D64"/>
    <w:rsid w:val="00A04901"/>
    <w:rsid w:val="00A050E5"/>
    <w:rsid w:val="00A05916"/>
    <w:rsid w:val="00A05AA0"/>
    <w:rsid w:val="00A05C5B"/>
    <w:rsid w:val="00A05D3E"/>
    <w:rsid w:val="00A06006"/>
    <w:rsid w:val="00A06443"/>
    <w:rsid w:val="00A06CBF"/>
    <w:rsid w:val="00A07913"/>
    <w:rsid w:val="00A07EF2"/>
    <w:rsid w:val="00A10758"/>
    <w:rsid w:val="00A1085F"/>
    <w:rsid w:val="00A10E4A"/>
    <w:rsid w:val="00A10EEE"/>
    <w:rsid w:val="00A111B9"/>
    <w:rsid w:val="00A11817"/>
    <w:rsid w:val="00A119FE"/>
    <w:rsid w:val="00A11C14"/>
    <w:rsid w:val="00A11FF7"/>
    <w:rsid w:val="00A127CB"/>
    <w:rsid w:val="00A1292C"/>
    <w:rsid w:val="00A13196"/>
    <w:rsid w:val="00A13699"/>
    <w:rsid w:val="00A13987"/>
    <w:rsid w:val="00A148F6"/>
    <w:rsid w:val="00A1497C"/>
    <w:rsid w:val="00A14E93"/>
    <w:rsid w:val="00A14FB0"/>
    <w:rsid w:val="00A154FC"/>
    <w:rsid w:val="00A15AF4"/>
    <w:rsid w:val="00A165E9"/>
    <w:rsid w:val="00A16A6D"/>
    <w:rsid w:val="00A16D90"/>
    <w:rsid w:val="00A171D3"/>
    <w:rsid w:val="00A1730D"/>
    <w:rsid w:val="00A2031A"/>
    <w:rsid w:val="00A204E0"/>
    <w:rsid w:val="00A207E2"/>
    <w:rsid w:val="00A20B5D"/>
    <w:rsid w:val="00A214ED"/>
    <w:rsid w:val="00A21C38"/>
    <w:rsid w:val="00A221C1"/>
    <w:rsid w:val="00A221F0"/>
    <w:rsid w:val="00A2235A"/>
    <w:rsid w:val="00A22731"/>
    <w:rsid w:val="00A227F0"/>
    <w:rsid w:val="00A2339E"/>
    <w:rsid w:val="00A233E1"/>
    <w:rsid w:val="00A23D1C"/>
    <w:rsid w:val="00A2424B"/>
    <w:rsid w:val="00A2437F"/>
    <w:rsid w:val="00A2483F"/>
    <w:rsid w:val="00A251B2"/>
    <w:rsid w:val="00A251FC"/>
    <w:rsid w:val="00A256CF"/>
    <w:rsid w:val="00A2598F"/>
    <w:rsid w:val="00A265B6"/>
    <w:rsid w:val="00A269E1"/>
    <w:rsid w:val="00A26C7B"/>
    <w:rsid w:val="00A27194"/>
    <w:rsid w:val="00A2780B"/>
    <w:rsid w:val="00A27BBD"/>
    <w:rsid w:val="00A30B23"/>
    <w:rsid w:val="00A31493"/>
    <w:rsid w:val="00A319C8"/>
    <w:rsid w:val="00A321AE"/>
    <w:rsid w:val="00A32376"/>
    <w:rsid w:val="00A32D21"/>
    <w:rsid w:val="00A333E0"/>
    <w:rsid w:val="00A33817"/>
    <w:rsid w:val="00A338AE"/>
    <w:rsid w:val="00A33CE8"/>
    <w:rsid w:val="00A345F1"/>
    <w:rsid w:val="00A34893"/>
    <w:rsid w:val="00A34BD9"/>
    <w:rsid w:val="00A35032"/>
    <w:rsid w:val="00A35308"/>
    <w:rsid w:val="00A358E9"/>
    <w:rsid w:val="00A35AA6"/>
    <w:rsid w:val="00A35D62"/>
    <w:rsid w:val="00A361D2"/>
    <w:rsid w:val="00A36754"/>
    <w:rsid w:val="00A36A18"/>
    <w:rsid w:val="00A36A19"/>
    <w:rsid w:val="00A36FFE"/>
    <w:rsid w:val="00A373BF"/>
    <w:rsid w:val="00A3750B"/>
    <w:rsid w:val="00A375D2"/>
    <w:rsid w:val="00A376AE"/>
    <w:rsid w:val="00A37CC3"/>
    <w:rsid w:val="00A37D2B"/>
    <w:rsid w:val="00A401EA"/>
    <w:rsid w:val="00A4081A"/>
    <w:rsid w:val="00A40983"/>
    <w:rsid w:val="00A40BB2"/>
    <w:rsid w:val="00A40E2F"/>
    <w:rsid w:val="00A40E78"/>
    <w:rsid w:val="00A40EE1"/>
    <w:rsid w:val="00A414FD"/>
    <w:rsid w:val="00A41BA3"/>
    <w:rsid w:val="00A42205"/>
    <w:rsid w:val="00A429A1"/>
    <w:rsid w:val="00A42AA1"/>
    <w:rsid w:val="00A42D64"/>
    <w:rsid w:val="00A43002"/>
    <w:rsid w:val="00A431E7"/>
    <w:rsid w:val="00A4375A"/>
    <w:rsid w:val="00A43DDF"/>
    <w:rsid w:val="00A44588"/>
    <w:rsid w:val="00A446BE"/>
    <w:rsid w:val="00A44D43"/>
    <w:rsid w:val="00A45066"/>
    <w:rsid w:val="00A45BF4"/>
    <w:rsid w:val="00A45CDD"/>
    <w:rsid w:val="00A45E5A"/>
    <w:rsid w:val="00A45F67"/>
    <w:rsid w:val="00A4631C"/>
    <w:rsid w:val="00A46385"/>
    <w:rsid w:val="00A464FE"/>
    <w:rsid w:val="00A46A30"/>
    <w:rsid w:val="00A46A8B"/>
    <w:rsid w:val="00A46E8B"/>
    <w:rsid w:val="00A47119"/>
    <w:rsid w:val="00A501C8"/>
    <w:rsid w:val="00A50423"/>
    <w:rsid w:val="00A505E1"/>
    <w:rsid w:val="00A50A12"/>
    <w:rsid w:val="00A50AE6"/>
    <w:rsid w:val="00A50BBF"/>
    <w:rsid w:val="00A50C1B"/>
    <w:rsid w:val="00A514CF"/>
    <w:rsid w:val="00A516C8"/>
    <w:rsid w:val="00A5170D"/>
    <w:rsid w:val="00A51A43"/>
    <w:rsid w:val="00A51CC8"/>
    <w:rsid w:val="00A51D38"/>
    <w:rsid w:val="00A52014"/>
    <w:rsid w:val="00A524C6"/>
    <w:rsid w:val="00A525A4"/>
    <w:rsid w:val="00A527A9"/>
    <w:rsid w:val="00A52C50"/>
    <w:rsid w:val="00A53251"/>
    <w:rsid w:val="00A533F0"/>
    <w:rsid w:val="00A54CD2"/>
    <w:rsid w:val="00A54E7F"/>
    <w:rsid w:val="00A5525F"/>
    <w:rsid w:val="00A55518"/>
    <w:rsid w:val="00A55876"/>
    <w:rsid w:val="00A55A4B"/>
    <w:rsid w:val="00A55AE3"/>
    <w:rsid w:val="00A55CF1"/>
    <w:rsid w:val="00A55EEA"/>
    <w:rsid w:val="00A561EA"/>
    <w:rsid w:val="00A56343"/>
    <w:rsid w:val="00A566A1"/>
    <w:rsid w:val="00A566E5"/>
    <w:rsid w:val="00A56AF5"/>
    <w:rsid w:val="00A56BDD"/>
    <w:rsid w:val="00A572C8"/>
    <w:rsid w:val="00A57529"/>
    <w:rsid w:val="00A5791A"/>
    <w:rsid w:val="00A60EC5"/>
    <w:rsid w:val="00A625B7"/>
    <w:rsid w:val="00A626A2"/>
    <w:rsid w:val="00A62C71"/>
    <w:rsid w:val="00A62CE5"/>
    <w:rsid w:val="00A62D6A"/>
    <w:rsid w:val="00A63386"/>
    <w:rsid w:val="00A637AE"/>
    <w:rsid w:val="00A63A9B"/>
    <w:rsid w:val="00A63BBD"/>
    <w:rsid w:val="00A63D35"/>
    <w:rsid w:val="00A640EE"/>
    <w:rsid w:val="00A642EA"/>
    <w:rsid w:val="00A64420"/>
    <w:rsid w:val="00A64511"/>
    <w:rsid w:val="00A645E9"/>
    <w:rsid w:val="00A6497F"/>
    <w:rsid w:val="00A64E20"/>
    <w:rsid w:val="00A65199"/>
    <w:rsid w:val="00A65213"/>
    <w:rsid w:val="00A6619C"/>
    <w:rsid w:val="00A665CA"/>
    <w:rsid w:val="00A66850"/>
    <w:rsid w:val="00A668B3"/>
    <w:rsid w:val="00A67026"/>
    <w:rsid w:val="00A673C3"/>
    <w:rsid w:val="00A673E5"/>
    <w:rsid w:val="00A67F0D"/>
    <w:rsid w:val="00A7028B"/>
    <w:rsid w:val="00A70410"/>
    <w:rsid w:val="00A704D3"/>
    <w:rsid w:val="00A70613"/>
    <w:rsid w:val="00A70626"/>
    <w:rsid w:val="00A70715"/>
    <w:rsid w:val="00A7071F"/>
    <w:rsid w:val="00A7072E"/>
    <w:rsid w:val="00A70E23"/>
    <w:rsid w:val="00A71DDC"/>
    <w:rsid w:val="00A72372"/>
    <w:rsid w:val="00A72780"/>
    <w:rsid w:val="00A72B48"/>
    <w:rsid w:val="00A72B7E"/>
    <w:rsid w:val="00A72BEA"/>
    <w:rsid w:val="00A72E96"/>
    <w:rsid w:val="00A73D54"/>
    <w:rsid w:val="00A74031"/>
    <w:rsid w:val="00A741A6"/>
    <w:rsid w:val="00A746D2"/>
    <w:rsid w:val="00A748B3"/>
    <w:rsid w:val="00A74CBE"/>
    <w:rsid w:val="00A74E64"/>
    <w:rsid w:val="00A757FD"/>
    <w:rsid w:val="00A75E64"/>
    <w:rsid w:val="00A75F39"/>
    <w:rsid w:val="00A761B1"/>
    <w:rsid w:val="00A762B6"/>
    <w:rsid w:val="00A762DA"/>
    <w:rsid w:val="00A764AA"/>
    <w:rsid w:val="00A768D6"/>
    <w:rsid w:val="00A76C69"/>
    <w:rsid w:val="00A77632"/>
    <w:rsid w:val="00A80A72"/>
    <w:rsid w:val="00A80C51"/>
    <w:rsid w:val="00A80F44"/>
    <w:rsid w:val="00A81144"/>
    <w:rsid w:val="00A81341"/>
    <w:rsid w:val="00A81CB4"/>
    <w:rsid w:val="00A8250C"/>
    <w:rsid w:val="00A827D8"/>
    <w:rsid w:val="00A82C91"/>
    <w:rsid w:val="00A82E11"/>
    <w:rsid w:val="00A8312D"/>
    <w:rsid w:val="00A8368B"/>
    <w:rsid w:val="00A83C9C"/>
    <w:rsid w:val="00A843DD"/>
    <w:rsid w:val="00A84AC1"/>
    <w:rsid w:val="00A84AFF"/>
    <w:rsid w:val="00A8518C"/>
    <w:rsid w:val="00A85B1F"/>
    <w:rsid w:val="00A860D4"/>
    <w:rsid w:val="00A874BD"/>
    <w:rsid w:val="00A87574"/>
    <w:rsid w:val="00A87789"/>
    <w:rsid w:val="00A879E2"/>
    <w:rsid w:val="00A87A52"/>
    <w:rsid w:val="00A87A53"/>
    <w:rsid w:val="00A90371"/>
    <w:rsid w:val="00A907A2"/>
    <w:rsid w:val="00A90E73"/>
    <w:rsid w:val="00A90F69"/>
    <w:rsid w:val="00A91A78"/>
    <w:rsid w:val="00A91BA2"/>
    <w:rsid w:val="00A91ED8"/>
    <w:rsid w:val="00A92094"/>
    <w:rsid w:val="00A9272B"/>
    <w:rsid w:val="00A92884"/>
    <w:rsid w:val="00A93747"/>
    <w:rsid w:val="00A938B0"/>
    <w:rsid w:val="00A93A7E"/>
    <w:rsid w:val="00A93EA6"/>
    <w:rsid w:val="00A943BB"/>
    <w:rsid w:val="00A94705"/>
    <w:rsid w:val="00A94AEC"/>
    <w:rsid w:val="00A94E4B"/>
    <w:rsid w:val="00A94FFC"/>
    <w:rsid w:val="00A9513B"/>
    <w:rsid w:val="00A95F89"/>
    <w:rsid w:val="00A96047"/>
    <w:rsid w:val="00A961A4"/>
    <w:rsid w:val="00A96343"/>
    <w:rsid w:val="00A96389"/>
    <w:rsid w:val="00A96540"/>
    <w:rsid w:val="00A97072"/>
    <w:rsid w:val="00A97677"/>
    <w:rsid w:val="00AA03F2"/>
    <w:rsid w:val="00AA0480"/>
    <w:rsid w:val="00AA0580"/>
    <w:rsid w:val="00AA0823"/>
    <w:rsid w:val="00AA18F1"/>
    <w:rsid w:val="00AA24B0"/>
    <w:rsid w:val="00AA2826"/>
    <w:rsid w:val="00AA2861"/>
    <w:rsid w:val="00AA2B45"/>
    <w:rsid w:val="00AA2E20"/>
    <w:rsid w:val="00AA331E"/>
    <w:rsid w:val="00AA3473"/>
    <w:rsid w:val="00AA396F"/>
    <w:rsid w:val="00AA3BA2"/>
    <w:rsid w:val="00AA3CE8"/>
    <w:rsid w:val="00AA47BB"/>
    <w:rsid w:val="00AA53DC"/>
    <w:rsid w:val="00AA7068"/>
    <w:rsid w:val="00AA77DE"/>
    <w:rsid w:val="00AB0416"/>
    <w:rsid w:val="00AB08BE"/>
    <w:rsid w:val="00AB0AC5"/>
    <w:rsid w:val="00AB0E8A"/>
    <w:rsid w:val="00AB1149"/>
    <w:rsid w:val="00AB1339"/>
    <w:rsid w:val="00AB1E3A"/>
    <w:rsid w:val="00AB2245"/>
    <w:rsid w:val="00AB2317"/>
    <w:rsid w:val="00AB2A3F"/>
    <w:rsid w:val="00AB333A"/>
    <w:rsid w:val="00AB39C6"/>
    <w:rsid w:val="00AB40DF"/>
    <w:rsid w:val="00AB4B3C"/>
    <w:rsid w:val="00AB4E32"/>
    <w:rsid w:val="00AB5424"/>
    <w:rsid w:val="00AB5526"/>
    <w:rsid w:val="00AB5540"/>
    <w:rsid w:val="00AB55B1"/>
    <w:rsid w:val="00AB59DE"/>
    <w:rsid w:val="00AB5A01"/>
    <w:rsid w:val="00AB5E79"/>
    <w:rsid w:val="00AB6CA5"/>
    <w:rsid w:val="00AB6E85"/>
    <w:rsid w:val="00AB72A8"/>
    <w:rsid w:val="00AB757E"/>
    <w:rsid w:val="00AB75EA"/>
    <w:rsid w:val="00AC0370"/>
    <w:rsid w:val="00AC0584"/>
    <w:rsid w:val="00AC06B5"/>
    <w:rsid w:val="00AC0B1B"/>
    <w:rsid w:val="00AC0EEA"/>
    <w:rsid w:val="00AC157E"/>
    <w:rsid w:val="00AC219A"/>
    <w:rsid w:val="00AC2BCF"/>
    <w:rsid w:val="00AC2DBE"/>
    <w:rsid w:val="00AC3213"/>
    <w:rsid w:val="00AC33F9"/>
    <w:rsid w:val="00AC3B7E"/>
    <w:rsid w:val="00AC3BD2"/>
    <w:rsid w:val="00AC403C"/>
    <w:rsid w:val="00AC4197"/>
    <w:rsid w:val="00AC4299"/>
    <w:rsid w:val="00AC442D"/>
    <w:rsid w:val="00AC4C2B"/>
    <w:rsid w:val="00AC557B"/>
    <w:rsid w:val="00AC5684"/>
    <w:rsid w:val="00AC57DF"/>
    <w:rsid w:val="00AC6761"/>
    <w:rsid w:val="00AC6800"/>
    <w:rsid w:val="00AC69FA"/>
    <w:rsid w:val="00AC6C0B"/>
    <w:rsid w:val="00AC6CBA"/>
    <w:rsid w:val="00AC7412"/>
    <w:rsid w:val="00AC7B6E"/>
    <w:rsid w:val="00AD00E2"/>
    <w:rsid w:val="00AD03FA"/>
    <w:rsid w:val="00AD0D5E"/>
    <w:rsid w:val="00AD1201"/>
    <w:rsid w:val="00AD160B"/>
    <w:rsid w:val="00AD189D"/>
    <w:rsid w:val="00AD1D77"/>
    <w:rsid w:val="00AD228B"/>
    <w:rsid w:val="00AD34B8"/>
    <w:rsid w:val="00AD3A37"/>
    <w:rsid w:val="00AD3FD4"/>
    <w:rsid w:val="00AD419B"/>
    <w:rsid w:val="00AD41A5"/>
    <w:rsid w:val="00AD4229"/>
    <w:rsid w:val="00AD4BB3"/>
    <w:rsid w:val="00AD5229"/>
    <w:rsid w:val="00AD54D5"/>
    <w:rsid w:val="00AD5B5B"/>
    <w:rsid w:val="00AD5C9E"/>
    <w:rsid w:val="00AD6168"/>
    <w:rsid w:val="00AD683D"/>
    <w:rsid w:val="00AD6A84"/>
    <w:rsid w:val="00AD70CB"/>
    <w:rsid w:val="00AD728D"/>
    <w:rsid w:val="00AD7443"/>
    <w:rsid w:val="00AD74D4"/>
    <w:rsid w:val="00AD7590"/>
    <w:rsid w:val="00AD7B73"/>
    <w:rsid w:val="00AE00AA"/>
    <w:rsid w:val="00AE014D"/>
    <w:rsid w:val="00AE0FA5"/>
    <w:rsid w:val="00AE19A2"/>
    <w:rsid w:val="00AE266A"/>
    <w:rsid w:val="00AE2ACF"/>
    <w:rsid w:val="00AE2E03"/>
    <w:rsid w:val="00AE435C"/>
    <w:rsid w:val="00AE4672"/>
    <w:rsid w:val="00AE4D66"/>
    <w:rsid w:val="00AE4D9F"/>
    <w:rsid w:val="00AE54A4"/>
    <w:rsid w:val="00AE54FD"/>
    <w:rsid w:val="00AE56BB"/>
    <w:rsid w:val="00AE5BC5"/>
    <w:rsid w:val="00AE655C"/>
    <w:rsid w:val="00AE671F"/>
    <w:rsid w:val="00AE6CE0"/>
    <w:rsid w:val="00AE7549"/>
    <w:rsid w:val="00AE76A7"/>
    <w:rsid w:val="00AE7C8B"/>
    <w:rsid w:val="00AF0A97"/>
    <w:rsid w:val="00AF2886"/>
    <w:rsid w:val="00AF2B04"/>
    <w:rsid w:val="00AF3038"/>
    <w:rsid w:val="00AF33D3"/>
    <w:rsid w:val="00AF3423"/>
    <w:rsid w:val="00AF45A9"/>
    <w:rsid w:val="00AF4DB2"/>
    <w:rsid w:val="00AF4FF5"/>
    <w:rsid w:val="00AF5299"/>
    <w:rsid w:val="00AF5419"/>
    <w:rsid w:val="00AF554D"/>
    <w:rsid w:val="00AF5709"/>
    <w:rsid w:val="00AF5FDD"/>
    <w:rsid w:val="00AF628C"/>
    <w:rsid w:val="00AF62F6"/>
    <w:rsid w:val="00AF6791"/>
    <w:rsid w:val="00AF6BE4"/>
    <w:rsid w:val="00AF6CA4"/>
    <w:rsid w:val="00AF6E67"/>
    <w:rsid w:val="00AF7AFA"/>
    <w:rsid w:val="00AF7BBB"/>
    <w:rsid w:val="00AF7FCB"/>
    <w:rsid w:val="00B00152"/>
    <w:rsid w:val="00B00287"/>
    <w:rsid w:val="00B01182"/>
    <w:rsid w:val="00B0123E"/>
    <w:rsid w:val="00B017B4"/>
    <w:rsid w:val="00B01ACA"/>
    <w:rsid w:val="00B01C5A"/>
    <w:rsid w:val="00B02167"/>
    <w:rsid w:val="00B02F01"/>
    <w:rsid w:val="00B03293"/>
    <w:rsid w:val="00B03412"/>
    <w:rsid w:val="00B0349A"/>
    <w:rsid w:val="00B037D7"/>
    <w:rsid w:val="00B037D8"/>
    <w:rsid w:val="00B03A08"/>
    <w:rsid w:val="00B03EB3"/>
    <w:rsid w:val="00B03EFF"/>
    <w:rsid w:val="00B04308"/>
    <w:rsid w:val="00B051E4"/>
    <w:rsid w:val="00B05BD9"/>
    <w:rsid w:val="00B05EB9"/>
    <w:rsid w:val="00B05FA7"/>
    <w:rsid w:val="00B064CA"/>
    <w:rsid w:val="00B0702D"/>
    <w:rsid w:val="00B078FB"/>
    <w:rsid w:val="00B07DFD"/>
    <w:rsid w:val="00B101CC"/>
    <w:rsid w:val="00B108DA"/>
    <w:rsid w:val="00B1092E"/>
    <w:rsid w:val="00B1110E"/>
    <w:rsid w:val="00B1127A"/>
    <w:rsid w:val="00B114AA"/>
    <w:rsid w:val="00B119CF"/>
    <w:rsid w:val="00B11DA4"/>
    <w:rsid w:val="00B12855"/>
    <w:rsid w:val="00B12E02"/>
    <w:rsid w:val="00B12F37"/>
    <w:rsid w:val="00B13097"/>
    <w:rsid w:val="00B13261"/>
    <w:rsid w:val="00B1382A"/>
    <w:rsid w:val="00B1400B"/>
    <w:rsid w:val="00B14021"/>
    <w:rsid w:val="00B14336"/>
    <w:rsid w:val="00B1509E"/>
    <w:rsid w:val="00B15C8A"/>
    <w:rsid w:val="00B163A0"/>
    <w:rsid w:val="00B16792"/>
    <w:rsid w:val="00B17128"/>
    <w:rsid w:val="00B17153"/>
    <w:rsid w:val="00B17289"/>
    <w:rsid w:val="00B172AB"/>
    <w:rsid w:val="00B173C6"/>
    <w:rsid w:val="00B1775D"/>
    <w:rsid w:val="00B17EBF"/>
    <w:rsid w:val="00B20ABA"/>
    <w:rsid w:val="00B21002"/>
    <w:rsid w:val="00B21742"/>
    <w:rsid w:val="00B21B34"/>
    <w:rsid w:val="00B21C20"/>
    <w:rsid w:val="00B21D0A"/>
    <w:rsid w:val="00B21DCC"/>
    <w:rsid w:val="00B220E6"/>
    <w:rsid w:val="00B224E8"/>
    <w:rsid w:val="00B22736"/>
    <w:rsid w:val="00B233F8"/>
    <w:rsid w:val="00B24787"/>
    <w:rsid w:val="00B24B37"/>
    <w:rsid w:val="00B24BBD"/>
    <w:rsid w:val="00B24DE8"/>
    <w:rsid w:val="00B2551D"/>
    <w:rsid w:val="00B262E8"/>
    <w:rsid w:val="00B2651C"/>
    <w:rsid w:val="00B26597"/>
    <w:rsid w:val="00B266F7"/>
    <w:rsid w:val="00B266FE"/>
    <w:rsid w:val="00B26976"/>
    <w:rsid w:val="00B26E73"/>
    <w:rsid w:val="00B26F96"/>
    <w:rsid w:val="00B27AB0"/>
    <w:rsid w:val="00B27F0D"/>
    <w:rsid w:val="00B27FE5"/>
    <w:rsid w:val="00B300C1"/>
    <w:rsid w:val="00B3035A"/>
    <w:rsid w:val="00B30554"/>
    <w:rsid w:val="00B30576"/>
    <w:rsid w:val="00B30816"/>
    <w:rsid w:val="00B30992"/>
    <w:rsid w:val="00B309BA"/>
    <w:rsid w:val="00B31007"/>
    <w:rsid w:val="00B31CDA"/>
    <w:rsid w:val="00B31E5E"/>
    <w:rsid w:val="00B31F42"/>
    <w:rsid w:val="00B31F4A"/>
    <w:rsid w:val="00B322DB"/>
    <w:rsid w:val="00B328C6"/>
    <w:rsid w:val="00B331F5"/>
    <w:rsid w:val="00B3351D"/>
    <w:rsid w:val="00B335E3"/>
    <w:rsid w:val="00B337F3"/>
    <w:rsid w:val="00B33BC8"/>
    <w:rsid w:val="00B342BE"/>
    <w:rsid w:val="00B342D9"/>
    <w:rsid w:val="00B344EF"/>
    <w:rsid w:val="00B34A62"/>
    <w:rsid w:val="00B35A74"/>
    <w:rsid w:val="00B35AA6"/>
    <w:rsid w:val="00B35B60"/>
    <w:rsid w:val="00B3608A"/>
    <w:rsid w:val="00B360DB"/>
    <w:rsid w:val="00B36383"/>
    <w:rsid w:val="00B3708E"/>
    <w:rsid w:val="00B37138"/>
    <w:rsid w:val="00B3747C"/>
    <w:rsid w:val="00B37E4E"/>
    <w:rsid w:val="00B40010"/>
    <w:rsid w:val="00B40406"/>
    <w:rsid w:val="00B40AE9"/>
    <w:rsid w:val="00B40E48"/>
    <w:rsid w:val="00B4180F"/>
    <w:rsid w:val="00B418D0"/>
    <w:rsid w:val="00B41F75"/>
    <w:rsid w:val="00B4210B"/>
    <w:rsid w:val="00B422A2"/>
    <w:rsid w:val="00B42609"/>
    <w:rsid w:val="00B42C82"/>
    <w:rsid w:val="00B43651"/>
    <w:rsid w:val="00B438BC"/>
    <w:rsid w:val="00B43F86"/>
    <w:rsid w:val="00B444A5"/>
    <w:rsid w:val="00B444EA"/>
    <w:rsid w:val="00B44902"/>
    <w:rsid w:val="00B45057"/>
    <w:rsid w:val="00B45376"/>
    <w:rsid w:val="00B453C0"/>
    <w:rsid w:val="00B45B03"/>
    <w:rsid w:val="00B46761"/>
    <w:rsid w:val="00B4680D"/>
    <w:rsid w:val="00B46D81"/>
    <w:rsid w:val="00B47235"/>
    <w:rsid w:val="00B47246"/>
    <w:rsid w:val="00B477C3"/>
    <w:rsid w:val="00B479F6"/>
    <w:rsid w:val="00B47F56"/>
    <w:rsid w:val="00B50122"/>
    <w:rsid w:val="00B5097F"/>
    <w:rsid w:val="00B50AFC"/>
    <w:rsid w:val="00B50F94"/>
    <w:rsid w:val="00B5128E"/>
    <w:rsid w:val="00B51C26"/>
    <w:rsid w:val="00B51E32"/>
    <w:rsid w:val="00B525D3"/>
    <w:rsid w:val="00B52B5D"/>
    <w:rsid w:val="00B52E38"/>
    <w:rsid w:val="00B52E6D"/>
    <w:rsid w:val="00B5327C"/>
    <w:rsid w:val="00B53506"/>
    <w:rsid w:val="00B5375F"/>
    <w:rsid w:val="00B53B82"/>
    <w:rsid w:val="00B53D56"/>
    <w:rsid w:val="00B54C8D"/>
    <w:rsid w:val="00B54F19"/>
    <w:rsid w:val="00B55166"/>
    <w:rsid w:val="00B551A3"/>
    <w:rsid w:val="00B55733"/>
    <w:rsid w:val="00B55A02"/>
    <w:rsid w:val="00B55A5C"/>
    <w:rsid w:val="00B56395"/>
    <w:rsid w:val="00B576BD"/>
    <w:rsid w:val="00B576FD"/>
    <w:rsid w:val="00B57B27"/>
    <w:rsid w:val="00B57BA1"/>
    <w:rsid w:val="00B60618"/>
    <w:rsid w:val="00B607C0"/>
    <w:rsid w:val="00B6081F"/>
    <w:rsid w:val="00B60AEE"/>
    <w:rsid w:val="00B60C9F"/>
    <w:rsid w:val="00B60D5F"/>
    <w:rsid w:val="00B611F2"/>
    <w:rsid w:val="00B61568"/>
    <w:rsid w:val="00B61A0C"/>
    <w:rsid w:val="00B61BC1"/>
    <w:rsid w:val="00B61E37"/>
    <w:rsid w:val="00B6202C"/>
    <w:rsid w:val="00B62349"/>
    <w:rsid w:val="00B62D6B"/>
    <w:rsid w:val="00B631D5"/>
    <w:rsid w:val="00B632DC"/>
    <w:rsid w:val="00B63371"/>
    <w:rsid w:val="00B636E1"/>
    <w:rsid w:val="00B63D28"/>
    <w:rsid w:val="00B63E49"/>
    <w:rsid w:val="00B63F2B"/>
    <w:rsid w:val="00B6446F"/>
    <w:rsid w:val="00B647D6"/>
    <w:rsid w:val="00B64829"/>
    <w:rsid w:val="00B65044"/>
    <w:rsid w:val="00B655BD"/>
    <w:rsid w:val="00B65FD9"/>
    <w:rsid w:val="00B6606D"/>
    <w:rsid w:val="00B670E4"/>
    <w:rsid w:val="00B67543"/>
    <w:rsid w:val="00B67622"/>
    <w:rsid w:val="00B70F7C"/>
    <w:rsid w:val="00B71125"/>
    <w:rsid w:val="00B714B9"/>
    <w:rsid w:val="00B71C1F"/>
    <w:rsid w:val="00B721FC"/>
    <w:rsid w:val="00B72229"/>
    <w:rsid w:val="00B7224C"/>
    <w:rsid w:val="00B7300A"/>
    <w:rsid w:val="00B7300E"/>
    <w:rsid w:val="00B73821"/>
    <w:rsid w:val="00B73A33"/>
    <w:rsid w:val="00B73BE0"/>
    <w:rsid w:val="00B73C78"/>
    <w:rsid w:val="00B73E53"/>
    <w:rsid w:val="00B74686"/>
    <w:rsid w:val="00B7482E"/>
    <w:rsid w:val="00B74BFC"/>
    <w:rsid w:val="00B75208"/>
    <w:rsid w:val="00B752E9"/>
    <w:rsid w:val="00B75EE3"/>
    <w:rsid w:val="00B770A6"/>
    <w:rsid w:val="00B77A2E"/>
    <w:rsid w:val="00B80EEE"/>
    <w:rsid w:val="00B810C4"/>
    <w:rsid w:val="00B814F8"/>
    <w:rsid w:val="00B817FC"/>
    <w:rsid w:val="00B82028"/>
    <w:rsid w:val="00B8213F"/>
    <w:rsid w:val="00B82252"/>
    <w:rsid w:val="00B82281"/>
    <w:rsid w:val="00B82393"/>
    <w:rsid w:val="00B823F0"/>
    <w:rsid w:val="00B8318A"/>
    <w:rsid w:val="00B833FE"/>
    <w:rsid w:val="00B836A1"/>
    <w:rsid w:val="00B83F59"/>
    <w:rsid w:val="00B84C02"/>
    <w:rsid w:val="00B84E14"/>
    <w:rsid w:val="00B84E8A"/>
    <w:rsid w:val="00B857B2"/>
    <w:rsid w:val="00B8580B"/>
    <w:rsid w:val="00B85917"/>
    <w:rsid w:val="00B8605F"/>
    <w:rsid w:val="00B860DB"/>
    <w:rsid w:val="00B86231"/>
    <w:rsid w:val="00B86B88"/>
    <w:rsid w:val="00B86C59"/>
    <w:rsid w:val="00B872F9"/>
    <w:rsid w:val="00B8732C"/>
    <w:rsid w:val="00B875EB"/>
    <w:rsid w:val="00B900E6"/>
    <w:rsid w:val="00B90283"/>
    <w:rsid w:val="00B9029C"/>
    <w:rsid w:val="00B9053D"/>
    <w:rsid w:val="00B909D8"/>
    <w:rsid w:val="00B90CCE"/>
    <w:rsid w:val="00B90D67"/>
    <w:rsid w:val="00B9117D"/>
    <w:rsid w:val="00B9145A"/>
    <w:rsid w:val="00B915A1"/>
    <w:rsid w:val="00B91762"/>
    <w:rsid w:val="00B92489"/>
    <w:rsid w:val="00B92D0C"/>
    <w:rsid w:val="00B9312A"/>
    <w:rsid w:val="00B931B7"/>
    <w:rsid w:val="00B93541"/>
    <w:rsid w:val="00B935F3"/>
    <w:rsid w:val="00B93A58"/>
    <w:rsid w:val="00B93AE5"/>
    <w:rsid w:val="00B941B9"/>
    <w:rsid w:val="00B94786"/>
    <w:rsid w:val="00B94823"/>
    <w:rsid w:val="00B9488E"/>
    <w:rsid w:val="00B9501B"/>
    <w:rsid w:val="00B950E9"/>
    <w:rsid w:val="00B952E7"/>
    <w:rsid w:val="00B968B3"/>
    <w:rsid w:val="00B968B7"/>
    <w:rsid w:val="00B96BED"/>
    <w:rsid w:val="00B96C7E"/>
    <w:rsid w:val="00B96FB5"/>
    <w:rsid w:val="00B9751D"/>
    <w:rsid w:val="00B976E8"/>
    <w:rsid w:val="00B97C8D"/>
    <w:rsid w:val="00BA03B9"/>
    <w:rsid w:val="00BA0524"/>
    <w:rsid w:val="00BA078C"/>
    <w:rsid w:val="00BA09ED"/>
    <w:rsid w:val="00BA0C39"/>
    <w:rsid w:val="00BA0D47"/>
    <w:rsid w:val="00BA0E08"/>
    <w:rsid w:val="00BA0E69"/>
    <w:rsid w:val="00BA123B"/>
    <w:rsid w:val="00BA1474"/>
    <w:rsid w:val="00BA16A4"/>
    <w:rsid w:val="00BA1CDC"/>
    <w:rsid w:val="00BA20DB"/>
    <w:rsid w:val="00BA328A"/>
    <w:rsid w:val="00BA32EB"/>
    <w:rsid w:val="00BA39E2"/>
    <w:rsid w:val="00BA3B26"/>
    <w:rsid w:val="00BA3C10"/>
    <w:rsid w:val="00BA45D9"/>
    <w:rsid w:val="00BA4953"/>
    <w:rsid w:val="00BA4FFE"/>
    <w:rsid w:val="00BA5119"/>
    <w:rsid w:val="00BA52AB"/>
    <w:rsid w:val="00BA541C"/>
    <w:rsid w:val="00BA5524"/>
    <w:rsid w:val="00BA5D35"/>
    <w:rsid w:val="00BA5E77"/>
    <w:rsid w:val="00BA5FED"/>
    <w:rsid w:val="00BA61F0"/>
    <w:rsid w:val="00BA6B84"/>
    <w:rsid w:val="00BA73E1"/>
    <w:rsid w:val="00BA76F3"/>
    <w:rsid w:val="00BA785B"/>
    <w:rsid w:val="00BA79C5"/>
    <w:rsid w:val="00BA7C89"/>
    <w:rsid w:val="00BA7CE1"/>
    <w:rsid w:val="00BA7E32"/>
    <w:rsid w:val="00BB036F"/>
    <w:rsid w:val="00BB0436"/>
    <w:rsid w:val="00BB06ED"/>
    <w:rsid w:val="00BB08A5"/>
    <w:rsid w:val="00BB0B64"/>
    <w:rsid w:val="00BB1020"/>
    <w:rsid w:val="00BB114B"/>
    <w:rsid w:val="00BB1689"/>
    <w:rsid w:val="00BB289A"/>
    <w:rsid w:val="00BB2BBB"/>
    <w:rsid w:val="00BB2F08"/>
    <w:rsid w:val="00BB3522"/>
    <w:rsid w:val="00BB36B2"/>
    <w:rsid w:val="00BB3835"/>
    <w:rsid w:val="00BB3873"/>
    <w:rsid w:val="00BB3AFC"/>
    <w:rsid w:val="00BB3D00"/>
    <w:rsid w:val="00BB4068"/>
    <w:rsid w:val="00BB41BE"/>
    <w:rsid w:val="00BB5012"/>
    <w:rsid w:val="00BB5675"/>
    <w:rsid w:val="00BB5878"/>
    <w:rsid w:val="00BB58B6"/>
    <w:rsid w:val="00BB5AEC"/>
    <w:rsid w:val="00BB5E54"/>
    <w:rsid w:val="00BB5F4D"/>
    <w:rsid w:val="00BB602E"/>
    <w:rsid w:val="00BB60D2"/>
    <w:rsid w:val="00BB6392"/>
    <w:rsid w:val="00BB64B7"/>
    <w:rsid w:val="00BB7696"/>
    <w:rsid w:val="00BB79BE"/>
    <w:rsid w:val="00BB7BE2"/>
    <w:rsid w:val="00BB7DC2"/>
    <w:rsid w:val="00BC0376"/>
    <w:rsid w:val="00BC06EB"/>
    <w:rsid w:val="00BC0895"/>
    <w:rsid w:val="00BC0AC4"/>
    <w:rsid w:val="00BC1218"/>
    <w:rsid w:val="00BC1F5E"/>
    <w:rsid w:val="00BC2911"/>
    <w:rsid w:val="00BC2BB6"/>
    <w:rsid w:val="00BC2DD4"/>
    <w:rsid w:val="00BC3004"/>
    <w:rsid w:val="00BC372F"/>
    <w:rsid w:val="00BC3880"/>
    <w:rsid w:val="00BC3A57"/>
    <w:rsid w:val="00BC3B1B"/>
    <w:rsid w:val="00BC4BBE"/>
    <w:rsid w:val="00BC4E9C"/>
    <w:rsid w:val="00BC5A76"/>
    <w:rsid w:val="00BC6132"/>
    <w:rsid w:val="00BC63C9"/>
    <w:rsid w:val="00BC6709"/>
    <w:rsid w:val="00BD032B"/>
    <w:rsid w:val="00BD04E5"/>
    <w:rsid w:val="00BD052B"/>
    <w:rsid w:val="00BD0785"/>
    <w:rsid w:val="00BD13E1"/>
    <w:rsid w:val="00BD1660"/>
    <w:rsid w:val="00BD1BB5"/>
    <w:rsid w:val="00BD1CC1"/>
    <w:rsid w:val="00BD22A4"/>
    <w:rsid w:val="00BD2457"/>
    <w:rsid w:val="00BD2528"/>
    <w:rsid w:val="00BD2C2B"/>
    <w:rsid w:val="00BD30C8"/>
    <w:rsid w:val="00BD3259"/>
    <w:rsid w:val="00BD3290"/>
    <w:rsid w:val="00BD3433"/>
    <w:rsid w:val="00BD3823"/>
    <w:rsid w:val="00BD40CA"/>
    <w:rsid w:val="00BD47B8"/>
    <w:rsid w:val="00BD4880"/>
    <w:rsid w:val="00BD49A8"/>
    <w:rsid w:val="00BD4AA1"/>
    <w:rsid w:val="00BD4CD3"/>
    <w:rsid w:val="00BD5B54"/>
    <w:rsid w:val="00BD5D3A"/>
    <w:rsid w:val="00BD658A"/>
    <w:rsid w:val="00BD7023"/>
    <w:rsid w:val="00BD7281"/>
    <w:rsid w:val="00BE027D"/>
    <w:rsid w:val="00BE03EF"/>
    <w:rsid w:val="00BE05EF"/>
    <w:rsid w:val="00BE0731"/>
    <w:rsid w:val="00BE18B6"/>
    <w:rsid w:val="00BE2996"/>
    <w:rsid w:val="00BE2DE3"/>
    <w:rsid w:val="00BE30D5"/>
    <w:rsid w:val="00BE32CD"/>
    <w:rsid w:val="00BE4237"/>
    <w:rsid w:val="00BE4367"/>
    <w:rsid w:val="00BE46B0"/>
    <w:rsid w:val="00BE5529"/>
    <w:rsid w:val="00BE5C19"/>
    <w:rsid w:val="00BE655A"/>
    <w:rsid w:val="00BE68EC"/>
    <w:rsid w:val="00BE690B"/>
    <w:rsid w:val="00BE6C49"/>
    <w:rsid w:val="00BE6E82"/>
    <w:rsid w:val="00BE7003"/>
    <w:rsid w:val="00BE74E8"/>
    <w:rsid w:val="00BE74FC"/>
    <w:rsid w:val="00BE753E"/>
    <w:rsid w:val="00BE79A6"/>
    <w:rsid w:val="00BE7A5E"/>
    <w:rsid w:val="00BF048C"/>
    <w:rsid w:val="00BF06CF"/>
    <w:rsid w:val="00BF0BD2"/>
    <w:rsid w:val="00BF0ED9"/>
    <w:rsid w:val="00BF1698"/>
    <w:rsid w:val="00BF26F3"/>
    <w:rsid w:val="00BF307C"/>
    <w:rsid w:val="00BF33D6"/>
    <w:rsid w:val="00BF364A"/>
    <w:rsid w:val="00BF385A"/>
    <w:rsid w:val="00BF3908"/>
    <w:rsid w:val="00BF3B9C"/>
    <w:rsid w:val="00BF4485"/>
    <w:rsid w:val="00BF48C9"/>
    <w:rsid w:val="00BF49A9"/>
    <w:rsid w:val="00BF4C7E"/>
    <w:rsid w:val="00BF4EBA"/>
    <w:rsid w:val="00BF4FE3"/>
    <w:rsid w:val="00BF536E"/>
    <w:rsid w:val="00BF5D26"/>
    <w:rsid w:val="00BF5F0E"/>
    <w:rsid w:val="00BF6045"/>
    <w:rsid w:val="00BF65BF"/>
    <w:rsid w:val="00BF69D9"/>
    <w:rsid w:val="00BF71CB"/>
    <w:rsid w:val="00BF7572"/>
    <w:rsid w:val="00BF7B32"/>
    <w:rsid w:val="00BF7BA9"/>
    <w:rsid w:val="00C00913"/>
    <w:rsid w:val="00C009FF"/>
    <w:rsid w:val="00C00D7D"/>
    <w:rsid w:val="00C01328"/>
    <w:rsid w:val="00C01A05"/>
    <w:rsid w:val="00C01D11"/>
    <w:rsid w:val="00C0233B"/>
    <w:rsid w:val="00C0236E"/>
    <w:rsid w:val="00C02D88"/>
    <w:rsid w:val="00C0302E"/>
    <w:rsid w:val="00C03033"/>
    <w:rsid w:val="00C037C6"/>
    <w:rsid w:val="00C03862"/>
    <w:rsid w:val="00C0458A"/>
    <w:rsid w:val="00C04B76"/>
    <w:rsid w:val="00C04D51"/>
    <w:rsid w:val="00C04E6D"/>
    <w:rsid w:val="00C04F36"/>
    <w:rsid w:val="00C054C2"/>
    <w:rsid w:val="00C05978"/>
    <w:rsid w:val="00C05BC2"/>
    <w:rsid w:val="00C05D1B"/>
    <w:rsid w:val="00C063E0"/>
    <w:rsid w:val="00C0666C"/>
    <w:rsid w:val="00C06E7D"/>
    <w:rsid w:val="00C0728C"/>
    <w:rsid w:val="00C07A0A"/>
    <w:rsid w:val="00C07F0A"/>
    <w:rsid w:val="00C10434"/>
    <w:rsid w:val="00C10794"/>
    <w:rsid w:val="00C107A2"/>
    <w:rsid w:val="00C109F8"/>
    <w:rsid w:val="00C111B0"/>
    <w:rsid w:val="00C114C7"/>
    <w:rsid w:val="00C12201"/>
    <w:rsid w:val="00C12203"/>
    <w:rsid w:val="00C12583"/>
    <w:rsid w:val="00C130A9"/>
    <w:rsid w:val="00C13305"/>
    <w:rsid w:val="00C135D0"/>
    <w:rsid w:val="00C13741"/>
    <w:rsid w:val="00C13C36"/>
    <w:rsid w:val="00C13D2B"/>
    <w:rsid w:val="00C13F67"/>
    <w:rsid w:val="00C1471A"/>
    <w:rsid w:val="00C1479F"/>
    <w:rsid w:val="00C14896"/>
    <w:rsid w:val="00C154D6"/>
    <w:rsid w:val="00C158E2"/>
    <w:rsid w:val="00C15A8B"/>
    <w:rsid w:val="00C15AEB"/>
    <w:rsid w:val="00C15D94"/>
    <w:rsid w:val="00C15FA2"/>
    <w:rsid w:val="00C1646D"/>
    <w:rsid w:val="00C167B2"/>
    <w:rsid w:val="00C169F0"/>
    <w:rsid w:val="00C176BD"/>
    <w:rsid w:val="00C1782C"/>
    <w:rsid w:val="00C17ABD"/>
    <w:rsid w:val="00C20491"/>
    <w:rsid w:val="00C209B3"/>
    <w:rsid w:val="00C22254"/>
    <w:rsid w:val="00C227B2"/>
    <w:rsid w:val="00C22818"/>
    <w:rsid w:val="00C22F9F"/>
    <w:rsid w:val="00C22FA3"/>
    <w:rsid w:val="00C22FEA"/>
    <w:rsid w:val="00C23104"/>
    <w:rsid w:val="00C231A7"/>
    <w:rsid w:val="00C23963"/>
    <w:rsid w:val="00C23D0F"/>
    <w:rsid w:val="00C23F6D"/>
    <w:rsid w:val="00C23FA7"/>
    <w:rsid w:val="00C24445"/>
    <w:rsid w:val="00C244A1"/>
    <w:rsid w:val="00C2489F"/>
    <w:rsid w:val="00C249E7"/>
    <w:rsid w:val="00C257FE"/>
    <w:rsid w:val="00C25A23"/>
    <w:rsid w:val="00C25C9C"/>
    <w:rsid w:val="00C25E33"/>
    <w:rsid w:val="00C262C0"/>
    <w:rsid w:val="00C263D1"/>
    <w:rsid w:val="00C26552"/>
    <w:rsid w:val="00C26BB4"/>
    <w:rsid w:val="00C26FE2"/>
    <w:rsid w:val="00C27348"/>
    <w:rsid w:val="00C27695"/>
    <w:rsid w:val="00C278E7"/>
    <w:rsid w:val="00C27B28"/>
    <w:rsid w:val="00C300B4"/>
    <w:rsid w:val="00C300E1"/>
    <w:rsid w:val="00C3020D"/>
    <w:rsid w:val="00C30359"/>
    <w:rsid w:val="00C30849"/>
    <w:rsid w:val="00C31685"/>
    <w:rsid w:val="00C31AD5"/>
    <w:rsid w:val="00C31C41"/>
    <w:rsid w:val="00C31DE1"/>
    <w:rsid w:val="00C31FAA"/>
    <w:rsid w:val="00C32574"/>
    <w:rsid w:val="00C325C0"/>
    <w:rsid w:val="00C32891"/>
    <w:rsid w:val="00C3307E"/>
    <w:rsid w:val="00C3338C"/>
    <w:rsid w:val="00C341DA"/>
    <w:rsid w:val="00C3434F"/>
    <w:rsid w:val="00C34417"/>
    <w:rsid w:val="00C3481E"/>
    <w:rsid w:val="00C34871"/>
    <w:rsid w:val="00C34ED6"/>
    <w:rsid w:val="00C350F5"/>
    <w:rsid w:val="00C354F3"/>
    <w:rsid w:val="00C362E0"/>
    <w:rsid w:val="00C3655D"/>
    <w:rsid w:val="00C36709"/>
    <w:rsid w:val="00C36BD2"/>
    <w:rsid w:val="00C36D60"/>
    <w:rsid w:val="00C36F30"/>
    <w:rsid w:val="00C37588"/>
    <w:rsid w:val="00C37A0A"/>
    <w:rsid w:val="00C37CBE"/>
    <w:rsid w:val="00C37EE8"/>
    <w:rsid w:val="00C407EB"/>
    <w:rsid w:val="00C40B08"/>
    <w:rsid w:val="00C40EFE"/>
    <w:rsid w:val="00C414A4"/>
    <w:rsid w:val="00C417E4"/>
    <w:rsid w:val="00C42315"/>
    <w:rsid w:val="00C42C9F"/>
    <w:rsid w:val="00C43C44"/>
    <w:rsid w:val="00C44007"/>
    <w:rsid w:val="00C443AB"/>
    <w:rsid w:val="00C4460E"/>
    <w:rsid w:val="00C447E1"/>
    <w:rsid w:val="00C44836"/>
    <w:rsid w:val="00C449B2"/>
    <w:rsid w:val="00C449B6"/>
    <w:rsid w:val="00C449F5"/>
    <w:rsid w:val="00C45232"/>
    <w:rsid w:val="00C454E1"/>
    <w:rsid w:val="00C459D2"/>
    <w:rsid w:val="00C46092"/>
    <w:rsid w:val="00C463E4"/>
    <w:rsid w:val="00C46675"/>
    <w:rsid w:val="00C471CD"/>
    <w:rsid w:val="00C47721"/>
    <w:rsid w:val="00C47CF5"/>
    <w:rsid w:val="00C47ED9"/>
    <w:rsid w:val="00C5033D"/>
    <w:rsid w:val="00C50C7E"/>
    <w:rsid w:val="00C510B4"/>
    <w:rsid w:val="00C513E8"/>
    <w:rsid w:val="00C51492"/>
    <w:rsid w:val="00C5171A"/>
    <w:rsid w:val="00C51972"/>
    <w:rsid w:val="00C51FD2"/>
    <w:rsid w:val="00C5225E"/>
    <w:rsid w:val="00C52779"/>
    <w:rsid w:val="00C52B24"/>
    <w:rsid w:val="00C52F77"/>
    <w:rsid w:val="00C531FC"/>
    <w:rsid w:val="00C534D9"/>
    <w:rsid w:val="00C537B6"/>
    <w:rsid w:val="00C53CB8"/>
    <w:rsid w:val="00C53EFD"/>
    <w:rsid w:val="00C550D8"/>
    <w:rsid w:val="00C55B05"/>
    <w:rsid w:val="00C55E0F"/>
    <w:rsid w:val="00C5611A"/>
    <w:rsid w:val="00C569AB"/>
    <w:rsid w:val="00C56AEE"/>
    <w:rsid w:val="00C56D33"/>
    <w:rsid w:val="00C56F44"/>
    <w:rsid w:val="00C570A4"/>
    <w:rsid w:val="00C57363"/>
    <w:rsid w:val="00C57A52"/>
    <w:rsid w:val="00C57CE1"/>
    <w:rsid w:val="00C57DC4"/>
    <w:rsid w:val="00C57E5F"/>
    <w:rsid w:val="00C6095A"/>
    <w:rsid w:val="00C60995"/>
    <w:rsid w:val="00C61379"/>
    <w:rsid w:val="00C616D1"/>
    <w:rsid w:val="00C61B2F"/>
    <w:rsid w:val="00C61F3B"/>
    <w:rsid w:val="00C62230"/>
    <w:rsid w:val="00C62761"/>
    <w:rsid w:val="00C634BF"/>
    <w:rsid w:val="00C6354A"/>
    <w:rsid w:val="00C63C29"/>
    <w:rsid w:val="00C63F8A"/>
    <w:rsid w:val="00C6437E"/>
    <w:rsid w:val="00C64886"/>
    <w:rsid w:val="00C64D74"/>
    <w:rsid w:val="00C662BC"/>
    <w:rsid w:val="00C6700C"/>
    <w:rsid w:val="00C670C4"/>
    <w:rsid w:val="00C67363"/>
    <w:rsid w:val="00C677E8"/>
    <w:rsid w:val="00C67F9E"/>
    <w:rsid w:val="00C70D09"/>
    <w:rsid w:val="00C70F2A"/>
    <w:rsid w:val="00C7113E"/>
    <w:rsid w:val="00C7118D"/>
    <w:rsid w:val="00C71331"/>
    <w:rsid w:val="00C71BC1"/>
    <w:rsid w:val="00C72229"/>
    <w:rsid w:val="00C72A3D"/>
    <w:rsid w:val="00C735E0"/>
    <w:rsid w:val="00C735F9"/>
    <w:rsid w:val="00C738CC"/>
    <w:rsid w:val="00C73ACB"/>
    <w:rsid w:val="00C73D2F"/>
    <w:rsid w:val="00C7405B"/>
    <w:rsid w:val="00C74990"/>
    <w:rsid w:val="00C74A98"/>
    <w:rsid w:val="00C74D96"/>
    <w:rsid w:val="00C75066"/>
    <w:rsid w:val="00C752B9"/>
    <w:rsid w:val="00C75C40"/>
    <w:rsid w:val="00C75D56"/>
    <w:rsid w:val="00C75D76"/>
    <w:rsid w:val="00C75F7C"/>
    <w:rsid w:val="00C76100"/>
    <w:rsid w:val="00C76137"/>
    <w:rsid w:val="00C7637E"/>
    <w:rsid w:val="00C77651"/>
    <w:rsid w:val="00C7786C"/>
    <w:rsid w:val="00C77E9D"/>
    <w:rsid w:val="00C77EFF"/>
    <w:rsid w:val="00C80721"/>
    <w:rsid w:val="00C80B19"/>
    <w:rsid w:val="00C80F30"/>
    <w:rsid w:val="00C81117"/>
    <w:rsid w:val="00C81271"/>
    <w:rsid w:val="00C818B6"/>
    <w:rsid w:val="00C820A7"/>
    <w:rsid w:val="00C82B27"/>
    <w:rsid w:val="00C82D5B"/>
    <w:rsid w:val="00C82EFC"/>
    <w:rsid w:val="00C82F67"/>
    <w:rsid w:val="00C8331D"/>
    <w:rsid w:val="00C836A5"/>
    <w:rsid w:val="00C837C7"/>
    <w:rsid w:val="00C83813"/>
    <w:rsid w:val="00C83DC5"/>
    <w:rsid w:val="00C83FCE"/>
    <w:rsid w:val="00C84515"/>
    <w:rsid w:val="00C85553"/>
    <w:rsid w:val="00C858EC"/>
    <w:rsid w:val="00C85A55"/>
    <w:rsid w:val="00C85E16"/>
    <w:rsid w:val="00C86765"/>
    <w:rsid w:val="00C86823"/>
    <w:rsid w:val="00C86A14"/>
    <w:rsid w:val="00C86CBE"/>
    <w:rsid w:val="00C86DEB"/>
    <w:rsid w:val="00C8703F"/>
    <w:rsid w:val="00C870D5"/>
    <w:rsid w:val="00C904DD"/>
    <w:rsid w:val="00C90523"/>
    <w:rsid w:val="00C90F7D"/>
    <w:rsid w:val="00C912B0"/>
    <w:rsid w:val="00C91A27"/>
    <w:rsid w:val="00C9293A"/>
    <w:rsid w:val="00C92A5B"/>
    <w:rsid w:val="00C92F1D"/>
    <w:rsid w:val="00C93234"/>
    <w:rsid w:val="00C932CC"/>
    <w:rsid w:val="00C938D8"/>
    <w:rsid w:val="00C939E5"/>
    <w:rsid w:val="00C93AA4"/>
    <w:rsid w:val="00C93FE8"/>
    <w:rsid w:val="00C944BE"/>
    <w:rsid w:val="00C945C4"/>
    <w:rsid w:val="00C94F70"/>
    <w:rsid w:val="00C9541A"/>
    <w:rsid w:val="00C956A0"/>
    <w:rsid w:val="00C957D8"/>
    <w:rsid w:val="00C95D4A"/>
    <w:rsid w:val="00C95E42"/>
    <w:rsid w:val="00C960BA"/>
    <w:rsid w:val="00C97344"/>
    <w:rsid w:val="00C9738F"/>
    <w:rsid w:val="00C97ACB"/>
    <w:rsid w:val="00CA01F0"/>
    <w:rsid w:val="00CA0369"/>
    <w:rsid w:val="00CA05BD"/>
    <w:rsid w:val="00CA0608"/>
    <w:rsid w:val="00CA0C48"/>
    <w:rsid w:val="00CA143F"/>
    <w:rsid w:val="00CA192B"/>
    <w:rsid w:val="00CA2438"/>
    <w:rsid w:val="00CA3035"/>
    <w:rsid w:val="00CA306E"/>
    <w:rsid w:val="00CA319B"/>
    <w:rsid w:val="00CA3264"/>
    <w:rsid w:val="00CA33FB"/>
    <w:rsid w:val="00CA3A31"/>
    <w:rsid w:val="00CA3BAC"/>
    <w:rsid w:val="00CA3C95"/>
    <w:rsid w:val="00CA4141"/>
    <w:rsid w:val="00CA4232"/>
    <w:rsid w:val="00CA4B35"/>
    <w:rsid w:val="00CA5CA2"/>
    <w:rsid w:val="00CA64C6"/>
    <w:rsid w:val="00CA6AB0"/>
    <w:rsid w:val="00CA7287"/>
    <w:rsid w:val="00CA7443"/>
    <w:rsid w:val="00CA74BD"/>
    <w:rsid w:val="00CA75E3"/>
    <w:rsid w:val="00CA766E"/>
    <w:rsid w:val="00CA7D5C"/>
    <w:rsid w:val="00CA7DED"/>
    <w:rsid w:val="00CA7E2F"/>
    <w:rsid w:val="00CB01AD"/>
    <w:rsid w:val="00CB08DE"/>
    <w:rsid w:val="00CB10AD"/>
    <w:rsid w:val="00CB1267"/>
    <w:rsid w:val="00CB132B"/>
    <w:rsid w:val="00CB1C62"/>
    <w:rsid w:val="00CB27EA"/>
    <w:rsid w:val="00CB2A4A"/>
    <w:rsid w:val="00CB315F"/>
    <w:rsid w:val="00CB4097"/>
    <w:rsid w:val="00CB42A6"/>
    <w:rsid w:val="00CB43F5"/>
    <w:rsid w:val="00CB46DC"/>
    <w:rsid w:val="00CB5338"/>
    <w:rsid w:val="00CB57AB"/>
    <w:rsid w:val="00CB585E"/>
    <w:rsid w:val="00CB593A"/>
    <w:rsid w:val="00CB614B"/>
    <w:rsid w:val="00CB639C"/>
    <w:rsid w:val="00CB685C"/>
    <w:rsid w:val="00CB6CAA"/>
    <w:rsid w:val="00CB6E2D"/>
    <w:rsid w:val="00CB717A"/>
    <w:rsid w:val="00CB7471"/>
    <w:rsid w:val="00CB7C19"/>
    <w:rsid w:val="00CC0735"/>
    <w:rsid w:val="00CC07C5"/>
    <w:rsid w:val="00CC1237"/>
    <w:rsid w:val="00CC192B"/>
    <w:rsid w:val="00CC28A5"/>
    <w:rsid w:val="00CC2934"/>
    <w:rsid w:val="00CC29EB"/>
    <w:rsid w:val="00CC3056"/>
    <w:rsid w:val="00CC3B21"/>
    <w:rsid w:val="00CC3CBB"/>
    <w:rsid w:val="00CC44E1"/>
    <w:rsid w:val="00CC4C67"/>
    <w:rsid w:val="00CC5EAE"/>
    <w:rsid w:val="00CC5EB0"/>
    <w:rsid w:val="00CC5FB0"/>
    <w:rsid w:val="00CC68E4"/>
    <w:rsid w:val="00CC706F"/>
    <w:rsid w:val="00CC7208"/>
    <w:rsid w:val="00CC7350"/>
    <w:rsid w:val="00CC78AC"/>
    <w:rsid w:val="00CD05AC"/>
    <w:rsid w:val="00CD0983"/>
    <w:rsid w:val="00CD0DC4"/>
    <w:rsid w:val="00CD10CA"/>
    <w:rsid w:val="00CD1567"/>
    <w:rsid w:val="00CD232B"/>
    <w:rsid w:val="00CD252A"/>
    <w:rsid w:val="00CD288D"/>
    <w:rsid w:val="00CD2EF3"/>
    <w:rsid w:val="00CD35F6"/>
    <w:rsid w:val="00CD3AB9"/>
    <w:rsid w:val="00CD3E6E"/>
    <w:rsid w:val="00CD4336"/>
    <w:rsid w:val="00CD46BD"/>
    <w:rsid w:val="00CD48B2"/>
    <w:rsid w:val="00CD4A50"/>
    <w:rsid w:val="00CD4F33"/>
    <w:rsid w:val="00CD55EE"/>
    <w:rsid w:val="00CD5691"/>
    <w:rsid w:val="00CD5A64"/>
    <w:rsid w:val="00CD6202"/>
    <w:rsid w:val="00CD63B1"/>
    <w:rsid w:val="00CD63E2"/>
    <w:rsid w:val="00CD6D8D"/>
    <w:rsid w:val="00CD7EC1"/>
    <w:rsid w:val="00CE0380"/>
    <w:rsid w:val="00CE0708"/>
    <w:rsid w:val="00CE072B"/>
    <w:rsid w:val="00CE0E65"/>
    <w:rsid w:val="00CE12C3"/>
    <w:rsid w:val="00CE14C7"/>
    <w:rsid w:val="00CE1804"/>
    <w:rsid w:val="00CE195F"/>
    <w:rsid w:val="00CE1A00"/>
    <w:rsid w:val="00CE1CD2"/>
    <w:rsid w:val="00CE2094"/>
    <w:rsid w:val="00CE28ED"/>
    <w:rsid w:val="00CE29C1"/>
    <w:rsid w:val="00CE4314"/>
    <w:rsid w:val="00CE452E"/>
    <w:rsid w:val="00CE45B7"/>
    <w:rsid w:val="00CE488E"/>
    <w:rsid w:val="00CE4969"/>
    <w:rsid w:val="00CE4EEC"/>
    <w:rsid w:val="00CE50D2"/>
    <w:rsid w:val="00CE532A"/>
    <w:rsid w:val="00CE547C"/>
    <w:rsid w:val="00CE5743"/>
    <w:rsid w:val="00CE5848"/>
    <w:rsid w:val="00CE59A9"/>
    <w:rsid w:val="00CE5A08"/>
    <w:rsid w:val="00CE63A7"/>
    <w:rsid w:val="00CE653D"/>
    <w:rsid w:val="00CE6F60"/>
    <w:rsid w:val="00CE6F70"/>
    <w:rsid w:val="00CF02C2"/>
    <w:rsid w:val="00CF05B9"/>
    <w:rsid w:val="00CF074E"/>
    <w:rsid w:val="00CF0771"/>
    <w:rsid w:val="00CF0E61"/>
    <w:rsid w:val="00CF0F64"/>
    <w:rsid w:val="00CF14C0"/>
    <w:rsid w:val="00CF1886"/>
    <w:rsid w:val="00CF1EB2"/>
    <w:rsid w:val="00CF26B1"/>
    <w:rsid w:val="00CF2982"/>
    <w:rsid w:val="00CF2DC1"/>
    <w:rsid w:val="00CF2EC6"/>
    <w:rsid w:val="00CF2F51"/>
    <w:rsid w:val="00CF3151"/>
    <w:rsid w:val="00CF3510"/>
    <w:rsid w:val="00CF358F"/>
    <w:rsid w:val="00CF40AB"/>
    <w:rsid w:val="00CF4233"/>
    <w:rsid w:val="00CF4B62"/>
    <w:rsid w:val="00CF54F0"/>
    <w:rsid w:val="00CF6075"/>
    <w:rsid w:val="00CF60F5"/>
    <w:rsid w:val="00CF610D"/>
    <w:rsid w:val="00CF61F4"/>
    <w:rsid w:val="00CF66D4"/>
    <w:rsid w:val="00CF6717"/>
    <w:rsid w:val="00CF6909"/>
    <w:rsid w:val="00CF6B04"/>
    <w:rsid w:val="00CF71C9"/>
    <w:rsid w:val="00CF79AC"/>
    <w:rsid w:val="00D004F6"/>
    <w:rsid w:val="00D00544"/>
    <w:rsid w:val="00D005CC"/>
    <w:rsid w:val="00D009FB"/>
    <w:rsid w:val="00D00A59"/>
    <w:rsid w:val="00D00BCD"/>
    <w:rsid w:val="00D00BEB"/>
    <w:rsid w:val="00D00C92"/>
    <w:rsid w:val="00D01056"/>
    <w:rsid w:val="00D0196A"/>
    <w:rsid w:val="00D01C63"/>
    <w:rsid w:val="00D0221A"/>
    <w:rsid w:val="00D02381"/>
    <w:rsid w:val="00D02A0C"/>
    <w:rsid w:val="00D02C19"/>
    <w:rsid w:val="00D02CF7"/>
    <w:rsid w:val="00D0342F"/>
    <w:rsid w:val="00D03506"/>
    <w:rsid w:val="00D03711"/>
    <w:rsid w:val="00D03B3F"/>
    <w:rsid w:val="00D04697"/>
    <w:rsid w:val="00D046EF"/>
    <w:rsid w:val="00D04916"/>
    <w:rsid w:val="00D053C4"/>
    <w:rsid w:val="00D05698"/>
    <w:rsid w:val="00D057E4"/>
    <w:rsid w:val="00D05AB7"/>
    <w:rsid w:val="00D05F8A"/>
    <w:rsid w:val="00D0646C"/>
    <w:rsid w:val="00D06B56"/>
    <w:rsid w:val="00D06F80"/>
    <w:rsid w:val="00D07645"/>
    <w:rsid w:val="00D07729"/>
    <w:rsid w:val="00D0773F"/>
    <w:rsid w:val="00D07F95"/>
    <w:rsid w:val="00D105BC"/>
    <w:rsid w:val="00D10942"/>
    <w:rsid w:val="00D113CD"/>
    <w:rsid w:val="00D1143C"/>
    <w:rsid w:val="00D115F2"/>
    <w:rsid w:val="00D117FE"/>
    <w:rsid w:val="00D12665"/>
    <w:rsid w:val="00D1272B"/>
    <w:rsid w:val="00D12A13"/>
    <w:rsid w:val="00D12A9E"/>
    <w:rsid w:val="00D13191"/>
    <w:rsid w:val="00D1345B"/>
    <w:rsid w:val="00D1402E"/>
    <w:rsid w:val="00D147CD"/>
    <w:rsid w:val="00D149D9"/>
    <w:rsid w:val="00D14AFA"/>
    <w:rsid w:val="00D14E38"/>
    <w:rsid w:val="00D14E76"/>
    <w:rsid w:val="00D15354"/>
    <w:rsid w:val="00D15678"/>
    <w:rsid w:val="00D15A86"/>
    <w:rsid w:val="00D15E62"/>
    <w:rsid w:val="00D16D86"/>
    <w:rsid w:val="00D1713B"/>
    <w:rsid w:val="00D174BD"/>
    <w:rsid w:val="00D174F6"/>
    <w:rsid w:val="00D17724"/>
    <w:rsid w:val="00D179AA"/>
    <w:rsid w:val="00D20962"/>
    <w:rsid w:val="00D20B13"/>
    <w:rsid w:val="00D20C2F"/>
    <w:rsid w:val="00D215AE"/>
    <w:rsid w:val="00D21675"/>
    <w:rsid w:val="00D216C1"/>
    <w:rsid w:val="00D217F6"/>
    <w:rsid w:val="00D21B61"/>
    <w:rsid w:val="00D223C6"/>
    <w:rsid w:val="00D22CC6"/>
    <w:rsid w:val="00D234C8"/>
    <w:rsid w:val="00D23962"/>
    <w:rsid w:val="00D23BE1"/>
    <w:rsid w:val="00D23E41"/>
    <w:rsid w:val="00D241D3"/>
    <w:rsid w:val="00D242A9"/>
    <w:rsid w:val="00D2440E"/>
    <w:rsid w:val="00D2487E"/>
    <w:rsid w:val="00D24CBB"/>
    <w:rsid w:val="00D24E8C"/>
    <w:rsid w:val="00D2526D"/>
    <w:rsid w:val="00D25346"/>
    <w:rsid w:val="00D254A4"/>
    <w:rsid w:val="00D25C37"/>
    <w:rsid w:val="00D2611B"/>
    <w:rsid w:val="00D2634A"/>
    <w:rsid w:val="00D26717"/>
    <w:rsid w:val="00D26B3C"/>
    <w:rsid w:val="00D26B44"/>
    <w:rsid w:val="00D26E6D"/>
    <w:rsid w:val="00D278FB"/>
    <w:rsid w:val="00D27A44"/>
    <w:rsid w:val="00D27AB5"/>
    <w:rsid w:val="00D3070C"/>
    <w:rsid w:val="00D31319"/>
    <w:rsid w:val="00D313E7"/>
    <w:rsid w:val="00D31574"/>
    <w:rsid w:val="00D31EB7"/>
    <w:rsid w:val="00D31FB9"/>
    <w:rsid w:val="00D32A48"/>
    <w:rsid w:val="00D32CCD"/>
    <w:rsid w:val="00D33135"/>
    <w:rsid w:val="00D33985"/>
    <w:rsid w:val="00D3406B"/>
    <w:rsid w:val="00D34939"/>
    <w:rsid w:val="00D34C5C"/>
    <w:rsid w:val="00D35184"/>
    <w:rsid w:val="00D3546D"/>
    <w:rsid w:val="00D35F97"/>
    <w:rsid w:val="00D363F0"/>
    <w:rsid w:val="00D364B5"/>
    <w:rsid w:val="00D36988"/>
    <w:rsid w:val="00D36BF5"/>
    <w:rsid w:val="00D36CAD"/>
    <w:rsid w:val="00D37A04"/>
    <w:rsid w:val="00D37C5F"/>
    <w:rsid w:val="00D37C60"/>
    <w:rsid w:val="00D40368"/>
    <w:rsid w:val="00D40DFE"/>
    <w:rsid w:val="00D40E28"/>
    <w:rsid w:val="00D4112C"/>
    <w:rsid w:val="00D41838"/>
    <w:rsid w:val="00D41DA1"/>
    <w:rsid w:val="00D422E0"/>
    <w:rsid w:val="00D4272C"/>
    <w:rsid w:val="00D42989"/>
    <w:rsid w:val="00D432F3"/>
    <w:rsid w:val="00D43324"/>
    <w:rsid w:val="00D442CD"/>
    <w:rsid w:val="00D44AAF"/>
    <w:rsid w:val="00D44FC1"/>
    <w:rsid w:val="00D4576C"/>
    <w:rsid w:val="00D4584F"/>
    <w:rsid w:val="00D45DE8"/>
    <w:rsid w:val="00D45FD7"/>
    <w:rsid w:val="00D46088"/>
    <w:rsid w:val="00D466BB"/>
    <w:rsid w:val="00D47081"/>
    <w:rsid w:val="00D47104"/>
    <w:rsid w:val="00D4719F"/>
    <w:rsid w:val="00D4754B"/>
    <w:rsid w:val="00D47A67"/>
    <w:rsid w:val="00D47D30"/>
    <w:rsid w:val="00D5001D"/>
    <w:rsid w:val="00D504A8"/>
    <w:rsid w:val="00D50B7B"/>
    <w:rsid w:val="00D51353"/>
    <w:rsid w:val="00D51413"/>
    <w:rsid w:val="00D51472"/>
    <w:rsid w:val="00D5159B"/>
    <w:rsid w:val="00D51871"/>
    <w:rsid w:val="00D5199F"/>
    <w:rsid w:val="00D519E0"/>
    <w:rsid w:val="00D51AD9"/>
    <w:rsid w:val="00D52128"/>
    <w:rsid w:val="00D52235"/>
    <w:rsid w:val="00D52465"/>
    <w:rsid w:val="00D52D7D"/>
    <w:rsid w:val="00D52EA7"/>
    <w:rsid w:val="00D531CD"/>
    <w:rsid w:val="00D53483"/>
    <w:rsid w:val="00D53A05"/>
    <w:rsid w:val="00D53F18"/>
    <w:rsid w:val="00D54D34"/>
    <w:rsid w:val="00D54F19"/>
    <w:rsid w:val="00D54FBE"/>
    <w:rsid w:val="00D55790"/>
    <w:rsid w:val="00D55B21"/>
    <w:rsid w:val="00D55F21"/>
    <w:rsid w:val="00D56993"/>
    <w:rsid w:val="00D570ED"/>
    <w:rsid w:val="00D57128"/>
    <w:rsid w:val="00D576E9"/>
    <w:rsid w:val="00D578EF"/>
    <w:rsid w:val="00D5792B"/>
    <w:rsid w:val="00D57F45"/>
    <w:rsid w:val="00D605D4"/>
    <w:rsid w:val="00D608F5"/>
    <w:rsid w:val="00D60A82"/>
    <w:rsid w:val="00D6195E"/>
    <w:rsid w:val="00D61D3B"/>
    <w:rsid w:val="00D620A1"/>
    <w:rsid w:val="00D623E1"/>
    <w:rsid w:val="00D628CB"/>
    <w:rsid w:val="00D629A6"/>
    <w:rsid w:val="00D62A7A"/>
    <w:rsid w:val="00D6307D"/>
    <w:rsid w:val="00D634ED"/>
    <w:rsid w:val="00D638F0"/>
    <w:rsid w:val="00D63C1C"/>
    <w:rsid w:val="00D64491"/>
    <w:rsid w:val="00D64B25"/>
    <w:rsid w:val="00D64C17"/>
    <w:rsid w:val="00D65382"/>
    <w:rsid w:val="00D654DE"/>
    <w:rsid w:val="00D65584"/>
    <w:rsid w:val="00D657EB"/>
    <w:rsid w:val="00D65912"/>
    <w:rsid w:val="00D65F3D"/>
    <w:rsid w:val="00D66B22"/>
    <w:rsid w:val="00D66C73"/>
    <w:rsid w:val="00D66EAA"/>
    <w:rsid w:val="00D6735E"/>
    <w:rsid w:val="00D67CC7"/>
    <w:rsid w:val="00D67E41"/>
    <w:rsid w:val="00D701EC"/>
    <w:rsid w:val="00D70371"/>
    <w:rsid w:val="00D70BD1"/>
    <w:rsid w:val="00D71352"/>
    <w:rsid w:val="00D71C93"/>
    <w:rsid w:val="00D72A33"/>
    <w:rsid w:val="00D72AE4"/>
    <w:rsid w:val="00D72E97"/>
    <w:rsid w:val="00D739CA"/>
    <w:rsid w:val="00D73B5A"/>
    <w:rsid w:val="00D73D36"/>
    <w:rsid w:val="00D74127"/>
    <w:rsid w:val="00D743A4"/>
    <w:rsid w:val="00D74990"/>
    <w:rsid w:val="00D74B04"/>
    <w:rsid w:val="00D752E8"/>
    <w:rsid w:val="00D7555A"/>
    <w:rsid w:val="00D75738"/>
    <w:rsid w:val="00D757CA"/>
    <w:rsid w:val="00D75C73"/>
    <w:rsid w:val="00D7676D"/>
    <w:rsid w:val="00D77503"/>
    <w:rsid w:val="00D77916"/>
    <w:rsid w:val="00D77A5F"/>
    <w:rsid w:val="00D803A1"/>
    <w:rsid w:val="00D807A3"/>
    <w:rsid w:val="00D80AF4"/>
    <w:rsid w:val="00D80C4B"/>
    <w:rsid w:val="00D80F81"/>
    <w:rsid w:val="00D81145"/>
    <w:rsid w:val="00D81EF3"/>
    <w:rsid w:val="00D826DA"/>
    <w:rsid w:val="00D82938"/>
    <w:rsid w:val="00D82AD3"/>
    <w:rsid w:val="00D82E5D"/>
    <w:rsid w:val="00D8380E"/>
    <w:rsid w:val="00D83866"/>
    <w:rsid w:val="00D83A60"/>
    <w:rsid w:val="00D84796"/>
    <w:rsid w:val="00D8557C"/>
    <w:rsid w:val="00D8596F"/>
    <w:rsid w:val="00D85A90"/>
    <w:rsid w:val="00D85C1C"/>
    <w:rsid w:val="00D85E13"/>
    <w:rsid w:val="00D85EFA"/>
    <w:rsid w:val="00D85F1E"/>
    <w:rsid w:val="00D86020"/>
    <w:rsid w:val="00D868B2"/>
    <w:rsid w:val="00D86DC7"/>
    <w:rsid w:val="00D86F6E"/>
    <w:rsid w:val="00D87D8E"/>
    <w:rsid w:val="00D900F5"/>
    <w:rsid w:val="00D90885"/>
    <w:rsid w:val="00D911EB"/>
    <w:rsid w:val="00D913F0"/>
    <w:rsid w:val="00D915BC"/>
    <w:rsid w:val="00D915CF"/>
    <w:rsid w:val="00D9176A"/>
    <w:rsid w:val="00D91D34"/>
    <w:rsid w:val="00D91DAA"/>
    <w:rsid w:val="00D92308"/>
    <w:rsid w:val="00D92801"/>
    <w:rsid w:val="00D92BE7"/>
    <w:rsid w:val="00D92E25"/>
    <w:rsid w:val="00D9321B"/>
    <w:rsid w:val="00D9323B"/>
    <w:rsid w:val="00D9378E"/>
    <w:rsid w:val="00D93A02"/>
    <w:rsid w:val="00D93C65"/>
    <w:rsid w:val="00D93DA7"/>
    <w:rsid w:val="00D940E7"/>
    <w:rsid w:val="00D943B6"/>
    <w:rsid w:val="00D94610"/>
    <w:rsid w:val="00D94BB3"/>
    <w:rsid w:val="00D94C2B"/>
    <w:rsid w:val="00D955B5"/>
    <w:rsid w:val="00D9585C"/>
    <w:rsid w:val="00D95C87"/>
    <w:rsid w:val="00D95D1E"/>
    <w:rsid w:val="00D96BF0"/>
    <w:rsid w:val="00D97A2C"/>
    <w:rsid w:val="00D97C85"/>
    <w:rsid w:val="00D97DA1"/>
    <w:rsid w:val="00DA00BF"/>
    <w:rsid w:val="00DA0502"/>
    <w:rsid w:val="00DA0F61"/>
    <w:rsid w:val="00DA125C"/>
    <w:rsid w:val="00DA1A43"/>
    <w:rsid w:val="00DA1B0C"/>
    <w:rsid w:val="00DA244C"/>
    <w:rsid w:val="00DA390B"/>
    <w:rsid w:val="00DA395F"/>
    <w:rsid w:val="00DA3B0A"/>
    <w:rsid w:val="00DA3B3C"/>
    <w:rsid w:val="00DA445D"/>
    <w:rsid w:val="00DA4568"/>
    <w:rsid w:val="00DA4678"/>
    <w:rsid w:val="00DA4933"/>
    <w:rsid w:val="00DA4A52"/>
    <w:rsid w:val="00DA5363"/>
    <w:rsid w:val="00DA5545"/>
    <w:rsid w:val="00DA573F"/>
    <w:rsid w:val="00DA5ECA"/>
    <w:rsid w:val="00DA5F4D"/>
    <w:rsid w:val="00DA6832"/>
    <w:rsid w:val="00DA6887"/>
    <w:rsid w:val="00DA6A24"/>
    <w:rsid w:val="00DA77DE"/>
    <w:rsid w:val="00DA781A"/>
    <w:rsid w:val="00DA7899"/>
    <w:rsid w:val="00DA78FC"/>
    <w:rsid w:val="00DB01D7"/>
    <w:rsid w:val="00DB0290"/>
    <w:rsid w:val="00DB0531"/>
    <w:rsid w:val="00DB09CE"/>
    <w:rsid w:val="00DB0FE6"/>
    <w:rsid w:val="00DB1230"/>
    <w:rsid w:val="00DB171A"/>
    <w:rsid w:val="00DB1A1D"/>
    <w:rsid w:val="00DB2065"/>
    <w:rsid w:val="00DB216A"/>
    <w:rsid w:val="00DB2994"/>
    <w:rsid w:val="00DB29DB"/>
    <w:rsid w:val="00DB2D2B"/>
    <w:rsid w:val="00DB2DE4"/>
    <w:rsid w:val="00DB3B32"/>
    <w:rsid w:val="00DB3E4E"/>
    <w:rsid w:val="00DB4138"/>
    <w:rsid w:val="00DB4154"/>
    <w:rsid w:val="00DB593F"/>
    <w:rsid w:val="00DB5E20"/>
    <w:rsid w:val="00DB5FF7"/>
    <w:rsid w:val="00DB653A"/>
    <w:rsid w:val="00DB6F7F"/>
    <w:rsid w:val="00DB6FFE"/>
    <w:rsid w:val="00DB7150"/>
    <w:rsid w:val="00DB730A"/>
    <w:rsid w:val="00DB75E9"/>
    <w:rsid w:val="00DB7E9C"/>
    <w:rsid w:val="00DC01D6"/>
    <w:rsid w:val="00DC0270"/>
    <w:rsid w:val="00DC06FD"/>
    <w:rsid w:val="00DC0881"/>
    <w:rsid w:val="00DC1156"/>
    <w:rsid w:val="00DC1211"/>
    <w:rsid w:val="00DC1423"/>
    <w:rsid w:val="00DC1CE1"/>
    <w:rsid w:val="00DC29EA"/>
    <w:rsid w:val="00DC2F59"/>
    <w:rsid w:val="00DC3059"/>
    <w:rsid w:val="00DC33EA"/>
    <w:rsid w:val="00DC3B76"/>
    <w:rsid w:val="00DC41F6"/>
    <w:rsid w:val="00DC5AB5"/>
    <w:rsid w:val="00DC5DDC"/>
    <w:rsid w:val="00DC6251"/>
    <w:rsid w:val="00DC6471"/>
    <w:rsid w:val="00DC6BDE"/>
    <w:rsid w:val="00DC716B"/>
    <w:rsid w:val="00DC7BBB"/>
    <w:rsid w:val="00DC7BE2"/>
    <w:rsid w:val="00DD093C"/>
    <w:rsid w:val="00DD0B8D"/>
    <w:rsid w:val="00DD0D4F"/>
    <w:rsid w:val="00DD0E7C"/>
    <w:rsid w:val="00DD0F1C"/>
    <w:rsid w:val="00DD12AC"/>
    <w:rsid w:val="00DD17AD"/>
    <w:rsid w:val="00DD185F"/>
    <w:rsid w:val="00DD226E"/>
    <w:rsid w:val="00DD27AA"/>
    <w:rsid w:val="00DD3998"/>
    <w:rsid w:val="00DD3CD9"/>
    <w:rsid w:val="00DD3CF4"/>
    <w:rsid w:val="00DD3DB6"/>
    <w:rsid w:val="00DD4543"/>
    <w:rsid w:val="00DD46E4"/>
    <w:rsid w:val="00DD512A"/>
    <w:rsid w:val="00DD532E"/>
    <w:rsid w:val="00DD599D"/>
    <w:rsid w:val="00DD605C"/>
    <w:rsid w:val="00DD6A07"/>
    <w:rsid w:val="00DD6DDE"/>
    <w:rsid w:val="00DD6F17"/>
    <w:rsid w:val="00DD71B7"/>
    <w:rsid w:val="00DD76A4"/>
    <w:rsid w:val="00DD76CA"/>
    <w:rsid w:val="00DE0065"/>
    <w:rsid w:val="00DE036C"/>
    <w:rsid w:val="00DE085A"/>
    <w:rsid w:val="00DE0C5D"/>
    <w:rsid w:val="00DE2029"/>
    <w:rsid w:val="00DE21B3"/>
    <w:rsid w:val="00DE2335"/>
    <w:rsid w:val="00DE24DD"/>
    <w:rsid w:val="00DE25C2"/>
    <w:rsid w:val="00DE3075"/>
    <w:rsid w:val="00DE3338"/>
    <w:rsid w:val="00DE3F6D"/>
    <w:rsid w:val="00DE4541"/>
    <w:rsid w:val="00DE4A80"/>
    <w:rsid w:val="00DE4FF6"/>
    <w:rsid w:val="00DE558F"/>
    <w:rsid w:val="00DE5BE2"/>
    <w:rsid w:val="00DE5CEF"/>
    <w:rsid w:val="00DE694A"/>
    <w:rsid w:val="00DE6B27"/>
    <w:rsid w:val="00DE6DD4"/>
    <w:rsid w:val="00DE71D1"/>
    <w:rsid w:val="00DE7523"/>
    <w:rsid w:val="00DE796E"/>
    <w:rsid w:val="00DF008E"/>
    <w:rsid w:val="00DF1385"/>
    <w:rsid w:val="00DF16B3"/>
    <w:rsid w:val="00DF249C"/>
    <w:rsid w:val="00DF24DA"/>
    <w:rsid w:val="00DF26C2"/>
    <w:rsid w:val="00DF28A7"/>
    <w:rsid w:val="00DF2B62"/>
    <w:rsid w:val="00DF2F67"/>
    <w:rsid w:val="00DF39F4"/>
    <w:rsid w:val="00DF3AD9"/>
    <w:rsid w:val="00DF3F77"/>
    <w:rsid w:val="00DF484F"/>
    <w:rsid w:val="00DF490D"/>
    <w:rsid w:val="00DF4A46"/>
    <w:rsid w:val="00DF4AB9"/>
    <w:rsid w:val="00DF4ABD"/>
    <w:rsid w:val="00DF595D"/>
    <w:rsid w:val="00DF5C97"/>
    <w:rsid w:val="00DF6179"/>
    <w:rsid w:val="00DF62C6"/>
    <w:rsid w:val="00DF6814"/>
    <w:rsid w:val="00DF69BE"/>
    <w:rsid w:val="00DF70A5"/>
    <w:rsid w:val="00DF7215"/>
    <w:rsid w:val="00DF73CA"/>
    <w:rsid w:val="00DF73D2"/>
    <w:rsid w:val="00DF7E2A"/>
    <w:rsid w:val="00E0004C"/>
    <w:rsid w:val="00E00178"/>
    <w:rsid w:val="00E00AFF"/>
    <w:rsid w:val="00E00BFA"/>
    <w:rsid w:val="00E011C0"/>
    <w:rsid w:val="00E01585"/>
    <w:rsid w:val="00E015A8"/>
    <w:rsid w:val="00E01603"/>
    <w:rsid w:val="00E01686"/>
    <w:rsid w:val="00E0172F"/>
    <w:rsid w:val="00E01CC2"/>
    <w:rsid w:val="00E02C07"/>
    <w:rsid w:val="00E02CEC"/>
    <w:rsid w:val="00E02DA1"/>
    <w:rsid w:val="00E036FB"/>
    <w:rsid w:val="00E03731"/>
    <w:rsid w:val="00E03803"/>
    <w:rsid w:val="00E03B25"/>
    <w:rsid w:val="00E03F7B"/>
    <w:rsid w:val="00E04939"/>
    <w:rsid w:val="00E04E94"/>
    <w:rsid w:val="00E0505A"/>
    <w:rsid w:val="00E05289"/>
    <w:rsid w:val="00E058C7"/>
    <w:rsid w:val="00E0608D"/>
    <w:rsid w:val="00E06105"/>
    <w:rsid w:val="00E06890"/>
    <w:rsid w:val="00E06F97"/>
    <w:rsid w:val="00E0706F"/>
    <w:rsid w:val="00E0754C"/>
    <w:rsid w:val="00E0754F"/>
    <w:rsid w:val="00E076BE"/>
    <w:rsid w:val="00E07866"/>
    <w:rsid w:val="00E10334"/>
    <w:rsid w:val="00E109B3"/>
    <w:rsid w:val="00E12015"/>
    <w:rsid w:val="00E124B7"/>
    <w:rsid w:val="00E12B48"/>
    <w:rsid w:val="00E12D73"/>
    <w:rsid w:val="00E138AA"/>
    <w:rsid w:val="00E139FC"/>
    <w:rsid w:val="00E13E27"/>
    <w:rsid w:val="00E1416D"/>
    <w:rsid w:val="00E14D7D"/>
    <w:rsid w:val="00E167DC"/>
    <w:rsid w:val="00E16F4E"/>
    <w:rsid w:val="00E1717D"/>
    <w:rsid w:val="00E17703"/>
    <w:rsid w:val="00E17DA9"/>
    <w:rsid w:val="00E20F66"/>
    <w:rsid w:val="00E21086"/>
    <w:rsid w:val="00E21A2B"/>
    <w:rsid w:val="00E21D7E"/>
    <w:rsid w:val="00E21EB0"/>
    <w:rsid w:val="00E21FF4"/>
    <w:rsid w:val="00E228DC"/>
    <w:rsid w:val="00E22CA8"/>
    <w:rsid w:val="00E23573"/>
    <w:rsid w:val="00E238FE"/>
    <w:rsid w:val="00E24B39"/>
    <w:rsid w:val="00E2597F"/>
    <w:rsid w:val="00E259CD"/>
    <w:rsid w:val="00E25AA8"/>
    <w:rsid w:val="00E2634A"/>
    <w:rsid w:val="00E26E3D"/>
    <w:rsid w:val="00E26E86"/>
    <w:rsid w:val="00E27123"/>
    <w:rsid w:val="00E27157"/>
    <w:rsid w:val="00E27620"/>
    <w:rsid w:val="00E27965"/>
    <w:rsid w:val="00E30004"/>
    <w:rsid w:val="00E308A4"/>
    <w:rsid w:val="00E30A5B"/>
    <w:rsid w:val="00E31676"/>
    <w:rsid w:val="00E316EE"/>
    <w:rsid w:val="00E317D4"/>
    <w:rsid w:val="00E32107"/>
    <w:rsid w:val="00E34BBB"/>
    <w:rsid w:val="00E34E8B"/>
    <w:rsid w:val="00E34F6B"/>
    <w:rsid w:val="00E35346"/>
    <w:rsid w:val="00E3553A"/>
    <w:rsid w:val="00E3569A"/>
    <w:rsid w:val="00E35827"/>
    <w:rsid w:val="00E35E72"/>
    <w:rsid w:val="00E36419"/>
    <w:rsid w:val="00E369C9"/>
    <w:rsid w:val="00E36B2A"/>
    <w:rsid w:val="00E3719F"/>
    <w:rsid w:val="00E37290"/>
    <w:rsid w:val="00E378B5"/>
    <w:rsid w:val="00E4094E"/>
    <w:rsid w:val="00E40BA1"/>
    <w:rsid w:val="00E41313"/>
    <w:rsid w:val="00E41455"/>
    <w:rsid w:val="00E41C77"/>
    <w:rsid w:val="00E41D4E"/>
    <w:rsid w:val="00E41FE4"/>
    <w:rsid w:val="00E42AF7"/>
    <w:rsid w:val="00E42D2F"/>
    <w:rsid w:val="00E435A1"/>
    <w:rsid w:val="00E435DB"/>
    <w:rsid w:val="00E44073"/>
    <w:rsid w:val="00E441A2"/>
    <w:rsid w:val="00E441F5"/>
    <w:rsid w:val="00E446EB"/>
    <w:rsid w:val="00E447C8"/>
    <w:rsid w:val="00E44B02"/>
    <w:rsid w:val="00E44D1F"/>
    <w:rsid w:val="00E44E66"/>
    <w:rsid w:val="00E4548A"/>
    <w:rsid w:val="00E45CCB"/>
    <w:rsid w:val="00E45F8C"/>
    <w:rsid w:val="00E46002"/>
    <w:rsid w:val="00E462E5"/>
    <w:rsid w:val="00E46316"/>
    <w:rsid w:val="00E468E4"/>
    <w:rsid w:val="00E4692D"/>
    <w:rsid w:val="00E46C90"/>
    <w:rsid w:val="00E46DFA"/>
    <w:rsid w:val="00E4770D"/>
    <w:rsid w:val="00E47EBC"/>
    <w:rsid w:val="00E503BB"/>
    <w:rsid w:val="00E5090B"/>
    <w:rsid w:val="00E51227"/>
    <w:rsid w:val="00E51315"/>
    <w:rsid w:val="00E513C0"/>
    <w:rsid w:val="00E5157E"/>
    <w:rsid w:val="00E5162C"/>
    <w:rsid w:val="00E5198C"/>
    <w:rsid w:val="00E528F9"/>
    <w:rsid w:val="00E5290F"/>
    <w:rsid w:val="00E52A59"/>
    <w:rsid w:val="00E53049"/>
    <w:rsid w:val="00E530A4"/>
    <w:rsid w:val="00E5319C"/>
    <w:rsid w:val="00E536F5"/>
    <w:rsid w:val="00E53808"/>
    <w:rsid w:val="00E53E7E"/>
    <w:rsid w:val="00E53F7D"/>
    <w:rsid w:val="00E54047"/>
    <w:rsid w:val="00E541AF"/>
    <w:rsid w:val="00E54768"/>
    <w:rsid w:val="00E54905"/>
    <w:rsid w:val="00E54ECA"/>
    <w:rsid w:val="00E550A7"/>
    <w:rsid w:val="00E557AB"/>
    <w:rsid w:val="00E5590C"/>
    <w:rsid w:val="00E55985"/>
    <w:rsid w:val="00E56459"/>
    <w:rsid w:val="00E5666B"/>
    <w:rsid w:val="00E56B3A"/>
    <w:rsid w:val="00E57161"/>
    <w:rsid w:val="00E5749A"/>
    <w:rsid w:val="00E604BD"/>
    <w:rsid w:val="00E6063C"/>
    <w:rsid w:val="00E60646"/>
    <w:rsid w:val="00E60651"/>
    <w:rsid w:val="00E6068E"/>
    <w:rsid w:val="00E60803"/>
    <w:rsid w:val="00E60E09"/>
    <w:rsid w:val="00E60E11"/>
    <w:rsid w:val="00E6217D"/>
    <w:rsid w:val="00E622E9"/>
    <w:rsid w:val="00E6266B"/>
    <w:rsid w:val="00E6295B"/>
    <w:rsid w:val="00E62EA1"/>
    <w:rsid w:val="00E63B39"/>
    <w:rsid w:val="00E63BFB"/>
    <w:rsid w:val="00E647D7"/>
    <w:rsid w:val="00E64A03"/>
    <w:rsid w:val="00E64F82"/>
    <w:rsid w:val="00E65549"/>
    <w:rsid w:val="00E655FB"/>
    <w:rsid w:val="00E659C3"/>
    <w:rsid w:val="00E6604D"/>
    <w:rsid w:val="00E66A1D"/>
    <w:rsid w:val="00E66AAF"/>
    <w:rsid w:val="00E66CE1"/>
    <w:rsid w:val="00E66DB8"/>
    <w:rsid w:val="00E66DBF"/>
    <w:rsid w:val="00E6701E"/>
    <w:rsid w:val="00E67B29"/>
    <w:rsid w:val="00E67BCF"/>
    <w:rsid w:val="00E700FD"/>
    <w:rsid w:val="00E705E3"/>
    <w:rsid w:val="00E712E0"/>
    <w:rsid w:val="00E7163C"/>
    <w:rsid w:val="00E71CAF"/>
    <w:rsid w:val="00E726A1"/>
    <w:rsid w:val="00E7301B"/>
    <w:rsid w:val="00E73448"/>
    <w:rsid w:val="00E73A73"/>
    <w:rsid w:val="00E73BA8"/>
    <w:rsid w:val="00E74443"/>
    <w:rsid w:val="00E74581"/>
    <w:rsid w:val="00E74675"/>
    <w:rsid w:val="00E748FF"/>
    <w:rsid w:val="00E74EC4"/>
    <w:rsid w:val="00E753BE"/>
    <w:rsid w:val="00E758AA"/>
    <w:rsid w:val="00E75CA6"/>
    <w:rsid w:val="00E760C2"/>
    <w:rsid w:val="00E76384"/>
    <w:rsid w:val="00E766B7"/>
    <w:rsid w:val="00E76EB0"/>
    <w:rsid w:val="00E76FCD"/>
    <w:rsid w:val="00E7726D"/>
    <w:rsid w:val="00E77272"/>
    <w:rsid w:val="00E773F0"/>
    <w:rsid w:val="00E77ECC"/>
    <w:rsid w:val="00E77F14"/>
    <w:rsid w:val="00E8078F"/>
    <w:rsid w:val="00E80A66"/>
    <w:rsid w:val="00E80B4D"/>
    <w:rsid w:val="00E80E31"/>
    <w:rsid w:val="00E81542"/>
    <w:rsid w:val="00E81905"/>
    <w:rsid w:val="00E82310"/>
    <w:rsid w:val="00E82866"/>
    <w:rsid w:val="00E82AD6"/>
    <w:rsid w:val="00E835A7"/>
    <w:rsid w:val="00E8365F"/>
    <w:rsid w:val="00E846EA"/>
    <w:rsid w:val="00E847D6"/>
    <w:rsid w:val="00E849EC"/>
    <w:rsid w:val="00E84D92"/>
    <w:rsid w:val="00E858B2"/>
    <w:rsid w:val="00E858D7"/>
    <w:rsid w:val="00E85C2A"/>
    <w:rsid w:val="00E85C68"/>
    <w:rsid w:val="00E86489"/>
    <w:rsid w:val="00E866E4"/>
    <w:rsid w:val="00E86D2C"/>
    <w:rsid w:val="00E87E00"/>
    <w:rsid w:val="00E903CF"/>
    <w:rsid w:val="00E90F35"/>
    <w:rsid w:val="00E91059"/>
    <w:rsid w:val="00E91233"/>
    <w:rsid w:val="00E912BB"/>
    <w:rsid w:val="00E9145C"/>
    <w:rsid w:val="00E9152E"/>
    <w:rsid w:val="00E916E8"/>
    <w:rsid w:val="00E91B37"/>
    <w:rsid w:val="00E9256F"/>
    <w:rsid w:val="00E925F6"/>
    <w:rsid w:val="00E92964"/>
    <w:rsid w:val="00E92D68"/>
    <w:rsid w:val="00E9344F"/>
    <w:rsid w:val="00E935E4"/>
    <w:rsid w:val="00E948E6"/>
    <w:rsid w:val="00E94F2D"/>
    <w:rsid w:val="00E9556F"/>
    <w:rsid w:val="00E95ECE"/>
    <w:rsid w:val="00E960FA"/>
    <w:rsid w:val="00E96122"/>
    <w:rsid w:val="00E96699"/>
    <w:rsid w:val="00E972D4"/>
    <w:rsid w:val="00EA01FF"/>
    <w:rsid w:val="00EA0DB4"/>
    <w:rsid w:val="00EA1595"/>
    <w:rsid w:val="00EA1F21"/>
    <w:rsid w:val="00EA26A3"/>
    <w:rsid w:val="00EA270E"/>
    <w:rsid w:val="00EA2794"/>
    <w:rsid w:val="00EA30DA"/>
    <w:rsid w:val="00EA3310"/>
    <w:rsid w:val="00EA388D"/>
    <w:rsid w:val="00EA4613"/>
    <w:rsid w:val="00EA4767"/>
    <w:rsid w:val="00EA4A4B"/>
    <w:rsid w:val="00EA4ADC"/>
    <w:rsid w:val="00EA572A"/>
    <w:rsid w:val="00EA5890"/>
    <w:rsid w:val="00EA5B63"/>
    <w:rsid w:val="00EA6068"/>
    <w:rsid w:val="00EA6EF5"/>
    <w:rsid w:val="00EA7089"/>
    <w:rsid w:val="00EA73D7"/>
    <w:rsid w:val="00EA7BA6"/>
    <w:rsid w:val="00EA7CD0"/>
    <w:rsid w:val="00EB0202"/>
    <w:rsid w:val="00EB0DAE"/>
    <w:rsid w:val="00EB0E74"/>
    <w:rsid w:val="00EB251A"/>
    <w:rsid w:val="00EB2520"/>
    <w:rsid w:val="00EB2681"/>
    <w:rsid w:val="00EB2798"/>
    <w:rsid w:val="00EB2EDA"/>
    <w:rsid w:val="00EB30E8"/>
    <w:rsid w:val="00EB316D"/>
    <w:rsid w:val="00EB3408"/>
    <w:rsid w:val="00EB367A"/>
    <w:rsid w:val="00EB3842"/>
    <w:rsid w:val="00EB4092"/>
    <w:rsid w:val="00EB41D8"/>
    <w:rsid w:val="00EB4448"/>
    <w:rsid w:val="00EB4F6E"/>
    <w:rsid w:val="00EB57B3"/>
    <w:rsid w:val="00EB59C4"/>
    <w:rsid w:val="00EB5B6D"/>
    <w:rsid w:val="00EB5C5C"/>
    <w:rsid w:val="00EB60F8"/>
    <w:rsid w:val="00EB63C9"/>
    <w:rsid w:val="00EB63E8"/>
    <w:rsid w:val="00EB698E"/>
    <w:rsid w:val="00EB6C24"/>
    <w:rsid w:val="00EB7B19"/>
    <w:rsid w:val="00EB7C96"/>
    <w:rsid w:val="00EC0020"/>
    <w:rsid w:val="00EC0698"/>
    <w:rsid w:val="00EC0CF4"/>
    <w:rsid w:val="00EC0F96"/>
    <w:rsid w:val="00EC18C7"/>
    <w:rsid w:val="00EC19E8"/>
    <w:rsid w:val="00EC19F0"/>
    <w:rsid w:val="00EC1A5A"/>
    <w:rsid w:val="00EC1A8B"/>
    <w:rsid w:val="00EC1B1F"/>
    <w:rsid w:val="00EC1EBA"/>
    <w:rsid w:val="00EC210A"/>
    <w:rsid w:val="00EC2A13"/>
    <w:rsid w:val="00EC2D82"/>
    <w:rsid w:val="00EC31AD"/>
    <w:rsid w:val="00EC36D2"/>
    <w:rsid w:val="00EC4229"/>
    <w:rsid w:val="00EC46BE"/>
    <w:rsid w:val="00EC47D1"/>
    <w:rsid w:val="00EC4A53"/>
    <w:rsid w:val="00EC4AB3"/>
    <w:rsid w:val="00EC53D4"/>
    <w:rsid w:val="00EC5741"/>
    <w:rsid w:val="00EC594C"/>
    <w:rsid w:val="00EC59AE"/>
    <w:rsid w:val="00EC5ADA"/>
    <w:rsid w:val="00EC6595"/>
    <w:rsid w:val="00EC689A"/>
    <w:rsid w:val="00EC6C33"/>
    <w:rsid w:val="00EC6FF2"/>
    <w:rsid w:val="00EC7B75"/>
    <w:rsid w:val="00ED02AD"/>
    <w:rsid w:val="00ED074D"/>
    <w:rsid w:val="00ED09CC"/>
    <w:rsid w:val="00ED0C26"/>
    <w:rsid w:val="00ED0C2B"/>
    <w:rsid w:val="00ED1153"/>
    <w:rsid w:val="00ED182C"/>
    <w:rsid w:val="00ED1B86"/>
    <w:rsid w:val="00ED1C4E"/>
    <w:rsid w:val="00ED2DDA"/>
    <w:rsid w:val="00ED35B4"/>
    <w:rsid w:val="00ED37DB"/>
    <w:rsid w:val="00ED39D1"/>
    <w:rsid w:val="00ED3AA5"/>
    <w:rsid w:val="00ED3B7B"/>
    <w:rsid w:val="00ED3C92"/>
    <w:rsid w:val="00ED43F5"/>
    <w:rsid w:val="00ED4509"/>
    <w:rsid w:val="00ED4C26"/>
    <w:rsid w:val="00ED4E5A"/>
    <w:rsid w:val="00ED55C6"/>
    <w:rsid w:val="00ED5ED1"/>
    <w:rsid w:val="00ED5EFC"/>
    <w:rsid w:val="00ED6434"/>
    <w:rsid w:val="00ED695C"/>
    <w:rsid w:val="00ED727F"/>
    <w:rsid w:val="00ED753A"/>
    <w:rsid w:val="00ED79E5"/>
    <w:rsid w:val="00ED7F60"/>
    <w:rsid w:val="00EE0278"/>
    <w:rsid w:val="00EE053D"/>
    <w:rsid w:val="00EE0970"/>
    <w:rsid w:val="00EE0C3E"/>
    <w:rsid w:val="00EE0CC4"/>
    <w:rsid w:val="00EE0EDD"/>
    <w:rsid w:val="00EE1227"/>
    <w:rsid w:val="00EE14F0"/>
    <w:rsid w:val="00EE182F"/>
    <w:rsid w:val="00EE18A4"/>
    <w:rsid w:val="00EE18D5"/>
    <w:rsid w:val="00EE203D"/>
    <w:rsid w:val="00EE20A2"/>
    <w:rsid w:val="00EE2DDF"/>
    <w:rsid w:val="00EE3825"/>
    <w:rsid w:val="00EE39A6"/>
    <w:rsid w:val="00EE4207"/>
    <w:rsid w:val="00EE451E"/>
    <w:rsid w:val="00EE4A9D"/>
    <w:rsid w:val="00EE4D2C"/>
    <w:rsid w:val="00EE4F03"/>
    <w:rsid w:val="00EE4F2E"/>
    <w:rsid w:val="00EE5008"/>
    <w:rsid w:val="00EE62BF"/>
    <w:rsid w:val="00EE6A9D"/>
    <w:rsid w:val="00EE71F9"/>
    <w:rsid w:val="00EE7214"/>
    <w:rsid w:val="00EE7ADC"/>
    <w:rsid w:val="00EE7B06"/>
    <w:rsid w:val="00EE7BC8"/>
    <w:rsid w:val="00EE7DC4"/>
    <w:rsid w:val="00EF0930"/>
    <w:rsid w:val="00EF0C4C"/>
    <w:rsid w:val="00EF1837"/>
    <w:rsid w:val="00EF1A78"/>
    <w:rsid w:val="00EF1D0B"/>
    <w:rsid w:val="00EF3966"/>
    <w:rsid w:val="00EF4778"/>
    <w:rsid w:val="00EF4B91"/>
    <w:rsid w:val="00EF55A8"/>
    <w:rsid w:val="00EF5E25"/>
    <w:rsid w:val="00EF6019"/>
    <w:rsid w:val="00EF63B1"/>
    <w:rsid w:val="00EF6BC9"/>
    <w:rsid w:val="00EF6E86"/>
    <w:rsid w:val="00EF7306"/>
    <w:rsid w:val="00EF7672"/>
    <w:rsid w:val="00EF7BE6"/>
    <w:rsid w:val="00F00913"/>
    <w:rsid w:val="00F00A6A"/>
    <w:rsid w:val="00F00B38"/>
    <w:rsid w:val="00F00DD9"/>
    <w:rsid w:val="00F00E6E"/>
    <w:rsid w:val="00F012A6"/>
    <w:rsid w:val="00F013B4"/>
    <w:rsid w:val="00F016A5"/>
    <w:rsid w:val="00F017DD"/>
    <w:rsid w:val="00F01901"/>
    <w:rsid w:val="00F01A1A"/>
    <w:rsid w:val="00F01C80"/>
    <w:rsid w:val="00F01CCA"/>
    <w:rsid w:val="00F01EDE"/>
    <w:rsid w:val="00F0243B"/>
    <w:rsid w:val="00F0280C"/>
    <w:rsid w:val="00F02C9A"/>
    <w:rsid w:val="00F03039"/>
    <w:rsid w:val="00F0343C"/>
    <w:rsid w:val="00F03BBD"/>
    <w:rsid w:val="00F0409A"/>
    <w:rsid w:val="00F04143"/>
    <w:rsid w:val="00F045C9"/>
    <w:rsid w:val="00F049D2"/>
    <w:rsid w:val="00F04A66"/>
    <w:rsid w:val="00F04ABC"/>
    <w:rsid w:val="00F04F68"/>
    <w:rsid w:val="00F064E5"/>
    <w:rsid w:val="00F06D80"/>
    <w:rsid w:val="00F06F97"/>
    <w:rsid w:val="00F07103"/>
    <w:rsid w:val="00F074C3"/>
    <w:rsid w:val="00F0757E"/>
    <w:rsid w:val="00F079D7"/>
    <w:rsid w:val="00F07AA9"/>
    <w:rsid w:val="00F07CA3"/>
    <w:rsid w:val="00F07D63"/>
    <w:rsid w:val="00F07FF7"/>
    <w:rsid w:val="00F10425"/>
    <w:rsid w:val="00F10F1D"/>
    <w:rsid w:val="00F11741"/>
    <w:rsid w:val="00F126B0"/>
    <w:rsid w:val="00F129F0"/>
    <w:rsid w:val="00F12E5A"/>
    <w:rsid w:val="00F143B7"/>
    <w:rsid w:val="00F146BD"/>
    <w:rsid w:val="00F14B09"/>
    <w:rsid w:val="00F14F55"/>
    <w:rsid w:val="00F15215"/>
    <w:rsid w:val="00F1557D"/>
    <w:rsid w:val="00F1558B"/>
    <w:rsid w:val="00F15E52"/>
    <w:rsid w:val="00F15EB6"/>
    <w:rsid w:val="00F16C4F"/>
    <w:rsid w:val="00F170D2"/>
    <w:rsid w:val="00F1728E"/>
    <w:rsid w:val="00F17996"/>
    <w:rsid w:val="00F17BAB"/>
    <w:rsid w:val="00F17CC9"/>
    <w:rsid w:val="00F20203"/>
    <w:rsid w:val="00F206E8"/>
    <w:rsid w:val="00F20BFE"/>
    <w:rsid w:val="00F20F5F"/>
    <w:rsid w:val="00F21457"/>
    <w:rsid w:val="00F21A3B"/>
    <w:rsid w:val="00F21EEA"/>
    <w:rsid w:val="00F22148"/>
    <w:rsid w:val="00F22BA4"/>
    <w:rsid w:val="00F22EF5"/>
    <w:rsid w:val="00F235B1"/>
    <w:rsid w:val="00F23B50"/>
    <w:rsid w:val="00F23E1B"/>
    <w:rsid w:val="00F23FA5"/>
    <w:rsid w:val="00F23FB5"/>
    <w:rsid w:val="00F25184"/>
    <w:rsid w:val="00F25401"/>
    <w:rsid w:val="00F257FE"/>
    <w:rsid w:val="00F2582D"/>
    <w:rsid w:val="00F25E12"/>
    <w:rsid w:val="00F26056"/>
    <w:rsid w:val="00F26095"/>
    <w:rsid w:val="00F2645E"/>
    <w:rsid w:val="00F265BF"/>
    <w:rsid w:val="00F269A7"/>
    <w:rsid w:val="00F26A53"/>
    <w:rsid w:val="00F26AC1"/>
    <w:rsid w:val="00F271D3"/>
    <w:rsid w:val="00F273C1"/>
    <w:rsid w:val="00F301C2"/>
    <w:rsid w:val="00F302B8"/>
    <w:rsid w:val="00F30AE8"/>
    <w:rsid w:val="00F30BC8"/>
    <w:rsid w:val="00F30D1D"/>
    <w:rsid w:val="00F310C8"/>
    <w:rsid w:val="00F3127E"/>
    <w:rsid w:val="00F3136F"/>
    <w:rsid w:val="00F31779"/>
    <w:rsid w:val="00F31FA4"/>
    <w:rsid w:val="00F323BC"/>
    <w:rsid w:val="00F326C5"/>
    <w:rsid w:val="00F32A46"/>
    <w:rsid w:val="00F32DC6"/>
    <w:rsid w:val="00F32E50"/>
    <w:rsid w:val="00F33103"/>
    <w:rsid w:val="00F3334B"/>
    <w:rsid w:val="00F3526A"/>
    <w:rsid w:val="00F35270"/>
    <w:rsid w:val="00F3564F"/>
    <w:rsid w:val="00F35F18"/>
    <w:rsid w:val="00F360FF"/>
    <w:rsid w:val="00F3611C"/>
    <w:rsid w:val="00F36195"/>
    <w:rsid w:val="00F3643F"/>
    <w:rsid w:val="00F36C85"/>
    <w:rsid w:val="00F37034"/>
    <w:rsid w:val="00F3766D"/>
    <w:rsid w:val="00F405A3"/>
    <w:rsid w:val="00F406D2"/>
    <w:rsid w:val="00F40A16"/>
    <w:rsid w:val="00F41FE8"/>
    <w:rsid w:val="00F42387"/>
    <w:rsid w:val="00F42630"/>
    <w:rsid w:val="00F4282E"/>
    <w:rsid w:val="00F42F34"/>
    <w:rsid w:val="00F43CAE"/>
    <w:rsid w:val="00F446DB"/>
    <w:rsid w:val="00F44FE2"/>
    <w:rsid w:val="00F45725"/>
    <w:rsid w:val="00F46092"/>
    <w:rsid w:val="00F462FE"/>
    <w:rsid w:val="00F46895"/>
    <w:rsid w:val="00F469D4"/>
    <w:rsid w:val="00F46AF4"/>
    <w:rsid w:val="00F47513"/>
    <w:rsid w:val="00F476E5"/>
    <w:rsid w:val="00F47C96"/>
    <w:rsid w:val="00F47F30"/>
    <w:rsid w:val="00F50347"/>
    <w:rsid w:val="00F50B90"/>
    <w:rsid w:val="00F50F53"/>
    <w:rsid w:val="00F50FFA"/>
    <w:rsid w:val="00F5105E"/>
    <w:rsid w:val="00F514CC"/>
    <w:rsid w:val="00F51663"/>
    <w:rsid w:val="00F51688"/>
    <w:rsid w:val="00F51AC4"/>
    <w:rsid w:val="00F51B4D"/>
    <w:rsid w:val="00F521B3"/>
    <w:rsid w:val="00F5256A"/>
    <w:rsid w:val="00F52CDE"/>
    <w:rsid w:val="00F52F14"/>
    <w:rsid w:val="00F53CA9"/>
    <w:rsid w:val="00F54612"/>
    <w:rsid w:val="00F54834"/>
    <w:rsid w:val="00F55759"/>
    <w:rsid w:val="00F55D2C"/>
    <w:rsid w:val="00F567D5"/>
    <w:rsid w:val="00F56A00"/>
    <w:rsid w:val="00F56A53"/>
    <w:rsid w:val="00F56E64"/>
    <w:rsid w:val="00F56EE4"/>
    <w:rsid w:val="00F571DC"/>
    <w:rsid w:val="00F57394"/>
    <w:rsid w:val="00F5788F"/>
    <w:rsid w:val="00F57963"/>
    <w:rsid w:val="00F600A0"/>
    <w:rsid w:val="00F604FC"/>
    <w:rsid w:val="00F6127C"/>
    <w:rsid w:val="00F612BB"/>
    <w:rsid w:val="00F619CF"/>
    <w:rsid w:val="00F61D91"/>
    <w:rsid w:val="00F621BB"/>
    <w:rsid w:val="00F625EB"/>
    <w:rsid w:val="00F62824"/>
    <w:rsid w:val="00F62942"/>
    <w:rsid w:val="00F62C61"/>
    <w:rsid w:val="00F62DBA"/>
    <w:rsid w:val="00F63192"/>
    <w:rsid w:val="00F6399E"/>
    <w:rsid w:val="00F64748"/>
    <w:rsid w:val="00F649D8"/>
    <w:rsid w:val="00F64D97"/>
    <w:rsid w:val="00F64E51"/>
    <w:rsid w:val="00F65172"/>
    <w:rsid w:val="00F652B0"/>
    <w:rsid w:val="00F65B91"/>
    <w:rsid w:val="00F662F8"/>
    <w:rsid w:val="00F663E5"/>
    <w:rsid w:val="00F667E4"/>
    <w:rsid w:val="00F66E8F"/>
    <w:rsid w:val="00F6761B"/>
    <w:rsid w:val="00F6778B"/>
    <w:rsid w:val="00F6787E"/>
    <w:rsid w:val="00F6796B"/>
    <w:rsid w:val="00F67F7D"/>
    <w:rsid w:val="00F70876"/>
    <w:rsid w:val="00F708DF"/>
    <w:rsid w:val="00F71109"/>
    <w:rsid w:val="00F71485"/>
    <w:rsid w:val="00F7160F"/>
    <w:rsid w:val="00F719E0"/>
    <w:rsid w:val="00F71CA9"/>
    <w:rsid w:val="00F72265"/>
    <w:rsid w:val="00F72649"/>
    <w:rsid w:val="00F727AD"/>
    <w:rsid w:val="00F72A81"/>
    <w:rsid w:val="00F72D3A"/>
    <w:rsid w:val="00F73472"/>
    <w:rsid w:val="00F73EFF"/>
    <w:rsid w:val="00F7419D"/>
    <w:rsid w:val="00F74293"/>
    <w:rsid w:val="00F7434E"/>
    <w:rsid w:val="00F747DD"/>
    <w:rsid w:val="00F74B24"/>
    <w:rsid w:val="00F75679"/>
    <w:rsid w:val="00F75723"/>
    <w:rsid w:val="00F75C3E"/>
    <w:rsid w:val="00F75C5E"/>
    <w:rsid w:val="00F75D53"/>
    <w:rsid w:val="00F75E97"/>
    <w:rsid w:val="00F76057"/>
    <w:rsid w:val="00F76463"/>
    <w:rsid w:val="00F76779"/>
    <w:rsid w:val="00F7738B"/>
    <w:rsid w:val="00F77451"/>
    <w:rsid w:val="00F77674"/>
    <w:rsid w:val="00F77792"/>
    <w:rsid w:val="00F77A98"/>
    <w:rsid w:val="00F77B9B"/>
    <w:rsid w:val="00F80699"/>
    <w:rsid w:val="00F80C6C"/>
    <w:rsid w:val="00F80E56"/>
    <w:rsid w:val="00F811EC"/>
    <w:rsid w:val="00F816BB"/>
    <w:rsid w:val="00F81816"/>
    <w:rsid w:val="00F82AA9"/>
    <w:rsid w:val="00F82B61"/>
    <w:rsid w:val="00F82D59"/>
    <w:rsid w:val="00F82E64"/>
    <w:rsid w:val="00F832D4"/>
    <w:rsid w:val="00F8353D"/>
    <w:rsid w:val="00F8355E"/>
    <w:rsid w:val="00F83CB3"/>
    <w:rsid w:val="00F83D16"/>
    <w:rsid w:val="00F83EFD"/>
    <w:rsid w:val="00F83F38"/>
    <w:rsid w:val="00F83FDB"/>
    <w:rsid w:val="00F842AD"/>
    <w:rsid w:val="00F86239"/>
    <w:rsid w:val="00F86551"/>
    <w:rsid w:val="00F866E3"/>
    <w:rsid w:val="00F8670C"/>
    <w:rsid w:val="00F870E1"/>
    <w:rsid w:val="00F909FE"/>
    <w:rsid w:val="00F90A2E"/>
    <w:rsid w:val="00F90FB8"/>
    <w:rsid w:val="00F91A45"/>
    <w:rsid w:val="00F929D1"/>
    <w:rsid w:val="00F92E1A"/>
    <w:rsid w:val="00F92E20"/>
    <w:rsid w:val="00F9384F"/>
    <w:rsid w:val="00F941F7"/>
    <w:rsid w:val="00F9485D"/>
    <w:rsid w:val="00F94D38"/>
    <w:rsid w:val="00F94D56"/>
    <w:rsid w:val="00F94E7E"/>
    <w:rsid w:val="00F94FFE"/>
    <w:rsid w:val="00F955AD"/>
    <w:rsid w:val="00F95B33"/>
    <w:rsid w:val="00F9620C"/>
    <w:rsid w:val="00F96325"/>
    <w:rsid w:val="00F96A71"/>
    <w:rsid w:val="00F96C40"/>
    <w:rsid w:val="00F971EF"/>
    <w:rsid w:val="00F9765B"/>
    <w:rsid w:val="00FA0C29"/>
    <w:rsid w:val="00FA0F02"/>
    <w:rsid w:val="00FA1423"/>
    <w:rsid w:val="00FA16CE"/>
    <w:rsid w:val="00FA21D1"/>
    <w:rsid w:val="00FA235F"/>
    <w:rsid w:val="00FA2435"/>
    <w:rsid w:val="00FA2543"/>
    <w:rsid w:val="00FA2A6B"/>
    <w:rsid w:val="00FA2ACC"/>
    <w:rsid w:val="00FA2B3B"/>
    <w:rsid w:val="00FA2D35"/>
    <w:rsid w:val="00FA2E23"/>
    <w:rsid w:val="00FA30C9"/>
    <w:rsid w:val="00FA324E"/>
    <w:rsid w:val="00FA3336"/>
    <w:rsid w:val="00FA344C"/>
    <w:rsid w:val="00FA4C78"/>
    <w:rsid w:val="00FA4F7F"/>
    <w:rsid w:val="00FA506D"/>
    <w:rsid w:val="00FA5470"/>
    <w:rsid w:val="00FA585F"/>
    <w:rsid w:val="00FA5C45"/>
    <w:rsid w:val="00FA652C"/>
    <w:rsid w:val="00FA6ABB"/>
    <w:rsid w:val="00FA7127"/>
    <w:rsid w:val="00FA7517"/>
    <w:rsid w:val="00FB0C82"/>
    <w:rsid w:val="00FB1371"/>
    <w:rsid w:val="00FB1543"/>
    <w:rsid w:val="00FB18AA"/>
    <w:rsid w:val="00FB19D0"/>
    <w:rsid w:val="00FB24EC"/>
    <w:rsid w:val="00FB28C4"/>
    <w:rsid w:val="00FB2E4B"/>
    <w:rsid w:val="00FB2FF1"/>
    <w:rsid w:val="00FB30B4"/>
    <w:rsid w:val="00FB38EF"/>
    <w:rsid w:val="00FB39BC"/>
    <w:rsid w:val="00FB3AF1"/>
    <w:rsid w:val="00FB4869"/>
    <w:rsid w:val="00FB60B4"/>
    <w:rsid w:val="00FB61F0"/>
    <w:rsid w:val="00FB73DC"/>
    <w:rsid w:val="00FB799F"/>
    <w:rsid w:val="00FC0716"/>
    <w:rsid w:val="00FC0811"/>
    <w:rsid w:val="00FC1F51"/>
    <w:rsid w:val="00FC2962"/>
    <w:rsid w:val="00FC3267"/>
    <w:rsid w:val="00FC36CB"/>
    <w:rsid w:val="00FC36FC"/>
    <w:rsid w:val="00FC3DE5"/>
    <w:rsid w:val="00FC4602"/>
    <w:rsid w:val="00FC4680"/>
    <w:rsid w:val="00FC469D"/>
    <w:rsid w:val="00FC514D"/>
    <w:rsid w:val="00FC548C"/>
    <w:rsid w:val="00FC54F7"/>
    <w:rsid w:val="00FC56E7"/>
    <w:rsid w:val="00FC5C1B"/>
    <w:rsid w:val="00FC6DDD"/>
    <w:rsid w:val="00FC77C7"/>
    <w:rsid w:val="00FD0148"/>
    <w:rsid w:val="00FD0435"/>
    <w:rsid w:val="00FD0720"/>
    <w:rsid w:val="00FD0C35"/>
    <w:rsid w:val="00FD1387"/>
    <w:rsid w:val="00FD16F9"/>
    <w:rsid w:val="00FD183F"/>
    <w:rsid w:val="00FD1D02"/>
    <w:rsid w:val="00FD2084"/>
    <w:rsid w:val="00FD2A1D"/>
    <w:rsid w:val="00FD3189"/>
    <w:rsid w:val="00FD3482"/>
    <w:rsid w:val="00FD3544"/>
    <w:rsid w:val="00FD367E"/>
    <w:rsid w:val="00FD38CC"/>
    <w:rsid w:val="00FD391B"/>
    <w:rsid w:val="00FD39F9"/>
    <w:rsid w:val="00FD4253"/>
    <w:rsid w:val="00FD4C28"/>
    <w:rsid w:val="00FD4EBF"/>
    <w:rsid w:val="00FD4FB8"/>
    <w:rsid w:val="00FD563D"/>
    <w:rsid w:val="00FD5B78"/>
    <w:rsid w:val="00FD5ED3"/>
    <w:rsid w:val="00FD647F"/>
    <w:rsid w:val="00FD6D81"/>
    <w:rsid w:val="00FD7458"/>
    <w:rsid w:val="00FD75F3"/>
    <w:rsid w:val="00FD7F64"/>
    <w:rsid w:val="00FE0558"/>
    <w:rsid w:val="00FE06D3"/>
    <w:rsid w:val="00FE06E3"/>
    <w:rsid w:val="00FE0969"/>
    <w:rsid w:val="00FE0AAD"/>
    <w:rsid w:val="00FE1578"/>
    <w:rsid w:val="00FE17F9"/>
    <w:rsid w:val="00FE1EDD"/>
    <w:rsid w:val="00FE20A0"/>
    <w:rsid w:val="00FE2120"/>
    <w:rsid w:val="00FE26AD"/>
    <w:rsid w:val="00FE31FF"/>
    <w:rsid w:val="00FE4302"/>
    <w:rsid w:val="00FE4370"/>
    <w:rsid w:val="00FE45D8"/>
    <w:rsid w:val="00FE4E49"/>
    <w:rsid w:val="00FE5549"/>
    <w:rsid w:val="00FE56A2"/>
    <w:rsid w:val="00FE59DC"/>
    <w:rsid w:val="00FE5A77"/>
    <w:rsid w:val="00FE5F4C"/>
    <w:rsid w:val="00FE647A"/>
    <w:rsid w:val="00FE6632"/>
    <w:rsid w:val="00FE69FB"/>
    <w:rsid w:val="00FE6C5C"/>
    <w:rsid w:val="00FE7337"/>
    <w:rsid w:val="00FF070C"/>
    <w:rsid w:val="00FF0F15"/>
    <w:rsid w:val="00FF10AE"/>
    <w:rsid w:val="00FF175A"/>
    <w:rsid w:val="00FF1A26"/>
    <w:rsid w:val="00FF1CD3"/>
    <w:rsid w:val="00FF1EDF"/>
    <w:rsid w:val="00FF326B"/>
    <w:rsid w:val="00FF3F05"/>
    <w:rsid w:val="00FF446E"/>
    <w:rsid w:val="00FF45AA"/>
    <w:rsid w:val="00FF4A8F"/>
    <w:rsid w:val="00FF4C64"/>
    <w:rsid w:val="00FF5297"/>
    <w:rsid w:val="00FF63C2"/>
    <w:rsid w:val="00FF6602"/>
    <w:rsid w:val="00FF66F9"/>
    <w:rsid w:val="00FF681C"/>
    <w:rsid w:val="00FF7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colormru v:ext="edit" colors="#002a6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page number"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1"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1"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1"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qFormat="1"/>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qFormat="1"/>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389"/>
    <w:pPr>
      <w:spacing w:before="120" w:after="120" w:line="276" w:lineRule="auto"/>
      <w:jc w:val="both"/>
    </w:pPr>
    <w:rPr>
      <w:lang w:val="en-AU"/>
    </w:rPr>
  </w:style>
  <w:style w:type="paragraph" w:styleId="Heading1">
    <w:name w:val="heading 1"/>
    <w:basedOn w:val="Normal"/>
    <w:next w:val="Normal"/>
    <w:link w:val="Heading1Char"/>
    <w:uiPriority w:val="9"/>
    <w:qFormat/>
    <w:rsid w:val="007D685B"/>
    <w:pPr>
      <w:keepNext/>
      <w:numPr>
        <w:numId w:val="6"/>
      </w:numPr>
      <w:ind w:left="720" w:hanging="720"/>
      <w:outlineLvl w:val="0"/>
    </w:pPr>
    <w:rPr>
      <w:rFonts w:asciiTheme="minorHAnsi" w:hAnsiTheme="minorHAnsi" w:cstheme="minorHAnsi"/>
      <w:b/>
      <w:bCs/>
      <w:color w:val="003880"/>
      <w:kern w:val="32"/>
      <w:sz w:val="28"/>
      <w:szCs w:val="28"/>
    </w:rPr>
  </w:style>
  <w:style w:type="paragraph" w:styleId="Heading2">
    <w:name w:val="heading 2"/>
    <w:basedOn w:val="Normal"/>
    <w:next w:val="Normal"/>
    <w:link w:val="Heading2Char"/>
    <w:qFormat/>
    <w:rsid w:val="00D363F0"/>
    <w:pPr>
      <w:keepNext/>
      <w:numPr>
        <w:ilvl w:val="1"/>
        <w:numId w:val="6"/>
      </w:numPr>
      <w:spacing w:before="360"/>
      <w:ind w:hanging="720"/>
      <w:outlineLvl w:val="1"/>
    </w:pPr>
    <w:rPr>
      <w:b/>
      <w:bCs/>
      <w:iCs/>
      <w:color w:val="003880"/>
      <w:sz w:val="24"/>
      <w:szCs w:val="24"/>
    </w:rPr>
  </w:style>
  <w:style w:type="paragraph" w:styleId="Heading3">
    <w:name w:val="heading 3"/>
    <w:basedOn w:val="Normal"/>
    <w:next w:val="Normal"/>
    <w:link w:val="Heading3Char"/>
    <w:qFormat/>
    <w:rsid w:val="00DC41F6"/>
    <w:pPr>
      <w:keepNext/>
      <w:numPr>
        <w:ilvl w:val="2"/>
        <w:numId w:val="6"/>
      </w:numPr>
      <w:ind w:left="709" w:hanging="709"/>
      <w:outlineLvl w:val="2"/>
    </w:pPr>
    <w:rPr>
      <w:bCs/>
      <w:color w:val="003880"/>
      <w:sz w:val="24"/>
      <w:szCs w:val="28"/>
    </w:rPr>
  </w:style>
  <w:style w:type="paragraph" w:styleId="Heading4">
    <w:name w:val="heading 4"/>
    <w:basedOn w:val="Normal"/>
    <w:next w:val="Normal"/>
    <w:link w:val="Heading4Char"/>
    <w:qFormat/>
    <w:rsid w:val="00643C39"/>
    <w:pPr>
      <w:keepNext/>
      <w:numPr>
        <w:ilvl w:val="3"/>
        <w:numId w:val="6"/>
      </w:numPr>
      <w:spacing w:before="240" w:after="60"/>
      <w:outlineLvl w:val="3"/>
    </w:pPr>
    <w:rPr>
      <w:b/>
      <w:bCs/>
      <w:sz w:val="24"/>
      <w:szCs w:val="28"/>
    </w:rPr>
  </w:style>
  <w:style w:type="paragraph" w:styleId="Heading5">
    <w:name w:val="heading 5"/>
    <w:basedOn w:val="Normal"/>
    <w:next w:val="Normal"/>
    <w:qFormat/>
    <w:rsid w:val="00643C39"/>
    <w:pPr>
      <w:numPr>
        <w:ilvl w:val="4"/>
        <w:numId w:val="3"/>
      </w:numPr>
      <w:spacing w:before="240" w:after="60"/>
      <w:outlineLvl w:val="4"/>
    </w:pPr>
    <w:rPr>
      <w:b/>
      <w:bCs/>
      <w:i/>
      <w:iCs/>
      <w:sz w:val="26"/>
      <w:szCs w:val="26"/>
    </w:rPr>
  </w:style>
  <w:style w:type="paragraph" w:styleId="Heading6">
    <w:name w:val="heading 6"/>
    <w:basedOn w:val="Normal"/>
    <w:next w:val="Normal"/>
    <w:qFormat/>
    <w:rsid w:val="00643C39"/>
    <w:pPr>
      <w:numPr>
        <w:ilvl w:val="5"/>
        <w:numId w:val="3"/>
      </w:numPr>
      <w:spacing w:before="240" w:after="60"/>
      <w:outlineLvl w:val="5"/>
    </w:pPr>
    <w:rPr>
      <w:b/>
      <w:bCs/>
    </w:rPr>
  </w:style>
  <w:style w:type="paragraph" w:styleId="Heading7">
    <w:name w:val="heading 7"/>
    <w:basedOn w:val="Normal"/>
    <w:next w:val="Normal"/>
    <w:qFormat/>
    <w:rsid w:val="00643C39"/>
    <w:pPr>
      <w:numPr>
        <w:ilvl w:val="6"/>
        <w:numId w:val="3"/>
      </w:numPr>
      <w:spacing w:before="240" w:after="60"/>
      <w:outlineLvl w:val="6"/>
    </w:pPr>
  </w:style>
  <w:style w:type="paragraph" w:styleId="Heading8">
    <w:name w:val="heading 8"/>
    <w:basedOn w:val="Normal"/>
    <w:next w:val="Normal"/>
    <w:qFormat/>
    <w:rsid w:val="00643C39"/>
    <w:pPr>
      <w:numPr>
        <w:ilvl w:val="7"/>
        <w:numId w:val="3"/>
      </w:numPr>
      <w:spacing w:before="240" w:after="60"/>
      <w:outlineLvl w:val="7"/>
    </w:pPr>
    <w:rPr>
      <w:i/>
      <w:iCs/>
    </w:rPr>
  </w:style>
  <w:style w:type="paragraph" w:styleId="Heading9">
    <w:name w:val="heading 9"/>
    <w:basedOn w:val="Normal"/>
    <w:next w:val="Normal"/>
    <w:qFormat/>
    <w:rsid w:val="00643C39"/>
    <w:pPr>
      <w:numPr>
        <w:ilvl w:val="8"/>
        <w:numId w:val="3"/>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D685B"/>
    <w:rPr>
      <w:rFonts w:asciiTheme="minorHAnsi" w:hAnsiTheme="minorHAnsi" w:cstheme="minorHAnsi"/>
      <w:b/>
      <w:bCs/>
      <w:color w:val="003880"/>
      <w:kern w:val="32"/>
      <w:sz w:val="28"/>
      <w:szCs w:val="28"/>
      <w:lang w:val="en-AU"/>
    </w:rPr>
  </w:style>
  <w:style w:type="character" w:customStyle="1" w:styleId="Heading2Char">
    <w:name w:val="Heading 2 Char"/>
    <w:link w:val="Heading2"/>
    <w:rsid w:val="00D363F0"/>
    <w:rPr>
      <w:b/>
      <w:bCs/>
      <w:iCs/>
      <w:color w:val="003880"/>
      <w:sz w:val="24"/>
      <w:szCs w:val="24"/>
      <w:lang w:val="en-AU"/>
    </w:rPr>
  </w:style>
  <w:style w:type="character" w:customStyle="1" w:styleId="Heading3Char">
    <w:name w:val="Heading 3 Char"/>
    <w:link w:val="Heading3"/>
    <w:rsid w:val="00DC41F6"/>
    <w:rPr>
      <w:bCs/>
      <w:color w:val="003880"/>
      <w:sz w:val="24"/>
      <w:szCs w:val="28"/>
      <w:lang w:val="en-AU"/>
    </w:rPr>
  </w:style>
  <w:style w:type="paragraph" w:styleId="Footer">
    <w:name w:val="footer"/>
    <w:basedOn w:val="Normal"/>
    <w:link w:val="FooterChar"/>
    <w:uiPriority w:val="99"/>
    <w:rsid w:val="005F5956"/>
    <w:pPr>
      <w:tabs>
        <w:tab w:val="center" w:pos="4320"/>
        <w:tab w:val="right" w:pos="8640"/>
      </w:tabs>
    </w:pPr>
    <w:rPr>
      <w:b/>
      <w:caps/>
      <w:sz w:val="16"/>
      <w:szCs w:val="16"/>
    </w:rPr>
  </w:style>
  <w:style w:type="character" w:customStyle="1" w:styleId="FooterChar">
    <w:name w:val="Footer Char"/>
    <w:link w:val="Footer"/>
    <w:uiPriority w:val="99"/>
    <w:rsid w:val="00623899"/>
    <w:rPr>
      <w:rFonts w:ascii="Gill Sans MT" w:hAnsi="Gill Sans MT"/>
      <w:b/>
      <w:caps/>
      <w:sz w:val="16"/>
      <w:szCs w:val="16"/>
    </w:rPr>
  </w:style>
  <w:style w:type="character" w:styleId="FootnoteReference">
    <w:name w:val="footnote reference"/>
    <w:aliases w:val=" BVI fnr,BVI fnr,ftref,referencia nota al pie,footnote ref,16 Point,Superscript 6 Point,fr,(NECG) Footnote Reference"/>
    <w:uiPriority w:val="99"/>
    <w:rsid w:val="00890B09"/>
    <w:rPr>
      <w:rFonts w:ascii="Times New Roman" w:hAnsi="Times New Roman"/>
      <w:sz w:val="22"/>
      <w:szCs w:val="22"/>
      <w:vertAlign w:val="superscript"/>
    </w:rPr>
  </w:style>
  <w:style w:type="paragraph" w:styleId="Header">
    <w:name w:val="header"/>
    <w:basedOn w:val="Normal"/>
    <w:link w:val="HeaderChar"/>
    <w:uiPriority w:val="99"/>
    <w:rsid w:val="006A672B"/>
    <w:pPr>
      <w:tabs>
        <w:tab w:val="center" w:pos="4320"/>
        <w:tab w:val="right" w:pos="8640"/>
      </w:tabs>
    </w:pPr>
    <w:rPr>
      <w:caps/>
      <w:sz w:val="16"/>
      <w:szCs w:val="16"/>
    </w:rPr>
  </w:style>
  <w:style w:type="character" w:customStyle="1" w:styleId="HeaderChar">
    <w:name w:val="Header Char"/>
    <w:link w:val="Header"/>
    <w:uiPriority w:val="99"/>
    <w:rsid w:val="006A672B"/>
    <w:rPr>
      <w:rFonts w:ascii="Gill Sans MT" w:hAnsi="Gill Sans MT"/>
      <w:caps/>
      <w:sz w:val="16"/>
      <w:szCs w:val="16"/>
    </w:rPr>
  </w:style>
  <w:style w:type="paragraph" w:styleId="ListNumber">
    <w:name w:val="List Number"/>
    <w:basedOn w:val="Normal"/>
    <w:rsid w:val="00890B09"/>
    <w:pPr>
      <w:tabs>
        <w:tab w:val="num" w:pos="360"/>
      </w:tabs>
    </w:pPr>
  </w:style>
  <w:style w:type="paragraph" w:styleId="List">
    <w:name w:val="List"/>
    <w:basedOn w:val="Normal"/>
    <w:rsid w:val="00890B09"/>
    <w:pPr>
      <w:ind w:left="360" w:hanging="360"/>
    </w:pPr>
  </w:style>
  <w:style w:type="character" w:styleId="PageNumber">
    <w:name w:val="page number"/>
    <w:qFormat/>
    <w:rsid w:val="00D14AFA"/>
    <w:rPr>
      <w:rFonts w:ascii="Calibri" w:hAnsi="Calibri" w:cs="Calibri"/>
      <w:color w:val="595959" w:themeColor="text1" w:themeTint="A6"/>
      <w:sz w:val="24"/>
    </w:rPr>
  </w:style>
  <w:style w:type="paragraph" w:styleId="TableofFigures">
    <w:name w:val="table of figures"/>
    <w:basedOn w:val="Normal"/>
    <w:next w:val="Normal"/>
    <w:uiPriority w:val="99"/>
    <w:rsid w:val="00803B3F"/>
    <w:pPr>
      <w:ind w:left="440" w:hanging="440"/>
    </w:pPr>
  </w:style>
  <w:style w:type="paragraph" w:customStyle="1" w:styleId="2ParagraphHeadline">
    <w:name w:val="2 Paragraph Headline"/>
    <w:basedOn w:val="Normal"/>
    <w:link w:val="2ParagraphHeadlineChar"/>
    <w:qFormat/>
    <w:rsid w:val="005C475A"/>
    <w:rPr>
      <w:rFonts w:eastAsiaTheme="minorHAnsi"/>
      <w:b/>
      <w:bCs/>
      <w:color w:val="68BAD6"/>
      <w:szCs w:val="14"/>
    </w:rPr>
  </w:style>
  <w:style w:type="character" w:styleId="Hyperlink">
    <w:name w:val="Hyperlink"/>
    <w:uiPriority w:val="99"/>
    <w:rsid w:val="00890B09"/>
    <w:rPr>
      <w:rFonts w:ascii="Gill Sans MT" w:hAnsi="Gill Sans MT"/>
      <w:color w:val="auto"/>
      <w:sz w:val="22"/>
      <w:u w:val="single"/>
    </w:rPr>
  </w:style>
  <w:style w:type="paragraph" w:styleId="ListBullet">
    <w:name w:val="List Bullet"/>
    <w:basedOn w:val="Normal"/>
    <w:rsid w:val="00D234C8"/>
    <w:pPr>
      <w:numPr>
        <w:numId w:val="1"/>
      </w:numPr>
    </w:pPr>
  </w:style>
  <w:style w:type="paragraph" w:styleId="Caption">
    <w:name w:val="caption"/>
    <w:basedOn w:val="Normal"/>
    <w:next w:val="Normal"/>
    <w:qFormat/>
    <w:rsid w:val="00C43C44"/>
    <w:pPr>
      <w:ind w:left="86" w:right="43"/>
      <w:jc w:val="center"/>
    </w:pPr>
    <w:rPr>
      <w:b/>
      <w:lang w:val="en-GB"/>
    </w:rPr>
  </w:style>
  <w:style w:type="character" w:customStyle="1" w:styleId="2ParagraphHeadlineChar">
    <w:name w:val="2 Paragraph Headline Char"/>
    <w:basedOn w:val="DefaultParagraphFont"/>
    <w:link w:val="2ParagraphHeadline"/>
    <w:rsid w:val="005C475A"/>
    <w:rPr>
      <w:rFonts w:eastAsiaTheme="minorHAnsi"/>
      <w:b/>
      <w:bCs/>
      <w:color w:val="68BAD6"/>
      <w:szCs w:val="14"/>
    </w:rPr>
  </w:style>
  <w:style w:type="paragraph" w:customStyle="1" w:styleId="MediumGrid21">
    <w:name w:val="Medium Grid 21"/>
    <w:link w:val="MediumGrid2Char"/>
    <w:uiPriority w:val="1"/>
    <w:qFormat/>
    <w:rsid w:val="0027184C"/>
    <w:rPr>
      <w:rFonts w:ascii="Gill Sans MT" w:hAnsi="Gill Sans MT"/>
      <w:szCs w:val="24"/>
    </w:rPr>
  </w:style>
  <w:style w:type="character" w:customStyle="1" w:styleId="MediumGrid2Char">
    <w:name w:val="Medium Grid 2 Char"/>
    <w:link w:val="MediumGrid21"/>
    <w:uiPriority w:val="1"/>
    <w:rsid w:val="00A04901"/>
    <w:rPr>
      <w:rFonts w:ascii="Gill Sans MT" w:hAnsi="Gill Sans MT"/>
      <w:sz w:val="22"/>
      <w:szCs w:val="24"/>
      <w:lang w:val="en-US" w:eastAsia="en-US" w:bidi="ar-SA"/>
    </w:rPr>
  </w:style>
  <w:style w:type="paragraph" w:styleId="TOCHeading">
    <w:name w:val="TOC Heading"/>
    <w:basedOn w:val="Heading1"/>
    <w:next w:val="Normal"/>
    <w:uiPriority w:val="39"/>
    <w:unhideWhenUsed/>
    <w:qFormat/>
    <w:rsid w:val="00F816BB"/>
    <w:pPr>
      <w:keepLines/>
      <w:spacing w:before="480"/>
      <w:ind w:left="0" w:firstLine="0"/>
      <w:outlineLvl w:val="9"/>
    </w:pPr>
    <w:rPr>
      <w:rFonts w:asciiTheme="majorHAnsi" w:eastAsiaTheme="majorEastAsia" w:hAnsiTheme="majorHAnsi" w:cstheme="majorBidi"/>
      <w:b w:val="0"/>
      <w:color w:val="365F91" w:themeColor="accent1" w:themeShade="BF"/>
      <w:kern w:val="0"/>
      <w:lang w:eastAsia="ja-JP"/>
    </w:rPr>
  </w:style>
  <w:style w:type="paragraph" w:styleId="FootnoteText">
    <w:name w:val="footnote text"/>
    <w:aliases w:val="FOOTNOTES,fn,single space,footnote text,Footnote Text Char2,Footnote Text Char1 Char,Footnote Text Char Char Char1,Footnote Text Char1 Char Char Char1,Footnote Text Char1 Char1 Char,Footnote Text Char Char Char Char,ft"/>
    <w:basedOn w:val="Normal"/>
    <w:link w:val="FootnoteTextChar"/>
    <w:uiPriority w:val="99"/>
    <w:rsid w:val="006D3CFD"/>
    <w:pPr>
      <w:spacing w:before="0"/>
      <w:contextualSpacing/>
    </w:pPr>
    <w:rPr>
      <w:sz w:val="20"/>
    </w:rPr>
  </w:style>
  <w:style w:type="paragraph" w:styleId="TOC1">
    <w:name w:val="toc 1"/>
    <w:basedOn w:val="Normal"/>
    <w:next w:val="Normal"/>
    <w:autoRedefine/>
    <w:uiPriority w:val="39"/>
    <w:qFormat/>
    <w:rsid w:val="00766A0B"/>
    <w:pPr>
      <w:tabs>
        <w:tab w:val="left" w:pos="360"/>
        <w:tab w:val="right" w:pos="9000"/>
      </w:tabs>
      <w:spacing w:before="0" w:line="360" w:lineRule="auto"/>
      <w:jc w:val="left"/>
    </w:pPr>
    <w:rPr>
      <w:rFonts w:asciiTheme="minorHAnsi" w:hAnsiTheme="minorHAnsi" w:cstheme="minorHAnsi"/>
      <w:bCs/>
      <w:caps/>
      <w:color w:val="003880"/>
      <w:kern w:val="32"/>
      <w:sz w:val="24"/>
      <w:szCs w:val="24"/>
    </w:rPr>
  </w:style>
  <w:style w:type="paragraph" w:styleId="TOC2">
    <w:name w:val="toc 2"/>
    <w:basedOn w:val="Normal"/>
    <w:next w:val="Normal"/>
    <w:autoRedefine/>
    <w:uiPriority w:val="39"/>
    <w:qFormat/>
    <w:rsid w:val="00BA3B26"/>
    <w:pPr>
      <w:tabs>
        <w:tab w:val="left" w:pos="720"/>
        <w:tab w:val="right" w:pos="9000"/>
      </w:tabs>
      <w:spacing w:before="40" w:after="40"/>
    </w:pPr>
    <w:rPr>
      <w:rFonts w:asciiTheme="minorHAnsi" w:hAnsiTheme="minorHAnsi" w:cstheme="minorHAnsi"/>
      <w:b/>
      <w:bCs/>
      <w:sz w:val="20"/>
    </w:rPr>
  </w:style>
  <w:style w:type="paragraph" w:styleId="TOC3">
    <w:name w:val="toc 3"/>
    <w:basedOn w:val="Normal"/>
    <w:next w:val="Normal"/>
    <w:autoRedefine/>
    <w:uiPriority w:val="39"/>
    <w:qFormat/>
    <w:rsid w:val="00C820A7"/>
    <w:pPr>
      <w:tabs>
        <w:tab w:val="left" w:pos="720"/>
        <w:tab w:val="right" w:pos="9000"/>
      </w:tabs>
    </w:pPr>
    <w:rPr>
      <w:rFonts w:asciiTheme="minorHAnsi" w:hAnsiTheme="minorHAnsi" w:cstheme="minorHAnsi"/>
      <w:sz w:val="20"/>
    </w:rPr>
  </w:style>
  <w:style w:type="paragraph" w:styleId="TOC4">
    <w:name w:val="toc 4"/>
    <w:basedOn w:val="Normal"/>
    <w:next w:val="Normal"/>
    <w:autoRedefine/>
    <w:uiPriority w:val="39"/>
    <w:rsid w:val="00C86DEB"/>
    <w:pPr>
      <w:ind w:left="440"/>
    </w:pPr>
    <w:rPr>
      <w:rFonts w:asciiTheme="minorHAnsi" w:hAnsiTheme="minorHAnsi" w:cstheme="minorHAnsi"/>
      <w:sz w:val="20"/>
    </w:rPr>
  </w:style>
  <w:style w:type="paragraph" w:styleId="TOC5">
    <w:name w:val="toc 5"/>
    <w:basedOn w:val="Normal"/>
    <w:next w:val="Normal"/>
    <w:autoRedefine/>
    <w:uiPriority w:val="39"/>
    <w:rsid w:val="00C86DEB"/>
    <w:pPr>
      <w:ind w:left="660"/>
    </w:pPr>
    <w:rPr>
      <w:rFonts w:asciiTheme="minorHAnsi" w:hAnsiTheme="minorHAnsi" w:cstheme="minorHAnsi"/>
      <w:sz w:val="20"/>
    </w:rPr>
  </w:style>
  <w:style w:type="paragraph" w:styleId="TOC6">
    <w:name w:val="toc 6"/>
    <w:basedOn w:val="Normal"/>
    <w:next w:val="Normal"/>
    <w:autoRedefine/>
    <w:uiPriority w:val="39"/>
    <w:rsid w:val="00C86DEB"/>
    <w:pPr>
      <w:ind w:left="880"/>
    </w:pPr>
    <w:rPr>
      <w:rFonts w:asciiTheme="minorHAnsi" w:hAnsiTheme="minorHAnsi" w:cstheme="minorHAnsi"/>
      <w:sz w:val="20"/>
    </w:rPr>
  </w:style>
  <w:style w:type="paragraph" w:styleId="TOC7">
    <w:name w:val="toc 7"/>
    <w:basedOn w:val="Normal"/>
    <w:next w:val="Normal"/>
    <w:autoRedefine/>
    <w:uiPriority w:val="39"/>
    <w:rsid w:val="00C86DEB"/>
    <w:pPr>
      <w:ind w:left="1100"/>
    </w:pPr>
    <w:rPr>
      <w:rFonts w:asciiTheme="minorHAnsi" w:hAnsiTheme="minorHAnsi" w:cstheme="minorHAnsi"/>
      <w:sz w:val="20"/>
    </w:rPr>
  </w:style>
  <w:style w:type="paragraph" w:styleId="TOC8">
    <w:name w:val="toc 8"/>
    <w:basedOn w:val="Normal"/>
    <w:next w:val="Normal"/>
    <w:autoRedefine/>
    <w:uiPriority w:val="39"/>
    <w:rsid w:val="00C86DEB"/>
    <w:pPr>
      <w:ind w:left="1320"/>
    </w:pPr>
    <w:rPr>
      <w:rFonts w:asciiTheme="minorHAnsi" w:hAnsiTheme="minorHAnsi" w:cstheme="minorHAnsi"/>
      <w:sz w:val="20"/>
    </w:rPr>
  </w:style>
  <w:style w:type="paragraph" w:styleId="TOC9">
    <w:name w:val="toc 9"/>
    <w:basedOn w:val="Normal"/>
    <w:next w:val="Normal"/>
    <w:autoRedefine/>
    <w:uiPriority w:val="39"/>
    <w:rsid w:val="00C86DEB"/>
    <w:pPr>
      <w:ind w:left="1540"/>
    </w:pPr>
    <w:rPr>
      <w:rFonts w:asciiTheme="minorHAnsi" w:hAnsiTheme="minorHAnsi" w:cstheme="minorHAnsi"/>
      <w:sz w:val="20"/>
    </w:rPr>
  </w:style>
  <w:style w:type="paragraph" w:styleId="Title">
    <w:name w:val="Title"/>
    <w:basedOn w:val="Normal"/>
    <w:link w:val="TitleChar"/>
    <w:uiPriority w:val="10"/>
    <w:qFormat/>
    <w:rsid w:val="00643C39"/>
    <w:pPr>
      <w:spacing w:before="240" w:after="60"/>
      <w:ind w:left="1267"/>
      <w:outlineLvl w:val="0"/>
    </w:pPr>
    <w:rPr>
      <w:rFonts w:cs="Arial"/>
      <w:bCs/>
      <w:caps/>
      <w:kern w:val="28"/>
      <w:sz w:val="80"/>
      <w:szCs w:val="80"/>
    </w:rPr>
  </w:style>
  <w:style w:type="paragraph" w:customStyle="1" w:styleId="Disclaimer">
    <w:name w:val="Disclaimer"/>
    <w:basedOn w:val="Normal"/>
    <w:rsid w:val="00300CA5"/>
    <w:pPr>
      <w:spacing w:after="160" w:line="280" w:lineRule="exact"/>
      <w:ind w:left="1080" w:right="1080"/>
    </w:pPr>
    <w:rPr>
      <w:rFonts w:ascii="Arial" w:hAnsi="Arial" w:cs="Arial"/>
      <w:color w:val="FFFFFF"/>
    </w:rPr>
  </w:style>
  <w:style w:type="paragraph" w:customStyle="1" w:styleId="Disclaimer--MONTHYEAR">
    <w:name w:val="Disclaimer--MONTH YEAR"/>
    <w:basedOn w:val="Disclaimer"/>
    <w:rsid w:val="00300CA5"/>
    <w:pPr>
      <w:spacing w:after="240"/>
    </w:pPr>
    <w:rPr>
      <w:rFonts w:ascii="Arial Bold" w:hAnsi="Arial Bold"/>
      <w:b/>
      <w:caps/>
    </w:rPr>
  </w:style>
  <w:style w:type="paragraph" w:styleId="Subtitle">
    <w:name w:val="Subtitle"/>
    <w:basedOn w:val="Normal"/>
    <w:link w:val="SubtitleChar"/>
    <w:autoRedefine/>
    <w:uiPriority w:val="11"/>
    <w:qFormat/>
    <w:rsid w:val="00643C39"/>
    <w:pPr>
      <w:spacing w:after="60"/>
      <w:ind w:left="1267"/>
      <w:outlineLvl w:val="1"/>
    </w:pPr>
    <w:rPr>
      <w:rFonts w:cs="Arial"/>
      <w:caps/>
      <w:sz w:val="32"/>
      <w:szCs w:val="32"/>
    </w:rPr>
  </w:style>
  <w:style w:type="table" w:styleId="TableGrid">
    <w:name w:val="Table Grid"/>
    <w:basedOn w:val="TableNormal"/>
    <w:uiPriority w:val="59"/>
    <w:rsid w:val="0077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dul">
    <w:name w:val="Judul"/>
    <w:basedOn w:val="Normal"/>
    <w:link w:val="JudulChar"/>
    <w:rsid w:val="00E30A5B"/>
    <w:pPr>
      <w:spacing w:before="240"/>
    </w:pPr>
    <w:rPr>
      <w:b/>
    </w:rPr>
  </w:style>
  <w:style w:type="character" w:customStyle="1" w:styleId="JudulChar">
    <w:name w:val="Judul Char"/>
    <w:link w:val="Judul"/>
    <w:rsid w:val="00E30A5B"/>
    <w:rPr>
      <w:rFonts w:ascii="Gill Sans MT" w:hAnsi="Gill Sans MT"/>
      <w:b/>
      <w:sz w:val="22"/>
      <w:szCs w:val="22"/>
      <w:lang w:val="en-US" w:eastAsia="en-US" w:bidi="ar-SA"/>
    </w:rPr>
  </w:style>
  <w:style w:type="paragraph" w:customStyle="1" w:styleId="ColorfulList-Accent11">
    <w:name w:val="Colorful List - Accent 11"/>
    <w:basedOn w:val="Normal"/>
    <w:uiPriority w:val="34"/>
    <w:qFormat/>
    <w:rsid w:val="00643C39"/>
    <w:pPr>
      <w:ind w:left="720"/>
      <w:contextualSpacing/>
    </w:pPr>
    <w:rPr>
      <w:rFonts w:eastAsia="Calibri"/>
    </w:rPr>
  </w:style>
  <w:style w:type="paragraph" w:customStyle="1" w:styleId="FigureTitle">
    <w:name w:val="Figure Title"/>
    <w:basedOn w:val="Normal"/>
    <w:next w:val="Normal"/>
    <w:rsid w:val="00B96BED"/>
    <w:pPr>
      <w:spacing w:before="160"/>
    </w:pPr>
    <w:rPr>
      <w:rFonts w:ascii="HelveticaNeueLT Std" w:hAnsi="HelveticaNeueLT Std"/>
      <w:b/>
      <w:caps/>
      <w:color w:val="6C4713"/>
      <w:sz w:val="18"/>
      <w:szCs w:val="18"/>
    </w:rPr>
  </w:style>
  <w:style w:type="paragraph" w:customStyle="1" w:styleId="TableText">
    <w:name w:val="Table Text"/>
    <w:aliases w:val="tt,table text,table titles,Table Titles,table title,tx,t,TableText"/>
    <w:basedOn w:val="Normal"/>
    <w:link w:val="TableTextChar"/>
    <w:rsid w:val="00623899"/>
    <w:rPr>
      <w:rFonts w:ascii="HelveticaNeueLT Std" w:eastAsia="MinioMM_485 SB 585 NO 11 OP" w:hAnsi="HelveticaNeueLT Std"/>
      <w:color w:val="6C4713"/>
      <w:sz w:val="18"/>
      <w:szCs w:val="18"/>
    </w:rPr>
  </w:style>
  <w:style w:type="character" w:customStyle="1" w:styleId="TableTextChar">
    <w:name w:val="Table Text Char"/>
    <w:aliases w:val="tt Char,table text Char,table titles Char,Table Titles Char,table title Char,tx Char,t Char,TableText Char"/>
    <w:link w:val="TableText"/>
    <w:rsid w:val="00623899"/>
    <w:rPr>
      <w:rFonts w:ascii="HelveticaNeueLT Std" w:eastAsia="MinioMM_485 SB 585 NO 11 OP" w:hAnsi="HelveticaNeueLT Std"/>
      <w:color w:val="6C4713"/>
      <w:sz w:val="18"/>
      <w:szCs w:val="18"/>
    </w:rPr>
  </w:style>
  <w:style w:type="paragraph" w:customStyle="1" w:styleId="Bullet1">
    <w:name w:val="Bullet 1"/>
    <w:basedOn w:val="Normal"/>
    <w:rsid w:val="00623899"/>
    <w:pPr>
      <w:numPr>
        <w:numId w:val="2"/>
      </w:numPr>
    </w:pPr>
    <w:rPr>
      <w:rFonts w:ascii="Times New Roman" w:eastAsia="MinioMM_485 SB 585 NO 11 OP" w:hAnsi="Times New Roman"/>
      <w:sz w:val="24"/>
    </w:rPr>
  </w:style>
  <w:style w:type="paragraph" w:customStyle="1" w:styleId="Bullet1-Last">
    <w:name w:val="Bullet 1 - Last"/>
    <w:basedOn w:val="Bullet1"/>
    <w:rsid w:val="00643C39"/>
    <w:pPr>
      <w:numPr>
        <w:numId w:val="0"/>
      </w:numPr>
    </w:pPr>
  </w:style>
  <w:style w:type="paragraph" w:customStyle="1" w:styleId="TableTitle">
    <w:name w:val="Table Title"/>
    <w:basedOn w:val="Normal"/>
    <w:rsid w:val="00623899"/>
    <w:pPr>
      <w:spacing w:before="160"/>
    </w:pPr>
    <w:rPr>
      <w:rFonts w:ascii="HelveticaNeueLT Std" w:hAnsi="HelveticaNeueLT Std"/>
      <w:b/>
      <w:caps/>
      <w:color w:val="6C4713"/>
      <w:sz w:val="18"/>
      <w:szCs w:val="18"/>
    </w:rPr>
  </w:style>
  <w:style w:type="character" w:styleId="CommentReference">
    <w:name w:val="annotation reference"/>
    <w:uiPriority w:val="99"/>
    <w:unhideWhenUsed/>
    <w:rsid w:val="00623899"/>
    <w:rPr>
      <w:sz w:val="16"/>
      <w:szCs w:val="16"/>
    </w:rPr>
  </w:style>
  <w:style w:type="paragraph" w:styleId="CommentText">
    <w:name w:val="annotation text"/>
    <w:basedOn w:val="Normal"/>
    <w:link w:val="CommentTextChar"/>
    <w:uiPriority w:val="99"/>
    <w:unhideWhenUsed/>
    <w:rsid w:val="00623899"/>
    <w:rPr>
      <w:sz w:val="20"/>
    </w:rPr>
  </w:style>
  <w:style w:type="character" w:customStyle="1" w:styleId="CommentTextChar">
    <w:name w:val="Comment Text Char"/>
    <w:link w:val="CommentText"/>
    <w:uiPriority w:val="99"/>
    <w:rsid w:val="00623899"/>
    <w:rPr>
      <w:rFonts w:ascii="Gill Sans MT" w:hAnsi="Gill Sans MT"/>
    </w:rPr>
  </w:style>
  <w:style w:type="paragraph" w:styleId="BalloonText">
    <w:name w:val="Balloon Text"/>
    <w:basedOn w:val="Normal"/>
    <w:link w:val="BalloonTextChar"/>
    <w:uiPriority w:val="99"/>
    <w:unhideWhenUsed/>
    <w:rsid w:val="00623899"/>
    <w:rPr>
      <w:rFonts w:ascii="Tahoma" w:hAnsi="Tahoma" w:cs="Tahoma"/>
      <w:sz w:val="16"/>
      <w:szCs w:val="16"/>
    </w:rPr>
  </w:style>
  <w:style w:type="character" w:customStyle="1" w:styleId="BalloonTextChar">
    <w:name w:val="Balloon Text Char"/>
    <w:link w:val="BalloonText"/>
    <w:uiPriority w:val="99"/>
    <w:rsid w:val="00623899"/>
    <w:rPr>
      <w:rFonts w:ascii="Tahoma" w:hAnsi="Tahoma" w:cs="Tahoma"/>
      <w:sz w:val="16"/>
      <w:szCs w:val="16"/>
    </w:rPr>
  </w:style>
  <w:style w:type="paragraph" w:styleId="PlainText">
    <w:name w:val="Plain Text"/>
    <w:basedOn w:val="Normal"/>
    <w:link w:val="PlainTextChar"/>
    <w:rsid w:val="00BC3A57"/>
    <w:rPr>
      <w:rFonts w:ascii="Times New Roman" w:hAnsi="Times New Roman"/>
      <w:sz w:val="20"/>
    </w:rPr>
  </w:style>
  <w:style w:type="character" w:customStyle="1" w:styleId="PlainTextChar">
    <w:name w:val="Plain Text Char"/>
    <w:basedOn w:val="DefaultParagraphFont"/>
    <w:link w:val="PlainText"/>
    <w:rsid w:val="00BC3A57"/>
  </w:style>
  <w:style w:type="paragraph" w:styleId="BodyTextIndent">
    <w:name w:val="Body Text Indent"/>
    <w:basedOn w:val="Normal"/>
    <w:link w:val="BodyTextIndentChar"/>
    <w:rsid w:val="00A165E9"/>
    <w:pPr>
      <w:ind w:left="1440"/>
    </w:pPr>
    <w:rPr>
      <w:rFonts w:ascii="Gill Sans" w:hAnsi="Gill Sans"/>
      <w:sz w:val="24"/>
    </w:rPr>
  </w:style>
  <w:style w:type="character" w:customStyle="1" w:styleId="BodyTextIndentChar">
    <w:name w:val="Body Text Indent Char"/>
    <w:link w:val="BodyTextIndent"/>
    <w:rsid w:val="00A165E9"/>
    <w:rPr>
      <w:rFonts w:ascii="Gill Sans" w:hAnsi="Gill Sans"/>
      <w:sz w:val="24"/>
      <w:szCs w:val="24"/>
    </w:rPr>
  </w:style>
  <w:style w:type="character" w:customStyle="1" w:styleId="hps">
    <w:name w:val="hps"/>
    <w:basedOn w:val="DefaultParagraphFont"/>
    <w:rsid w:val="00A165E9"/>
  </w:style>
  <w:style w:type="character" w:customStyle="1" w:styleId="shorttext">
    <w:name w:val="short_text"/>
    <w:basedOn w:val="DefaultParagraphFont"/>
    <w:rsid w:val="00A165E9"/>
  </w:style>
  <w:style w:type="paragraph" w:styleId="DocumentMap">
    <w:name w:val="Document Map"/>
    <w:basedOn w:val="Normal"/>
    <w:link w:val="DocumentMapChar"/>
    <w:rsid w:val="00872520"/>
    <w:rPr>
      <w:rFonts w:ascii="Tahoma" w:hAnsi="Tahoma" w:cs="Tahoma"/>
      <w:sz w:val="16"/>
      <w:szCs w:val="16"/>
    </w:rPr>
  </w:style>
  <w:style w:type="character" w:customStyle="1" w:styleId="DocumentMapChar">
    <w:name w:val="Document Map Char"/>
    <w:link w:val="DocumentMap"/>
    <w:rsid w:val="00872520"/>
    <w:rPr>
      <w:rFonts w:ascii="Tahoma" w:hAnsi="Tahoma" w:cs="Tahoma"/>
      <w:sz w:val="16"/>
      <w:szCs w:val="16"/>
    </w:rPr>
  </w:style>
  <w:style w:type="paragraph" w:customStyle="1" w:styleId="Default">
    <w:name w:val="Default"/>
    <w:rsid w:val="00544C24"/>
    <w:pPr>
      <w:autoSpaceDE w:val="0"/>
      <w:autoSpaceDN w:val="0"/>
      <w:adjustRightInd w:val="0"/>
    </w:pPr>
    <w:rPr>
      <w:rFonts w:eastAsia="Calibri"/>
      <w:color w:val="000000"/>
      <w:sz w:val="24"/>
      <w:szCs w:val="24"/>
    </w:rPr>
  </w:style>
  <w:style w:type="paragraph" w:styleId="BodyText">
    <w:name w:val="Body Text"/>
    <w:basedOn w:val="Normal"/>
    <w:link w:val="BodyTextChar"/>
    <w:uiPriority w:val="99"/>
    <w:rsid w:val="00B8605F"/>
  </w:style>
  <w:style w:type="character" w:customStyle="1" w:styleId="BodyTextChar">
    <w:name w:val="Body Text Char"/>
    <w:link w:val="BodyText"/>
    <w:uiPriority w:val="99"/>
    <w:rsid w:val="00B8605F"/>
    <w:rPr>
      <w:lang w:val="en-AU"/>
    </w:rPr>
  </w:style>
  <w:style w:type="paragraph" w:customStyle="1" w:styleId="PhotoCredit">
    <w:name w:val="Photo Credit"/>
    <w:basedOn w:val="MediumGrid21"/>
    <w:link w:val="PhotoCreditChar"/>
    <w:qFormat/>
    <w:rsid w:val="007018F4"/>
    <w:pPr>
      <w:spacing w:before="40" w:after="120"/>
      <w:ind w:right="43"/>
      <w:jc w:val="right"/>
    </w:pPr>
    <w:rPr>
      <w:sz w:val="16"/>
      <w:szCs w:val="16"/>
    </w:rPr>
  </w:style>
  <w:style w:type="character" w:customStyle="1" w:styleId="PhotoCreditChar">
    <w:name w:val="Photo Credit Char"/>
    <w:link w:val="PhotoCredit"/>
    <w:rsid w:val="007018F4"/>
    <w:rPr>
      <w:rFonts w:ascii="Gill Sans MT" w:hAnsi="Gill Sans MT"/>
      <w:sz w:val="16"/>
      <w:szCs w:val="16"/>
      <w:lang w:val="en-US" w:eastAsia="en-US" w:bidi="ar-SA"/>
    </w:rPr>
  </w:style>
  <w:style w:type="character" w:styleId="FollowedHyperlink">
    <w:name w:val="FollowedHyperlink"/>
    <w:uiPriority w:val="99"/>
    <w:rsid w:val="00263712"/>
    <w:rPr>
      <w:color w:val="800080"/>
      <w:u w:val="single"/>
    </w:rPr>
  </w:style>
  <w:style w:type="paragraph" w:styleId="CommentSubject">
    <w:name w:val="annotation subject"/>
    <w:basedOn w:val="CommentText"/>
    <w:next w:val="CommentText"/>
    <w:link w:val="CommentSubjectChar"/>
    <w:uiPriority w:val="99"/>
    <w:rsid w:val="000B7B10"/>
    <w:rPr>
      <w:b/>
      <w:bCs/>
    </w:rPr>
  </w:style>
  <w:style w:type="character" w:customStyle="1" w:styleId="CommentSubjectChar">
    <w:name w:val="Comment Subject Char"/>
    <w:link w:val="CommentSubject"/>
    <w:uiPriority w:val="99"/>
    <w:rsid w:val="000B7B10"/>
    <w:rPr>
      <w:rFonts w:ascii="Gill Sans MT" w:hAnsi="Gill Sans MT"/>
      <w:b/>
      <w:bCs/>
    </w:rPr>
  </w:style>
  <w:style w:type="paragraph" w:customStyle="1" w:styleId="ColorfulShading-Accent11">
    <w:name w:val="Colorful Shading - Accent 11"/>
    <w:hidden/>
    <w:uiPriority w:val="99"/>
    <w:semiHidden/>
    <w:rsid w:val="00854F96"/>
    <w:rPr>
      <w:rFonts w:ascii="Gill Sans MT" w:hAnsi="Gill Sans MT"/>
      <w:szCs w:val="24"/>
    </w:rPr>
  </w:style>
  <w:style w:type="character" w:customStyle="1" w:styleId="longtext">
    <w:name w:val="long_text"/>
    <w:rsid w:val="006C0D80"/>
  </w:style>
  <w:style w:type="paragraph" w:customStyle="1" w:styleId="ColorfulList-Accent12">
    <w:name w:val="Colorful List - Accent 12"/>
    <w:aliases w:val="First Level Outline,Colorful List - Accent 121"/>
    <w:basedOn w:val="Normal"/>
    <w:link w:val="ColorfulList-Accent1Char1"/>
    <w:uiPriority w:val="34"/>
    <w:qFormat/>
    <w:rsid w:val="00B422A2"/>
    <w:pPr>
      <w:spacing w:after="200"/>
      <w:ind w:left="720"/>
      <w:contextualSpacing/>
    </w:pPr>
    <w:rPr>
      <w:rFonts w:eastAsia="Calibri"/>
    </w:rPr>
  </w:style>
  <w:style w:type="character" w:customStyle="1" w:styleId="ColorfulList-Accent1Char1">
    <w:name w:val="Colorful List - Accent 1 Char1"/>
    <w:aliases w:val="First Level Outline Char"/>
    <w:link w:val="ColorfulList-Accent12"/>
    <w:uiPriority w:val="34"/>
    <w:locked/>
    <w:rsid w:val="00B47235"/>
    <w:rPr>
      <w:rFonts w:ascii="Calibri" w:eastAsia="Calibri" w:hAnsi="Calibri"/>
      <w:sz w:val="22"/>
      <w:szCs w:val="22"/>
    </w:rPr>
  </w:style>
  <w:style w:type="paragraph" w:customStyle="1" w:styleId="NoSpacing1">
    <w:name w:val="No Spacing1"/>
    <w:link w:val="NoSpacingChar"/>
    <w:uiPriority w:val="1"/>
    <w:qFormat/>
    <w:rsid w:val="00526ECC"/>
    <w:rPr>
      <w:rFonts w:ascii="Gill Sans MT" w:hAnsi="Gill Sans MT"/>
      <w:szCs w:val="24"/>
    </w:rPr>
  </w:style>
  <w:style w:type="character" w:customStyle="1" w:styleId="NoSpacingChar">
    <w:name w:val="No Spacing Char"/>
    <w:link w:val="NoSpacing1"/>
    <w:uiPriority w:val="1"/>
    <w:rsid w:val="00526ECC"/>
    <w:rPr>
      <w:rFonts w:ascii="Gill Sans MT" w:hAnsi="Gill Sans MT"/>
      <w:szCs w:val="24"/>
    </w:rPr>
  </w:style>
  <w:style w:type="character" w:styleId="Emphasis">
    <w:name w:val="Emphasis"/>
    <w:uiPriority w:val="20"/>
    <w:qFormat/>
    <w:rsid w:val="005B5083"/>
    <w:rPr>
      <w:i/>
      <w:iCs/>
    </w:rPr>
  </w:style>
  <w:style w:type="character" w:customStyle="1" w:styleId="st">
    <w:name w:val="st"/>
    <w:rsid w:val="0029188D"/>
  </w:style>
  <w:style w:type="character" w:styleId="Strong">
    <w:name w:val="Strong"/>
    <w:qFormat/>
    <w:rsid w:val="00D6735E"/>
    <w:rPr>
      <w:b/>
      <w:bCs/>
    </w:rPr>
  </w:style>
  <w:style w:type="paragraph" w:customStyle="1" w:styleId="xl66">
    <w:name w:val="xl66"/>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rPr>
  </w:style>
  <w:style w:type="paragraph" w:customStyle="1" w:styleId="xl67">
    <w:name w:val="xl67"/>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68">
    <w:name w:val="xl68"/>
    <w:basedOn w:val="Normal"/>
    <w:rsid w:val="008516CD"/>
    <w:pPr>
      <w:pBdr>
        <w:top w:val="single" w:sz="4" w:space="0" w:color="auto"/>
        <w:left w:val="single" w:sz="4" w:space="0" w:color="auto"/>
        <w:bottom w:val="single" w:sz="4" w:space="0" w:color="auto"/>
      </w:pBdr>
      <w:shd w:val="clear" w:color="000000" w:fill="A6A6A6"/>
      <w:spacing w:before="100" w:beforeAutospacing="1" w:after="100" w:afterAutospacing="1"/>
      <w:textAlignment w:val="center"/>
    </w:pPr>
    <w:rPr>
      <w:b/>
      <w:bCs/>
      <w:sz w:val="20"/>
    </w:rPr>
  </w:style>
  <w:style w:type="paragraph" w:customStyle="1" w:styleId="xl69">
    <w:name w:val="xl69"/>
    <w:basedOn w:val="Normal"/>
    <w:rsid w:val="008516CD"/>
    <w:pPr>
      <w:pBdr>
        <w:top w:val="single" w:sz="4" w:space="0" w:color="auto"/>
        <w:bottom w:val="single" w:sz="4" w:space="0" w:color="auto"/>
      </w:pBdr>
      <w:shd w:val="clear" w:color="000000" w:fill="A6A6A6"/>
      <w:spacing w:before="100" w:beforeAutospacing="1" w:after="100" w:afterAutospacing="1"/>
      <w:textAlignment w:val="center"/>
    </w:pPr>
    <w:rPr>
      <w:b/>
      <w:bCs/>
      <w:sz w:val="20"/>
    </w:rPr>
  </w:style>
  <w:style w:type="paragraph" w:customStyle="1" w:styleId="xl70">
    <w:name w:val="xl70"/>
    <w:basedOn w:val="Normal"/>
    <w:rsid w:val="008516CD"/>
    <w:pPr>
      <w:pBdr>
        <w:top w:val="single" w:sz="4" w:space="0" w:color="auto"/>
        <w:bottom w:val="single" w:sz="4" w:space="0" w:color="auto"/>
      </w:pBdr>
      <w:shd w:val="clear" w:color="000000" w:fill="A6A6A6"/>
      <w:spacing w:before="100" w:beforeAutospacing="1" w:after="100" w:afterAutospacing="1"/>
      <w:textAlignment w:val="center"/>
    </w:pPr>
    <w:rPr>
      <w:sz w:val="20"/>
    </w:rPr>
  </w:style>
  <w:style w:type="paragraph" w:customStyle="1" w:styleId="xl71">
    <w:name w:val="xl71"/>
    <w:basedOn w:val="Normal"/>
    <w:rsid w:val="008516C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rPr>
  </w:style>
  <w:style w:type="paragraph" w:customStyle="1" w:styleId="xl72">
    <w:name w:val="xl72"/>
    <w:basedOn w:val="Normal"/>
    <w:rsid w:val="008516C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rPr>
  </w:style>
  <w:style w:type="paragraph" w:customStyle="1" w:styleId="xl73">
    <w:name w:val="xl73"/>
    <w:basedOn w:val="Normal"/>
    <w:rsid w:val="008516CD"/>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sz w:val="20"/>
    </w:rPr>
  </w:style>
  <w:style w:type="paragraph" w:customStyle="1" w:styleId="xl74">
    <w:name w:val="xl74"/>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5">
    <w:name w:val="xl75"/>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6">
    <w:name w:val="xl76"/>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7">
    <w:name w:val="xl77"/>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8">
    <w:name w:val="xl78"/>
    <w:basedOn w:val="Normal"/>
    <w:rsid w:val="008516CD"/>
    <w:pPr>
      <w:spacing w:before="100" w:beforeAutospacing="1" w:after="100" w:afterAutospacing="1"/>
    </w:pPr>
    <w:rPr>
      <w:sz w:val="20"/>
    </w:rPr>
  </w:style>
  <w:style w:type="paragraph" w:customStyle="1" w:styleId="xl79">
    <w:name w:val="xl79"/>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80">
    <w:name w:val="xl80"/>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1">
    <w:name w:val="xl81"/>
    <w:basedOn w:val="Normal"/>
    <w:rsid w:val="008516CD"/>
    <w:pPr>
      <w:spacing w:before="100" w:beforeAutospacing="1" w:after="100" w:afterAutospacing="1"/>
    </w:pPr>
    <w:rPr>
      <w:sz w:val="24"/>
    </w:rPr>
  </w:style>
  <w:style w:type="paragraph" w:customStyle="1" w:styleId="xl82">
    <w:name w:val="xl82"/>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3">
    <w:name w:val="xl83"/>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4">
    <w:name w:val="xl84"/>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5">
    <w:name w:val="xl85"/>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6">
    <w:name w:val="xl86"/>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customStyle="1" w:styleId="xl87">
    <w:name w:val="xl87"/>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8">
    <w:name w:val="xl88"/>
    <w:basedOn w:val="Normal"/>
    <w:rsid w:val="008516C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89">
    <w:name w:val="xl89"/>
    <w:basedOn w:val="Normal"/>
    <w:rsid w:val="008516CD"/>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0">
    <w:name w:val="xl90"/>
    <w:basedOn w:val="Normal"/>
    <w:rsid w:val="008516C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4">
    <w:name w:val="xl94"/>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5">
    <w:name w:val="xl95"/>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6">
    <w:name w:val="xl96"/>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7">
    <w:name w:val="xl97"/>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8">
    <w:name w:val="xl98"/>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9">
    <w:name w:val="xl99"/>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00">
    <w:name w:val="xl100"/>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01">
    <w:name w:val="xl101"/>
    <w:basedOn w:val="Normal"/>
    <w:rsid w:val="008516CD"/>
    <w:pPr>
      <w:pBdr>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02">
    <w:name w:val="xl102"/>
    <w:basedOn w:val="Normal"/>
    <w:rsid w:val="008516CD"/>
    <w:pPr>
      <w:pBdr>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03">
    <w:name w:val="xl103"/>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04">
    <w:name w:val="xl104"/>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styleId="NormalWeb">
    <w:name w:val="Normal (Web)"/>
    <w:basedOn w:val="Normal"/>
    <w:uiPriority w:val="99"/>
    <w:unhideWhenUsed/>
    <w:rsid w:val="00AB5526"/>
    <w:pPr>
      <w:spacing w:before="100" w:beforeAutospacing="1" w:after="100" w:afterAutospacing="1"/>
    </w:pPr>
    <w:rPr>
      <w:rFonts w:ascii="Times New Roman" w:hAnsi="Times New Roman"/>
      <w:sz w:val="24"/>
    </w:rPr>
  </w:style>
  <w:style w:type="paragraph" w:customStyle="1" w:styleId="MediumGrid27">
    <w:name w:val="Medium Grid 27"/>
    <w:uiPriority w:val="1"/>
    <w:qFormat/>
    <w:rsid w:val="00606CEF"/>
    <w:rPr>
      <w:rFonts w:ascii="Gill Sans MT" w:hAnsi="Gill Sans MT"/>
      <w:szCs w:val="24"/>
    </w:rPr>
  </w:style>
  <w:style w:type="paragraph" w:customStyle="1" w:styleId="Pa0">
    <w:name w:val="Pa0"/>
    <w:basedOn w:val="Normal"/>
    <w:next w:val="Normal"/>
    <w:uiPriority w:val="99"/>
    <w:rsid w:val="00606CEF"/>
    <w:pPr>
      <w:autoSpaceDE w:val="0"/>
      <w:autoSpaceDN w:val="0"/>
      <w:adjustRightInd w:val="0"/>
      <w:spacing w:line="201" w:lineRule="atLeast"/>
    </w:pPr>
    <w:rPr>
      <w:rFonts w:ascii="Cardo" w:hAnsi="Cardo"/>
      <w:sz w:val="24"/>
    </w:rPr>
  </w:style>
  <w:style w:type="paragraph" w:customStyle="1" w:styleId="msoaccenttext5">
    <w:name w:val="msoaccenttext5"/>
    <w:rsid w:val="00307299"/>
    <w:pPr>
      <w:spacing w:line="271" w:lineRule="auto"/>
    </w:pPr>
    <w:rPr>
      <w:rFonts w:ascii="Agency FB" w:hAnsi="Agency FB"/>
      <w:b/>
      <w:bCs/>
      <w:color w:val="336666"/>
      <w:kern w:val="28"/>
      <w:sz w:val="18"/>
      <w:szCs w:val="18"/>
    </w:rPr>
  </w:style>
  <w:style w:type="table" w:styleId="MediumShading1-Accent1">
    <w:name w:val="Medium Shading 1 Accent 1"/>
    <w:basedOn w:val="TableNormal"/>
    <w:uiPriority w:val="1"/>
    <w:rsid w:val="00FA2435"/>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ColorfulList-Accent1Char">
    <w:name w:val="Colorful List - Accent 1 Char"/>
    <w:link w:val="MediumGrid1-Accent2"/>
    <w:uiPriority w:val="34"/>
    <w:locked/>
    <w:rsid w:val="00C93AA4"/>
    <w:rPr>
      <w:rFonts w:ascii="Calibri" w:eastAsia="Calibri" w:hAnsi="Calibri"/>
      <w:sz w:val="22"/>
      <w:szCs w:val="22"/>
    </w:rPr>
  </w:style>
  <w:style w:type="table" w:styleId="MediumGrid1-Accent2">
    <w:name w:val="Medium Grid 1 Accent 2"/>
    <w:basedOn w:val="TableNormal"/>
    <w:link w:val="ColorfulList-Accent1Char"/>
    <w:uiPriority w:val="34"/>
    <w:qFormat/>
    <w:rsid w:val="00C93AA4"/>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2-Accent1">
    <w:name w:val="Medium Grid 2 Accent 1"/>
    <w:basedOn w:val="TableNormal"/>
    <w:uiPriority w:val="1"/>
    <w:rsid w:val="00C93AA4"/>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MediumGrid22">
    <w:name w:val="Medium Grid 22"/>
    <w:uiPriority w:val="1"/>
    <w:qFormat/>
    <w:rsid w:val="004D74D4"/>
    <w:rPr>
      <w:rFonts w:ascii="Gill Sans MT" w:hAnsi="Gill Sans MT"/>
      <w:szCs w:val="24"/>
    </w:rPr>
  </w:style>
  <w:style w:type="paragraph" w:customStyle="1" w:styleId="ColorfulShading-Accent13">
    <w:name w:val="Colorful Shading - Accent 13"/>
    <w:hidden/>
    <w:uiPriority w:val="99"/>
    <w:semiHidden/>
    <w:rsid w:val="00B65FD9"/>
    <w:rPr>
      <w:rFonts w:eastAsia="Calibri"/>
    </w:rPr>
  </w:style>
  <w:style w:type="paragraph" w:styleId="NoSpacing">
    <w:name w:val="No Spacing"/>
    <w:uiPriority w:val="1"/>
    <w:qFormat/>
    <w:rsid w:val="007E1B55"/>
    <w:rPr>
      <w:rFonts w:eastAsia="Calibri"/>
    </w:rPr>
  </w:style>
  <w:style w:type="paragraph" w:styleId="ListParagraph">
    <w:name w:val="List Paragraph"/>
    <w:basedOn w:val="Normal"/>
    <w:link w:val="ListParagraphChar"/>
    <w:uiPriority w:val="34"/>
    <w:qFormat/>
    <w:rsid w:val="0084149E"/>
    <w:pPr>
      <w:spacing w:after="200"/>
      <w:ind w:left="720"/>
      <w:contextualSpacing/>
    </w:pPr>
    <w:rPr>
      <w:rFonts w:eastAsia="Calibri"/>
    </w:rPr>
  </w:style>
  <w:style w:type="paragraph" w:customStyle="1" w:styleId="MediumGrid23">
    <w:name w:val="Medium Grid 23"/>
    <w:uiPriority w:val="1"/>
    <w:qFormat/>
    <w:rsid w:val="00D868B2"/>
    <w:rPr>
      <w:rFonts w:ascii="Gill Sans MT" w:hAnsi="Gill Sans MT"/>
      <w:szCs w:val="24"/>
    </w:rPr>
  </w:style>
  <w:style w:type="paragraph" w:customStyle="1" w:styleId="ColorfulShading-Accent12">
    <w:name w:val="Colorful Shading - Accent 12"/>
    <w:hidden/>
    <w:uiPriority w:val="99"/>
    <w:semiHidden/>
    <w:rsid w:val="00260757"/>
    <w:rPr>
      <w:rFonts w:eastAsia="Calibri"/>
    </w:rPr>
  </w:style>
  <w:style w:type="paragraph" w:customStyle="1" w:styleId="MediumGrid24">
    <w:name w:val="Medium Grid 24"/>
    <w:uiPriority w:val="1"/>
    <w:qFormat/>
    <w:rsid w:val="00260757"/>
    <w:rPr>
      <w:rFonts w:ascii="Gill Sans MT" w:hAnsi="Gill Sans MT"/>
      <w:szCs w:val="24"/>
    </w:rPr>
  </w:style>
  <w:style w:type="paragraph" w:customStyle="1" w:styleId="MediumGrid25">
    <w:name w:val="Medium Grid 25"/>
    <w:uiPriority w:val="1"/>
    <w:qFormat/>
    <w:rsid w:val="00260757"/>
    <w:rPr>
      <w:rFonts w:ascii="Gill Sans MT" w:hAnsi="Gill Sans MT"/>
      <w:szCs w:val="24"/>
    </w:rPr>
  </w:style>
  <w:style w:type="paragraph" w:customStyle="1" w:styleId="MediumGrid26">
    <w:name w:val="Medium Grid 26"/>
    <w:uiPriority w:val="1"/>
    <w:qFormat/>
    <w:rsid w:val="00260757"/>
    <w:rPr>
      <w:rFonts w:ascii="Gill Sans MT" w:hAnsi="Gill Sans MT"/>
      <w:szCs w:val="24"/>
    </w:rPr>
  </w:style>
  <w:style w:type="character" w:customStyle="1" w:styleId="ListParagraphChar">
    <w:name w:val="List Paragraph Char"/>
    <w:link w:val="ListParagraph"/>
    <w:uiPriority w:val="34"/>
    <w:locked/>
    <w:rsid w:val="009757E5"/>
    <w:rPr>
      <w:rFonts w:ascii="Calibri" w:eastAsia="Calibri" w:hAnsi="Calibri"/>
      <w:sz w:val="22"/>
      <w:szCs w:val="22"/>
    </w:rPr>
  </w:style>
  <w:style w:type="character" w:customStyle="1" w:styleId="ColorfulList-Accent1Char2">
    <w:name w:val="Colorful List - Accent 1 Char2"/>
    <w:link w:val="ColorfulList-Accent1"/>
    <w:uiPriority w:val="34"/>
    <w:locked/>
    <w:rsid w:val="00E27965"/>
    <w:rPr>
      <w:rFonts w:ascii="Calibri" w:eastAsia="Calibri" w:hAnsi="Calibri"/>
      <w:sz w:val="22"/>
      <w:szCs w:val="22"/>
    </w:rPr>
  </w:style>
  <w:style w:type="table" w:styleId="ColorfulList-Accent1">
    <w:name w:val="Colorful List Accent 1"/>
    <w:basedOn w:val="TableNormal"/>
    <w:link w:val="ColorfulList-Accent1Char2"/>
    <w:uiPriority w:val="34"/>
    <w:qFormat/>
    <w:rsid w:val="00E27965"/>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ghtGrid-Accent3">
    <w:name w:val="Light Grid Accent 3"/>
    <w:basedOn w:val="TableNormal"/>
    <w:uiPriority w:val="34"/>
    <w:qFormat/>
    <w:rsid w:val="00846FAC"/>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1-Accent2">
    <w:name w:val="Medium Shading 1 Accent 2"/>
    <w:basedOn w:val="TableNormal"/>
    <w:uiPriority w:val="1"/>
    <w:rsid w:val="00846FAC"/>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styleId="Revision">
    <w:name w:val="Revision"/>
    <w:hidden/>
    <w:uiPriority w:val="99"/>
    <w:semiHidden/>
    <w:rsid w:val="00846FAC"/>
    <w:rPr>
      <w:rFonts w:ascii="Gill Sans MT" w:hAnsi="Gill Sans MT"/>
      <w:szCs w:val="24"/>
    </w:rPr>
  </w:style>
  <w:style w:type="character" w:customStyle="1" w:styleId="TitleChar">
    <w:name w:val="Title Char"/>
    <w:link w:val="Title"/>
    <w:uiPriority w:val="10"/>
    <w:rsid w:val="00007205"/>
    <w:rPr>
      <w:rFonts w:ascii="Gill Sans MT" w:hAnsi="Gill Sans MT" w:cs="Arial"/>
      <w:bCs/>
      <w:caps/>
      <w:kern w:val="28"/>
      <w:sz w:val="80"/>
      <w:szCs w:val="80"/>
    </w:rPr>
  </w:style>
  <w:style w:type="character" w:customStyle="1" w:styleId="SubtitleChar">
    <w:name w:val="Subtitle Char"/>
    <w:link w:val="Subtitle"/>
    <w:uiPriority w:val="11"/>
    <w:rsid w:val="00007205"/>
    <w:rPr>
      <w:rFonts w:ascii="Gill Sans MT" w:hAnsi="Gill Sans MT" w:cs="Arial"/>
      <w:caps/>
      <w:sz w:val="32"/>
      <w:szCs w:val="32"/>
    </w:rPr>
  </w:style>
  <w:style w:type="character" w:styleId="PlaceholderText">
    <w:name w:val="Placeholder Text"/>
    <w:basedOn w:val="DefaultParagraphFont"/>
    <w:uiPriority w:val="99"/>
    <w:semiHidden/>
    <w:rsid w:val="00384EFF"/>
    <w:rPr>
      <w:color w:val="808080"/>
    </w:rPr>
  </w:style>
  <w:style w:type="paragraph" w:customStyle="1" w:styleId="1CHAPTER">
    <w:name w:val="1 CHAPTER"/>
    <w:basedOn w:val="Heading2"/>
    <w:link w:val="1CHAPTERChar"/>
    <w:qFormat/>
    <w:rsid w:val="00540058"/>
    <w:pPr>
      <w:spacing w:after="1320"/>
    </w:pPr>
    <w:rPr>
      <w:noProof/>
      <w:color w:val="68BAD6"/>
      <w:sz w:val="32"/>
    </w:rPr>
  </w:style>
  <w:style w:type="character" w:customStyle="1" w:styleId="1CHAPTERChar">
    <w:name w:val="1 CHAPTER Char"/>
    <w:basedOn w:val="Heading2Char"/>
    <w:link w:val="1CHAPTER"/>
    <w:rsid w:val="00540058"/>
    <w:rPr>
      <w:b/>
      <w:bCs/>
      <w:iCs/>
      <w:noProof/>
      <w:color w:val="68BAD6"/>
      <w:sz w:val="32"/>
      <w:szCs w:val="24"/>
      <w:lang w:val="en-AU"/>
    </w:rPr>
  </w:style>
  <w:style w:type="paragraph" w:customStyle="1" w:styleId="TableHeader">
    <w:name w:val="Table Header"/>
    <w:basedOn w:val="BodyText"/>
    <w:next w:val="Normal"/>
    <w:rsid w:val="0056614F"/>
    <w:pPr>
      <w:spacing w:before="60" w:after="60"/>
    </w:pPr>
    <w:rPr>
      <w:rFonts w:ascii="Arial Black" w:eastAsiaTheme="minorHAnsi" w:hAnsi="Arial Black" w:cs="Arial"/>
      <w:bCs/>
      <w:noProof/>
      <w:sz w:val="18"/>
    </w:rPr>
  </w:style>
  <w:style w:type="paragraph" w:customStyle="1" w:styleId="TableRow">
    <w:name w:val="Table Row"/>
    <w:basedOn w:val="BodyText"/>
    <w:link w:val="TableRowChar"/>
    <w:rsid w:val="0056614F"/>
    <w:pPr>
      <w:spacing w:before="40" w:after="40"/>
    </w:pPr>
    <w:rPr>
      <w:rFonts w:eastAsiaTheme="minorHAnsi" w:cs="Arial"/>
      <w:bCs/>
      <w:noProof/>
      <w:sz w:val="20"/>
    </w:rPr>
  </w:style>
  <w:style w:type="character" w:customStyle="1" w:styleId="TableRowChar">
    <w:name w:val="Table Row Char"/>
    <w:link w:val="TableRow"/>
    <w:rsid w:val="0056614F"/>
    <w:rPr>
      <w:rFonts w:eastAsiaTheme="minorHAnsi" w:cs="Arial"/>
      <w:bCs/>
      <w:noProof/>
      <w:sz w:val="20"/>
    </w:rPr>
  </w:style>
  <w:style w:type="paragraph" w:customStyle="1" w:styleId="QAText">
    <w:name w:val="QA Text"/>
    <w:basedOn w:val="Normal"/>
    <w:rsid w:val="00B8605F"/>
    <w:pPr>
      <w:spacing w:before="200" w:after="160"/>
    </w:pPr>
    <w:rPr>
      <w:rFonts w:eastAsiaTheme="minorHAnsi" w:cs="Arial"/>
    </w:rPr>
  </w:style>
  <w:style w:type="paragraph" w:customStyle="1" w:styleId="QAAddress">
    <w:name w:val="QA Address"/>
    <w:basedOn w:val="Normal"/>
    <w:next w:val="Normal"/>
    <w:rsid w:val="00B8605F"/>
    <w:pPr>
      <w:contextualSpacing/>
    </w:pPr>
    <w:rPr>
      <w:rFonts w:eastAsiaTheme="minorHAnsi" w:cs="Arial"/>
    </w:rPr>
  </w:style>
  <w:style w:type="character" w:customStyle="1" w:styleId="Bold">
    <w:name w:val="Bold"/>
    <w:basedOn w:val="DefaultParagraphFont"/>
    <w:rsid w:val="00B8605F"/>
    <w:rPr>
      <w:b/>
    </w:rPr>
  </w:style>
  <w:style w:type="paragraph" w:customStyle="1" w:styleId="HeadingAP1">
    <w:name w:val="Heading AP 1"/>
    <w:basedOn w:val="Normal"/>
    <w:next w:val="BodyText"/>
    <w:rsid w:val="002548CF"/>
    <w:pPr>
      <w:keepNext/>
      <w:numPr>
        <w:numId w:val="4"/>
      </w:numPr>
      <w:spacing w:after="360"/>
    </w:pPr>
    <w:rPr>
      <w:rFonts w:ascii="Arial Bold" w:eastAsiaTheme="minorHAnsi" w:hAnsi="Arial Bold" w:cs="Arial"/>
      <w:b/>
      <w:color w:val="0C479D"/>
      <w:sz w:val="28"/>
    </w:rPr>
  </w:style>
  <w:style w:type="paragraph" w:customStyle="1" w:styleId="HeadingAP2">
    <w:name w:val="Heading AP 2"/>
    <w:basedOn w:val="Normal"/>
    <w:next w:val="BodyText"/>
    <w:rsid w:val="002548CF"/>
    <w:pPr>
      <w:keepNext/>
      <w:numPr>
        <w:ilvl w:val="1"/>
        <w:numId w:val="4"/>
      </w:numPr>
      <w:spacing w:before="240" w:after="60"/>
    </w:pPr>
    <w:rPr>
      <w:rFonts w:eastAsiaTheme="minorHAnsi"/>
      <w:b/>
      <w:bCs/>
      <w:iCs/>
      <w:color w:val="0C479D"/>
      <w:kern w:val="28"/>
      <w:sz w:val="26"/>
      <w:szCs w:val="28"/>
      <w:lang w:eastAsia="en-AU"/>
    </w:rPr>
  </w:style>
  <w:style w:type="paragraph" w:customStyle="1" w:styleId="HeadingAP3">
    <w:name w:val="Heading AP 3"/>
    <w:basedOn w:val="Normal"/>
    <w:next w:val="BodyText"/>
    <w:rsid w:val="002548CF"/>
    <w:pPr>
      <w:keepNext/>
      <w:numPr>
        <w:ilvl w:val="2"/>
        <w:numId w:val="4"/>
      </w:numPr>
      <w:spacing w:before="360" w:after="60"/>
    </w:pPr>
    <w:rPr>
      <w:rFonts w:ascii="Arial Bold" w:eastAsiaTheme="minorHAnsi" w:hAnsi="Arial Bold"/>
      <w:color w:val="666666"/>
      <w:sz w:val="24"/>
      <w:lang w:eastAsia="en-AU"/>
    </w:rPr>
  </w:style>
  <w:style w:type="paragraph" w:customStyle="1" w:styleId="HeadingAP4">
    <w:name w:val="Heading AP 4"/>
    <w:basedOn w:val="Normal"/>
    <w:next w:val="BodyText"/>
    <w:rsid w:val="002548CF"/>
    <w:pPr>
      <w:keepNext/>
      <w:numPr>
        <w:ilvl w:val="3"/>
        <w:numId w:val="4"/>
      </w:numPr>
      <w:spacing w:before="360" w:after="60"/>
    </w:pPr>
    <w:rPr>
      <w:rFonts w:eastAsiaTheme="minorHAnsi"/>
      <w:b/>
      <w:i/>
      <w:color w:val="666666"/>
      <w:lang w:eastAsia="en-AU"/>
    </w:rPr>
  </w:style>
  <w:style w:type="table" w:customStyle="1" w:styleId="TableGrid1">
    <w:name w:val="Table Grid1"/>
    <w:basedOn w:val="TableNormal"/>
    <w:next w:val="TableGrid"/>
    <w:uiPriority w:val="59"/>
    <w:locked/>
    <w:rsid w:val="00F866E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locked/>
    <w:rsid w:val="006F3F18"/>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locked/>
    <w:rsid w:val="0086413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locked/>
    <w:rsid w:val="0086413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GRM">
    <w:name w:val="Sub-Heading GRM"/>
    <w:basedOn w:val="Normal"/>
    <w:next w:val="Normal"/>
    <w:link w:val="Sub-HeadingGRMChar"/>
    <w:rsid w:val="004B0D96"/>
    <w:pPr>
      <w:keepNext/>
      <w:tabs>
        <w:tab w:val="left" w:pos="900"/>
      </w:tabs>
      <w:spacing w:before="40" w:after="240"/>
      <w:outlineLvl w:val="1"/>
    </w:pPr>
    <w:rPr>
      <w:rFonts w:eastAsia="Calibri" w:cs="Arial"/>
      <w:b/>
      <w:bCs/>
      <w:iCs/>
      <w:sz w:val="32"/>
      <w:szCs w:val="32"/>
      <w:lang w:eastAsia="en-AU"/>
    </w:rPr>
  </w:style>
  <w:style w:type="character" w:customStyle="1" w:styleId="Sub-HeadingGRMChar">
    <w:name w:val="Sub-Heading GRM Char"/>
    <w:link w:val="Sub-HeadingGRM"/>
    <w:rsid w:val="004B0D96"/>
    <w:rPr>
      <w:rFonts w:eastAsia="Calibri" w:cs="Arial"/>
      <w:b/>
      <w:bCs/>
      <w:iCs/>
      <w:sz w:val="32"/>
      <w:szCs w:val="32"/>
      <w:lang w:val="en-AU" w:eastAsia="en-AU"/>
    </w:rPr>
  </w:style>
  <w:style w:type="table" w:customStyle="1" w:styleId="TableGrid9">
    <w:name w:val="Table Grid9"/>
    <w:basedOn w:val="TableNormal"/>
    <w:next w:val="TableGrid"/>
    <w:uiPriority w:val="59"/>
    <w:locked/>
    <w:rsid w:val="004C120D"/>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locked/>
    <w:rsid w:val="004E355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locked/>
    <w:rsid w:val="009A3031"/>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locked/>
    <w:rsid w:val="006D1A14"/>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locked/>
    <w:rsid w:val="00790E9A"/>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locked/>
    <w:rsid w:val="00790E9A"/>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rsid w:val="00F80C6C"/>
    <w:pPr>
      <w:tabs>
        <w:tab w:val="left" w:pos="425"/>
      </w:tabs>
      <w:ind w:left="425" w:hanging="425"/>
      <w:contextualSpacing/>
    </w:pPr>
    <w:rPr>
      <w:sz w:val="20"/>
    </w:rPr>
  </w:style>
  <w:style w:type="character" w:customStyle="1" w:styleId="EndnoteTextChar">
    <w:name w:val="Endnote Text Char"/>
    <w:basedOn w:val="DefaultParagraphFont"/>
    <w:link w:val="EndnoteText"/>
    <w:uiPriority w:val="99"/>
    <w:rsid w:val="00F80C6C"/>
    <w:rPr>
      <w:sz w:val="20"/>
      <w:lang w:val="en-AU"/>
    </w:rPr>
  </w:style>
  <w:style w:type="character" w:styleId="EndnoteReference">
    <w:name w:val="endnote reference"/>
    <w:basedOn w:val="DefaultParagraphFont"/>
    <w:uiPriority w:val="99"/>
    <w:rsid w:val="001A1BAD"/>
    <w:rPr>
      <w:vertAlign w:val="superscript"/>
    </w:rPr>
  </w:style>
  <w:style w:type="character" w:styleId="IntenseEmphasis">
    <w:name w:val="Intense Emphasis"/>
    <w:basedOn w:val="DefaultParagraphFont"/>
    <w:uiPriority w:val="21"/>
    <w:qFormat/>
    <w:rsid w:val="00DD0D4F"/>
    <w:rPr>
      <w:b/>
      <w:bCs/>
      <w:i/>
      <w:iCs/>
      <w:color w:val="4F81BD" w:themeColor="accent1"/>
    </w:rPr>
  </w:style>
  <w:style w:type="character" w:customStyle="1" w:styleId="FootnoteTextChar">
    <w:name w:val="Footnote Text Char"/>
    <w:aliases w:val="FOOTNOTES Char,fn Char,single space Char,footnote text Char,Footnote Text Char2 Char,Footnote Text Char1 Char Char,Footnote Text Char Char Char1 Char,Footnote Text Char1 Char Char Char1 Char,Footnote Text Char1 Char1 Char Char,ft Char"/>
    <w:basedOn w:val="DefaultParagraphFont"/>
    <w:link w:val="FootnoteText"/>
    <w:uiPriority w:val="99"/>
    <w:rsid w:val="006D3CFD"/>
    <w:rPr>
      <w:sz w:val="20"/>
      <w:lang w:val="en-AU"/>
    </w:rPr>
  </w:style>
  <w:style w:type="paragraph" w:customStyle="1" w:styleId="Non-TOCsubheading">
    <w:name w:val="Non-TOC subheading"/>
    <w:basedOn w:val="BodyText"/>
    <w:link w:val="Non-TOCsubheadingChar"/>
    <w:rsid w:val="00AC0B1B"/>
    <w:pPr>
      <w:spacing w:line="320" w:lineRule="atLeast"/>
    </w:pPr>
    <w:rPr>
      <w:rFonts w:ascii="Arial" w:eastAsia="Calibri" w:hAnsi="Arial" w:cs="Times New Roman"/>
      <w:b/>
      <w:color w:val="4F6228" w:themeColor="accent3" w:themeShade="80"/>
      <w:sz w:val="20"/>
    </w:rPr>
  </w:style>
  <w:style w:type="character" w:customStyle="1" w:styleId="Non-TOCsubheadingChar">
    <w:name w:val="Non-TOC subheading Char"/>
    <w:basedOn w:val="BodyTextChar"/>
    <w:link w:val="Non-TOCsubheading"/>
    <w:rsid w:val="00AC0B1B"/>
    <w:rPr>
      <w:rFonts w:ascii="Arial" w:eastAsia="Calibri" w:hAnsi="Arial" w:cs="Times New Roman"/>
      <w:b/>
      <w:color w:val="4F6228" w:themeColor="accent3" w:themeShade="80"/>
      <w:sz w:val="20"/>
      <w:szCs w:val="22"/>
      <w:lang w:val="en-AU"/>
    </w:rPr>
  </w:style>
  <w:style w:type="paragraph" w:customStyle="1" w:styleId="Bulletswithsinglespacingfont11">
    <w:name w:val="Bullets with single spacing font 11"/>
    <w:basedOn w:val="Normal"/>
    <w:link w:val="Bulletswithsinglespacingfont11Char"/>
    <w:qFormat/>
    <w:rsid w:val="00470A54"/>
    <w:pPr>
      <w:numPr>
        <w:numId w:val="5"/>
      </w:numPr>
      <w:ind w:left="720"/>
    </w:pPr>
    <w:rPr>
      <w:rFonts w:cs="Arial"/>
      <w:bCs/>
      <w:lang w:eastAsia="en-AU"/>
    </w:rPr>
  </w:style>
  <w:style w:type="character" w:customStyle="1" w:styleId="Bulletswithsinglespacingfont11Char">
    <w:name w:val="Bullets with single spacing font 11 Char"/>
    <w:link w:val="Bulletswithsinglespacingfont11"/>
    <w:locked/>
    <w:rsid w:val="00470A54"/>
    <w:rPr>
      <w:rFonts w:cs="Arial"/>
      <w:bCs/>
      <w:lang w:val="en-AU" w:eastAsia="en-AU"/>
    </w:rPr>
  </w:style>
  <w:style w:type="paragraph" w:customStyle="1" w:styleId="HeadingGRM">
    <w:name w:val="Heading GRM"/>
    <w:basedOn w:val="Heading1"/>
    <w:next w:val="Normal"/>
    <w:link w:val="HeadingGRMChar"/>
    <w:qFormat/>
    <w:rsid w:val="000B0BF7"/>
    <w:pPr>
      <w:numPr>
        <w:numId w:val="0"/>
      </w:numPr>
      <w:spacing w:before="480" w:after="360"/>
    </w:pPr>
    <w:rPr>
      <w:rFonts w:ascii="Calibri" w:eastAsia="Calibri" w:hAnsi="Calibri" w:cs="Arial"/>
      <w:b w:val="0"/>
      <w:color w:val="auto"/>
      <w:sz w:val="36"/>
      <w:szCs w:val="24"/>
      <w:lang w:val="en-GB" w:eastAsia="en-AU"/>
    </w:rPr>
  </w:style>
  <w:style w:type="character" w:customStyle="1" w:styleId="HeadingGRMChar">
    <w:name w:val="Heading GRM Char"/>
    <w:link w:val="HeadingGRM"/>
    <w:rsid w:val="000B0BF7"/>
    <w:rPr>
      <w:rFonts w:eastAsia="Calibri" w:cs="Arial"/>
      <w:b/>
      <w:bCs/>
      <w:kern w:val="32"/>
      <w:sz w:val="36"/>
      <w:szCs w:val="24"/>
      <w:lang w:val="en-GB" w:eastAsia="en-AU"/>
    </w:rPr>
  </w:style>
  <w:style w:type="paragraph" w:customStyle="1" w:styleId="CONLevela">
    <w:name w:val=".CON  Level  (a)"/>
    <w:basedOn w:val="Normal"/>
    <w:next w:val="Normal"/>
    <w:rsid w:val="004F1D92"/>
    <w:pPr>
      <w:numPr>
        <w:ilvl w:val="2"/>
        <w:numId w:val="7"/>
      </w:numPr>
      <w:spacing w:before="240"/>
      <w:outlineLvl w:val="3"/>
    </w:pPr>
    <w:rPr>
      <w:rFonts w:ascii="Times New Roman" w:hAnsi="Times New Roman" w:cs="Times New Roman"/>
      <w:sz w:val="24"/>
    </w:rPr>
  </w:style>
  <w:style w:type="paragraph" w:customStyle="1" w:styleId="CONLeveli">
    <w:name w:val=".CON  Level  (i)"/>
    <w:basedOn w:val="Normal"/>
    <w:next w:val="Normal"/>
    <w:rsid w:val="004F1D92"/>
    <w:pPr>
      <w:numPr>
        <w:ilvl w:val="3"/>
        <w:numId w:val="7"/>
      </w:numPr>
      <w:spacing w:before="240"/>
      <w:outlineLvl w:val="4"/>
    </w:pPr>
    <w:rPr>
      <w:rFonts w:ascii="Times New Roman" w:hAnsi="Times New Roman" w:cs="Times New Roman"/>
      <w:sz w:val="24"/>
    </w:rPr>
  </w:style>
  <w:style w:type="paragraph" w:customStyle="1" w:styleId="CONLevel1">
    <w:name w:val=".CON  Level   1."/>
    <w:basedOn w:val="Normal"/>
    <w:next w:val="Normal"/>
    <w:rsid w:val="004F1D92"/>
    <w:pPr>
      <w:keepNext/>
      <w:numPr>
        <w:numId w:val="7"/>
      </w:numPr>
      <w:spacing w:before="240"/>
      <w:ind w:right="1701"/>
      <w:outlineLvl w:val="1"/>
    </w:pPr>
    <w:rPr>
      <w:rFonts w:ascii="Times New Roman" w:hAnsi="Times New Roman" w:cs="Times New Roman"/>
      <w:b/>
      <w:sz w:val="24"/>
    </w:rPr>
  </w:style>
  <w:style w:type="paragraph" w:customStyle="1" w:styleId="CONLevel11">
    <w:name w:val=".CON  Level   1.1"/>
    <w:basedOn w:val="Normal"/>
    <w:next w:val="Normal"/>
    <w:link w:val="CONLevel11Char"/>
    <w:rsid w:val="004F1D92"/>
    <w:pPr>
      <w:numPr>
        <w:ilvl w:val="1"/>
        <w:numId w:val="7"/>
      </w:numPr>
      <w:spacing w:before="240"/>
      <w:outlineLvl w:val="2"/>
    </w:pPr>
    <w:rPr>
      <w:rFonts w:ascii="Times New Roman" w:hAnsi="Times New Roman" w:cs="Times New Roman"/>
      <w:sz w:val="24"/>
    </w:rPr>
  </w:style>
  <w:style w:type="paragraph" w:customStyle="1" w:styleId="CONLevelA0">
    <w:name w:val=".CON  Level (A)"/>
    <w:basedOn w:val="Normal"/>
    <w:next w:val="Normal"/>
    <w:rsid w:val="004F1D92"/>
    <w:pPr>
      <w:numPr>
        <w:ilvl w:val="4"/>
        <w:numId w:val="7"/>
      </w:numPr>
      <w:spacing w:before="240"/>
      <w:outlineLvl w:val="5"/>
    </w:pPr>
    <w:rPr>
      <w:rFonts w:ascii="Times New Roman" w:hAnsi="Times New Roman" w:cs="Times New Roman"/>
      <w:sz w:val="24"/>
    </w:rPr>
  </w:style>
  <w:style w:type="paragraph" w:customStyle="1" w:styleId="CONLevelI0">
    <w:name w:val=".CON  Level (I)"/>
    <w:basedOn w:val="Normal"/>
    <w:next w:val="Normal"/>
    <w:rsid w:val="004F1D92"/>
    <w:pPr>
      <w:numPr>
        <w:ilvl w:val="5"/>
        <w:numId w:val="7"/>
      </w:numPr>
      <w:spacing w:before="240"/>
      <w:outlineLvl w:val="6"/>
    </w:pPr>
    <w:rPr>
      <w:rFonts w:ascii="Times New Roman" w:hAnsi="Times New Roman" w:cs="Times New Roman"/>
      <w:sz w:val="24"/>
    </w:rPr>
  </w:style>
  <w:style w:type="character" w:customStyle="1" w:styleId="CONLevel11Char">
    <w:name w:val=".CON  Level   1.1 Char"/>
    <w:link w:val="CONLevel11"/>
    <w:rsid w:val="004F1D92"/>
    <w:rPr>
      <w:rFonts w:ascii="Times New Roman" w:hAnsi="Times New Roman" w:cs="Times New Roman"/>
      <w:sz w:val="24"/>
      <w:lang w:val="en-AU"/>
    </w:rPr>
  </w:style>
  <w:style w:type="paragraph" w:customStyle="1" w:styleId="Notes">
    <w:name w:val="Notes"/>
    <w:basedOn w:val="Normal"/>
    <w:next w:val="Normal"/>
    <w:rsid w:val="002B6C03"/>
    <w:pPr>
      <w:spacing w:before="60" w:after="240"/>
      <w:jc w:val="center"/>
    </w:pPr>
    <w:rPr>
      <w:color w:val="808080" w:themeColor="background1" w:themeShade="80"/>
      <w:sz w:val="16"/>
      <w:szCs w:val="20"/>
    </w:rPr>
  </w:style>
  <w:style w:type="table" w:customStyle="1" w:styleId="TableGrid15">
    <w:name w:val="Table Grid15"/>
    <w:basedOn w:val="TableNormal"/>
    <w:next w:val="TableGrid"/>
    <w:uiPriority w:val="59"/>
    <w:rsid w:val="00F6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locked/>
    <w:rsid w:val="00F6127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6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locked/>
    <w:rsid w:val="00F6127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locked/>
    <w:rsid w:val="00F6127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6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locked/>
    <w:rsid w:val="00F6127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locked/>
    <w:rsid w:val="00A64511"/>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locked/>
    <w:rsid w:val="0073157E"/>
    <w:rPr>
      <w:rFonts w:eastAsia="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33BC8"/>
    <w:rPr>
      <w:rFonts w:asciiTheme="minorHAnsi" w:eastAsiaTheme="minorEastAsia" w:hAnsiTheme="minorHAnsi" w:cstheme="minorBidi"/>
      <w:sz w:val="24"/>
      <w:szCs w:val="24"/>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asciiTheme="minorHAnsi" w:hAnsiTheme="minorHAnsi"/>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apTable">
    <w:name w:val="CapTable"/>
    <w:basedOn w:val="Caption"/>
    <w:qFormat/>
    <w:rsid w:val="00DC41F6"/>
    <w:pPr>
      <w:keepNext/>
      <w:spacing w:before="240" w:after="240"/>
      <w:ind w:left="85" w:right="45"/>
    </w:pPr>
  </w:style>
  <w:style w:type="paragraph" w:customStyle="1" w:styleId="CapFigure">
    <w:name w:val="CapFigure"/>
    <w:basedOn w:val="Caption"/>
    <w:qFormat/>
    <w:rsid w:val="00DC41F6"/>
    <w:pPr>
      <w:keepNext/>
      <w:ind w:left="85" w:right="45"/>
    </w:pPr>
  </w:style>
  <w:style w:type="character" w:customStyle="1" w:styleId="EmailStyle201">
    <w:name w:val="EmailStyle201"/>
    <w:uiPriority w:val="99"/>
    <w:semiHidden/>
    <w:rsid w:val="00DC41F6"/>
    <w:rPr>
      <w:rFonts w:ascii="Arial" w:hAnsi="Arial" w:cs="Arial"/>
      <w:color w:val="auto"/>
      <w:sz w:val="20"/>
      <w:szCs w:val="20"/>
    </w:rPr>
  </w:style>
  <w:style w:type="character" w:customStyle="1" w:styleId="Heading4Char">
    <w:name w:val="Heading 4 Char"/>
    <w:basedOn w:val="DefaultParagraphFont"/>
    <w:link w:val="Heading4"/>
    <w:rsid w:val="00DC41F6"/>
    <w:rPr>
      <w:b/>
      <w:bCs/>
      <w:sz w:val="24"/>
      <w:szCs w:val="28"/>
      <w:lang w:val="en-AU"/>
    </w:rPr>
  </w:style>
  <w:style w:type="paragraph" w:customStyle="1" w:styleId="numbered">
    <w:name w:val="numbered"/>
    <w:basedOn w:val="Normal"/>
    <w:link w:val="numberedChar"/>
    <w:qFormat/>
    <w:rsid w:val="00DC41F6"/>
    <w:pPr>
      <w:spacing w:before="60" w:after="60"/>
    </w:pPr>
    <w:rPr>
      <w:rFonts w:asciiTheme="minorHAnsi" w:hAnsiTheme="minorHAnsi" w:cs="Times New Roman"/>
      <w:sz w:val="24"/>
      <w:szCs w:val="24"/>
      <w:lang w:eastAsia="en-AU"/>
    </w:rPr>
  </w:style>
  <w:style w:type="character" w:customStyle="1" w:styleId="numberedChar">
    <w:name w:val="numbered Char"/>
    <w:basedOn w:val="DefaultParagraphFont"/>
    <w:link w:val="numbered"/>
    <w:rsid w:val="00DC41F6"/>
    <w:rPr>
      <w:rFonts w:asciiTheme="minorHAnsi" w:hAnsiTheme="minorHAnsi" w:cs="Times New Roman"/>
      <w:sz w:val="24"/>
      <w:szCs w:val="24"/>
      <w:lang w:val="en-AU" w:eastAsia="en-AU"/>
    </w:rPr>
  </w:style>
  <w:style w:type="paragraph" w:customStyle="1" w:styleId="Source">
    <w:name w:val="Source"/>
    <w:basedOn w:val="Normal"/>
    <w:qFormat/>
    <w:rsid w:val="001D2009"/>
    <w:pPr>
      <w:jc w:val="center"/>
      <w:outlineLvl w:val="1"/>
    </w:pPr>
    <w:rPr>
      <w:bCs/>
      <w:sz w:val="18"/>
      <w:szCs w:val="20"/>
    </w:rPr>
  </w:style>
  <w:style w:type="character" w:customStyle="1" w:styleId="apple-converted-space">
    <w:name w:val="apple-converted-space"/>
    <w:basedOn w:val="DefaultParagraphFont"/>
    <w:rsid w:val="00A943BB"/>
  </w:style>
  <w:style w:type="table" w:customStyle="1" w:styleId="TableGrid321">
    <w:name w:val="Table Grid321"/>
    <w:basedOn w:val="TableNormal"/>
    <w:next w:val="TableGrid"/>
    <w:uiPriority w:val="59"/>
    <w:locked/>
    <w:rsid w:val="004B1032"/>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locked/>
    <w:rsid w:val="004B1032"/>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locked/>
    <w:rsid w:val="00123F1E"/>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locked/>
    <w:rsid w:val="00123F1E"/>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locked/>
    <w:rsid w:val="00123F1E"/>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D20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D20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locked/>
    <w:rsid w:val="00D20962"/>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D20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59"/>
    <w:locked/>
    <w:rsid w:val="00D20962"/>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D20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59"/>
    <w:locked/>
    <w:rsid w:val="00D20962"/>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uiPriority w:val="59"/>
    <w:locked/>
    <w:rsid w:val="00D20962"/>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locked/>
    <w:rsid w:val="00D20962"/>
    <w:rPr>
      <w:rFonts w:eastAsia="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Table">
    <w:name w:val="Caption - Table"/>
    <w:basedOn w:val="Caption"/>
    <w:next w:val="Normal"/>
    <w:qFormat/>
    <w:rsid w:val="00502A97"/>
    <w:pPr>
      <w:keepNext/>
    </w:pPr>
  </w:style>
  <w:style w:type="paragraph" w:customStyle="1" w:styleId="Caption-Figure">
    <w:name w:val="Caption - Figure"/>
    <w:basedOn w:val="Caption"/>
    <w:qFormat/>
    <w:rsid w:val="00DA244C"/>
    <w:pPr>
      <w:keepNext/>
      <w:ind w:left="85" w:right="45"/>
      <w:outlineLvl w:val="1"/>
    </w:pPr>
    <w:rPr>
      <w:rFonts w:asciiTheme="minorHAnsi" w:hAnsiTheme="minorHAnsi" w:cstheme="minorHAnsi"/>
      <w:lang w:val="en-AU"/>
    </w:rPr>
  </w:style>
  <w:style w:type="paragraph" w:customStyle="1" w:styleId="Heading1-NoNumber">
    <w:name w:val="Heading 1 - No Number"/>
    <w:basedOn w:val="Heading1"/>
    <w:qFormat/>
    <w:rsid w:val="00775568"/>
    <w:pPr>
      <w:numPr>
        <w:numId w:val="0"/>
      </w:numPr>
    </w:pPr>
  </w:style>
  <w:style w:type="paragraph" w:customStyle="1" w:styleId="DividerStyle">
    <w:name w:val="Divider Style"/>
    <w:basedOn w:val="Normal"/>
    <w:qFormat/>
    <w:rsid w:val="00AD74D4"/>
    <w:pPr>
      <w:spacing w:before="0" w:after="0"/>
      <w:ind w:left="4395"/>
    </w:pPr>
    <w:rPr>
      <w:b/>
      <w:color w:val="FFFFFF" w:themeColor="background1"/>
      <w:sz w:val="36"/>
      <w:szCs w:val="36"/>
    </w:rPr>
  </w:style>
  <w:style w:type="paragraph" w:customStyle="1" w:styleId="TableParagraph">
    <w:name w:val="Table Paragraph"/>
    <w:basedOn w:val="Normal"/>
    <w:qFormat/>
    <w:rsid w:val="001D3402"/>
    <w:pPr>
      <w:spacing w:before="60" w:after="60"/>
      <w:jc w:val="left"/>
    </w:pPr>
    <w:rPr>
      <w:rFonts w:eastAsiaTheme="minorHAnsi"/>
    </w:rPr>
  </w:style>
  <w:style w:type="paragraph" w:customStyle="1" w:styleId="SourceNotes">
    <w:name w:val="Source Notes"/>
    <w:basedOn w:val="Normal"/>
    <w:qFormat/>
    <w:rsid w:val="002C5E9B"/>
    <w:pPr>
      <w:spacing w:before="60"/>
      <w:contextualSpacing/>
      <w:jc w:val="center"/>
    </w:pPr>
    <w:rPr>
      <w:i/>
      <w:color w:val="000000" w:themeColor="text1"/>
      <w:sz w:val="18"/>
      <w:szCs w:val="20"/>
    </w:rPr>
  </w:style>
  <w:style w:type="paragraph" w:customStyle="1" w:styleId="ScoreParagraph">
    <w:name w:val="ScoreParagraph"/>
    <w:basedOn w:val="Normal"/>
    <w:qFormat/>
    <w:rsid w:val="00B51E32"/>
    <w:pPr>
      <w:numPr>
        <w:numId w:val="16"/>
      </w:numPr>
      <w:spacing w:before="60" w:after="60"/>
      <w:ind w:left="357" w:hanging="357"/>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page number"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1"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1"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1"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qFormat="1"/>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qFormat="1"/>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389"/>
    <w:pPr>
      <w:spacing w:before="120" w:after="120" w:line="276" w:lineRule="auto"/>
      <w:jc w:val="both"/>
    </w:pPr>
    <w:rPr>
      <w:lang w:val="en-AU"/>
    </w:rPr>
  </w:style>
  <w:style w:type="paragraph" w:styleId="Heading1">
    <w:name w:val="heading 1"/>
    <w:basedOn w:val="Normal"/>
    <w:next w:val="Normal"/>
    <w:link w:val="Heading1Char"/>
    <w:uiPriority w:val="9"/>
    <w:qFormat/>
    <w:rsid w:val="007D685B"/>
    <w:pPr>
      <w:keepNext/>
      <w:numPr>
        <w:numId w:val="6"/>
      </w:numPr>
      <w:ind w:left="720" w:hanging="720"/>
      <w:outlineLvl w:val="0"/>
    </w:pPr>
    <w:rPr>
      <w:rFonts w:asciiTheme="minorHAnsi" w:hAnsiTheme="minorHAnsi" w:cstheme="minorHAnsi"/>
      <w:b/>
      <w:bCs/>
      <w:color w:val="003880"/>
      <w:kern w:val="32"/>
      <w:sz w:val="28"/>
      <w:szCs w:val="28"/>
    </w:rPr>
  </w:style>
  <w:style w:type="paragraph" w:styleId="Heading2">
    <w:name w:val="heading 2"/>
    <w:basedOn w:val="Normal"/>
    <w:next w:val="Normal"/>
    <w:link w:val="Heading2Char"/>
    <w:qFormat/>
    <w:rsid w:val="00D363F0"/>
    <w:pPr>
      <w:keepNext/>
      <w:numPr>
        <w:ilvl w:val="1"/>
        <w:numId w:val="6"/>
      </w:numPr>
      <w:spacing w:before="360"/>
      <w:ind w:hanging="720"/>
      <w:outlineLvl w:val="1"/>
    </w:pPr>
    <w:rPr>
      <w:b/>
      <w:bCs/>
      <w:iCs/>
      <w:color w:val="003880"/>
      <w:sz w:val="24"/>
      <w:szCs w:val="24"/>
    </w:rPr>
  </w:style>
  <w:style w:type="paragraph" w:styleId="Heading3">
    <w:name w:val="heading 3"/>
    <w:basedOn w:val="Normal"/>
    <w:next w:val="Normal"/>
    <w:link w:val="Heading3Char"/>
    <w:qFormat/>
    <w:rsid w:val="00DC41F6"/>
    <w:pPr>
      <w:keepNext/>
      <w:numPr>
        <w:ilvl w:val="2"/>
        <w:numId w:val="6"/>
      </w:numPr>
      <w:ind w:left="709" w:hanging="709"/>
      <w:outlineLvl w:val="2"/>
    </w:pPr>
    <w:rPr>
      <w:bCs/>
      <w:color w:val="003880"/>
      <w:sz w:val="24"/>
      <w:szCs w:val="28"/>
    </w:rPr>
  </w:style>
  <w:style w:type="paragraph" w:styleId="Heading4">
    <w:name w:val="heading 4"/>
    <w:basedOn w:val="Normal"/>
    <w:next w:val="Normal"/>
    <w:link w:val="Heading4Char"/>
    <w:qFormat/>
    <w:rsid w:val="00643C39"/>
    <w:pPr>
      <w:keepNext/>
      <w:numPr>
        <w:ilvl w:val="3"/>
        <w:numId w:val="6"/>
      </w:numPr>
      <w:spacing w:before="240" w:after="60"/>
      <w:outlineLvl w:val="3"/>
    </w:pPr>
    <w:rPr>
      <w:b/>
      <w:bCs/>
      <w:sz w:val="24"/>
      <w:szCs w:val="28"/>
    </w:rPr>
  </w:style>
  <w:style w:type="paragraph" w:styleId="Heading5">
    <w:name w:val="heading 5"/>
    <w:basedOn w:val="Normal"/>
    <w:next w:val="Normal"/>
    <w:qFormat/>
    <w:rsid w:val="00643C39"/>
    <w:pPr>
      <w:numPr>
        <w:ilvl w:val="4"/>
        <w:numId w:val="3"/>
      </w:numPr>
      <w:spacing w:before="240" w:after="60"/>
      <w:outlineLvl w:val="4"/>
    </w:pPr>
    <w:rPr>
      <w:b/>
      <w:bCs/>
      <w:i/>
      <w:iCs/>
      <w:sz w:val="26"/>
      <w:szCs w:val="26"/>
    </w:rPr>
  </w:style>
  <w:style w:type="paragraph" w:styleId="Heading6">
    <w:name w:val="heading 6"/>
    <w:basedOn w:val="Normal"/>
    <w:next w:val="Normal"/>
    <w:qFormat/>
    <w:rsid w:val="00643C39"/>
    <w:pPr>
      <w:numPr>
        <w:ilvl w:val="5"/>
        <w:numId w:val="3"/>
      </w:numPr>
      <w:spacing w:before="240" w:after="60"/>
      <w:outlineLvl w:val="5"/>
    </w:pPr>
    <w:rPr>
      <w:b/>
      <w:bCs/>
    </w:rPr>
  </w:style>
  <w:style w:type="paragraph" w:styleId="Heading7">
    <w:name w:val="heading 7"/>
    <w:basedOn w:val="Normal"/>
    <w:next w:val="Normal"/>
    <w:qFormat/>
    <w:rsid w:val="00643C39"/>
    <w:pPr>
      <w:numPr>
        <w:ilvl w:val="6"/>
        <w:numId w:val="3"/>
      </w:numPr>
      <w:spacing w:before="240" w:after="60"/>
      <w:outlineLvl w:val="6"/>
    </w:pPr>
  </w:style>
  <w:style w:type="paragraph" w:styleId="Heading8">
    <w:name w:val="heading 8"/>
    <w:basedOn w:val="Normal"/>
    <w:next w:val="Normal"/>
    <w:qFormat/>
    <w:rsid w:val="00643C39"/>
    <w:pPr>
      <w:numPr>
        <w:ilvl w:val="7"/>
        <w:numId w:val="3"/>
      </w:numPr>
      <w:spacing w:before="240" w:after="60"/>
      <w:outlineLvl w:val="7"/>
    </w:pPr>
    <w:rPr>
      <w:i/>
      <w:iCs/>
    </w:rPr>
  </w:style>
  <w:style w:type="paragraph" w:styleId="Heading9">
    <w:name w:val="heading 9"/>
    <w:basedOn w:val="Normal"/>
    <w:next w:val="Normal"/>
    <w:qFormat/>
    <w:rsid w:val="00643C39"/>
    <w:pPr>
      <w:numPr>
        <w:ilvl w:val="8"/>
        <w:numId w:val="3"/>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D685B"/>
    <w:rPr>
      <w:rFonts w:asciiTheme="minorHAnsi" w:hAnsiTheme="minorHAnsi" w:cstheme="minorHAnsi"/>
      <w:b/>
      <w:bCs/>
      <w:color w:val="003880"/>
      <w:kern w:val="32"/>
      <w:sz w:val="28"/>
      <w:szCs w:val="28"/>
      <w:lang w:val="en-AU"/>
    </w:rPr>
  </w:style>
  <w:style w:type="character" w:customStyle="1" w:styleId="Heading2Char">
    <w:name w:val="Heading 2 Char"/>
    <w:link w:val="Heading2"/>
    <w:rsid w:val="00D363F0"/>
    <w:rPr>
      <w:b/>
      <w:bCs/>
      <w:iCs/>
      <w:color w:val="003880"/>
      <w:sz w:val="24"/>
      <w:szCs w:val="24"/>
      <w:lang w:val="en-AU"/>
    </w:rPr>
  </w:style>
  <w:style w:type="character" w:customStyle="1" w:styleId="Heading3Char">
    <w:name w:val="Heading 3 Char"/>
    <w:link w:val="Heading3"/>
    <w:rsid w:val="00DC41F6"/>
    <w:rPr>
      <w:bCs/>
      <w:color w:val="003880"/>
      <w:sz w:val="24"/>
      <w:szCs w:val="28"/>
      <w:lang w:val="en-AU"/>
    </w:rPr>
  </w:style>
  <w:style w:type="paragraph" w:styleId="Footer">
    <w:name w:val="footer"/>
    <w:basedOn w:val="Normal"/>
    <w:link w:val="FooterChar"/>
    <w:uiPriority w:val="99"/>
    <w:rsid w:val="005F5956"/>
    <w:pPr>
      <w:tabs>
        <w:tab w:val="center" w:pos="4320"/>
        <w:tab w:val="right" w:pos="8640"/>
      </w:tabs>
    </w:pPr>
    <w:rPr>
      <w:b/>
      <w:caps/>
      <w:sz w:val="16"/>
      <w:szCs w:val="16"/>
    </w:rPr>
  </w:style>
  <w:style w:type="character" w:customStyle="1" w:styleId="FooterChar">
    <w:name w:val="Footer Char"/>
    <w:link w:val="Footer"/>
    <w:uiPriority w:val="99"/>
    <w:rsid w:val="00623899"/>
    <w:rPr>
      <w:rFonts w:ascii="Gill Sans MT" w:hAnsi="Gill Sans MT"/>
      <w:b/>
      <w:caps/>
      <w:sz w:val="16"/>
      <w:szCs w:val="16"/>
    </w:rPr>
  </w:style>
  <w:style w:type="character" w:styleId="FootnoteReference">
    <w:name w:val="footnote reference"/>
    <w:aliases w:val=" BVI fnr,BVI fnr,ftref,referencia nota al pie,footnote ref,16 Point,Superscript 6 Point,fr,(NECG) Footnote Reference"/>
    <w:uiPriority w:val="99"/>
    <w:rsid w:val="00890B09"/>
    <w:rPr>
      <w:rFonts w:ascii="Times New Roman" w:hAnsi="Times New Roman"/>
      <w:sz w:val="22"/>
      <w:szCs w:val="22"/>
      <w:vertAlign w:val="superscript"/>
    </w:rPr>
  </w:style>
  <w:style w:type="paragraph" w:styleId="Header">
    <w:name w:val="header"/>
    <w:basedOn w:val="Normal"/>
    <w:link w:val="HeaderChar"/>
    <w:uiPriority w:val="99"/>
    <w:rsid w:val="006A672B"/>
    <w:pPr>
      <w:tabs>
        <w:tab w:val="center" w:pos="4320"/>
        <w:tab w:val="right" w:pos="8640"/>
      </w:tabs>
    </w:pPr>
    <w:rPr>
      <w:caps/>
      <w:sz w:val="16"/>
      <w:szCs w:val="16"/>
    </w:rPr>
  </w:style>
  <w:style w:type="character" w:customStyle="1" w:styleId="HeaderChar">
    <w:name w:val="Header Char"/>
    <w:link w:val="Header"/>
    <w:uiPriority w:val="99"/>
    <w:rsid w:val="006A672B"/>
    <w:rPr>
      <w:rFonts w:ascii="Gill Sans MT" w:hAnsi="Gill Sans MT"/>
      <w:caps/>
      <w:sz w:val="16"/>
      <w:szCs w:val="16"/>
    </w:rPr>
  </w:style>
  <w:style w:type="paragraph" w:styleId="ListNumber">
    <w:name w:val="List Number"/>
    <w:basedOn w:val="Normal"/>
    <w:rsid w:val="00890B09"/>
    <w:pPr>
      <w:tabs>
        <w:tab w:val="num" w:pos="360"/>
      </w:tabs>
    </w:pPr>
  </w:style>
  <w:style w:type="paragraph" w:styleId="List">
    <w:name w:val="List"/>
    <w:basedOn w:val="Normal"/>
    <w:rsid w:val="00890B09"/>
    <w:pPr>
      <w:ind w:left="360" w:hanging="360"/>
    </w:pPr>
  </w:style>
  <w:style w:type="character" w:styleId="PageNumber">
    <w:name w:val="page number"/>
    <w:qFormat/>
    <w:rsid w:val="00D14AFA"/>
    <w:rPr>
      <w:rFonts w:ascii="Calibri" w:hAnsi="Calibri" w:cs="Calibri"/>
      <w:color w:val="595959" w:themeColor="text1" w:themeTint="A6"/>
      <w:sz w:val="24"/>
    </w:rPr>
  </w:style>
  <w:style w:type="paragraph" w:styleId="TableofFigures">
    <w:name w:val="table of figures"/>
    <w:basedOn w:val="Normal"/>
    <w:next w:val="Normal"/>
    <w:uiPriority w:val="99"/>
    <w:rsid w:val="00803B3F"/>
    <w:pPr>
      <w:ind w:left="440" w:hanging="440"/>
    </w:pPr>
  </w:style>
  <w:style w:type="paragraph" w:customStyle="1" w:styleId="2ParagraphHeadline">
    <w:name w:val="2 Paragraph Headline"/>
    <w:basedOn w:val="Normal"/>
    <w:link w:val="2ParagraphHeadlineChar"/>
    <w:qFormat/>
    <w:rsid w:val="005C475A"/>
    <w:rPr>
      <w:rFonts w:eastAsiaTheme="minorHAnsi"/>
      <w:b/>
      <w:bCs/>
      <w:color w:val="68BAD6"/>
      <w:szCs w:val="14"/>
    </w:rPr>
  </w:style>
  <w:style w:type="character" w:styleId="Hyperlink">
    <w:name w:val="Hyperlink"/>
    <w:uiPriority w:val="99"/>
    <w:rsid w:val="00890B09"/>
    <w:rPr>
      <w:rFonts w:ascii="Gill Sans MT" w:hAnsi="Gill Sans MT"/>
      <w:color w:val="auto"/>
      <w:sz w:val="22"/>
      <w:u w:val="single"/>
    </w:rPr>
  </w:style>
  <w:style w:type="paragraph" w:styleId="ListBullet">
    <w:name w:val="List Bullet"/>
    <w:basedOn w:val="Normal"/>
    <w:rsid w:val="00D234C8"/>
    <w:pPr>
      <w:numPr>
        <w:numId w:val="1"/>
      </w:numPr>
    </w:pPr>
  </w:style>
  <w:style w:type="paragraph" w:styleId="Caption">
    <w:name w:val="caption"/>
    <w:basedOn w:val="Normal"/>
    <w:next w:val="Normal"/>
    <w:qFormat/>
    <w:rsid w:val="00C43C44"/>
    <w:pPr>
      <w:ind w:left="86" w:right="43"/>
      <w:jc w:val="center"/>
    </w:pPr>
    <w:rPr>
      <w:b/>
      <w:lang w:val="en-GB"/>
    </w:rPr>
  </w:style>
  <w:style w:type="character" w:customStyle="1" w:styleId="2ParagraphHeadlineChar">
    <w:name w:val="2 Paragraph Headline Char"/>
    <w:basedOn w:val="DefaultParagraphFont"/>
    <w:link w:val="2ParagraphHeadline"/>
    <w:rsid w:val="005C475A"/>
    <w:rPr>
      <w:rFonts w:eastAsiaTheme="minorHAnsi"/>
      <w:b/>
      <w:bCs/>
      <w:color w:val="68BAD6"/>
      <w:szCs w:val="14"/>
    </w:rPr>
  </w:style>
  <w:style w:type="paragraph" w:customStyle="1" w:styleId="MediumGrid21">
    <w:name w:val="Medium Grid 21"/>
    <w:link w:val="MediumGrid2Char"/>
    <w:uiPriority w:val="1"/>
    <w:qFormat/>
    <w:rsid w:val="0027184C"/>
    <w:rPr>
      <w:rFonts w:ascii="Gill Sans MT" w:hAnsi="Gill Sans MT"/>
      <w:szCs w:val="24"/>
    </w:rPr>
  </w:style>
  <w:style w:type="character" w:customStyle="1" w:styleId="MediumGrid2Char">
    <w:name w:val="Medium Grid 2 Char"/>
    <w:link w:val="MediumGrid21"/>
    <w:uiPriority w:val="1"/>
    <w:rsid w:val="00A04901"/>
    <w:rPr>
      <w:rFonts w:ascii="Gill Sans MT" w:hAnsi="Gill Sans MT"/>
      <w:sz w:val="22"/>
      <w:szCs w:val="24"/>
      <w:lang w:val="en-US" w:eastAsia="en-US" w:bidi="ar-SA"/>
    </w:rPr>
  </w:style>
  <w:style w:type="paragraph" w:styleId="TOCHeading">
    <w:name w:val="TOC Heading"/>
    <w:basedOn w:val="Heading1"/>
    <w:next w:val="Normal"/>
    <w:uiPriority w:val="39"/>
    <w:unhideWhenUsed/>
    <w:qFormat/>
    <w:rsid w:val="00F816BB"/>
    <w:pPr>
      <w:keepLines/>
      <w:spacing w:before="480"/>
      <w:ind w:left="0" w:firstLine="0"/>
      <w:outlineLvl w:val="9"/>
    </w:pPr>
    <w:rPr>
      <w:rFonts w:asciiTheme="majorHAnsi" w:eastAsiaTheme="majorEastAsia" w:hAnsiTheme="majorHAnsi" w:cstheme="majorBidi"/>
      <w:b w:val="0"/>
      <w:color w:val="365F91" w:themeColor="accent1" w:themeShade="BF"/>
      <w:kern w:val="0"/>
      <w:lang w:eastAsia="ja-JP"/>
    </w:rPr>
  </w:style>
  <w:style w:type="paragraph" w:styleId="FootnoteText">
    <w:name w:val="footnote text"/>
    <w:aliases w:val="FOOTNOTES,fn,single space,footnote text,Footnote Text Char2,Footnote Text Char1 Char,Footnote Text Char Char Char1,Footnote Text Char1 Char Char Char1,Footnote Text Char1 Char1 Char,Footnote Text Char Char Char Char,ft"/>
    <w:basedOn w:val="Normal"/>
    <w:link w:val="FootnoteTextChar"/>
    <w:uiPriority w:val="99"/>
    <w:rsid w:val="006D3CFD"/>
    <w:pPr>
      <w:spacing w:before="0"/>
      <w:contextualSpacing/>
    </w:pPr>
    <w:rPr>
      <w:sz w:val="20"/>
    </w:rPr>
  </w:style>
  <w:style w:type="paragraph" w:styleId="TOC1">
    <w:name w:val="toc 1"/>
    <w:basedOn w:val="Normal"/>
    <w:next w:val="Normal"/>
    <w:autoRedefine/>
    <w:uiPriority w:val="39"/>
    <w:qFormat/>
    <w:rsid w:val="00766A0B"/>
    <w:pPr>
      <w:tabs>
        <w:tab w:val="left" w:pos="360"/>
        <w:tab w:val="right" w:pos="9000"/>
      </w:tabs>
      <w:spacing w:before="0" w:line="360" w:lineRule="auto"/>
      <w:jc w:val="left"/>
    </w:pPr>
    <w:rPr>
      <w:rFonts w:asciiTheme="minorHAnsi" w:hAnsiTheme="minorHAnsi" w:cstheme="minorHAnsi"/>
      <w:bCs/>
      <w:caps/>
      <w:color w:val="003880"/>
      <w:kern w:val="32"/>
      <w:sz w:val="24"/>
      <w:szCs w:val="24"/>
    </w:rPr>
  </w:style>
  <w:style w:type="paragraph" w:styleId="TOC2">
    <w:name w:val="toc 2"/>
    <w:basedOn w:val="Normal"/>
    <w:next w:val="Normal"/>
    <w:autoRedefine/>
    <w:uiPriority w:val="39"/>
    <w:qFormat/>
    <w:rsid w:val="00BA3B26"/>
    <w:pPr>
      <w:tabs>
        <w:tab w:val="left" w:pos="720"/>
        <w:tab w:val="right" w:pos="9000"/>
      </w:tabs>
      <w:spacing w:before="40" w:after="40"/>
    </w:pPr>
    <w:rPr>
      <w:rFonts w:asciiTheme="minorHAnsi" w:hAnsiTheme="minorHAnsi" w:cstheme="minorHAnsi"/>
      <w:b/>
      <w:bCs/>
      <w:sz w:val="20"/>
    </w:rPr>
  </w:style>
  <w:style w:type="paragraph" w:styleId="TOC3">
    <w:name w:val="toc 3"/>
    <w:basedOn w:val="Normal"/>
    <w:next w:val="Normal"/>
    <w:autoRedefine/>
    <w:uiPriority w:val="39"/>
    <w:qFormat/>
    <w:rsid w:val="00C820A7"/>
    <w:pPr>
      <w:tabs>
        <w:tab w:val="left" w:pos="720"/>
        <w:tab w:val="right" w:pos="9000"/>
      </w:tabs>
    </w:pPr>
    <w:rPr>
      <w:rFonts w:asciiTheme="minorHAnsi" w:hAnsiTheme="minorHAnsi" w:cstheme="minorHAnsi"/>
      <w:sz w:val="20"/>
    </w:rPr>
  </w:style>
  <w:style w:type="paragraph" w:styleId="TOC4">
    <w:name w:val="toc 4"/>
    <w:basedOn w:val="Normal"/>
    <w:next w:val="Normal"/>
    <w:autoRedefine/>
    <w:uiPriority w:val="39"/>
    <w:rsid w:val="00C86DEB"/>
    <w:pPr>
      <w:ind w:left="440"/>
    </w:pPr>
    <w:rPr>
      <w:rFonts w:asciiTheme="minorHAnsi" w:hAnsiTheme="minorHAnsi" w:cstheme="minorHAnsi"/>
      <w:sz w:val="20"/>
    </w:rPr>
  </w:style>
  <w:style w:type="paragraph" w:styleId="TOC5">
    <w:name w:val="toc 5"/>
    <w:basedOn w:val="Normal"/>
    <w:next w:val="Normal"/>
    <w:autoRedefine/>
    <w:uiPriority w:val="39"/>
    <w:rsid w:val="00C86DEB"/>
    <w:pPr>
      <w:ind w:left="660"/>
    </w:pPr>
    <w:rPr>
      <w:rFonts w:asciiTheme="minorHAnsi" w:hAnsiTheme="minorHAnsi" w:cstheme="minorHAnsi"/>
      <w:sz w:val="20"/>
    </w:rPr>
  </w:style>
  <w:style w:type="paragraph" w:styleId="TOC6">
    <w:name w:val="toc 6"/>
    <w:basedOn w:val="Normal"/>
    <w:next w:val="Normal"/>
    <w:autoRedefine/>
    <w:uiPriority w:val="39"/>
    <w:rsid w:val="00C86DEB"/>
    <w:pPr>
      <w:ind w:left="880"/>
    </w:pPr>
    <w:rPr>
      <w:rFonts w:asciiTheme="minorHAnsi" w:hAnsiTheme="minorHAnsi" w:cstheme="minorHAnsi"/>
      <w:sz w:val="20"/>
    </w:rPr>
  </w:style>
  <w:style w:type="paragraph" w:styleId="TOC7">
    <w:name w:val="toc 7"/>
    <w:basedOn w:val="Normal"/>
    <w:next w:val="Normal"/>
    <w:autoRedefine/>
    <w:uiPriority w:val="39"/>
    <w:rsid w:val="00C86DEB"/>
    <w:pPr>
      <w:ind w:left="1100"/>
    </w:pPr>
    <w:rPr>
      <w:rFonts w:asciiTheme="minorHAnsi" w:hAnsiTheme="minorHAnsi" w:cstheme="minorHAnsi"/>
      <w:sz w:val="20"/>
    </w:rPr>
  </w:style>
  <w:style w:type="paragraph" w:styleId="TOC8">
    <w:name w:val="toc 8"/>
    <w:basedOn w:val="Normal"/>
    <w:next w:val="Normal"/>
    <w:autoRedefine/>
    <w:uiPriority w:val="39"/>
    <w:rsid w:val="00C86DEB"/>
    <w:pPr>
      <w:ind w:left="1320"/>
    </w:pPr>
    <w:rPr>
      <w:rFonts w:asciiTheme="minorHAnsi" w:hAnsiTheme="minorHAnsi" w:cstheme="minorHAnsi"/>
      <w:sz w:val="20"/>
    </w:rPr>
  </w:style>
  <w:style w:type="paragraph" w:styleId="TOC9">
    <w:name w:val="toc 9"/>
    <w:basedOn w:val="Normal"/>
    <w:next w:val="Normal"/>
    <w:autoRedefine/>
    <w:uiPriority w:val="39"/>
    <w:rsid w:val="00C86DEB"/>
    <w:pPr>
      <w:ind w:left="1540"/>
    </w:pPr>
    <w:rPr>
      <w:rFonts w:asciiTheme="minorHAnsi" w:hAnsiTheme="minorHAnsi" w:cstheme="minorHAnsi"/>
      <w:sz w:val="20"/>
    </w:rPr>
  </w:style>
  <w:style w:type="paragraph" w:styleId="Title">
    <w:name w:val="Title"/>
    <w:basedOn w:val="Normal"/>
    <w:link w:val="TitleChar"/>
    <w:uiPriority w:val="10"/>
    <w:qFormat/>
    <w:rsid w:val="00643C39"/>
    <w:pPr>
      <w:spacing w:before="240" w:after="60"/>
      <w:ind w:left="1267"/>
      <w:outlineLvl w:val="0"/>
    </w:pPr>
    <w:rPr>
      <w:rFonts w:cs="Arial"/>
      <w:bCs/>
      <w:caps/>
      <w:kern w:val="28"/>
      <w:sz w:val="80"/>
      <w:szCs w:val="80"/>
    </w:rPr>
  </w:style>
  <w:style w:type="paragraph" w:customStyle="1" w:styleId="Disclaimer">
    <w:name w:val="Disclaimer"/>
    <w:basedOn w:val="Normal"/>
    <w:rsid w:val="00300CA5"/>
    <w:pPr>
      <w:spacing w:after="160" w:line="280" w:lineRule="exact"/>
      <w:ind w:left="1080" w:right="1080"/>
    </w:pPr>
    <w:rPr>
      <w:rFonts w:ascii="Arial" w:hAnsi="Arial" w:cs="Arial"/>
      <w:color w:val="FFFFFF"/>
    </w:rPr>
  </w:style>
  <w:style w:type="paragraph" w:customStyle="1" w:styleId="Disclaimer--MONTHYEAR">
    <w:name w:val="Disclaimer--MONTH YEAR"/>
    <w:basedOn w:val="Disclaimer"/>
    <w:rsid w:val="00300CA5"/>
    <w:pPr>
      <w:spacing w:after="240"/>
    </w:pPr>
    <w:rPr>
      <w:rFonts w:ascii="Arial Bold" w:hAnsi="Arial Bold"/>
      <w:b/>
      <w:caps/>
    </w:rPr>
  </w:style>
  <w:style w:type="paragraph" w:styleId="Subtitle">
    <w:name w:val="Subtitle"/>
    <w:basedOn w:val="Normal"/>
    <w:link w:val="SubtitleChar"/>
    <w:autoRedefine/>
    <w:uiPriority w:val="11"/>
    <w:qFormat/>
    <w:rsid w:val="00643C39"/>
    <w:pPr>
      <w:spacing w:after="60"/>
      <w:ind w:left="1267"/>
      <w:outlineLvl w:val="1"/>
    </w:pPr>
    <w:rPr>
      <w:rFonts w:cs="Arial"/>
      <w:caps/>
      <w:sz w:val="32"/>
      <w:szCs w:val="32"/>
    </w:rPr>
  </w:style>
  <w:style w:type="table" w:styleId="TableGrid">
    <w:name w:val="Table Grid"/>
    <w:basedOn w:val="TableNormal"/>
    <w:uiPriority w:val="59"/>
    <w:rsid w:val="0077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dul">
    <w:name w:val="Judul"/>
    <w:basedOn w:val="Normal"/>
    <w:link w:val="JudulChar"/>
    <w:rsid w:val="00E30A5B"/>
    <w:pPr>
      <w:spacing w:before="240"/>
    </w:pPr>
    <w:rPr>
      <w:b/>
    </w:rPr>
  </w:style>
  <w:style w:type="character" w:customStyle="1" w:styleId="JudulChar">
    <w:name w:val="Judul Char"/>
    <w:link w:val="Judul"/>
    <w:rsid w:val="00E30A5B"/>
    <w:rPr>
      <w:rFonts w:ascii="Gill Sans MT" w:hAnsi="Gill Sans MT"/>
      <w:b/>
      <w:sz w:val="22"/>
      <w:szCs w:val="22"/>
      <w:lang w:val="en-US" w:eastAsia="en-US" w:bidi="ar-SA"/>
    </w:rPr>
  </w:style>
  <w:style w:type="paragraph" w:customStyle="1" w:styleId="ColorfulList-Accent11">
    <w:name w:val="Colorful List - Accent 11"/>
    <w:basedOn w:val="Normal"/>
    <w:uiPriority w:val="34"/>
    <w:qFormat/>
    <w:rsid w:val="00643C39"/>
    <w:pPr>
      <w:ind w:left="720"/>
      <w:contextualSpacing/>
    </w:pPr>
    <w:rPr>
      <w:rFonts w:eastAsia="Calibri"/>
    </w:rPr>
  </w:style>
  <w:style w:type="paragraph" w:customStyle="1" w:styleId="FigureTitle">
    <w:name w:val="Figure Title"/>
    <w:basedOn w:val="Normal"/>
    <w:next w:val="Normal"/>
    <w:rsid w:val="00B96BED"/>
    <w:pPr>
      <w:spacing w:before="160"/>
    </w:pPr>
    <w:rPr>
      <w:rFonts w:ascii="HelveticaNeueLT Std" w:hAnsi="HelveticaNeueLT Std"/>
      <w:b/>
      <w:caps/>
      <w:color w:val="6C4713"/>
      <w:sz w:val="18"/>
      <w:szCs w:val="18"/>
    </w:rPr>
  </w:style>
  <w:style w:type="paragraph" w:customStyle="1" w:styleId="TableText">
    <w:name w:val="Table Text"/>
    <w:aliases w:val="tt,table text,table titles,Table Titles,table title,tx,t,TableText"/>
    <w:basedOn w:val="Normal"/>
    <w:link w:val="TableTextChar"/>
    <w:rsid w:val="00623899"/>
    <w:rPr>
      <w:rFonts w:ascii="HelveticaNeueLT Std" w:eastAsia="MinioMM_485 SB 585 NO 11 OP" w:hAnsi="HelveticaNeueLT Std"/>
      <w:color w:val="6C4713"/>
      <w:sz w:val="18"/>
      <w:szCs w:val="18"/>
    </w:rPr>
  </w:style>
  <w:style w:type="character" w:customStyle="1" w:styleId="TableTextChar">
    <w:name w:val="Table Text Char"/>
    <w:aliases w:val="tt Char,table text Char,table titles Char,Table Titles Char,table title Char,tx Char,t Char,TableText Char"/>
    <w:link w:val="TableText"/>
    <w:rsid w:val="00623899"/>
    <w:rPr>
      <w:rFonts w:ascii="HelveticaNeueLT Std" w:eastAsia="MinioMM_485 SB 585 NO 11 OP" w:hAnsi="HelveticaNeueLT Std"/>
      <w:color w:val="6C4713"/>
      <w:sz w:val="18"/>
      <w:szCs w:val="18"/>
    </w:rPr>
  </w:style>
  <w:style w:type="paragraph" w:customStyle="1" w:styleId="Bullet1">
    <w:name w:val="Bullet 1"/>
    <w:basedOn w:val="Normal"/>
    <w:rsid w:val="00623899"/>
    <w:pPr>
      <w:numPr>
        <w:numId w:val="2"/>
      </w:numPr>
    </w:pPr>
    <w:rPr>
      <w:rFonts w:ascii="Times New Roman" w:eastAsia="MinioMM_485 SB 585 NO 11 OP" w:hAnsi="Times New Roman"/>
      <w:sz w:val="24"/>
    </w:rPr>
  </w:style>
  <w:style w:type="paragraph" w:customStyle="1" w:styleId="Bullet1-Last">
    <w:name w:val="Bullet 1 - Last"/>
    <w:basedOn w:val="Bullet1"/>
    <w:rsid w:val="00643C39"/>
    <w:pPr>
      <w:numPr>
        <w:numId w:val="0"/>
      </w:numPr>
    </w:pPr>
  </w:style>
  <w:style w:type="paragraph" w:customStyle="1" w:styleId="TableTitle">
    <w:name w:val="Table Title"/>
    <w:basedOn w:val="Normal"/>
    <w:rsid w:val="00623899"/>
    <w:pPr>
      <w:spacing w:before="160"/>
    </w:pPr>
    <w:rPr>
      <w:rFonts w:ascii="HelveticaNeueLT Std" w:hAnsi="HelveticaNeueLT Std"/>
      <w:b/>
      <w:caps/>
      <w:color w:val="6C4713"/>
      <w:sz w:val="18"/>
      <w:szCs w:val="18"/>
    </w:rPr>
  </w:style>
  <w:style w:type="character" w:styleId="CommentReference">
    <w:name w:val="annotation reference"/>
    <w:uiPriority w:val="99"/>
    <w:unhideWhenUsed/>
    <w:rsid w:val="00623899"/>
    <w:rPr>
      <w:sz w:val="16"/>
      <w:szCs w:val="16"/>
    </w:rPr>
  </w:style>
  <w:style w:type="paragraph" w:styleId="CommentText">
    <w:name w:val="annotation text"/>
    <w:basedOn w:val="Normal"/>
    <w:link w:val="CommentTextChar"/>
    <w:uiPriority w:val="99"/>
    <w:unhideWhenUsed/>
    <w:rsid w:val="00623899"/>
    <w:rPr>
      <w:sz w:val="20"/>
    </w:rPr>
  </w:style>
  <w:style w:type="character" w:customStyle="1" w:styleId="CommentTextChar">
    <w:name w:val="Comment Text Char"/>
    <w:link w:val="CommentText"/>
    <w:uiPriority w:val="99"/>
    <w:rsid w:val="00623899"/>
    <w:rPr>
      <w:rFonts w:ascii="Gill Sans MT" w:hAnsi="Gill Sans MT"/>
    </w:rPr>
  </w:style>
  <w:style w:type="paragraph" w:styleId="BalloonText">
    <w:name w:val="Balloon Text"/>
    <w:basedOn w:val="Normal"/>
    <w:link w:val="BalloonTextChar"/>
    <w:uiPriority w:val="99"/>
    <w:unhideWhenUsed/>
    <w:rsid w:val="00623899"/>
    <w:rPr>
      <w:rFonts w:ascii="Tahoma" w:hAnsi="Tahoma" w:cs="Tahoma"/>
      <w:sz w:val="16"/>
      <w:szCs w:val="16"/>
    </w:rPr>
  </w:style>
  <w:style w:type="character" w:customStyle="1" w:styleId="BalloonTextChar">
    <w:name w:val="Balloon Text Char"/>
    <w:link w:val="BalloonText"/>
    <w:uiPriority w:val="99"/>
    <w:rsid w:val="00623899"/>
    <w:rPr>
      <w:rFonts w:ascii="Tahoma" w:hAnsi="Tahoma" w:cs="Tahoma"/>
      <w:sz w:val="16"/>
      <w:szCs w:val="16"/>
    </w:rPr>
  </w:style>
  <w:style w:type="paragraph" w:styleId="PlainText">
    <w:name w:val="Plain Text"/>
    <w:basedOn w:val="Normal"/>
    <w:link w:val="PlainTextChar"/>
    <w:rsid w:val="00BC3A57"/>
    <w:rPr>
      <w:rFonts w:ascii="Times New Roman" w:hAnsi="Times New Roman"/>
      <w:sz w:val="20"/>
    </w:rPr>
  </w:style>
  <w:style w:type="character" w:customStyle="1" w:styleId="PlainTextChar">
    <w:name w:val="Plain Text Char"/>
    <w:basedOn w:val="DefaultParagraphFont"/>
    <w:link w:val="PlainText"/>
    <w:rsid w:val="00BC3A57"/>
  </w:style>
  <w:style w:type="paragraph" w:styleId="BodyTextIndent">
    <w:name w:val="Body Text Indent"/>
    <w:basedOn w:val="Normal"/>
    <w:link w:val="BodyTextIndentChar"/>
    <w:rsid w:val="00A165E9"/>
    <w:pPr>
      <w:ind w:left="1440"/>
    </w:pPr>
    <w:rPr>
      <w:rFonts w:ascii="Gill Sans" w:hAnsi="Gill Sans"/>
      <w:sz w:val="24"/>
    </w:rPr>
  </w:style>
  <w:style w:type="character" w:customStyle="1" w:styleId="BodyTextIndentChar">
    <w:name w:val="Body Text Indent Char"/>
    <w:link w:val="BodyTextIndent"/>
    <w:rsid w:val="00A165E9"/>
    <w:rPr>
      <w:rFonts w:ascii="Gill Sans" w:hAnsi="Gill Sans"/>
      <w:sz w:val="24"/>
      <w:szCs w:val="24"/>
    </w:rPr>
  </w:style>
  <w:style w:type="character" w:customStyle="1" w:styleId="hps">
    <w:name w:val="hps"/>
    <w:basedOn w:val="DefaultParagraphFont"/>
    <w:rsid w:val="00A165E9"/>
  </w:style>
  <w:style w:type="character" w:customStyle="1" w:styleId="shorttext">
    <w:name w:val="short_text"/>
    <w:basedOn w:val="DefaultParagraphFont"/>
    <w:rsid w:val="00A165E9"/>
  </w:style>
  <w:style w:type="paragraph" w:styleId="DocumentMap">
    <w:name w:val="Document Map"/>
    <w:basedOn w:val="Normal"/>
    <w:link w:val="DocumentMapChar"/>
    <w:rsid w:val="00872520"/>
    <w:rPr>
      <w:rFonts w:ascii="Tahoma" w:hAnsi="Tahoma" w:cs="Tahoma"/>
      <w:sz w:val="16"/>
      <w:szCs w:val="16"/>
    </w:rPr>
  </w:style>
  <w:style w:type="character" w:customStyle="1" w:styleId="DocumentMapChar">
    <w:name w:val="Document Map Char"/>
    <w:link w:val="DocumentMap"/>
    <w:rsid w:val="00872520"/>
    <w:rPr>
      <w:rFonts w:ascii="Tahoma" w:hAnsi="Tahoma" w:cs="Tahoma"/>
      <w:sz w:val="16"/>
      <w:szCs w:val="16"/>
    </w:rPr>
  </w:style>
  <w:style w:type="paragraph" w:customStyle="1" w:styleId="Default">
    <w:name w:val="Default"/>
    <w:rsid w:val="00544C24"/>
    <w:pPr>
      <w:autoSpaceDE w:val="0"/>
      <w:autoSpaceDN w:val="0"/>
      <w:adjustRightInd w:val="0"/>
    </w:pPr>
    <w:rPr>
      <w:rFonts w:eastAsia="Calibri"/>
      <w:color w:val="000000"/>
      <w:sz w:val="24"/>
      <w:szCs w:val="24"/>
    </w:rPr>
  </w:style>
  <w:style w:type="paragraph" w:styleId="BodyText">
    <w:name w:val="Body Text"/>
    <w:basedOn w:val="Normal"/>
    <w:link w:val="BodyTextChar"/>
    <w:uiPriority w:val="99"/>
    <w:rsid w:val="00B8605F"/>
  </w:style>
  <w:style w:type="character" w:customStyle="1" w:styleId="BodyTextChar">
    <w:name w:val="Body Text Char"/>
    <w:link w:val="BodyText"/>
    <w:uiPriority w:val="99"/>
    <w:rsid w:val="00B8605F"/>
    <w:rPr>
      <w:lang w:val="en-AU"/>
    </w:rPr>
  </w:style>
  <w:style w:type="paragraph" w:customStyle="1" w:styleId="PhotoCredit">
    <w:name w:val="Photo Credit"/>
    <w:basedOn w:val="MediumGrid21"/>
    <w:link w:val="PhotoCreditChar"/>
    <w:qFormat/>
    <w:rsid w:val="007018F4"/>
    <w:pPr>
      <w:spacing w:before="40" w:after="120"/>
      <w:ind w:right="43"/>
      <w:jc w:val="right"/>
    </w:pPr>
    <w:rPr>
      <w:sz w:val="16"/>
      <w:szCs w:val="16"/>
    </w:rPr>
  </w:style>
  <w:style w:type="character" w:customStyle="1" w:styleId="PhotoCreditChar">
    <w:name w:val="Photo Credit Char"/>
    <w:link w:val="PhotoCredit"/>
    <w:rsid w:val="007018F4"/>
    <w:rPr>
      <w:rFonts w:ascii="Gill Sans MT" w:hAnsi="Gill Sans MT"/>
      <w:sz w:val="16"/>
      <w:szCs w:val="16"/>
      <w:lang w:val="en-US" w:eastAsia="en-US" w:bidi="ar-SA"/>
    </w:rPr>
  </w:style>
  <w:style w:type="character" w:styleId="FollowedHyperlink">
    <w:name w:val="FollowedHyperlink"/>
    <w:uiPriority w:val="99"/>
    <w:rsid w:val="00263712"/>
    <w:rPr>
      <w:color w:val="800080"/>
      <w:u w:val="single"/>
    </w:rPr>
  </w:style>
  <w:style w:type="paragraph" w:styleId="CommentSubject">
    <w:name w:val="annotation subject"/>
    <w:basedOn w:val="CommentText"/>
    <w:next w:val="CommentText"/>
    <w:link w:val="CommentSubjectChar"/>
    <w:uiPriority w:val="99"/>
    <w:rsid w:val="000B7B10"/>
    <w:rPr>
      <w:b/>
      <w:bCs/>
    </w:rPr>
  </w:style>
  <w:style w:type="character" w:customStyle="1" w:styleId="CommentSubjectChar">
    <w:name w:val="Comment Subject Char"/>
    <w:link w:val="CommentSubject"/>
    <w:uiPriority w:val="99"/>
    <w:rsid w:val="000B7B10"/>
    <w:rPr>
      <w:rFonts w:ascii="Gill Sans MT" w:hAnsi="Gill Sans MT"/>
      <w:b/>
      <w:bCs/>
    </w:rPr>
  </w:style>
  <w:style w:type="paragraph" w:customStyle="1" w:styleId="ColorfulShading-Accent11">
    <w:name w:val="Colorful Shading - Accent 11"/>
    <w:hidden/>
    <w:uiPriority w:val="99"/>
    <w:semiHidden/>
    <w:rsid w:val="00854F96"/>
    <w:rPr>
      <w:rFonts w:ascii="Gill Sans MT" w:hAnsi="Gill Sans MT"/>
      <w:szCs w:val="24"/>
    </w:rPr>
  </w:style>
  <w:style w:type="character" w:customStyle="1" w:styleId="longtext">
    <w:name w:val="long_text"/>
    <w:rsid w:val="006C0D80"/>
  </w:style>
  <w:style w:type="paragraph" w:customStyle="1" w:styleId="ColorfulList-Accent12">
    <w:name w:val="Colorful List - Accent 12"/>
    <w:aliases w:val="First Level Outline,Colorful List - Accent 121"/>
    <w:basedOn w:val="Normal"/>
    <w:link w:val="ColorfulList-Accent1Char1"/>
    <w:uiPriority w:val="34"/>
    <w:qFormat/>
    <w:rsid w:val="00B422A2"/>
    <w:pPr>
      <w:spacing w:after="200"/>
      <w:ind w:left="720"/>
      <w:contextualSpacing/>
    </w:pPr>
    <w:rPr>
      <w:rFonts w:eastAsia="Calibri"/>
    </w:rPr>
  </w:style>
  <w:style w:type="character" w:customStyle="1" w:styleId="ColorfulList-Accent1Char1">
    <w:name w:val="Colorful List - Accent 1 Char1"/>
    <w:aliases w:val="First Level Outline Char"/>
    <w:link w:val="ColorfulList-Accent12"/>
    <w:uiPriority w:val="34"/>
    <w:locked/>
    <w:rsid w:val="00B47235"/>
    <w:rPr>
      <w:rFonts w:ascii="Calibri" w:eastAsia="Calibri" w:hAnsi="Calibri"/>
      <w:sz w:val="22"/>
      <w:szCs w:val="22"/>
    </w:rPr>
  </w:style>
  <w:style w:type="paragraph" w:customStyle="1" w:styleId="NoSpacing1">
    <w:name w:val="No Spacing1"/>
    <w:link w:val="NoSpacingChar"/>
    <w:uiPriority w:val="1"/>
    <w:qFormat/>
    <w:rsid w:val="00526ECC"/>
    <w:rPr>
      <w:rFonts w:ascii="Gill Sans MT" w:hAnsi="Gill Sans MT"/>
      <w:szCs w:val="24"/>
    </w:rPr>
  </w:style>
  <w:style w:type="character" w:customStyle="1" w:styleId="NoSpacingChar">
    <w:name w:val="No Spacing Char"/>
    <w:link w:val="NoSpacing1"/>
    <w:uiPriority w:val="1"/>
    <w:rsid w:val="00526ECC"/>
    <w:rPr>
      <w:rFonts w:ascii="Gill Sans MT" w:hAnsi="Gill Sans MT"/>
      <w:szCs w:val="24"/>
    </w:rPr>
  </w:style>
  <w:style w:type="character" w:styleId="Emphasis">
    <w:name w:val="Emphasis"/>
    <w:uiPriority w:val="20"/>
    <w:qFormat/>
    <w:rsid w:val="005B5083"/>
    <w:rPr>
      <w:i/>
      <w:iCs/>
    </w:rPr>
  </w:style>
  <w:style w:type="character" w:customStyle="1" w:styleId="st">
    <w:name w:val="st"/>
    <w:rsid w:val="0029188D"/>
  </w:style>
  <w:style w:type="character" w:styleId="Strong">
    <w:name w:val="Strong"/>
    <w:qFormat/>
    <w:rsid w:val="00D6735E"/>
    <w:rPr>
      <w:b/>
      <w:bCs/>
    </w:rPr>
  </w:style>
  <w:style w:type="paragraph" w:customStyle="1" w:styleId="xl66">
    <w:name w:val="xl66"/>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rPr>
  </w:style>
  <w:style w:type="paragraph" w:customStyle="1" w:styleId="xl67">
    <w:name w:val="xl67"/>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68">
    <w:name w:val="xl68"/>
    <w:basedOn w:val="Normal"/>
    <w:rsid w:val="008516CD"/>
    <w:pPr>
      <w:pBdr>
        <w:top w:val="single" w:sz="4" w:space="0" w:color="auto"/>
        <w:left w:val="single" w:sz="4" w:space="0" w:color="auto"/>
        <w:bottom w:val="single" w:sz="4" w:space="0" w:color="auto"/>
      </w:pBdr>
      <w:shd w:val="clear" w:color="000000" w:fill="A6A6A6"/>
      <w:spacing w:before="100" w:beforeAutospacing="1" w:after="100" w:afterAutospacing="1"/>
      <w:textAlignment w:val="center"/>
    </w:pPr>
    <w:rPr>
      <w:b/>
      <w:bCs/>
      <w:sz w:val="20"/>
    </w:rPr>
  </w:style>
  <w:style w:type="paragraph" w:customStyle="1" w:styleId="xl69">
    <w:name w:val="xl69"/>
    <w:basedOn w:val="Normal"/>
    <w:rsid w:val="008516CD"/>
    <w:pPr>
      <w:pBdr>
        <w:top w:val="single" w:sz="4" w:space="0" w:color="auto"/>
        <w:bottom w:val="single" w:sz="4" w:space="0" w:color="auto"/>
      </w:pBdr>
      <w:shd w:val="clear" w:color="000000" w:fill="A6A6A6"/>
      <w:spacing w:before="100" w:beforeAutospacing="1" w:after="100" w:afterAutospacing="1"/>
      <w:textAlignment w:val="center"/>
    </w:pPr>
    <w:rPr>
      <w:b/>
      <w:bCs/>
      <w:sz w:val="20"/>
    </w:rPr>
  </w:style>
  <w:style w:type="paragraph" w:customStyle="1" w:styleId="xl70">
    <w:name w:val="xl70"/>
    <w:basedOn w:val="Normal"/>
    <w:rsid w:val="008516CD"/>
    <w:pPr>
      <w:pBdr>
        <w:top w:val="single" w:sz="4" w:space="0" w:color="auto"/>
        <w:bottom w:val="single" w:sz="4" w:space="0" w:color="auto"/>
      </w:pBdr>
      <w:shd w:val="clear" w:color="000000" w:fill="A6A6A6"/>
      <w:spacing w:before="100" w:beforeAutospacing="1" w:after="100" w:afterAutospacing="1"/>
      <w:textAlignment w:val="center"/>
    </w:pPr>
    <w:rPr>
      <w:sz w:val="20"/>
    </w:rPr>
  </w:style>
  <w:style w:type="paragraph" w:customStyle="1" w:styleId="xl71">
    <w:name w:val="xl71"/>
    <w:basedOn w:val="Normal"/>
    <w:rsid w:val="008516C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rPr>
  </w:style>
  <w:style w:type="paragraph" w:customStyle="1" w:styleId="xl72">
    <w:name w:val="xl72"/>
    <w:basedOn w:val="Normal"/>
    <w:rsid w:val="008516C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rPr>
  </w:style>
  <w:style w:type="paragraph" w:customStyle="1" w:styleId="xl73">
    <w:name w:val="xl73"/>
    <w:basedOn w:val="Normal"/>
    <w:rsid w:val="008516CD"/>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sz w:val="20"/>
    </w:rPr>
  </w:style>
  <w:style w:type="paragraph" w:customStyle="1" w:styleId="xl74">
    <w:name w:val="xl74"/>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5">
    <w:name w:val="xl75"/>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6">
    <w:name w:val="xl76"/>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7">
    <w:name w:val="xl77"/>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8">
    <w:name w:val="xl78"/>
    <w:basedOn w:val="Normal"/>
    <w:rsid w:val="008516CD"/>
    <w:pPr>
      <w:spacing w:before="100" w:beforeAutospacing="1" w:after="100" w:afterAutospacing="1"/>
    </w:pPr>
    <w:rPr>
      <w:sz w:val="20"/>
    </w:rPr>
  </w:style>
  <w:style w:type="paragraph" w:customStyle="1" w:styleId="xl79">
    <w:name w:val="xl79"/>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80">
    <w:name w:val="xl80"/>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1">
    <w:name w:val="xl81"/>
    <w:basedOn w:val="Normal"/>
    <w:rsid w:val="008516CD"/>
    <w:pPr>
      <w:spacing w:before="100" w:beforeAutospacing="1" w:after="100" w:afterAutospacing="1"/>
    </w:pPr>
    <w:rPr>
      <w:sz w:val="24"/>
    </w:rPr>
  </w:style>
  <w:style w:type="paragraph" w:customStyle="1" w:styleId="xl82">
    <w:name w:val="xl82"/>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3">
    <w:name w:val="xl83"/>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4">
    <w:name w:val="xl84"/>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5">
    <w:name w:val="xl85"/>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6">
    <w:name w:val="xl86"/>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customStyle="1" w:styleId="xl87">
    <w:name w:val="xl87"/>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8">
    <w:name w:val="xl88"/>
    <w:basedOn w:val="Normal"/>
    <w:rsid w:val="008516C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89">
    <w:name w:val="xl89"/>
    <w:basedOn w:val="Normal"/>
    <w:rsid w:val="008516CD"/>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0">
    <w:name w:val="xl90"/>
    <w:basedOn w:val="Normal"/>
    <w:rsid w:val="008516C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4">
    <w:name w:val="xl94"/>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5">
    <w:name w:val="xl95"/>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6">
    <w:name w:val="xl96"/>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7">
    <w:name w:val="xl97"/>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8">
    <w:name w:val="xl98"/>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9">
    <w:name w:val="xl99"/>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00">
    <w:name w:val="xl100"/>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01">
    <w:name w:val="xl101"/>
    <w:basedOn w:val="Normal"/>
    <w:rsid w:val="008516CD"/>
    <w:pPr>
      <w:pBdr>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02">
    <w:name w:val="xl102"/>
    <w:basedOn w:val="Normal"/>
    <w:rsid w:val="008516CD"/>
    <w:pPr>
      <w:pBdr>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03">
    <w:name w:val="xl103"/>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04">
    <w:name w:val="xl104"/>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styleId="NormalWeb">
    <w:name w:val="Normal (Web)"/>
    <w:basedOn w:val="Normal"/>
    <w:uiPriority w:val="99"/>
    <w:unhideWhenUsed/>
    <w:rsid w:val="00AB5526"/>
    <w:pPr>
      <w:spacing w:before="100" w:beforeAutospacing="1" w:after="100" w:afterAutospacing="1"/>
    </w:pPr>
    <w:rPr>
      <w:rFonts w:ascii="Times New Roman" w:hAnsi="Times New Roman"/>
      <w:sz w:val="24"/>
    </w:rPr>
  </w:style>
  <w:style w:type="paragraph" w:customStyle="1" w:styleId="MediumGrid27">
    <w:name w:val="Medium Grid 27"/>
    <w:uiPriority w:val="1"/>
    <w:qFormat/>
    <w:rsid w:val="00606CEF"/>
    <w:rPr>
      <w:rFonts w:ascii="Gill Sans MT" w:hAnsi="Gill Sans MT"/>
      <w:szCs w:val="24"/>
    </w:rPr>
  </w:style>
  <w:style w:type="paragraph" w:customStyle="1" w:styleId="Pa0">
    <w:name w:val="Pa0"/>
    <w:basedOn w:val="Normal"/>
    <w:next w:val="Normal"/>
    <w:uiPriority w:val="99"/>
    <w:rsid w:val="00606CEF"/>
    <w:pPr>
      <w:autoSpaceDE w:val="0"/>
      <w:autoSpaceDN w:val="0"/>
      <w:adjustRightInd w:val="0"/>
      <w:spacing w:line="201" w:lineRule="atLeast"/>
    </w:pPr>
    <w:rPr>
      <w:rFonts w:ascii="Cardo" w:hAnsi="Cardo"/>
      <w:sz w:val="24"/>
    </w:rPr>
  </w:style>
  <w:style w:type="paragraph" w:customStyle="1" w:styleId="msoaccenttext5">
    <w:name w:val="msoaccenttext5"/>
    <w:rsid w:val="00307299"/>
    <w:pPr>
      <w:spacing w:line="271" w:lineRule="auto"/>
    </w:pPr>
    <w:rPr>
      <w:rFonts w:ascii="Agency FB" w:hAnsi="Agency FB"/>
      <w:b/>
      <w:bCs/>
      <w:color w:val="336666"/>
      <w:kern w:val="28"/>
      <w:sz w:val="18"/>
      <w:szCs w:val="18"/>
    </w:rPr>
  </w:style>
  <w:style w:type="table" w:styleId="MediumShading1-Accent1">
    <w:name w:val="Medium Shading 1 Accent 1"/>
    <w:basedOn w:val="TableNormal"/>
    <w:uiPriority w:val="1"/>
    <w:rsid w:val="00FA2435"/>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ColorfulList-Accent1Char">
    <w:name w:val="Colorful List - Accent 1 Char"/>
    <w:link w:val="MediumGrid1-Accent2"/>
    <w:uiPriority w:val="34"/>
    <w:locked/>
    <w:rsid w:val="00C93AA4"/>
    <w:rPr>
      <w:rFonts w:ascii="Calibri" w:eastAsia="Calibri" w:hAnsi="Calibri"/>
      <w:sz w:val="22"/>
      <w:szCs w:val="22"/>
    </w:rPr>
  </w:style>
  <w:style w:type="table" w:styleId="MediumGrid1-Accent2">
    <w:name w:val="Medium Grid 1 Accent 2"/>
    <w:basedOn w:val="TableNormal"/>
    <w:link w:val="ColorfulList-Accent1Char"/>
    <w:uiPriority w:val="34"/>
    <w:qFormat/>
    <w:rsid w:val="00C93AA4"/>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2-Accent1">
    <w:name w:val="Medium Grid 2 Accent 1"/>
    <w:basedOn w:val="TableNormal"/>
    <w:uiPriority w:val="1"/>
    <w:rsid w:val="00C93AA4"/>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MediumGrid22">
    <w:name w:val="Medium Grid 22"/>
    <w:uiPriority w:val="1"/>
    <w:qFormat/>
    <w:rsid w:val="004D74D4"/>
    <w:rPr>
      <w:rFonts w:ascii="Gill Sans MT" w:hAnsi="Gill Sans MT"/>
      <w:szCs w:val="24"/>
    </w:rPr>
  </w:style>
  <w:style w:type="paragraph" w:customStyle="1" w:styleId="ColorfulShading-Accent13">
    <w:name w:val="Colorful Shading - Accent 13"/>
    <w:hidden/>
    <w:uiPriority w:val="99"/>
    <w:semiHidden/>
    <w:rsid w:val="00B65FD9"/>
    <w:rPr>
      <w:rFonts w:eastAsia="Calibri"/>
    </w:rPr>
  </w:style>
  <w:style w:type="paragraph" w:styleId="NoSpacing">
    <w:name w:val="No Spacing"/>
    <w:uiPriority w:val="1"/>
    <w:qFormat/>
    <w:rsid w:val="007E1B55"/>
    <w:rPr>
      <w:rFonts w:eastAsia="Calibri"/>
    </w:rPr>
  </w:style>
  <w:style w:type="paragraph" w:styleId="ListParagraph">
    <w:name w:val="List Paragraph"/>
    <w:basedOn w:val="Normal"/>
    <w:link w:val="ListParagraphChar"/>
    <w:uiPriority w:val="34"/>
    <w:qFormat/>
    <w:rsid w:val="0084149E"/>
    <w:pPr>
      <w:spacing w:after="200"/>
      <w:ind w:left="720"/>
      <w:contextualSpacing/>
    </w:pPr>
    <w:rPr>
      <w:rFonts w:eastAsia="Calibri"/>
    </w:rPr>
  </w:style>
  <w:style w:type="paragraph" w:customStyle="1" w:styleId="MediumGrid23">
    <w:name w:val="Medium Grid 23"/>
    <w:uiPriority w:val="1"/>
    <w:qFormat/>
    <w:rsid w:val="00D868B2"/>
    <w:rPr>
      <w:rFonts w:ascii="Gill Sans MT" w:hAnsi="Gill Sans MT"/>
      <w:szCs w:val="24"/>
    </w:rPr>
  </w:style>
  <w:style w:type="paragraph" w:customStyle="1" w:styleId="ColorfulShading-Accent12">
    <w:name w:val="Colorful Shading - Accent 12"/>
    <w:hidden/>
    <w:uiPriority w:val="99"/>
    <w:semiHidden/>
    <w:rsid w:val="00260757"/>
    <w:rPr>
      <w:rFonts w:eastAsia="Calibri"/>
    </w:rPr>
  </w:style>
  <w:style w:type="paragraph" w:customStyle="1" w:styleId="MediumGrid24">
    <w:name w:val="Medium Grid 24"/>
    <w:uiPriority w:val="1"/>
    <w:qFormat/>
    <w:rsid w:val="00260757"/>
    <w:rPr>
      <w:rFonts w:ascii="Gill Sans MT" w:hAnsi="Gill Sans MT"/>
      <w:szCs w:val="24"/>
    </w:rPr>
  </w:style>
  <w:style w:type="paragraph" w:customStyle="1" w:styleId="MediumGrid25">
    <w:name w:val="Medium Grid 25"/>
    <w:uiPriority w:val="1"/>
    <w:qFormat/>
    <w:rsid w:val="00260757"/>
    <w:rPr>
      <w:rFonts w:ascii="Gill Sans MT" w:hAnsi="Gill Sans MT"/>
      <w:szCs w:val="24"/>
    </w:rPr>
  </w:style>
  <w:style w:type="paragraph" w:customStyle="1" w:styleId="MediumGrid26">
    <w:name w:val="Medium Grid 26"/>
    <w:uiPriority w:val="1"/>
    <w:qFormat/>
    <w:rsid w:val="00260757"/>
    <w:rPr>
      <w:rFonts w:ascii="Gill Sans MT" w:hAnsi="Gill Sans MT"/>
      <w:szCs w:val="24"/>
    </w:rPr>
  </w:style>
  <w:style w:type="character" w:customStyle="1" w:styleId="ListParagraphChar">
    <w:name w:val="List Paragraph Char"/>
    <w:link w:val="ListParagraph"/>
    <w:uiPriority w:val="34"/>
    <w:locked/>
    <w:rsid w:val="009757E5"/>
    <w:rPr>
      <w:rFonts w:ascii="Calibri" w:eastAsia="Calibri" w:hAnsi="Calibri"/>
      <w:sz w:val="22"/>
      <w:szCs w:val="22"/>
    </w:rPr>
  </w:style>
  <w:style w:type="character" w:customStyle="1" w:styleId="ColorfulList-Accent1Char2">
    <w:name w:val="Colorful List - Accent 1 Char2"/>
    <w:link w:val="ColorfulList-Accent1"/>
    <w:uiPriority w:val="34"/>
    <w:locked/>
    <w:rsid w:val="00E27965"/>
    <w:rPr>
      <w:rFonts w:ascii="Calibri" w:eastAsia="Calibri" w:hAnsi="Calibri"/>
      <w:sz w:val="22"/>
      <w:szCs w:val="22"/>
    </w:rPr>
  </w:style>
  <w:style w:type="table" w:styleId="ColorfulList-Accent1">
    <w:name w:val="Colorful List Accent 1"/>
    <w:basedOn w:val="TableNormal"/>
    <w:link w:val="ColorfulList-Accent1Char2"/>
    <w:uiPriority w:val="34"/>
    <w:qFormat/>
    <w:rsid w:val="00E27965"/>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ghtGrid-Accent3">
    <w:name w:val="Light Grid Accent 3"/>
    <w:basedOn w:val="TableNormal"/>
    <w:uiPriority w:val="34"/>
    <w:qFormat/>
    <w:rsid w:val="00846FAC"/>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1-Accent2">
    <w:name w:val="Medium Shading 1 Accent 2"/>
    <w:basedOn w:val="TableNormal"/>
    <w:uiPriority w:val="1"/>
    <w:rsid w:val="00846FAC"/>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styleId="Revision">
    <w:name w:val="Revision"/>
    <w:hidden/>
    <w:uiPriority w:val="99"/>
    <w:semiHidden/>
    <w:rsid w:val="00846FAC"/>
    <w:rPr>
      <w:rFonts w:ascii="Gill Sans MT" w:hAnsi="Gill Sans MT"/>
      <w:szCs w:val="24"/>
    </w:rPr>
  </w:style>
  <w:style w:type="character" w:customStyle="1" w:styleId="TitleChar">
    <w:name w:val="Title Char"/>
    <w:link w:val="Title"/>
    <w:uiPriority w:val="10"/>
    <w:rsid w:val="00007205"/>
    <w:rPr>
      <w:rFonts w:ascii="Gill Sans MT" w:hAnsi="Gill Sans MT" w:cs="Arial"/>
      <w:bCs/>
      <w:caps/>
      <w:kern w:val="28"/>
      <w:sz w:val="80"/>
      <w:szCs w:val="80"/>
    </w:rPr>
  </w:style>
  <w:style w:type="character" w:customStyle="1" w:styleId="SubtitleChar">
    <w:name w:val="Subtitle Char"/>
    <w:link w:val="Subtitle"/>
    <w:uiPriority w:val="11"/>
    <w:rsid w:val="00007205"/>
    <w:rPr>
      <w:rFonts w:ascii="Gill Sans MT" w:hAnsi="Gill Sans MT" w:cs="Arial"/>
      <w:caps/>
      <w:sz w:val="32"/>
      <w:szCs w:val="32"/>
    </w:rPr>
  </w:style>
  <w:style w:type="character" w:styleId="PlaceholderText">
    <w:name w:val="Placeholder Text"/>
    <w:basedOn w:val="DefaultParagraphFont"/>
    <w:uiPriority w:val="99"/>
    <w:semiHidden/>
    <w:rsid w:val="00384EFF"/>
    <w:rPr>
      <w:color w:val="808080"/>
    </w:rPr>
  </w:style>
  <w:style w:type="paragraph" w:customStyle="1" w:styleId="1CHAPTER">
    <w:name w:val="1 CHAPTER"/>
    <w:basedOn w:val="Heading2"/>
    <w:link w:val="1CHAPTERChar"/>
    <w:qFormat/>
    <w:rsid w:val="00540058"/>
    <w:pPr>
      <w:spacing w:after="1320"/>
    </w:pPr>
    <w:rPr>
      <w:noProof/>
      <w:color w:val="68BAD6"/>
      <w:sz w:val="32"/>
    </w:rPr>
  </w:style>
  <w:style w:type="character" w:customStyle="1" w:styleId="1CHAPTERChar">
    <w:name w:val="1 CHAPTER Char"/>
    <w:basedOn w:val="Heading2Char"/>
    <w:link w:val="1CHAPTER"/>
    <w:rsid w:val="00540058"/>
    <w:rPr>
      <w:b/>
      <w:bCs/>
      <w:iCs/>
      <w:noProof/>
      <w:color w:val="68BAD6"/>
      <w:sz w:val="32"/>
      <w:szCs w:val="24"/>
      <w:lang w:val="en-AU"/>
    </w:rPr>
  </w:style>
  <w:style w:type="paragraph" w:customStyle="1" w:styleId="TableHeader">
    <w:name w:val="Table Header"/>
    <w:basedOn w:val="BodyText"/>
    <w:next w:val="Normal"/>
    <w:rsid w:val="0056614F"/>
    <w:pPr>
      <w:spacing w:before="60" w:after="60"/>
    </w:pPr>
    <w:rPr>
      <w:rFonts w:ascii="Arial Black" w:eastAsiaTheme="minorHAnsi" w:hAnsi="Arial Black" w:cs="Arial"/>
      <w:bCs/>
      <w:noProof/>
      <w:sz w:val="18"/>
    </w:rPr>
  </w:style>
  <w:style w:type="paragraph" w:customStyle="1" w:styleId="TableRow">
    <w:name w:val="Table Row"/>
    <w:basedOn w:val="BodyText"/>
    <w:link w:val="TableRowChar"/>
    <w:rsid w:val="0056614F"/>
    <w:pPr>
      <w:spacing w:before="40" w:after="40"/>
    </w:pPr>
    <w:rPr>
      <w:rFonts w:eastAsiaTheme="minorHAnsi" w:cs="Arial"/>
      <w:bCs/>
      <w:noProof/>
      <w:sz w:val="20"/>
    </w:rPr>
  </w:style>
  <w:style w:type="character" w:customStyle="1" w:styleId="TableRowChar">
    <w:name w:val="Table Row Char"/>
    <w:link w:val="TableRow"/>
    <w:rsid w:val="0056614F"/>
    <w:rPr>
      <w:rFonts w:eastAsiaTheme="minorHAnsi" w:cs="Arial"/>
      <w:bCs/>
      <w:noProof/>
      <w:sz w:val="20"/>
    </w:rPr>
  </w:style>
  <w:style w:type="paragraph" w:customStyle="1" w:styleId="QAText">
    <w:name w:val="QA Text"/>
    <w:basedOn w:val="Normal"/>
    <w:rsid w:val="00B8605F"/>
    <w:pPr>
      <w:spacing w:before="200" w:after="160"/>
    </w:pPr>
    <w:rPr>
      <w:rFonts w:eastAsiaTheme="minorHAnsi" w:cs="Arial"/>
    </w:rPr>
  </w:style>
  <w:style w:type="paragraph" w:customStyle="1" w:styleId="QAAddress">
    <w:name w:val="QA Address"/>
    <w:basedOn w:val="Normal"/>
    <w:next w:val="Normal"/>
    <w:rsid w:val="00B8605F"/>
    <w:pPr>
      <w:contextualSpacing/>
    </w:pPr>
    <w:rPr>
      <w:rFonts w:eastAsiaTheme="minorHAnsi" w:cs="Arial"/>
    </w:rPr>
  </w:style>
  <w:style w:type="character" w:customStyle="1" w:styleId="Bold">
    <w:name w:val="Bold"/>
    <w:basedOn w:val="DefaultParagraphFont"/>
    <w:rsid w:val="00B8605F"/>
    <w:rPr>
      <w:b/>
    </w:rPr>
  </w:style>
  <w:style w:type="paragraph" w:customStyle="1" w:styleId="HeadingAP1">
    <w:name w:val="Heading AP 1"/>
    <w:basedOn w:val="Normal"/>
    <w:next w:val="BodyText"/>
    <w:rsid w:val="002548CF"/>
    <w:pPr>
      <w:keepNext/>
      <w:numPr>
        <w:numId w:val="4"/>
      </w:numPr>
      <w:spacing w:after="360"/>
    </w:pPr>
    <w:rPr>
      <w:rFonts w:ascii="Arial Bold" w:eastAsiaTheme="minorHAnsi" w:hAnsi="Arial Bold" w:cs="Arial"/>
      <w:b/>
      <w:color w:val="0C479D"/>
      <w:sz w:val="28"/>
    </w:rPr>
  </w:style>
  <w:style w:type="paragraph" w:customStyle="1" w:styleId="HeadingAP2">
    <w:name w:val="Heading AP 2"/>
    <w:basedOn w:val="Normal"/>
    <w:next w:val="BodyText"/>
    <w:rsid w:val="002548CF"/>
    <w:pPr>
      <w:keepNext/>
      <w:numPr>
        <w:ilvl w:val="1"/>
        <w:numId w:val="4"/>
      </w:numPr>
      <w:spacing w:before="240" w:after="60"/>
    </w:pPr>
    <w:rPr>
      <w:rFonts w:eastAsiaTheme="minorHAnsi"/>
      <w:b/>
      <w:bCs/>
      <w:iCs/>
      <w:color w:val="0C479D"/>
      <w:kern w:val="28"/>
      <w:sz w:val="26"/>
      <w:szCs w:val="28"/>
      <w:lang w:eastAsia="en-AU"/>
    </w:rPr>
  </w:style>
  <w:style w:type="paragraph" w:customStyle="1" w:styleId="HeadingAP3">
    <w:name w:val="Heading AP 3"/>
    <w:basedOn w:val="Normal"/>
    <w:next w:val="BodyText"/>
    <w:rsid w:val="002548CF"/>
    <w:pPr>
      <w:keepNext/>
      <w:numPr>
        <w:ilvl w:val="2"/>
        <w:numId w:val="4"/>
      </w:numPr>
      <w:spacing w:before="360" w:after="60"/>
    </w:pPr>
    <w:rPr>
      <w:rFonts w:ascii="Arial Bold" w:eastAsiaTheme="minorHAnsi" w:hAnsi="Arial Bold"/>
      <w:color w:val="666666"/>
      <w:sz w:val="24"/>
      <w:lang w:eastAsia="en-AU"/>
    </w:rPr>
  </w:style>
  <w:style w:type="paragraph" w:customStyle="1" w:styleId="HeadingAP4">
    <w:name w:val="Heading AP 4"/>
    <w:basedOn w:val="Normal"/>
    <w:next w:val="BodyText"/>
    <w:rsid w:val="002548CF"/>
    <w:pPr>
      <w:keepNext/>
      <w:numPr>
        <w:ilvl w:val="3"/>
        <w:numId w:val="4"/>
      </w:numPr>
      <w:spacing w:before="360" w:after="60"/>
    </w:pPr>
    <w:rPr>
      <w:rFonts w:eastAsiaTheme="minorHAnsi"/>
      <w:b/>
      <w:i/>
      <w:color w:val="666666"/>
      <w:lang w:eastAsia="en-AU"/>
    </w:rPr>
  </w:style>
  <w:style w:type="table" w:customStyle="1" w:styleId="TableGrid1">
    <w:name w:val="Table Grid1"/>
    <w:basedOn w:val="TableNormal"/>
    <w:next w:val="TableGrid"/>
    <w:uiPriority w:val="59"/>
    <w:locked/>
    <w:rsid w:val="00F866E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locked/>
    <w:rsid w:val="006F3F18"/>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locked/>
    <w:rsid w:val="0086413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locked/>
    <w:rsid w:val="0086413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GRM">
    <w:name w:val="Sub-Heading GRM"/>
    <w:basedOn w:val="Normal"/>
    <w:next w:val="Normal"/>
    <w:link w:val="Sub-HeadingGRMChar"/>
    <w:rsid w:val="004B0D96"/>
    <w:pPr>
      <w:keepNext/>
      <w:tabs>
        <w:tab w:val="left" w:pos="900"/>
      </w:tabs>
      <w:spacing w:before="40" w:after="240"/>
      <w:outlineLvl w:val="1"/>
    </w:pPr>
    <w:rPr>
      <w:rFonts w:eastAsia="Calibri" w:cs="Arial"/>
      <w:b/>
      <w:bCs/>
      <w:iCs/>
      <w:sz w:val="32"/>
      <w:szCs w:val="32"/>
      <w:lang w:eastAsia="en-AU"/>
    </w:rPr>
  </w:style>
  <w:style w:type="character" w:customStyle="1" w:styleId="Sub-HeadingGRMChar">
    <w:name w:val="Sub-Heading GRM Char"/>
    <w:link w:val="Sub-HeadingGRM"/>
    <w:rsid w:val="004B0D96"/>
    <w:rPr>
      <w:rFonts w:eastAsia="Calibri" w:cs="Arial"/>
      <w:b/>
      <w:bCs/>
      <w:iCs/>
      <w:sz w:val="32"/>
      <w:szCs w:val="32"/>
      <w:lang w:val="en-AU" w:eastAsia="en-AU"/>
    </w:rPr>
  </w:style>
  <w:style w:type="table" w:customStyle="1" w:styleId="TableGrid9">
    <w:name w:val="Table Grid9"/>
    <w:basedOn w:val="TableNormal"/>
    <w:next w:val="TableGrid"/>
    <w:uiPriority w:val="59"/>
    <w:locked/>
    <w:rsid w:val="004C120D"/>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locked/>
    <w:rsid w:val="004E355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locked/>
    <w:rsid w:val="009A3031"/>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locked/>
    <w:rsid w:val="006D1A14"/>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locked/>
    <w:rsid w:val="00790E9A"/>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locked/>
    <w:rsid w:val="00790E9A"/>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rsid w:val="00F80C6C"/>
    <w:pPr>
      <w:tabs>
        <w:tab w:val="left" w:pos="425"/>
      </w:tabs>
      <w:ind w:left="425" w:hanging="425"/>
      <w:contextualSpacing/>
    </w:pPr>
    <w:rPr>
      <w:sz w:val="20"/>
    </w:rPr>
  </w:style>
  <w:style w:type="character" w:customStyle="1" w:styleId="EndnoteTextChar">
    <w:name w:val="Endnote Text Char"/>
    <w:basedOn w:val="DefaultParagraphFont"/>
    <w:link w:val="EndnoteText"/>
    <w:uiPriority w:val="99"/>
    <w:rsid w:val="00F80C6C"/>
    <w:rPr>
      <w:sz w:val="20"/>
      <w:lang w:val="en-AU"/>
    </w:rPr>
  </w:style>
  <w:style w:type="character" w:styleId="EndnoteReference">
    <w:name w:val="endnote reference"/>
    <w:basedOn w:val="DefaultParagraphFont"/>
    <w:uiPriority w:val="99"/>
    <w:rsid w:val="001A1BAD"/>
    <w:rPr>
      <w:vertAlign w:val="superscript"/>
    </w:rPr>
  </w:style>
  <w:style w:type="character" w:styleId="IntenseEmphasis">
    <w:name w:val="Intense Emphasis"/>
    <w:basedOn w:val="DefaultParagraphFont"/>
    <w:uiPriority w:val="21"/>
    <w:qFormat/>
    <w:rsid w:val="00DD0D4F"/>
    <w:rPr>
      <w:b/>
      <w:bCs/>
      <w:i/>
      <w:iCs/>
      <w:color w:val="4F81BD" w:themeColor="accent1"/>
    </w:rPr>
  </w:style>
  <w:style w:type="character" w:customStyle="1" w:styleId="FootnoteTextChar">
    <w:name w:val="Footnote Text Char"/>
    <w:aliases w:val="FOOTNOTES Char,fn Char,single space Char,footnote text Char,Footnote Text Char2 Char,Footnote Text Char1 Char Char,Footnote Text Char Char Char1 Char,Footnote Text Char1 Char Char Char1 Char,Footnote Text Char1 Char1 Char Char,ft Char"/>
    <w:basedOn w:val="DefaultParagraphFont"/>
    <w:link w:val="FootnoteText"/>
    <w:uiPriority w:val="99"/>
    <w:rsid w:val="006D3CFD"/>
    <w:rPr>
      <w:sz w:val="20"/>
      <w:lang w:val="en-AU"/>
    </w:rPr>
  </w:style>
  <w:style w:type="paragraph" w:customStyle="1" w:styleId="Non-TOCsubheading">
    <w:name w:val="Non-TOC subheading"/>
    <w:basedOn w:val="BodyText"/>
    <w:link w:val="Non-TOCsubheadingChar"/>
    <w:rsid w:val="00AC0B1B"/>
    <w:pPr>
      <w:spacing w:line="320" w:lineRule="atLeast"/>
    </w:pPr>
    <w:rPr>
      <w:rFonts w:ascii="Arial" w:eastAsia="Calibri" w:hAnsi="Arial" w:cs="Times New Roman"/>
      <w:b/>
      <w:color w:val="4F6228" w:themeColor="accent3" w:themeShade="80"/>
      <w:sz w:val="20"/>
    </w:rPr>
  </w:style>
  <w:style w:type="character" w:customStyle="1" w:styleId="Non-TOCsubheadingChar">
    <w:name w:val="Non-TOC subheading Char"/>
    <w:basedOn w:val="BodyTextChar"/>
    <w:link w:val="Non-TOCsubheading"/>
    <w:rsid w:val="00AC0B1B"/>
    <w:rPr>
      <w:rFonts w:ascii="Arial" w:eastAsia="Calibri" w:hAnsi="Arial" w:cs="Times New Roman"/>
      <w:b/>
      <w:color w:val="4F6228" w:themeColor="accent3" w:themeShade="80"/>
      <w:sz w:val="20"/>
      <w:szCs w:val="22"/>
      <w:lang w:val="en-AU"/>
    </w:rPr>
  </w:style>
  <w:style w:type="paragraph" w:customStyle="1" w:styleId="Bulletswithsinglespacingfont11">
    <w:name w:val="Bullets with single spacing font 11"/>
    <w:basedOn w:val="Normal"/>
    <w:link w:val="Bulletswithsinglespacingfont11Char"/>
    <w:qFormat/>
    <w:rsid w:val="00470A54"/>
    <w:pPr>
      <w:numPr>
        <w:numId w:val="5"/>
      </w:numPr>
      <w:ind w:left="720"/>
    </w:pPr>
    <w:rPr>
      <w:rFonts w:cs="Arial"/>
      <w:bCs/>
      <w:lang w:eastAsia="en-AU"/>
    </w:rPr>
  </w:style>
  <w:style w:type="character" w:customStyle="1" w:styleId="Bulletswithsinglespacingfont11Char">
    <w:name w:val="Bullets with single spacing font 11 Char"/>
    <w:link w:val="Bulletswithsinglespacingfont11"/>
    <w:locked/>
    <w:rsid w:val="00470A54"/>
    <w:rPr>
      <w:rFonts w:cs="Arial"/>
      <w:bCs/>
      <w:lang w:val="en-AU" w:eastAsia="en-AU"/>
    </w:rPr>
  </w:style>
  <w:style w:type="paragraph" w:customStyle="1" w:styleId="HeadingGRM">
    <w:name w:val="Heading GRM"/>
    <w:basedOn w:val="Heading1"/>
    <w:next w:val="Normal"/>
    <w:link w:val="HeadingGRMChar"/>
    <w:qFormat/>
    <w:rsid w:val="000B0BF7"/>
    <w:pPr>
      <w:numPr>
        <w:numId w:val="0"/>
      </w:numPr>
      <w:spacing w:before="480" w:after="360"/>
    </w:pPr>
    <w:rPr>
      <w:rFonts w:ascii="Calibri" w:eastAsia="Calibri" w:hAnsi="Calibri" w:cs="Arial"/>
      <w:b w:val="0"/>
      <w:color w:val="auto"/>
      <w:sz w:val="36"/>
      <w:szCs w:val="24"/>
      <w:lang w:val="en-GB" w:eastAsia="en-AU"/>
    </w:rPr>
  </w:style>
  <w:style w:type="character" w:customStyle="1" w:styleId="HeadingGRMChar">
    <w:name w:val="Heading GRM Char"/>
    <w:link w:val="HeadingGRM"/>
    <w:rsid w:val="000B0BF7"/>
    <w:rPr>
      <w:rFonts w:eastAsia="Calibri" w:cs="Arial"/>
      <w:b/>
      <w:bCs/>
      <w:kern w:val="32"/>
      <w:sz w:val="36"/>
      <w:szCs w:val="24"/>
      <w:lang w:val="en-GB" w:eastAsia="en-AU"/>
    </w:rPr>
  </w:style>
  <w:style w:type="paragraph" w:customStyle="1" w:styleId="CONLevela">
    <w:name w:val=".CON  Level  (a)"/>
    <w:basedOn w:val="Normal"/>
    <w:next w:val="Normal"/>
    <w:rsid w:val="004F1D92"/>
    <w:pPr>
      <w:numPr>
        <w:ilvl w:val="2"/>
        <w:numId w:val="7"/>
      </w:numPr>
      <w:spacing w:before="240"/>
      <w:outlineLvl w:val="3"/>
    </w:pPr>
    <w:rPr>
      <w:rFonts w:ascii="Times New Roman" w:hAnsi="Times New Roman" w:cs="Times New Roman"/>
      <w:sz w:val="24"/>
    </w:rPr>
  </w:style>
  <w:style w:type="paragraph" w:customStyle="1" w:styleId="CONLeveli">
    <w:name w:val=".CON  Level  (i)"/>
    <w:basedOn w:val="Normal"/>
    <w:next w:val="Normal"/>
    <w:rsid w:val="004F1D92"/>
    <w:pPr>
      <w:numPr>
        <w:ilvl w:val="3"/>
        <w:numId w:val="7"/>
      </w:numPr>
      <w:spacing w:before="240"/>
      <w:outlineLvl w:val="4"/>
    </w:pPr>
    <w:rPr>
      <w:rFonts w:ascii="Times New Roman" w:hAnsi="Times New Roman" w:cs="Times New Roman"/>
      <w:sz w:val="24"/>
    </w:rPr>
  </w:style>
  <w:style w:type="paragraph" w:customStyle="1" w:styleId="CONLevel1">
    <w:name w:val=".CON  Level   1."/>
    <w:basedOn w:val="Normal"/>
    <w:next w:val="Normal"/>
    <w:rsid w:val="004F1D92"/>
    <w:pPr>
      <w:keepNext/>
      <w:numPr>
        <w:numId w:val="7"/>
      </w:numPr>
      <w:spacing w:before="240"/>
      <w:ind w:right="1701"/>
      <w:outlineLvl w:val="1"/>
    </w:pPr>
    <w:rPr>
      <w:rFonts w:ascii="Times New Roman" w:hAnsi="Times New Roman" w:cs="Times New Roman"/>
      <w:b/>
      <w:sz w:val="24"/>
    </w:rPr>
  </w:style>
  <w:style w:type="paragraph" w:customStyle="1" w:styleId="CONLevel11">
    <w:name w:val=".CON  Level   1.1"/>
    <w:basedOn w:val="Normal"/>
    <w:next w:val="Normal"/>
    <w:link w:val="CONLevel11Char"/>
    <w:rsid w:val="004F1D92"/>
    <w:pPr>
      <w:numPr>
        <w:ilvl w:val="1"/>
        <w:numId w:val="7"/>
      </w:numPr>
      <w:spacing w:before="240"/>
      <w:outlineLvl w:val="2"/>
    </w:pPr>
    <w:rPr>
      <w:rFonts w:ascii="Times New Roman" w:hAnsi="Times New Roman" w:cs="Times New Roman"/>
      <w:sz w:val="24"/>
    </w:rPr>
  </w:style>
  <w:style w:type="paragraph" w:customStyle="1" w:styleId="CONLevelA0">
    <w:name w:val=".CON  Level (A)"/>
    <w:basedOn w:val="Normal"/>
    <w:next w:val="Normal"/>
    <w:rsid w:val="004F1D92"/>
    <w:pPr>
      <w:numPr>
        <w:ilvl w:val="4"/>
        <w:numId w:val="7"/>
      </w:numPr>
      <w:spacing w:before="240"/>
      <w:outlineLvl w:val="5"/>
    </w:pPr>
    <w:rPr>
      <w:rFonts w:ascii="Times New Roman" w:hAnsi="Times New Roman" w:cs="Times New Roman"/>
      <w:sz w:val="24"/>
    </w:rPr>
  </w:style>
  <w:style w:type="paragraph" w:customStyle="1" w:styleId="CONLevelI0">
    <w:name w:val=".CON  Level (I)"/>
    <w:basedOn w:val="Normal"/>
    <w:next w:val="Normal"/>
    <w:rsid w:val="004F1D92"/>
    <w:pPr>
      <w:numPr>
        <w:ilvl w:val="5"/>
        <w:numId w:val="7"/>
      </w:numPr>
      <w:spacing w:before="240"/>
      <w:outlineLvl w:val="6"/>
    </w:pPr>
    <w:rPr>
      <w:rFonts w:ascii="Times New Roman" w:hAnsi="Times New Roman" w:cs="Times New Roman"/>
      <w:sz w:val="24"/>
    </w:rPr>
  </w:style>
  <w:style w:type="character" w:customStyle="1" w:styleId="CONLevel11Char">
    <w:name w:val=".CON  Level   1.1 Char"/>
    <w:link w:val="CONLevel11"/>
    <w:rsid w:val="004F1D92"/>
    <w:rPr>
      <w:rFonts w:ascii="Times New Roman" w:hAnsi="Times New Roman" w:cs="Times New Roman"/>
      <w:sz w:val="24"/>
      <w:lang w:val="en-AU"/>
    </w:rPr>
  </w:style>
  <w:style w:type="paragraph" w:customStyle="1" w:styleId="Notes">
    <w:name w:val="Notes"/>
    <w:basedOn w:val="Normal"/>
    <w:next w:val="Normal"/>
    <w:rsid w:val="002B6C03"/>
    <w:pPr>
      <w:spacing w:before="60" w:after="240"/>
      <w:jc w:val="center"/>
    </w:pPr>
    <w:rPr>
      <w:color w:val="808080" w:themeColor="background1" w:themeShade="80"/>
      <w:sz w:val="16"/>
      <w:szCs w:val="20"/>
    </w:rPr>
  </w:style>
  <w:style w:type="table" w:customStyle="1" w:styleId="TableGrid15">
    <w:name w:val="Table Grid15"/>
    <w:basedOn w:val="TableNormal"/>
    <w:next w:val="TableGrid"/>
    <w:uiPriority w:val="59"/>
    <w:rsid w:val="00F6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locked/>
    <w:rsid w:val="00F6127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6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locked/>
    <w:rsid w:val="00F6127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locked/>
    <w:rsid w:val="00F6127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6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locked/>
    <w:rsid w:val="00F6127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locked/>
    <w:rsid w:val="00A64511"/>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locked/>
    <w:rsid w:val="0073157E"/>
    <w:rPr>
      <w:rFonts w:eastAsia="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33BC8"/>
    <w:rPr>
      <w:rFonts w:asciiTheme="minorHAnsi" w:eastAsiaTheme="minorEastAsia" w:hAnsiTheme="minorHAnsi" w:cstheme="minorBidi"/>
      <w:sz w:val="24"/>
      <w:szCs w:val="24"/>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asciiTheme="minorHAnsi" w:hAnsiTheme="minorHAnsi"/>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apTable">
    <w:name w:val="CapTable"/>
    <w:basedOn w:val="Caption"/>
    <w:qFormat/>
    <w:rsid w:val="00DC41F6"/>
    <w:pPr>
      <w:keepNext/>
      <w:spacing w:before="240" w:after="240"/>
      <w:ind w:left="85" w:right="45"/>
    </w:pPr>
  </w:style>
  <w:style w:type="paragraph" w:customStyle="1" w:styleId="CapFigure">
    <w:name w:val="CapFigure"/>
    <w:basedOn w:val="Caption"/>
    <w:qFormat/>
    <w:rsid w:val="00DC41F6"/>
    <w:pPr>
      <w:keepNext/>
      <w:ind w:left="85" w:right="45"/>
    </w:pPr>
  </w:style>
  <w:style w:type="character" w:customStyle="1" w:styleId="EmailStyle201">
    <w:name w:val="EmailStyle201"/>
    <w:uiPriority w:val="99"/>
    <w:semiHidden/>
    <w:rsid w:val="00DC41F6"/>
    <w:rPr>
      <w:rFonts w:ascii="Arial" w:hAnsi="Arial" w:cs="Arial"/>
      <w:color w:val="auto"/>
      <w:sz w:val="20"/>
      <w:szCs w:val="20"/>
    </w:rPr>
  </w:style>
  <w:style w:type="character" w:customStyle="1" w:styleId="Heading4Char">
    <w:name w:val="Heading 4 Char"/>
    <w:basedOn w:val="DefaultParagraphFont"/>
    <w:link w:val="Heading4"/>
    <w:rsid w:val="00DC41F6"/>
    <w:rPr>
      <w:b/>
      <w:bCs/>
      <w:sz w:val="24"/>
      <w:szCs w:val="28"/>
      <w:lang w:val="en-AU"/>
    </w:rPr>
  </w:style>
  <w:style w:type="paragraph" w:customStyle="1" w:styleId="numbered">
    <w:name w:val="numbered"/>
    <w:basedOn w:val="Normal"/>
    <w:link w:val="numberedChar"/>
    <w:qFormat/>
    <w:rsid w:val="00DC41F6"/>
    <w:pPr>
      <w:spacing w:before="60" w:after="60"/>
    </w:pPr>
    <w:rPr>
      <w:rFonts w:asciiTheme="minorHAnsi" w:hAnsiTheme="minorHAnsi" w:cs="Times New Roman"/>
      <w:sz w:val="24"/>
      <w:szCs w:val="24"/>
      <w:lang w:eastAsia="en-AU"/>
    </w:rPr>
  </w:style>
  <w:style w:type="character" w:customStyle="1" w:styleId="numberedChar">
    <w:name w:val="numbered Char"/>
    <w:basedOn w:val="DefaultParagraphFont"/>
    <w:link w:val="numbered"/>
    <w:rsid w:val="00DC41F6"/>
    <w:rPr>
      <w:rFonts w:asciiTheme="minorHAnsi" w:hAnsiTheme="minorHAnsi" w:cs="Times New Roman"/>
      <w:sz w:val="24"/>
      <w:szCs w:val="24"/>
      <w:lang w:val="en-AU" w:eastAsia="en-AU"/>
    </w:rPr>
  </w:style>
  <w:style w:type="paragraph" w:customStyle="1" w:styleId="Source">
    <w:name w:val="Source"/>
    <w:basedOn w:val="Normal"/>
    <w:qFormat/>
    <w:rsid w:val="001D2009"/>
    <w:pPr>
      <w:jc w:val="center"/>
      <w:outlineLvl w:val="1"/>
    </w:pPr>
    <w:rPr>
      <w:bCs/>
      <w:sz w:val="18"/>
      <w:szCs w:val="20"/>
    </w:rPr>
  </w:style>
  <w:style w:type="character" w:customStyle="1" w:styleId="apple-converted-space">
    <w:name w:val="apple-converted-space"/>
    <w:basedOn w:val="DefaultParagraphFont"/>
    <w:rsid w:val="00A943BB"/>
  </w:style>
  <w:style w:type="table" w:customStyle="1" w:styleId="TableGrid321">
    <w:name w:val="Table Grid321"/>
    <w:basedOn w:val="TableNormal"/>
    <w:next w:val="TableGrid"/>
    <w:uiPriority w:val="59"/>
    <w:locked/>
    <w:rsid w:val="004B1032"/>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locked/>
    <w:rsid w:val="004B1032"/>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locked/>
    <w:rsid w:val="00123F1E"/>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locked/>
    <w:rsid w:val="00123F1E"/>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locked/>
    <w:rsid w:val="00123F1E"/>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D20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D20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locked/>
    <w:rsid w:val="00D20962"/>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D20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59"/>
    <w:locked/>
    <w:rsid w:val="00D20962"/>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D20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59"/>
    <w:locked/>
    <w:rsid w:val="00D20962"/>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uiPriority w:val="59"/>
    <w:locked/>
    <w:rsid w:val="00D20962"/>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locked/>
    <w:rsid w:val="00D20962"/>
    <w:rPr>
      <w:rFonts w:eastAsia="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Table">
    <w:name w:val="Caption - Table"/>
    <w:basedOn w:val="Caption"/>
    <w:next w:val="Normal"/>
    <w:qFormat/>
    <w:rsid w:val="00502A97"/>
    <w:pPr>
      <w:keepNext/>
    </w:pPr>
  </w:style>
  <w:style w:type="paragraph" w:customStyle="1" w:styleId="Caption-Figure">
    <w:name w:val="Caption - Figure"/>
    <w:basedOn w:val="Caption"/>
    <w:qFormat/>
    <w:rsid w:val="00DA244C"/>
    <w:pPr>
      <w:keepNext/>
      <w:ind w:left="85" w:right="45"/>
      <w:outlineLvl w:val="1"/>
    </w:pPr>
    <w:rPr>
      <w:rFonts w:asciiTheme="minorHAnsi" w:hAnsiTheme="minorHAnsi" w:cstheme="minorHAnsi"/>
      <w:lang w:val="en-AU"/>
    </w:rPr>
  </w:style>
  <w:style w:type="paragraph" w:customStyle="1" w:styleId="Heading1-NoNumber">
    <w:name w:val="Heading 1 - No Number"/>
    <w:basedOn w:val="Heading1"/>
    <w:qFormat/>
    <w:rsid w:val="00775568"/>
    <w:pPr>
      <w:numPr>
        <w:numId w:val="0"/>
      </w:numPr>
    </w:pPr>
  </w:style>
  <w:style w:type="paragraph" w:customStyle="1" w:styleId="DividerStyle">
    <w:name w:val="Divider Style"/>
    <w:basedOn w:val="Normal"/>
    <w:qFormat/>
    <w:rsid w:val="00AD74D4"/>
    <w:pPr>
      <w:spacing w:before="0" w:after="0"/>
      <w:ind w:left="4395"/>
    </w:pPr>
    <w:rPr>
      <w:b/>
      <w:color w:val="FFFFFF" w:themeColor="background1"/>
      <w:sz w:val="36"/>
      <w:szCs w:val="36"/>
    </w:rPr>
  </w:style>
  <w:style w:type="paragraph" w:customStyle="1" w:styleId="TableParagraph">
    <w:name w:val="Table Paragraph"/>
    <w:basedOn w:val="Normal"/>
    <w:qFormat/>
    <w:rsid w:val="001D3402"/>
    <w:pPr>
      <w:spacing w:before="60" w:after="60"/>
      <w:jc w:val="left"/>
    </w:pPr>
    <w:rPr>
      <w:rFonts w:eastAsiaTheme="minorHAnsi"/>
    </w:rPr>
  </w:style>
  <w:style w:type="paragraph" w:customStyle="1" w:styleId="SourceNotes">
    <w:name w:val="Source Notes"/>
    <w:basedOn w:val="Normal"/>
    <w:qFormat/>
    <w:rsid w:val="002C5E9B"/>
    <w:pPr>
      <w:spacing w:before="60"/>
      <w:contextualSpacing/>
      <w:jc w:val="center"/>
    </w:pPr>
    <w:rPr>
      <w:i/>
      <w:color w:val="000000" w:themeColor="text1"/>
      <w:sz w:val="18"/>
      <w:szCs w:val="20"/>
    </w:rPr>
  </w:style>
  <w:style w:type="paragraph" w:customStyle="1" w:styleId="ScoreParagraph">
    <w:name w:val="ScoreParagraph"/>
    <w:basedOn w:val="Normal"/>
    <w:qFormat/>
    <w:rsid w:val="00B51E32"/>
    <w:pPr>
      <w:numPr>
        <w:numId w:val="16"/>
      </w:numPr>
      <w:spacing w:before="60" w:after="60"/>
      <w:ind w:left="357" w:hanging="35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4823">
      <w:bodyDiv w:val="1"/>
      <w:marLeft w:val="0"/>
      <w:marRight w:val="0"/>
      <w:marTop w:val="0"/>
      <w:marBottom w:val="0"/>
      <w:divBdr>
        <w:top w:val="none" w:sz="0" w:space="0" w:color="auto"/>
        <w:left w:val="none" w:sz="0" w:space="0" w:color="auto"/>
        <w:bottom w:val="none" w:sz="0" w:space="0" w:color="auto"/>
        <w:right w:val="none" w:sz="0" w:space="0" w:color="auto"/>
      </w:divBdr>
    </w:div>
    <w:div w:id="57170233">
      <w:bodyDiv w:val="1"/>
      <w:marLeft w:val="0"/>
      <w:marRight w:val="0"/>
      <w:marTop w:val="0"/>
      <w:marBottom w:val="0"/>
      <w:divBdr>
        <w:top w:val="none" w:sz="0" w:space="0" w:color="auto"/>
        <w:left w:val="none" w:sz="0" w:space="0" w:color="auto"/>
        <w:bottom w:val="none" w:sz="0" w:space="0" w:color="auto"/>
        <w:right w:val="none" w:sz="0" w:space="0" w:color="auto"/>
      </w:divBdr>
      <w:divsChild>
        <w:div w:id="197427172">
          <w:marLeft w:val="547"/>
          <w:marRight w:val="0"/>
          <w:marTop w:val="96"/>
          <w:marBottom w:val="60"/>
          <w:divBdr>
            <w:top w:val="none" w:sz="0" w:space="0" w:color="auto"/>
            <w:left w:val="none" w:sz="0" w:space="0" w:color="auto"/>
            <w:bottom w:val="none" w:sz="0" w:space="0" w:color="auto"/>
            <w:right w:val="none" w:sz="0" w:space="0" w:color="auto"/>
          </w:divBdr>
        </w:div>
      </w:divsChild>
    </w:div>
    <w:div w:id="77404168">
      <w:bodyDiv w:val="1"/>
      <w:marLeft w:val="0"/>
      <w:marRight w:val="0"/>
      <w:marTop w:val="0"/>
      <w:marBottom w:val="0"/>
      <w:divBdr>
        <w:top w:val="none" w:sz="0" w:space="0" w:color="auto"/>
        <w:left w:val="none" w:sz="0" w:space="0" w:color="auto"/>
        <w:bottom w:val="none" w:sz="0" w:space="0" w:color="auto"/>
        <w:right w:val="none" w:sz="0" w:space="0" w:color="auto"/>
      </w:divBdr>
      <w:divsChild>
        <w:div w:id="102850553">
          <w:marLeft w:val="720"/>
          <w:marRight w:val="0"/>
          <w:marTop w:val="96"/>
          <w:marBottom w:val="240"/>
          <w:divBdr>
            <w:top w:val="none" w:sz="0" w:space="0" w:color="auto"/>
            <w:left w:val="none" w:sz="0" w:space="0" w:color="auto"/>
            <w:bottom w:val="none" w:sz="0" w:space="0" w:color="auto"/>
            <w:right w:val="none" w:sz="0" w:space="0" w:color="auto"/>
          </w:divBdr>
        </w:div>
        <w:div w:id="545797290">
          <w:marLeft w:val="720"/>
          <w:marRight w:val="0"/>
          <w:marTop w:val="96"/>
          <w:marBottom w:val="240"/>
          <w:divBdr>
            <w:top w:val="none" w:sz="0" w:space="0" w:color="auto"/>
            <w:left w:val="none" w:sz="0" w:space="0" w:color="auto"/>
            <w:bottom w:val="none" w:sz="0" w:space="0" w:color="auto"/>
            <w:right w:val="none" w:sz="0" w:space="0" w:color="auto"/>
          </w:divBdr>
        </w:div>
        <w:div w:id="1612860248">
          <w:marLeft w:val="720"/>
          <w:marRight w:val="0"/>
          <w:marTop w:val="96"/>
          <w:marBottom w:val="240"/>
          <w:divBdr>
            <w:top w:val="none" w:sz="0" w:space="0" w:color="auto"/>
            <w:left w:val="none" w:sz="0" w:space="0" w:color="auto"/>
            <w:bottom w:val="none" w:sz="0" w:space="0" w:color="auto"/>
            <w:right w:val="none" w:sz="0" w:space="0" w:color="auto"/>
          </w:divBdr>
        </w:div>
        <w:div w:id="1693335963">
          <w:marLeft w:val="720"/>
          <w:marRight w:val="0"/>
          <w:marTop w:val="96"/>
          <w:marBottom w:val="240"/>
          <w:divBdr>
            <w:top w:val="none" w:sz="0" w:space="0" w:color="auto"/>
            <w:left w:val="none" w:sz="0" w:space="0" w:color="auto"/>
            <w:bottom w:val="none" w:sz="0" w:space="0" w:color="auto"/>
            <w:right w:val="none" w:sz="0" w:space="0" w:color="auto"/>
          </w:divBdr>
        </w:div>
      </w:divsChild>
    </w:div>
    <w:div w:id="99569468">
      <w:bodyDiv w:val="1"/>
      <w:marLeft w:val="0"/>
      <w:marRight w:val="0"/>
      <w:marTop w:val="0"/>
      <w:marBottom w:val="0"/>
      <w:divBdr>
        <w:top w:val="none" w:sz="0" w:space="0" w:color="auto"/>
        <w:left w:val="none" w:sz="0" w:space="0" w:color="auto"/>
        <w:bottom w:val="none" w:sz="0" w:space="0" w:color="auto"/>
        <w:right w:val="none" w:sz="0" w:space="0" w:color="auto"/>
      </w:divBdr>
    </w:div>
    <w:div w:id="101994056">
      <w:bodyDiv w:val="1"/>
      <w:marLeft w:val="0"/>
      <w:marRight w:val="0"/>
      <w:marTop w:val="0"/>
      <w:marBottom w:val="0"/>
      <w:divBdr>
        <w:top w:val="none" w:sz="0" w:space="0" w:color="auto"/>
        <w:left w:val="none" w:sz="0" w:space="0" w:color="auto"/>
        <w:bottom w:val="none" w:sz="0" w:space="0" w:color="auto"/>
        <w:right w:val="none" w:sz="0" w:space="0" w:color="auto"/>
      </w:divBdr>
    </w:div>
    <w:div w:id="121844454">
      <w:bodyDiv w:val="1"/>
      <w:marLeft w:val="0"/>
      <w:marRight w:val="0"/>
      <w:marTop w:val="0"/>
      <w:marBottom w:val="0"/>
      <w:divBdr>
        <w:top w:val="none" w:sz="0" w:space="0" w:color="auto"/>
        <w:left w:val="none" w:sz="0" w:space="0" w:color="auto"/>
        <w:bottom w:val="none" w:sz="0" w:space="0" w:color="auto"/>
        <w:right w:val="none" w:sz="0" w:space="0" w:color="auto"/>
      </w:divBdr>
      <w:divsChild>
        <w:div w:id="412363922">
          <w:marLeft w:val="547"/>
          <w:marRight w:val="0"/>
          <w:marTop w:val="96"/>
          <w:marBottom w:val="60"/>
          <w:divBdr>
            <w:top w:val="none" w:sz="0" w:space="0" w:color="auto"/>
            <w:left w:val="none" w:sz="0" w:space="0" w:color="auto"/>
            <w:bottom w:val="none" w:sz="0" w:space="0" w:color="auto"/>
            <w:right w:val="none" w:sz="0" w:space="0" w:color="auto"/>
          </w:divBdr>
        </w:div>
        <w:div w:id="1004623968">
          <w:marLeft w:val="547"/>
          <w:marRight w:val="0"/>
          <w:marTop w:val="96"/>
          <w:marBottom w:val="60"/>
          <w:divBdr>
            <w:top w:val="none" w:sz="0" w:space="0" w:color="auto"/>
            <w:left w:val="none" w:sz="0" w:space="0" w:color="auto"/>
            <w:bottom w:val="none" w:sz="0" w:space="0" w:color="auto"/>
            <w:right w:val="none" w:sz="0" w:space="0" w:color="auto"/>
          </w:divBdr>
        </w:div>
        <w:div w:id="2063863156">
          <w:marLeft w:val="547"/>
          <w:marRight w:val="0"/>
          <w:marTop w:val="96"/>
          <w:marBottom w:val="60"/>
          <w:divBdr>
            <w:top w:val="none" w:sz="0" w:space="0" w:color="auto"/>
            <w:left w:val="none" w:sz="0" w:space="0" w:color="auto"/>
            <w:bottom w:val="none" w:sz="0" w:space="0" w:color="auto"/>
            <w:right w:val="none" w:sz="0" w:space="0" w:color="auto"/>
          </w:divBdr>
        </w:div>
      </w:divsChild>
    </w:div>
    <w:div w:id="127600158">
      <w:bodyDiv w:val="1"/>
      <w:marLeft w:val="0"/>
      <w:marRight w:val="0"/>
      <w:marTop w:val="0"/>
      <w:marBottom w:val="0"/>
      <w:divBdr>
        <w:top w:val="none" w:sz="0" w:space="0" w:color="auto"/>
        <w:left w:val="none" w:sz="0" w:space="0" w:color="auto"/>
        <w:bottom w:val="none" w:sz="0" w:space="0" w:color="auto"/>
        <w:right w:val="none" w:sz="0" w:space="0" w:color="auto"/>
      </w:divBdr>
    </w:div>
    <w:div w:id="184100561">
      <w:bodyDiv w:val="1"/>
      <w:marLeft w:val="0"/>
      <w:marRight w:val="0"/>
      <w:marTop w:val="0"/>
      <w:marBottom w:val="0"/>
      <w:divBdr>
        <w:top w:val="none" w:sz="0" w:space="0" w:color="auto"/>
        <w:left w:val="none" w:sz="0" w:space="0" w:color="auto"/>
        <w:bottom w:val="none" w:sz="0" w:space="0" w:color="auto"/>
        <w:right w:val="none" w:sz="0" w:space="0" w:color="auto"/>
      </w:divBdr>
    </w:div>
    <w:div w:id="192618970">
      <w:bodyDiv w:val="1"/>
      <w:marLeft w:val="0"/>
      <w:marRight w:val="0"/>
      <w:marTop w:val="0"/>
      <w:marBottom w:val="0"/>
      <w:divBdr>
        <w:top w:val="none" w:sz="0" w:space="0" w:color="auto"/>
        <w:left w:val="none" w:sz="0" w:space="0" w:color="auto"/>
        <w:bottom w:val="none" w:sz="0" w:space="0" w:color="auto"/>
        <w:right w:val="none" w:sz="0" w:space="0" w:color="auto"/>
      </w:divBdr>
      <w:divsChild>
        <w:div w:id="75250651">
          <w:marLeft w:val="1166"/>
          <w:marRight w:val="0"/>
          <w:marTop w:val="77"/>
          <w:marBottom w:val="0"/>
          <w:divBdr>
            <w:top w:val="none" w:sz="0" w:space="0" w:color="auto"/>
            <w:left w:val="none" w:sz="0" w:space="0" w:color="auto"/>
            <w:bottom w:val="none" w:sz="0" w:space="0" w:color="auto"/>
            <w:right w:val="none" w:sz="0" w:space="0" w:color="auto"/>
          </w:divBdr>
        </w:div>
        <w:div w:id="107773002">
          <w:marLeft w:val="547"/>
          <w:marRight w:val="0"/>
          <w:marTop w:val="96"/>
          <w:marBottom w:val="0"/>
          <w:divBdr>
            <w:top w:val="none" w:sz="0" w:space="0" w:color="auto"/>
            <w:left w:val="none" w:sz="0" w:space="0" w:color="auto"/>
            <w:bottom w:val="none" w:sz="0" w:space="0" w:color="auto"/>
            <w:right w:val="none" w:sz="0" w:space="0" w:color="auto"/>
          </w:divBdr>
        </w:div>
        <w:div w:id="196046823">
          <w:marLeft w:val="547"/>
          <w:marRight w:val="0"/>
          <w:marTop w:val="96"/>
          <w:marBottom w:val="0"/>
          <w:divBdr>
            <w:top w:val="none" w:sz="0" w:space="0" w:color="auto"/>
            <w:left w:val="none" w:sz="0" w:space="0" w:color="auto"/>
            <w:bottom w:val="none" w:sz="0" w:space="0" w:color="auto"/>
            <w:right w:val="none" w:sz="0" w:space="0" w:color="auto"/>
          </w:divBdr>
        </w:div>
        <w:div w:id="352846504">
          <w:marLeft w:val="1166"/>
          <w:marRight w:val="0"/>
          <w:marTop w:val="77"/>
          <w:marBottom w:val="0"/>
          <w:divBdr>
            <w:top w:val="none" w:sz="0" w:space="0" w:color="auto"/>
            <w:left w:val="none" w:sz="0" w:space="0" w:color="auto"/>
            <w:bottom w:val="none" w:sz="0" w:space="0" w:color="auto"/>
            <w:right w:val="none" w:sz="0" w:space="0" w:color="auto"/>
          </w:divBdr>
        </w:div>
        <w:div w:id="577904355">
          <w:marLeft w:val="547"/>
          <w:marRight w:val="0"/>
          <w:marTop w:val="96"/>
          <w:marBottom w:val="0"/>
          <w:divBdr>
            <w:top w:val="none" w:sz="0" w:space="0" w:color="auto"/>
            <w:left w:val="none" w:sz="0" w:space="0" w:color="auto"/>
            <w:bottom w:val="none" w:sz="0" w:space="0" w:color="auto"/>
            <w:right w:val="none" w:sz="0" w:space="0" w:color="auto"/>
          </w:divBdr>
        </w:div>
        <w:div w:id="839269656">
          <w:marLeft w:val="547"/>
          <w:marRight w:val="0"/>
          <w:marTop w:val="96"/>
          <w:marBottom w:val="0"/>
          <w:divBdr>
            <w:top w:val="none" w:sz="0" w:space="0" w:color="auto"/>
            <w:left w:val="none" w:sz="0" w:space="0" w:color="auto"/>
            <w:bottom w:val="none" w:sz="0" w:space="0" w:color="auto"/>
            <w:right w:val="none" w:sz="0" w:space="0" w:color="auto"/>
          </w:divBdr>
        </w:div>
        <w:div w:id="1656451341">
          <w:marLeft w:val="547"/>
          <w:marRight w:val="0"/>
          <w:marTop w:val="96"/>
          <w:marBottom w:val="0"/>
          <w:divBdr>
            <w:top w:val="none" w:sz="0" w:space="0" w:color="auto"/>
            <w:left w:val="none" w:sz="0" w:space="0" w:color="auto"/>
            <w:bottom w:val="none" w:sz="0" w:space="0" w:color="auto"/>
            <w:right w:val="none" w:sz="0" w:space="0" w:color="auto"/>
          </w:divBdr>
        </w:div>
        <w:div w:id="1911499053">
          <w:marLeft w:val="547"/>
          <w:marRight w:val="0"/>
          <w:marTop w:val="96"/>
          <w:marBottom w:val="0"/>
          <w:divBdr>
            <w:top w:val="none" w:sz="0" w:space="0" w:color="auto"/>
            <w:left w:val="none" w:sz="0" w:space="0" w:color="auto"/>
            <w:bottom w:val="none" w:sz="0" w:space="0" w:color="auto"/>
            <w:right w:val="none" w:sz="0" w:space="0" w:color="auto"/>
          </w:divBdr>
        </w:div>
        <w:div w:id="1966083656">
          <w:marLeft w:val="1166"/>
          <w:marRight w:val="0"/>
          <w:marTop w:val="77"/>
          <w:marBottom w:val="0"/>
          <w:divBdr>
            <w:top w:val="none" w:sz="0" w:space="0" w:color="auto"/>
            <w:left w:val="none" w:sz="0" w:space="0" w:color="auto"/>
            <w:bottom w:val="none" w:sz="0" w:space="0" w:color="auto"/>
            <w:right w:val="none" w:sz="0" w:space="0" w:color="auto"/>
          </w:divBdr>
        </w:div>
      </w:divsChild>
    </w:div>
    <w:div w:id="202330612">
      <w:bodyDiv w:val="1"/>
      <w:marLeft w:val="0"/>
      <w:marRight w:val="0"/>
      <w:marTop w:val="0"/>
      <w:marBottom w:val="0"/>
      <w:divBdr>
        <w:top w:val="none" w:sz="0" w:space="0" w:color="auto"/>
        <w:left w:val="none" w:sz="0" w:space="0" w:color="auto"/>
        <w:bottom w:val="none" w:sz="0" w:space="0" w:color="auto"/>
        <w:right w:val="none" w:sz="0" w:space="0" w:color="auto"/>
      </w:divBdr>
    </w:div>
    <w:div w:id="212159533">
      <w:bodyDiv w:val="1"/>
      <w:marLeft w:val="0"/>
      <w:marRight w:val="0"/>
      <w:marTop w:val="0"/>
      <w:marBottom w:val="0"/>
      <w:divBdr>
        <w:top w:val="none" w:sz="0" w:space="0" w:color="auto"/>
        <w:left w:val="none" w:sz="0" w:space="0" w:color="auto"/>
        <w:bottom w:val="none" w:sz="0" w:space="0" w:color="auto"/>
        <w:right w:val="none" w:sz="0" w:space="0" w:color="auto"/>
      </w:divBdr>
    </w:div>
    <w:div w:id="225066944">
      <w:bodyDiv w:val="1"/>
      <w:marLeft w:val="0"/>
      <w:marRight w:val="0"/>
      <w:marTop w:val="0"/>
      <w:marBottom w:val="0"/>
      <w:divBdr>
        <w:top w:val="none" w:sz="0" w:space="0" w:color="auto"/>
        <w:left w:val="none" w:sz="0" w:space="0" w:color="auto"/>
        <w:bottom w:val="none" w:sz="0" w:space="0" w:color="auto"/>
        <w:right w:val="none" w:sz="0" w:space="0" w:color="auto"/>
      </w:divBdr>
    </w:div>
    <w:div w:id="244388490">
      <w:bodyDiv w:val="1"/>
      <w:marLeft w:val="0"/>
      <w:marRight w:val="0"/>
      <w:marTop w:val="0"/>
      <w:marBottom w:val="0"/>
      <w:divBdr>
        <w:top w:val="none" w:sz="0" w:space="0" w:color="auto"/>
        <w:left w:val="none" w:sz="0" w:space="0" w:color="auto"/>
        <w:bottom w:val="none" w:sz="0" w:space="0" w:color="auto"/>
        <w:right w:val="none" w:sz="0" w:space="0" w:color="auto"/>
      </w:divBdr>
    </w:div>
    <w:div w:id="253129208">
      <w:bodyDiv w:val="1"/>
      <w:marLeft w:val="0"/>
      <w:marRight w:val="0"/>
      <w:marTop w:val="0"/>
      <w:marBottom w:val="0"/>
      <w:divBdr>
        <w:top w:val="none" w:sz="0" w:space="0" w:color="auto"/>
        <w:left w:val="none" w:sz="0" w:space="0" w:color="auto"/>
        <w:bottom w:val="none" w:sz="0" w:space="0" w:color="auto"/>
        <w:right w:val="none" w:sz="0" w:space="0" w:color="auto"/>
      </w:divBdr>
      <w:divsChild>
        <w:div w:id="531379662">
          <w:marLeft w:val="547"/>
          <w:marRight w:val="0"/>
          <w:marTop w:val="96"/>
          <w:marBottom w:val="0"/>
          <w:divBdr>
            <w:top w:val="none" w:sz="0" w:space="0" w:color="auto"/>
            <w:left w:val="none" w:sz="0" w:space="0" w:color="auto"/>
            <w:bottom w:val="none" w:sz="0" w:space="0" w:color="auto"/>
            <w:right w:val="none" w:sz="0" w:space="0" w:color="auto"/>
          </w:divBdr>
        </w:div>
        <w:div w:id="682635624">
          <w:marLeft w:val="547"/>
          <w:marRight w:val="0"/>
          <w:marTop w:val="96"/>
          <w:marBottom w:val="0"/>
          <w:divBdr>
            <w:top w:val="none" w:sz="0" w:space="0" w:color="auto"/>
            <w:left w:val="none" w:sz="0" w:space="0" w:color="auto"/>
            <w:bottom w:val="none" w:sz="0" w:space="0" w:color="auto"/>
            <w:right w:val="none" w:sz="0" w:space="0" w:color="auto"/>
          </w:divBdr>
        </w:div>
        <w:div w:id="906888016">
          <w:marLeft w:val="547"/>
          <w:marRight w:val="0"/>
          <w:marTop w:val="96"/>
          <w:marBottom w:val="0"/>
          <w:divBdr>
            <w:top w:val="none" w:sz="0" w:space="0" w:color="auto"/>
            <w:left w:val="none" w:sz="0" w:space="0" w:color="auto"/>
            <w:bottom w:val="none" w:sz="0" w:space="0" w:color="auto"/>
            <w:right w:val="none" w:sz="0" w:space="0" w:color="auto"/>
          </w:divBdr>
        </w:div>
      </w:divsChild>
    </w:div>
    <w:div w:id="263147281">
      <w:bodyDiv w:val="1"/>
      <w:marLeft w:val="0"/>
      <w:marRight w:val="0"/>
      <w:marTop w:val="0"/>
      <w:marBottom w:val="0"/>
      <w:divBdr>
        <w:top w:val="none" w:sz="0" w:space="0" w:color="auto"/>
        <w:left w:val="none" w:sz="0" w:space="0" w:color="auto"/>
        <w:bottom w:val="none" w:sz="0" w:space="0" w:color="auto"/>
        <w:right w:val="none" w:sz="0" w:space="0" w:color="auto"/>
      </w:divBdr>
    </w:div>
    <w:div w:id="273559163">
      <w:bodyDiv w:val="1"/>
      <w:marLeft w:val="0"/>
      <w:marRight w:val="0"/>
      <w:marTop w:val="0"/>
      <w:marBottom w:val="0"/>
      <w:divBdr>
        <w:top w:val="none" w:sz="0" w:space="0" w:color="auto"/>
        <w:left w:val="none" w:sz="0" w:space="0" w:color="auto"/>
        <w:bottom w:val="none" w:sz="0" w:space="0" w:color="auto"/>
        <w:right w:val="none" w:sz="0" w:space="0" w:color="auto"/>
      </w:divBdr>
    </w:div>
    <w:div w:id="287664500">
      <w:bodyDiv w:val="1"/>
      <w:marLeft w:val="0"/>
      <w:marRight w:val="0"/>
      <w:marTop w:val="0"/>
      <w:marBottom w:val="0"/>
      <w:divBdr>
        <w:top w:val="none" w:sz="0" w:space="0" w:color="auto"/>
        <w:left w:val="none" w:sz="0" w:space="0" w:color="auto"/>
        <w:bottom w:val="none" w:sz="0" w:space="0" w:color="auto"/>
        <w:right w:val="none" w:sz="0" w:space="0" w:color="auto"/>
      </w:divBdr>
      <w:divsChild>
        <w:div w:id="444815798">
          <w:marLeft w:val="547"/>
          <w:marRight w:val="0"/>
          <w:marTop w:val="96"/>
          <w:marBottom w:val="60"/>
          <w:divBdr>
            <w:top w:val="none" w:sz="0" w:space="0" w:color="auto"/>
            <w:left w:val="none" w:sz="0" w:space="0" w:color="auto"/>
            <w:bottom w:val="none" w:sz="0" w:space="0" w:color="auto"/>
            <w:right w:val="none" w:sz="0" w:space="0" w:color="auto"/>
          </w:divBdr>
        </w:div>
        <w:div w:id="472674809">
          <w:marLeft w:val="547"/>
          <w:marRight w:val="0"/>
          <w:marTop w:val="96"/>
          <w:marBottom w:val="60"/>
          <w:divBdr>
            <w:top w:val="none" w:sz="0" w:space="0" w:color="auto"/>
            <w:left w:val="none" w:sz="0" w:space="0" w:color="auto"/>
            <w:bottom w:val="none" w:sz="0" w:space="0" w:color="auto"/>
            <w:right w:val="none" w:sz="0" w:space="0" w:color="auto"/>
          </w:divBdr>
        </w:div>
        <w:div w:id="591202394">
          <w:marLeft w:val="547"/>
          <w:marRight w:val="0"/>
          <w:marTop w:val="96"/>
          <w:marBottom w:val="60"/>
          <w:divBdr>
            <w:top w:val="none" w:sz="0" w:space="0" w:color="auto"/>
            <w:left w:val="none" w:sz="0" w:space="0" w:color="auto"/>
            <w:bottom w:val="none" w:sz="0" w:space="0" w:color="auto"/>
            <w:right w:val="none" w:sz="0" w:space="0" w:color="auto"/>
          </w:divBdr>
        </w:div>
        <w:div w:id="1299995985">
          <w:marLeft w:val="547"/>
          <w:marRight w:val="0"/>
          <w:marTop w:val="96"/>
          <w:marBottom w:val="60"/>
          <w:divBdr>
            <w:top w:val="none" w:sz="0" w:space="0" w:color="auto"/>
            <w:left w:val="none" w:sz="0" w:space="0" w:color="auto"/>
            <w:bottom w:val="none" w:sz="0" w:space="0" w:color="auto"/>
            <w:right w:val="none" w:sz="0" w:space="0" w:color="auto"/>
          </w:divBdr>
        </w:div>
        <w:div w:id="1520965789">
          <w:marLeft w:val="547"/>
          <w:marRight w:val="0"/>
          <w:marTop w:val="96"/>
          <w:marBottom w:val="60"/>
          <w:divBdr>
            <w:top w:val="none" w:sz="0" w:space="0" w:color="auto"/>
            <w:left w:val="none" w:sz="0" w:space="0" w:color="auto"/>
            <w:bottom w:val="none" w:sz="0" w:space="0" w:color="auto"/>
            <w:right w:val="none" w:sz="0" w:space="0" w:color="auto"/>
          </w:divBdr>
        </w:div>
      </w:divsChild>
    </w:div>
    <w:div w:id="324893714">
      <w:bodyDiv w:val="1"/>
      <w:marLeft w:val="0"/>
      <w:marRight w:val="0"/>
      <w:marTop w:val="0"/>
      <w:marBottom w:val="0"/>
      <w:divBdr>
        <w:top w:val="none" w:sz="0" w:space="0" w:color="auto"/>
        <w:left w:val="none" w:sz="0" w:space="0" w:color="auto"/>
        <w:bottom w:val="none" w:sz="0" w:space="0" w:color="auto"/>
        <w:right w:val="none" w:sz="0" w:space="0" w:color="auto"/>
      </w:divBdr>
    </w:div>
    <w:div w:id="345593305">
      <w:bodyDiv w:val="1"/>
      <w:marLeft w:val="0"/>
      <w:marRight w:val="0"/>
      <w:marTop w:val="0"/>
      <w:marBottom w:val="0"/>
      <w:divBdr>
        <w:top w:val="none" w:sz="0" w:space="0" w:color="auto"/>
        <w:left w:val="none" w:sz="0" w:space="0" w:color="auto"/>
        <w:bottom w:val="none" w:sz="0" w:space="0" w:color="auto"/>
        <w:right w:val="none" w:sz="0" w:space="0" w:color="auto"/>
      </w:divBdr>
    </w:div>
    <w:div w:id="361637858">
      <w:bodyDiv w:val="1"/>
      <w:marLeft w:val="0"/>
      <w:marRight w:val="0"/>
      <w:marTop w:val="0"/>
      <w:marBottom w:val="0"/>
      <w:divBdr>
        <w:top w:val="none" w:sz="0" w:space="0" w:color="auto"/>
        <w:left w:val="none" w:sz="0" w:space="0" w:color="auto"/>
        <w:bottom w:val="none" w:sz="0" w:space="0" w:color="auto"/>
        <w:right w:val="none" w:sz="0" w:space="0" w:color="auto"/>
      </w:divBdr>
    </w:div>
    <w:div w:id="386610447">
      <w:bodyDiv w:val="1"/>
      <w:marLeft w:val="0"/>
      <w:marRight w:val="0"/>
      <w:marTop w:val="0"/>
      <w:marBottom w:val="0"/>
      <w:divBdr>
        <w:top w:val="none" w:sz="0" w:space="0" w:color="auto"/>
        <w:left w:val="none" w:sz="0" w:space="0" w:color="auto"/>
        <w:bottom w:val="none" w:sz="0" w:space="0" w:color="auto"/>
        <w:right w:val="none" w:sz="0" w:space="0" w:color="auto"/>
      </w:divBdr>
    </w:div>
    <w:div w:id="418411875">
      <w:bodyDiv w:val="1"/>
      <w:marLeft w:val="0"/>
      <w:marRight w:val="0"/>
      <w:marTop w:val="0"/>
      <w:marBottom w:val="0"/>
      <w:divBdr>
        <w:top w:val="none" w:sz="0" w:space="0" w:color="auto"/>
        <w:left w:val="none" w:sz="0" w:space="0" w:color="auto"/>
        <w:bottom w:val="none" w:sz="0" w:space="0" w:color="auto"/>
        <w:right w:val="none" w:sz="0" w:space="0" w:color="auto"/>
      </w:divBdr>
      <w:divsChild>
        <w:div w:id="812605354">
          <w:marLeft w:val="547"/>
          <w:marRight w:val="0"/>
          <w:marTop w:val="96"/>
          <w:marBottom w:val="60"/>
          <w:divBdr>
            <w:top w:val="none" w:sz="0" w:space="0" w:color="auto"/>
            <w:left w:val="none" w:sz="0" w:space="0" w:color="auto"/>
            <w:bottom w:val="none" w:sz="0" w:space="0" w:color="auto"/>
            <w:right w:val="none" w:sz="0" w:space="0" w:color="auto"/>
          </w:divBdr>
        </w:div>
        <w:div w:id="935022908">
          <w:marLeft w:val="547"/>
          <w:marRight w:val="0"/>
          <w:marTop w:val="96"/>
          <w:marBottom w:val="60"/>
          <w:divBdr>
            <w:top w:val="none" w:sz="0" w:space="0" w:color="auto"/>
            <w:left w:val="none" w:sz="0" w:space="0" w:color="auto"/>
            <w:bottom w:val="none" w:sz="0" w:space="0" w:color="auto"/>
            <w:right w:val="none" w:sz="0" w:space="0" w:color="auto"/>
          </w:divBdr>
        </w:div>
        <w:div w:id="2012635934">
          <w:marLeft w:val="547"/>
          <w:marRight w:val="0"/>
          <w:marTop w:val="96"/>
          <w:marBottom w:val="60"/>
          <w:divBdr>
            <w:top w:val="none" w:sz="0" w:space="0" w:color="auto"/>
            <w:left w:val="none" w:sz="0" w:space="0" w:color="auto"/>
            <w:bottom w:val="none" w:sz="0" w:space="0" w:color="auto"/>
            <w:right w:val="none" w:sz="0" w:space="0" w:color="auto"/>
          </w:divBdr>
        </w:div>
      </w:divsChild>
    </w:div>
    <w:div w:id="419641846">
      <w:bodyDiv w:val="1"/>
      <w:marLeft w:val="0"/>
      <w:marRight w:val="0"/>
      <w:marTop w:val="0"/>
      <w:marBottom w:val="0"/>
      <w:divBdr>
        <w:top w:val="none" w:sz="0" w:space="0" w:color="auto"/>
        <w:left w:val="none" w:sz="0" w:space="0" w:color="auto"/>
        <w:bottom w:val="none" w:sz="0" w:space="0" w:color="auto"/>
        <w:right w:val="none" w:sz="0" w:space="0" w:color="auto"/>
      </w:divBdr>
    </w:div>
    <w:div w:id="468549070">
      <w:bodyDiv w:val="1"/>
      <w:marLeft w:val="0"/>
      <w:marRight w:val="0"/>
      <w:marTop w:val="0"/>
      <w:marBottom w:val="0"/>
      <w:divBdr>
        <w:top w:val="none" w:sz="0" w:space="0" w:color="auto"/>
        <w:left w:val="none" w:sz="0" w:space="0" w:color="auto"/>
        <w:bottom w:val="none" w:sz="0" w:space="0" w:color="auto"/>
        <w:right w:val="none" w:sz="0" w:space="0" w:color="auto"/>
      </w:divBdr>
      <w:divsChild>
        <w:div w:id="59182448">
          <w:marLeft w:val="720"/>
          <w:marRight w:val="0"/>
          <w:marTop w:val="96"/>
          <w:marBottom w:val="0"/>
          <w:divBdr>
            <w:top w:val="none" w:sz="0" w:space="0" w:color="auto"/>
            <w:left w:val="none" w:sz="0" w:space="0" w:color="auto"/>
            <w:bottom w:val="none" w:sz="0" w:space="0" w:color="auto"/>
            <w:right w:val="none" w:sz="0" w:space="0" w:color="auto"/>
          </w:divBdr>
        </w:div>
        <w:div w:id="377512079">
          <w:marLeft w:val="720"/>
          <w:marRight w:val="0"/>
          <w:marTop w:val="96"/>
          <w:marBottom w:val="0"/>
          <w:divBdr>
            <w:top w:val="none" w:sz="0" w:space="0" w:color="auto"/>
            <w:left w:val="none" w:sz="0" w:space="0" w:color="auto"/>
            <w:bottom w:val="none" w:sz="0" w:space="0" w:color="auto"/>
            <w:right w:val="none" w:sz="0" w:space="0" w:color="auto"/>
          </w:divBdr>
        </w:div>
        <w:div w:id="677000631">
          <w:marLeft w:val="720"/>
          <w:marRight w:val="0"/>
          <w:marTop w:val="96"/>
          <w:marBottom w:val="0"/>
          <w:divBdr>
            <w:top w:val="none" w:sz="0" w:space="0" w:color="auto"/>
            <w:left w:val="none" w:sz="0" w:space="0" w:color="auto"/>
            <w:bottom w:val="none" w:sz="0" w:space="0" w:color="auto"/>
            <w:right w:val="none" w:sz="0" w:space="0" w:color="auto"/>
          </w:divBdr>
        </w:div>
        <w:div w:id="951128755">
          <w:marLeft w:val="720"/>
          <w:marRight w:val="0"/>
          <w:marTop w:val="96"/>
          <w:marBottom w:val="0"/>
          <w:divBdr>
            <w:top w:val="none" w:sz="0" w:space="0" w:color="auto"/>
            <w:left w:val="none" w:sz="0" w:space="0" w:color="auto"/>
            <w:bottom w:val="none" w:sz="0" w:space="0" w:color="auto"/>
            <w:right w:val="none" w:sz="0" w:space="0" w:color="auto"/>
          </w:divBdr>
        </w:div>
        <w:div w:id="1742024075">
          <w:marLeft w:val="720"/>
          <w:marRight w:val="0"/>
          <w:marTop w:val="96"/>
          <w:marBottom w:val="0"/>
          <w:divBdr>
            <w:top w:val="none" w:sz="0" w:space="0" w:color="auto"/>
            <w:left w:val="none" w:sz="0" w:space="0" w:color="auto"/>
            <w:bottom w:val="none" w:sz="0" w:space="0" w:color="auto"/>
            <w:right w:val="none" w:sz="0" w:space="0" w:color="auto"/>
          </w:divBdr>
        </w:div>
        <w:div w:id="1872571739">
          <w:marLeft w:val="720"/>
          <w:marRight w:val="0"/>
          <w:marTop w:val="96"/>
          <w:marBottom w:val="0"/>
          <w:divBdr>
            <w:top w:val="none" w:sz="0" w:space="0" w:color="auto"/>
            <w:left w:val="none" w:sz="0" w:space="0" w:color="auto"/>
            <w:bottom w:val="none" w:sz="0" w:space="0" w:color="auto"/>
            <w:right w:val="none" w:sz="0" w:space="0" w:color="auto"/>
          </w:divBdr>
        </w:div>
      </w:divsChild>
    </w:div>
    <w:div w:id="480193744">
      <w:bodyDiv w:val="1"/>
      <w:marLeft w:val="0"/>
      <w:marRight w:val="0"/>
      <w:marTop w:val="0"/>
      <w:marBottom w:val="0"/>
      <w:divBdr>
        <w:top w:val="none" w:sz="0" w:space="0" w:color="auto"/>
        <w:left w:val="none" w:sz="0" w:space="0" w:color="auto"/>
        <w:bottom w:val="none" w:sz="0" w:space="0" w:color="auto"/>
        <w:right w:val="none" w:sz="0" w:space="0" w:color="auto"/>
      </w:divBdr>
    </w:div>
    <w:div w:id="505243936">
      <w:bodyDiv w:val="1"/>
      <w:marLeft w:val="0"/>
      <w:marRight w:val="0"/>
      <w:marTop w:val="0"/>
      <w:marBottom w:val="0"/>
      <w:divBdr>
        <w:top w:val="none" w:sz="0" w:space="0" w:color="auto"/>
        <w:left w:val="none" w:sz="0" w:space="0" w:color="auto"/>
        <w:bottom w:val="none" w:sz="0" w:space="0" w:color="auto"/>
        <w:right w:val="none" w:sz="0" w:space="0" w:color="auto"/>
      </w:divBdr>
      <w:divsChild>
        <w:div w:id="5448502">
          <w:marLeft w:val="547"/>
          <w:marRight w:val="0"/>
          <w:marTop w:val="96"/>
          <w:marBottom w:val="0"/>
          <w:divBdr>
            <w:top w:val="none" w:sz="0" w:space="0" w:color="auto"/>
            <w:left w:val="none" w:sz="0" w:space="0" w:color="auto"/>
            <w:bottom w:val="none" w:sz="0" w:space="0" w:color="auto"/>
            <w:right w:val="none" w:sz="0" w:space="0" w:color="auto"/>
          </w:divBdr>
        </w:div>
        <w:div w:id="451703905">
          <w:marLeft w:val="547"/>
          <w:marRight w:val="0"/>
          <w:marTop w:val="96"/>
          <w:marBottom w:val="0"/>
          <w:divBdr>
            <w:top w:val="none" w:sz="0" w:space="0" w:color="auto"/>
            <w:left w:val="none" w:sz="0" w:space="0" w:color="auto"/>
            <w:bottom w:val="none" w:sz="0" w:space="0" w:color="auto"/>
            <w:right w:val="none" w:sz="0" w:space="0" w:color="auto"/>
          </w:divBdr>
        </w:div>
        <w:div w:id="638534116">
          <w:marLeft w:val="547"/>
          <w:marRight w:val="0"/>
          <w:marTop w:val="96"/>
          <w:marBottom w:val="0"/>
          <w:divBdr>
            <w:top w:val="none" w:sz="0" w:space="0" w:color="auto"/>
            <w:left w:val="none" w:sz="0" w:space="0" w:color="auto"/>
            <w:bottom w:val="none" w:sz="0" w:space="0" w:color="auto"/>
            <w:right w:val="none" w:sz="0" w:space="0" w:color="auto"/>
          </w:divBdr>
        </w:div>
        <w:div w:id="977956305">
          <w:marLeft w:val="547"/>
          <w:marRight w:val="0"/>
          <w:marTop w:val="96"/>
          <w:marBottom w:val="0"/>
          <w:divBdr>
            <w:top w:val="none" w:sz="0" w:space="0" w:color="auto"/>
            <w:left w:val="none" w:sz="0" w:space="0" w:color="auto"/>
            <w:bottom w:val="none" w:sz="0" w:space="0" w:color="auto"/>
            <w:right w:val="none" w:sz="0" w:space="0" w:color="auto"/>
          </w:divBdr>
        </w:div>
        <w:div w:id="1141768731">
          <w:marLeft w:val="547"/>
          <w:marRight w:val="0"/>
          <w:marTop w:val="96"/>
          <w:marBottom w:val="0"/>
          <w:divBdr>
            <w:top w:val="none" w:sz="0" w:space="0" w:color="auto"/>
            <w:left w:val="none" w:sz="0" w:space="0" w:color="auto"/>
            <w:bottom w:val="none" w:sz="0" w:space="0" w:color="auto"/>
            <w:right w:val="none" w:sz="0" w:space="0" w:color="auto"/>
          </w:divBdr>
        </w:div>
        <w:div w:id="1658262490">
          <w:marLeft w:val="547"/>
          <w:marRight w:val="0"/>
          <w:marTop w:val="96"/>
          <w:marBottom w:val="0"/>
          <w:divBdr>
            <w:top w:val="none" w:sz="0" w:space="0" w:color="auto"/>
            <w:left w:val="none" w:sz="0" w:space="0" w:color="auto"/>
            <w:bottom w:val="none" w:sz="0" w:space="0" w:color="auto"/>
            <w:right w:val="none" w:sz="0" w:space="0" w:color="auto"/>
          </w:divBdr>
        </w:div>
      </w:divsChild>
    </w:div>
    <w:div w:id="530652521">
      <w:bodyDiv w:val="1"/>
      <w:marLeft w:val="0"/>
      <w:marRight w:val="0"/>
      <w:marTop w:val="0"/>
      <w:marBottom w:val="0"/>
      <w:divBdr>
        <w:top w:val="none" w:sz="0" w:space="0" w:color="auto"/>
        <w:left w:val="none" w:sz="0" w:space="0" w:color="auto"/>
        <w:bottom w:val="none" w:sz="0" w:space="0" w:color="auto"/>
        <w:right w:val="none" w:sz="0" w:space="0" w:color="auto"/>
      </w:divBdr>
    </w:div>
    <w:div w:id="558639598">
      <w:bodyDiv w:val="1"/>
      <w:marLeft w:val="0"/>
      <w:marRight w:val="0"/>
      <w:marTop w:val="0"/>
      <w:marBottom w:val="0"/>
      <w:divBdr>
        <w:top w:val="none" w:sz="0" w:space="0" w:color="auto"/>
        <w:left w:val="none" w:sz="0" w:space="0" w:color="auto"/>
        <w:bottom w:val="none" w:sz="0" w:space="0" w:color="auto"/>
        <w:right w:val="none" w:sz="0" w:space="0" w:color="auto"/>
      </w:divBdr>
    </w:div>
    <w:div w:id="596863638">
      <w:bodyDiv w:val="1"/>
      <w:marLeft w:val="0"/>
      <w:marRight w:val="0"/>
      <w:marTop w:val="0"/>
      <w:marBottom w:val="0"/>
      <w:divBdr>
        <w:top w:val="none" w:sz="0" w:space="0" w:color="auto"/>
        <w:left w:val="none" w:sz="0" w:space="0" w:color="auto"/>
        <w:bottom w:val="none" w:sz="0" w:space="0" w:color="auto"/>
        <w:right w:val="none" w:sz="0" w:space="0" w:color="auto"/>
      </w:divBdr>
    </w:div>
    <w:div w:id="642661625">
      <w:bodyDiv w:val="1"/>
      <w:marLeft w:val="0"/>
      <w:marRight w:val="0"/>
      <w:marTop w:val="0"/>
      <w:marBottom w:val="0"/>
      <w:divBdr>
        <w:top w:val="none" w:sz="0" w:space="0" w:color="auto"/>
        <w:left w:val="none" w:sz="0" w:space="0" w:color="auto"/>
        <w:bottom w:val="none" w:sz="0" w:space="0" w:color="auto"/>
        <w:right w:val="none" w:sz="0" w:space="0" w:color="auto"/>
      </w:divBdr>
      <w:divsChild>
        <w:div w:id="701368054">
          <w:marLeft w:val="446"/>
          <w:marRight w:val="0"/>
          <w:marTop w:val="0"/>
          <w:marBottom w:val="0"/>
          <w:divBdr>
            <w:top w:val="none" w:sz="0" w:space="0" w:color="auto"/>
            <w:left w:val="none" w:sz="0" w:space="0" w:color="auto"/>
            <w:bottom w:val="none" w:sz="0" w:space="0" w:color="auto"/>
            <w:right w:val="none" w:sz="0" w:space="0" w:color="auto"/>
          </w:divBdr>
        </w:div>
        <w:div w:id="1899323652">
          <w:marLeft w:val="446"/>
          <w:marRight w:val="0"/>
          <w:marTop w:val="0"/>
          <w:marBottom w:val="0"/>
          <w:divBdr>
            <w:top w:val="none" w:sz="0" w:space="0" w:color="auto"/>
            <w:left w:val="none" w:sz="0" w:space="0" w:color="auto"/>
            <w:bottom w:val="none" w:sz="0" w:space="0" w:color="auto"/>
            <w:right w:val="none" w:sz="0" w:space="0" w:color="auto"/>
          </w:divBdr>
        </w:div>
      </w:divsChild>
    </w:div>
    <w:div w:id="676615472">
      <w:bodyDiv w:val="1"/>
      <w:marLeft w:val="0"/>
      <w:marRight w:val="0"/>
      <w:marTop w:val="0"/>
      <w:marBottom w:val="0"/>
      <w:divBdr>
        <w:top w:val="none" w:sz="0" w:space="0" w:color="auto"/>
        <w:left w:val="none" w:sz="0" w:space="0" w:color="auto"/>
        <w:bottom w:val="none" w:sz="0" w:space="0" w:color="auto"/>
        <w:right w:val="none" w:sz="0" w:space="0" w:color="auto"/>
      </w:divBdr>
    </w:div>
    <w:div w:id="677659047">
      <w:bodyDiv w:val="1"/>
      <w:marLeft w:val="0"/>
      <w:marRight w:val="0"/>
      <w:marTop w:val="0"/>
      <w:marBottom w:val="0"/>
      <w:divBdr>
        <w:top w:val="none" w:sz="0" w:space="0" w:color="auto"/>
        <w:left w:val="none" w:sz="0" w:space="0" w:color="auto"/>
        <w:bottom w:val="none" w:sz="0" w:space="0" w:color="auto"/>
        <w:right w:val="none" w:sz="0" w:space="0" w:color="auto"/>
      </w:divBdr>
    </w:div>
    <w:div w:id="683555787">
      <w:bodyDiv w:val="1"/>
      <w:marLeft w:val="0"/>
      <w:marRight w:val="0"/>
      <w:marTop w:val="0"/>
      <w:marBottom w:val="0"/>
      <w:divBdr>
        <w:top w:val="none" w:sz="0" w:space="0" w:color="auto"/>
        <w:left w:val="none" w:sz="0" w:space="0" w:color="auto"/>
        <w:bottom w:val="none" w:sz="0" w:space="0" w:color="auto"/>
        <w:right w:val="none" w:sz="0" w:space="0" w:color="auto"/>
      </w:divBdr>
      <w:divsChild>
        <w:div w:id="43261523">
          <w:marLeft w:val="1166"/>
          <w:marRight w:val="0"/>
          <w:marTop w:val="86"/>
          <w:marBottom w:val="60"/>
          <w:divBdr>
            <w:top w:val="none" w:sz="0" w:space="0" w:color="auto"/>
            <w:left w:val="none" w:sz="0" w:space="0" w:color="auto"/>
            <w:bottom w:val="none" w:sz="0" w:space="0" w:color="auto"/>
            <w:right w:val="none" w:sz="0" w:space="0" w:color="auto"/>
          </w:divBdr>
        </w:div>
        <w:div w:id="439035981">
          <w:marLeft w:val="1166"/>
          <w:marRight w:val="0"/>
          <w:marTop w:val="86"/>
          <w:marBottom w:val="60"/>
          <w:divBdr>
            <w:top w:val="none" w:sz="0" w:space="0" w:color="auto"/>
            <w:left w:val="none" w:sz="0" w:space="0" w:color="auto"/>
            <w:bottom w:val="none" w:sz="0" w:space="0" w:color="auto"/>
            <w:right w:val="none" w:sz="0" w:space="0" w:color="auto"/>
          </w:divBdr>
        </w:div>
        <w:div w:id="898439424">
          <w:marLeft w:val="1166"/>
          <w:marRight w:val="0"/>
          <w:marTop w:val="86"/>
          <w:marBottom w:val="60"/>
          <w:divBdr>
            <w:top w:val="none" w:sz="0" w:space="0" w:color="auto"/>
            <w:left w:val="none" w:sz="0" w:space="0" w:color="auto"/>
            <w:bottom w:val="none" w:sz="0" w:space="0" w:color="auto"/>
            <w:right w:val="none" w:sz="0" w:space="0" w:color="auto"/>
          </w:divBdr>
        </w:div>
        <w:div w:id="988443331">
          <w:marLeft w:val="1166"/>
          <w:marRight w:val="0"/>
          <w:marTop w:val="86"/>
          <w:marBottom w:val="60"/>
          <w:divBdr>
            <w:top w:val="none" w:sz="0" w:space="0" w:color="auto"/>
            <w:left w:val="none" w:sz="0" w:space="0" w:color="auto"/>
            <w:bottom w:val="none" w:sz="0" w:space="0" w:color="auto"/>
            <w:right w:val="none" w:sz="0" w:space="0" w:color="auto"/>
          </w:divBdr>
        </w:div>
        <w:div w:id="1123884165">
          <w:marLeft w:val="1166"/>
          <w:marRight w:val="0"/>
          <w:marTop w:val="86"/>
          <w:marBottom w:val="60"/>
          <w:divBdr>
            <w:top w:val="none" w:sz="0" w:space="0" w:color="auto"/>
            <w:left w:val="none" w:sz="0" w:space="0" w:color="auto"/>
            <w:bottom w:val="none" w:sz="0" w:space="0" w:color="auto"/>
            <w:right w:val="none" w:sz="0" w:space="0" w:color="auto"/>
          </w:divBdr>
        </w:div>
        <w:div w:id="1447575416">
          <w:marLeft w:val="1166"/>
          <w:marRight w:val="0"/>
          <w:marTop w:val="86"/>
          <w:marBottom w:val="60"/>
          <w:divBdr>
            <w:top w:val="none" w:sz="0" w:space="0" w:color="auto"/>
            <w:left w:val="none" w:sz="0" w:space="0" w:color="auto"/>
            <w:bottom w:val="none" w:sz="0" w:space="0" w:color="auto"/>
            <w:right w:val="none" w:sz="0" w:space="0" w:color="auto"/>
          </w:divBdr>
        </w:div>
      </w:divsChild>
    </w:div>
    <w:div w:id="689911724">
      <w:bodyDiv w:val="1"/>
      <w:marLeft w:val="0"/>
      <w:marRight w:val="0"/>
      <w:marTop w:val="0"/>
      <w:marBottom w:val="0"/>
      <w:divBdr>
        <w:top w:val="none" w:sz="0" w:space="0" w:color="auto"/>
        <w:left w:val="none" w:sz="0" w:space="0" w:color="auto"/>
        <w:bottom w:val="none" w:sz="0" w:space="0" w:color="auto"/>
        <w:right w:val="none" w:sz="0" w:space="0" w:color="auto"/>
      </w:divBdr>
    </w:div>
    <w:div w:id="693728586">
      <w:bodyDiv w:val="1"/>
      <w:marLeft w:val="0"/>
      <w:marRight w:val="0"/>
      <w:marTop w:val="0"/>
      <w:marBottom w:val="0"/>
      <w:divBdr>
        <w:top w:val="none" w:sz="0" w:space="0" w:color="auto"/>
        <w:left w:val="none" w:sz="0" w:space="0" w:color="auto"/>
        <w:bottom w:val="none" w:sz="0" w:space="0" w:color="auto"/>
        <w:right w:val="none" w:sz="0" w:space="0" w:color="auto"/>
      </w:divBdr>
      <w:divsChild>
        <w:div w:id="1670937459">
          <w:marLeft w:val="547"/>
          <w:marRight w:val="0"/>
          <w:marTop w:val="96"/>
          <w:marBottom w:val="60"/>
          <w:divBdr>
            <w:top w:val="none" w:sz="0" w:space="0" w:color="auto"/>
            <w:left w:val="none" w:sz="0" w:space="0" w:color="auto"/>
            <w:bottom w:val="none" w:sz="0" w:space="0" w:color="auto"/>
            <w:right w:val="none" w:sz="0" w:space="0" w:color="auto"/>
          </w:divBdr>
        </w:div>
        <w:div w:id="1968387089">
          <w:marLeft w:val="547"/>
          <w:marRight w:val="0"/>
          <w:marTop w:val="96"/>
          <w:marBottom w:val="60"/>
          <w:divBdr>
            <w:top w:val="none" w:sz="0" w:space="0" w:color="auto"/>
            <w:left w:val="none" w:sz="0" w:space="0" w:color="auto"/>
            <w:bottom w:val="none" w:sz="0" w:space="0" w:color="auto"/>
            <w:right w:val="none" w:sz="0" w:space="0" w:color="auto"/>
          </w:divBdr>
        </w:div>
      </w:divsChild>
    </w:div>
    <w:div w:id="711151268">
      <w:bodyDiv w:val="1"/>
      <w:marLeft w:val="0"/>
      <w:marRight w:val="0"/>
      <w:marTop w:val="0"/>
      <w:marBottom w:val="0"/>
      <w:divBdr>
        <w:top w:val="none" w:sz="0" w:space="0" w:color="auto"/>
        <w:left w:val="none" w:sz="0" w:space="0" w:color="auto"/>
        <w:bottom w:val="none" w:sz="0" w:space="0" w:color="auto"/>
        <w:right w:val="none" w:sz="0" w:space="0" w:color="auto"/>
      </w:divBdr>
    </w:div>
    <w:div w:id="739328869">
      <w:bodyDiv w:val="1"/>
      <w:marLeft w:val="0"/>
      <w:marRight w:val="0"/>
      <w:marTop w:val="0"/>
      <w:marBottom w:val="0"/>
      <w:divBdr>
        <w:top w:val="none" w:sz="0" w:space="0" w:color="auto"/>
        <w:left w:val="none" w:sz="0" w:space="0" w:color="auto"/>
        <w:bottom w:val="none" w:sz="0" w:space="0" w:color="auto"/>
        <w:right w:val="none" w:sz="0" w:space="0" w:color="auto"/>
      </w:divBdr>
    </w:div>
    <w:div w:id="770661877">
      <w:bodyDiv w:val="1"/>
      <w:marLeft w:val="0"/>
      <w:marRight w:val="0"/>
      <w:marTop w:val="0"/>
      <w:marBottom w:val="0"/>
      <w:divBdr>
        <w:top w:val="none" w:sz="0" w:space="0" w:color="auto"/>
        <w:left w:val="none" w:sz="0" w:space="0" w:color="auto"/>
        <w:bottom w:val="none" w:sz="0" w:space="0" w:color="auto"/>
        <w:right w:val="none" w:sz="0" w:space="0" w:color="auto"/>
      </w:divBdr>
    </w:div>
    <w:div w:id="787048700">
      <w:bodyDiv w:val="1"/>
      <w:marLeft w:val="0"/>
      <w:marRight w:val="0"/>
      <w:marTop w:val="0"/>
      <w:marBottom w:val="0"/>
      <w:divBdr>
        <w:top w:val="none" w:sz="0" w:space="0" w:color="auto"/>
        <w:left w:val="none" w:sz="0" w:space="0" w:color="auto"/>
        <w:bottom w:val="none" w:sz="0" w:space="0" w:color="auto"/>
        <w:right w:val="none" w:sz="0" w:space="0" w:color="auto"/>
      </w:divBdr>
    </w:div>
    <w:div w:id="811825527">
      <w:bodyDiv w:val="1"/>
      <w:marLeft w:val="0"/>
      <w:marRight w:val="0"/>
      <w:marTop w:val="0"/>
      <w:marBottom w:val="0"/>
      <w:divBdr>
        <w:top w:val="none" w:sz="0" w:space="0" w:color="auto"/>
        <w:left w:val="none" w:sz="0" w:space="0" w:color="auto"/>
        <w:bottom w:val="none" w:sz="0" w:space="0" w:color="auto"/>
        <w:right w:val="none" w:sz="0" w:space="0" w:color="auto"/>
      </w:divBdr>
      <w:divsChild>
        <w:div w:id="117528376">
          <w:marLeft w:val="1166"/>
          <w:marRight w:val="0"/>
          <w:marTop w:val="77"/>
          <w:marBottom w:val="60"/>
          <w:divBdr>
            <w:top w:val="none" w:sz="0" w:space="0" w:color="auto"/>
            <w:left w:val="none" w:sz="0" w:space="0" w:color="auto"/>
            <w:bottom w:val="none" w:sz="0" w:space="0" w:color="auto"/>
            <w:right w:val="none" w:sz="0" w:space="0" w:color="auto"/>
          </w:divBdr>
        </w:div>
        <w:div w:id="622536017">
          <w:marLeft w:val="1166"/>
          <w:marRight w:val="0"/>
          <w:marTop w:val="77"/>
          <w:marBottom w:val="60"/>
          <w:divBdr>
            <w:top w:val="none" w:sz="0" w:space="0" w:color="auto"/>
            <w:left w:val="none" w:sz="0" w:space="0" w:color="auto"/>
            <w:bottom w:val="none" w:sz="0" w:space="0" w:color="auto"/>
            <w:right w:val="none" w:sz="0" w:space="0" w:color="auto"/>
          </w:divBdr>
        </w:div>
        <w:div w:id="650448365">
          <w:marLeft w:val="1166"/>
          <w:marRight w:val="0"/>
          <w:marTop w:val="77"/>
          <w:marBottom w:val="60"/>
          <w:divBdr>
            <w:top w:val="none" w:sz="0" w:space="0" w:color="auto"/>
            <w:left w:val="none" w:sz="0" w:space="0" w:color="auto"/>
            <w:bottom w:val="none" w:sz="0" w:space="0" w:color="auto"/>
            <w:right w:val="none" w:sz="0" w:space="0" w:color="auto"/>
          </w:divBdr>
        </w:div>
        <w:div w:id="1042560630">
          <w:marLeft w:val="1166"/>
          <w:marRight w:val="0"/>
          <w:marTop w:val="77"/>
          <w:marBottom w:val="60"/>
          <w:divBdr>
            <w:top w:val="none" w:sz="0" w:space="0" w:color="auto"/>
            <w:left w:val="none" w:sz="0" w:space="0" w:color="auto"/>
            <w:bottom w:val="none" w:sz="0" w:space="0" w:color="auto"/>
            <w:right w:val="none" w:sz="0" w:space="0" w:color="auto"/>
          </w:divBdr>
        </w:div>
        <w:div w:id="1183478107">
          <w:marLeft w:val="547"/>
          <w:marRight w:val="0"/>
          <w:marTop w:val="96"/>
          <w:marBottom w:val="60"/>
          <w:divBdr>
            <w:top w:val="none" w:sz="0" w:space="0" w:color="auto"/>
            <w:left w:val="none" w:sz="0" w:space="0" w:color="auto"/>
            <w:bottom w:val="none" w:sz="0" w:space="0" w:color="auto"/>
            <w:right w:val="none" w:sz="0" w:space="0" w:color="auto"/>
          </w:divBdr>
        </w:div>
        <w:div w:id="1434981635">
          <w:marLeft w:val="1166"/>
          <w:marRight w:val="0"/>
          <w:marTop w:val="77"/>
          <w:marBottom w:val="60"/>
          <w:divBdr>
            <w:top w:val="none" w:sz="0" w:space="0" w:color="auto"/>
            <w:left w:val="none" w:sz="0" w:space="0" w:color="auto"/>
            <w:bottom w:val="none" w:sz="0" w:space="0" w:color="auto"/>
            <w:right w:val="none" w:sz="0" w:space="0" w:color="auto"/>
          </w:divBdr>
        </w:div>
        <w:div w:id="1658922152">
          <w:marLeft w:val="1166"/>
          <w:marRight w:val="0"/>
          <w:marTop w:val="77"/>
          <w:marBottom w:val="60"/>
          <w:divBdr>
            <w:top w:val="none" w:sz="0" w:space="0" w:color="auto"/>
            <w:left w:val="none" w:sz="0" w:space="0" w:color="auto"/>
            <w:bottom w:val="none" w:sz="0" w:space="0" w:color="auto"/>
            <w:right w:val="none" w:sz="0" w:space="0" w:color="auto"/>
          </w:divBdr>
        </w:div>
        <w:div w:id="1873956981">
          <w:marLeft w:val="547"/>
          <w:marRight w:val="0"/>
          <w:marTop w:val="96"/>
          <w:marBottom w:val="60"/>
          <w:divBdr>
            <w:top w:val="none" w:sz="0" w:space="0" w:color="auto"/>
            <w:left w:val="none" w:sz="0" w:space="0" w:color="auto"/>
            <w:bottom w:val="none" w:sz="0" w:space="0" w:color="auto"/>
            <w:right w:val="none" w:sz="0" w:space="0" w:color="auto"/>
          </w:divBdr>
        </w:div>
        <w:div w:id="1981304561">
          <w:marLeft w:val="547"/>
          <w:marRight w:val="0"/>
          <w:marTop w:val="96"/>
          <w:marBottom w:val="60"/>
          <w:divBdr>
            <w:top w:val="none" w:sz="0" w:space="0" w:color="auto"/>
            <w:left w:val="none" w:sz="0" w:space="0" w:color="auto"/>
            <w:bottom w:val="none" w:sz="0" w:space="0" w:color="auto"/>
            <w:right w:val="none" w:sz="0" w:space="0" w:color="auto"/>
          </w:divBdr>
        </w:div>
        <w:div w:id="2108915161">
          <w:marLeft w:val="547"/>
          <w:marRight w:val="0"/>
          <w:marTop w:val="96"/>
          <w:marBottom w:val="60"/>
          <w:divBdr>
            <w:top w:val="none" w:sz="0" w:space="0" w:color="auto"/>
            <w:left w:val="none" w:sz="0" w:space="0" w:color="auto"/>
            <w:bottom w:val="none" w:sz="0" w:space="0" w:color="auto"/>
            <w:right w:val="none" w:sz="0" w:space="0" w:color="auto"/>
          </w:divBdr>
        </w:div>
      </w:divsChild>
    </w:div>
    <w:div w:id="830756798">
      <w:bodyDiv w:val="1"/>
      <w:marLeft w:val="0"/>
      <w:marRight w:val="0"/>
      <w:marTop w:val="0"/>
      <w:marBottom w:val="0"/>
      <w:divBdr>
        <w:top w:val="none" w:sz="0" w:space="0" w:color="auto"/>
        <w:left w:val="none" w:sz="0" w:space="0" w:color="auto"/>
        <w:bottom w:val="none" w:sz="0" w:space="0" w:color="auto"/>
        <w:right w:val="none" w:sz="0" w:space="0" w:color="auto"/>
      </w:divBdr>
    </w:div>
    <w:div w:id="846678826">
      <w:bodyDiv w:val="1"/>
      <w:marLeft w:val="0"/>
      <w:marRight w:val="0"/>
      <w:marTop w:val="0"/>
      <w:marBottom w:val="0"/>
      <w:divBdr>
        <w:top w:val="none" w:sz="0" w:space="0" w:color="auto"/>
        <w:left w:val="none" w:sz="0" w:space="0" w:color="auto"/>
        <w:bottom w:val="none" w:sz="0" w:space="0" w:color="auto"/>
        <w:right w:val="none" w:sz="0" w:space="0" w:color="auto"/>
      </w:divBdr>
      <w:divsChild>
        <w:div w:id="367531328">
          <w:marLeft w:val="547"/>
          <w:marRight w:val="0"/>
          <w:marTop w:val="96"/>
          <w:marBottom w:val="60"/>
          <w:divBdr>
            <w:top w:val="none" w:sz="0" w:space="0" w:color="auto"/>
            <w:left w:val="none" w:sz="0" w:space="0" w:color="auto"/>
            <w:bottom w:val="none" w:sz="0" w:space="0" w:color="auto"/>
            <w:right w:val="none" w:sz="0" w:space="0" w:color="auto"/>
          </w:divBdr>
        </w:div>
        <w:div w:id="835149427">
          <w:marLeft w:val="547"/>
          <w:marRight w:val="0"/>
          <w:marTop w:val="96"/>
          <w:marBottom w:val="60"/>
          <w:divBdr>
            <w:top w:val="none" w:sz="0" w:space="0" w:color="auto"/>
            <w:left w:val="none" w:sz="0" w:space="0" w:color="auto"/>
            <w:bottom w:val="none" w:sz="0" w:space="0" w:color="auto"/>
            <w:right w:val="none" w:sz="0" w:space="0" w:color="auto"/>
          </w:divBdr>
        </w:div>
        <w:div w:id="980697611">
          <w:marLeft w:val="1166"/>
          <w:marRight w:val="0"/>
          <w:marTop w:val="86"/>
          <w:marBottom w:val="60"/>
          <w:divBdr>
            <w:top w:val="none" w:sz="0" w:space="0" w:color="auto"/>
            <w:left w:val="none" w:sz="0" w:space="0" w:color="auto"/>
            <w:bottom w:val="none" w:sz="0" w:space="0" w:color="auto"/>
            <w:right w:val="none" w:sz="0" w:space="0" w:color="auto"/>
          </w:divBdr>
        </w:div>
        <w:div w:id="1274560233">
          <w:marLeft w:val="547"/>
          <w:marRight w:val="0"/>
          <w:marTop w:val="96"/>
          <w:marBottom w:val="60"/>
          <w:divBdr>
            <w:top w:val="none" w:sz="0" w:space="0" w:color="auto"/>
            <w:left w:val="none" w:sz="0" w:space="0" w:color="auto"/>
            <w:bottom w:val="none" w:sz="0" w:space="0" w:color="auto"/>
            <w:right w:val="none" w:sz="0" w:space="0" w:color="auto"/>
          </w:divBdr>
        </w:div>
        <w:div w:id="1319649134">
          <w:marLeft w:val="547"/>
          <w:marRight w:val="0"/>
          <w:marTop w:val="96"/>
          <w:marBottom w:val="60"/>
          <w:divBdr>
            <w:top w:val="none" w:sz="0" w:space="0" w:color="auto"/>
            <w:left w:val="none" w:sz="0" w:space="0" w:color="auto"/>
            <w:bottom w:val="none" w:sz="0" w:space="0" w:color="auto"/>
            <w:right w:val="none" w:sz="0" w:space="0" w:color="auto"/>
          </w:divBdr>
        </w:div>
        <w:div w:id="1746419174">
          <w:marLeft w:val="1166"/>
          <w:marRight w:val="0"/>
          <w:marTop w:val="86"/>
          <w:marBottom w:val="60"/>
          <w:divBdr>
            <w:top w:val="none" w:sz="0" w:space="0" w:color="auto"/>
            <w:left w:val="none" w:sz="0" w:space="0" w:color="auto"/>
            <w:bottom w:val="none" w:sz="0" w:space="0" w:color="auto"/>
            <w:right w:val="none" w:sz="0" w:space="0" w:color="auto"/>
          </w:divBdr>
        </w:div>
      </w:divsChild>
    </w:div>
    <w:div w:id="902182388">
      <w:bodyDiv w:val="1"/>
      <w:marLeft w:val="0"/>
      <w:marRight w:val="0"/>
      <w:marTop w:val="0"/>
      <w:marBottom w:val="0"/>
      <w:divBdr>
        <w:top w:val="none" w:sz="0" w:space="0" w:color="auto"/>
        <w:left w:val="none" w:sz="0" w:space="0" w:color="auto"/>
        <w:bottom w:val="none" w:sz="0" w:space="0" w:color="auto"/>
        <w:right w:val="none" w:sz="0" w:space="0" w:color="auto"/>
      </w:divBdr>
      <w:divsChild>
        <w:div w:id="102921809">
          <w:marLeft w:val="994"/>
          <w:marRight w:val="0"/>
          <w:marTop w:val="77"/>
          <w:marBottom w:val="0"/>
          <w:divBdr>
            <w:top w:val="none" w:sz="0" w:space="0" w:color="auto"/>
            <w:left w:val="none" w:sz="0" w:space="0" w:color="auto"/>
            <w:bottom w:val="none" w:sz="0" w:space="0" w:color="auto"/>
            <w:right w:val="none" w:sz="0" w:space="0" w:color="auto"/>
          </w:divBdr>
        </w:div>
        <w:div w:id="138697087">
          <w:marLeft w:val="994"/>
          <w:marRight w:val="0"/>
          <w:marTop w:val="77"/>
          <w:marBottom w:val="0"/>
          <w:divBdr>
            <w:top w:val="none" w:sz="0" w:space="0" w:color="auto"/>
            <w:left w:val="none" w:sz="0" w:space="0" w:color="auto"/>
            <w:bottom w:val="none" w:sz="0" w:space="0" w:color="auto"/>
            <w:right w:val="none" w:sz="0" w:space="0" w:color="auto"/>
          </w:divBdr>
        </w:div>
        <w:div w:id="494994534">
          <w:marLeft w:val="547"/>
          <w:marRight w:val="0"/>
          <w:marTop w:val="96"/>
          <w:marBottom w:val="60"/>
          <w:divBdr>
            <w:top w:val="none" w:sz="0" w:space="0" w:color="auto"/>
            <w:left w:val="none" w:sz="0" w:space="0" w:color="auto"/>
            <w:bottom w:val="none" w:sz="0" w:space="0" w:color="auto"/>
            <w:right w:val="none" w:sz="0" w:space="0" w:color="auto"/>
          </w:divBdr>
        </w:div>
        <w:div w:id="538858221">
          <w:marLeft w:val="547"/>
          <w:marRight w:val="0"/>
          <w:marTop w:val="96"/>
          <w:marBottom w:val="60"/>
          <w:divBdr>
            <w:top w:val="none" w:sz="0" w:space="0" w:color="auto"/>
            <w:left w:val="none" w:sz="0" w:space="0" w:color="auto"/>
            <w:bottom w:val="none" w:sz="0" w:space="0" w:color="auto"/>
            <w:right w:val="none" w:sz="0" w:space="0" w:color="auto"/>
          </w:divBdr>
        </w:div>
        <w:div w:id="934946717">
          <w:marLeft w:val="547"/>
          <w:marRight w:val="0"/>
          <w:marTop w:val="96"/>
          <w:marBottom w:val="60"/>
          <w:divBdr>
            <w:top w:val="none" w:sz="0" w:space="0" w:color="auto"/>
            <w:left w:val="none" w:sz="0" w:space="0" w:color="auto"/>
            <w:bottom w:val="none" w:sz="0" w:space="0" w:color="auto"/>
            <w:right w:val="none" w:sz="0" w:space="0" w:color="auto"/>
          </w:divBdr>
        </w:div>
        <w:div w:id="1088503836">
          <w:marLeft w:val="547"/>
          <w:marRight w:val="0"/>
          <w:marTop w:val="96"/>
          <w:marBottom w:val="60"/>
          <w:divBdr>
            <w:top w:val="none" w:sz="0" w:space="0" w:color="auto"/>
            <w:left w:val="none" w:sz="0" w:space="0" w:color="auto"/>
            <w:bottom w:val="none" w:sz="0" w:space="0" w:color="auto"/>
            <w:right w:val="none" w:sz="0" w:space="0" w:color="auto"/>
          </w:divBdr>
        </w:div>
        <w:div w:id="1124349046">
          <w:marLeft w:val="547"/>
          <w:marRight w:val="0"/>
          <w:marTop w:val="96"/>
          <w:marBottom w:val="60"/>
          <w:divBdr>
            <w:top w:val="none" w:sz="0" w:space="0" w:color="auto"/>
            <w:left w:val="none" w:sz="0" w:space="0" w:color="auto"/>
            <w:bottom w:val="none" w:sz="0" w:space="0" w:color="auto"/>
            <w:right w:val="none" w:sz="0" w:space="0" w:color="auto"/>
          </w:divBdr>
        </w:div>
      </w:divsChild>
    </w:div>
    <w:div w:id="922185922">
      <w:bodyDiv w:val="1"/>
      <w:marLeft w:val="0"/>
      <w:marRight w:val="0"/>
      <w:marTop w:val="0"/>
      <w:marBottom w:val="0"/>
      <w:divBdr>
        <w:top w:val="none" w:sz="0" w:space="0" w:color="auto"/>
        <w:left w:val="none" w:sz="0" w:space="0" w:color="auto"/>
        <w:bottom w:val="none" w:sz="0" w:space="0" w:color="auto"/>
        <w:right w:val="none" w:sz="0" w:space="0" w:color="auto"/>
      </w:divBdr>
      <w:divsChild>
        <w:div w:id="305546201">
          <w:marLeft w:val="1166"/>
          <w:marRight w:val="0"/>
          <w:marTop w:val="86"/>
          <w:marBottom w:val="0"/>
          <w:divBdr>
            <w:top w:val="none" w:sz="0" w:space="0" w:color="auto"/>
            <w:left w:val="none" w:sz="0" w:space="0" w:color="auto"/>
            <w:bottom w:val="none" w:sz="0" w:space="0" w:color="auto"/>
            <w:right w:val="none" w:sz="0" w:space="0" w:color="auto"/>
          </w:divBdr>
        </w:div>
        <w:div w:id="1624649048">
          <w:marLeft w:val="1166"/>
          <w:marRight w:val="0"/>
          <w:marTop w:val="86"/>
          <w:marBottom w:val="0"/>
          <w:divBdr>
            <w:top w:val="none" w:sz="0" w:space="0" w:color="auto"/>
            <w:left w:val="none" w:sz="0" w:space="0" w:color="auto"/>
            <w:bottom w:val="none" w:sz="0" w:space="0" w:color="auto"/>
            <w:right w:val="none" w:sz="0" w:space="0" w:color="auto"/>
          </w:divBdr>
        </w:div>
        <w:div w:id="1797333357">
          <w:marLeft w:val="1166"/>
          <w:marRight w:val="0"/>
          <w:marTop w:val="86"/>
          <w:marBottom w:val="0"/>
          <w:divBdr>
            <w:top w:val="none" w:sz="0" w:space="0" w:color="auto"/>
            <w:left w:val="none" w:sz="0" w:space="0" w:color="auto"/>
            <w:bottom w:val="none" w:sz="0" w:space="0" w:color="auto"/>
            <w:right w:val="none" w:sz="0" w:space="0" w:color="auto"/>
          </w:divBdr>
        </w:div>
        <w:div w:id="2017615493">
          <w:marLeft w:val="1166"/>
          <w:marRight w:val="0"/>
          <w:marTop w:val="86"/>
          <w:marBottom w:val="0"/>
          <w:divBdr>
            <w:top w:val="none" w:sz="0" w:space="0" w:color="auto"/>
            <w:left w:val="none" w:sz="0" w:space="0" w:color="auto"/>
            <w:bottom w:val="none" w:sz="0" w:space="0" w:color="auto"/>
            <w:right w:val="none" w:sz="0" w:space="0" w:color="auto"/>
          </w:divBdr>
        </w:div>
        <w:div w:id="2024014427">
          <w:marLeft w:val="547"/>
          <w:marRight w:val="0"/>
          <w:marTop w:val="96"/>
          <w:marBottom w:val="60"/>
          <w:divBdr>
            <w:top w:val="none" w:sz="0" w:space="0" w:color="auto"/>
            <w:left w:val="none" w:sz="0" w:space="0" w:color="auto"/>
            <w:bottom w:val="none" w:sz="0" w:space="0" w:color="auto"/>
            <w:right w:val="none" w:sz="0" w:space="0" w:color="auto"/>
          </w:divBdr>
        </w:div>
      </w:divsChild>
    </w:div>
    <w:div w:id="946503272">
      <w:bodyDiv w:val="1"/>
      <w:marLeft w:val="0"/>
      <w:marRight w:val="0"/>
      <w:marTop w:val="0"/>
      <w:marBottom w:val="0"/>
      <w:divBdr>
        <w:top w:val="none" w:sz="0" w:space="0" w:color="auto"/>
        <w:left w:val="none" w:sz="0" w:space="0" w:color="auto"/>
        <w:bottom w:val="none" w:sz="0" w:space="0" w:color="auto"/>
        <w:right w:val="none" w:sz="0" w:space="0" w:color="auto"/>
      </w:divBdr>
      <w:divsChild>
        <w:div w:id="119880023">
          <w:marLeft w:val="547"/>
          <w:marRight w:val="0"/>
          <w:marTop w:val="96"/>
          <w:marBottom w:val="60"/>
          <w:divBdr>
            <w:top w:val="none" w:sz="0" w:space="0" w:color="auto"/>
            <w:left w:val="none" w:sz="0" w:space="0" w:color="auto"/>
            <w:bottom w:val="none" w:sz="0" w:space="0" w:color="auto"/>
            <w:right w:val="none" w:sz="0" w:space="0" w:color="auto"/>
          </w:divBdr>
        </w:div>
        <w:div w:id="1044058882">
          <w:marLeft w:val="547"/>
          <w:marRight w:val="0"/>
          <w:marTop w:val="96"/>
          <w:marBottom w:val="60"/>
          <w:divBdr>
            <w:top w:val="none" w:sz="0" w:space="0" w:color="auto"/>
            <w:left w:val="none" w:sz="0" w:space="0" w:color="auto"/>
            <w:bottom w:val="none" w:sz="0" w:space="0" w:color="auto"/>
            <w:right w:val="none" w:sz="0" w:space="0" w:color="auto"/>
          </w:divBdr>
        </w:div>
        <w:div w:id="1280183715">
          <w:marLeft w:val="547"/>
          <w:marRight w:val="0"/>
          <w:marTop w:val="96"/>
          <w:marBottom w:val="60"/>
          <w:divBdr>
            <w:top w:val="none" w:sz="0" w:space="0" w:color="auto"/>
            <w:left w:val="none" w:sz="0" w:space="0" w:color="auto"/>
            <w:bottom w:val="none" w:sz="0" w:space="0" w:color="auto"/>
            <w:right w:val="none" w:sz="0" w:space="0" w:color="auto"/>
          </w:divBdr>
        </w:div>
        <w:div w:id="1382099716">
          <w:marLeft w:val="547"/>
          <w:marRight w:val="0"/>
          <w:marTop w:val="96"/>
          <w:marBottom w:val="60"/>
          <w:divBdr>
            <w:top w:val="none" w:sz="0" w:space="0" w:color="auto"/>
            <w:left w:val="none" w:sz="0" w:space="0" w:color="auto"/>
            <w:bottom w:val="none" w:sz="0" w:space="0" w:color="auto"/>
            <w:right w:val="none" w:sz="0" w:space="0" w:color="auto"/>
          </w:divBdr>
        </w:div>
        <w:div w:id="1906602497">
          <w:marLeft w:val="547"/>
          <w:marRight w:val="0"/>
          <w:marTop w:val="96"/>
          <w:marBottom w:val="60"/>
          <w:divBdr>
            <w:top w:val="none" w:sz="0" w:space="0" w:color="auto"/>
            <w:left w:val="none" w:sz="0" w:space="0" w:color="auto"/>
            <w:bottom w:val="none" w:sz="0" w:space="0" w:color="auto"/>
            <w:right w:val="none" w:sz="0" w:space="0" w:color="auto"/>
          </w:divBdr>
        </w:div>
        <w:div w:id="1941256893">
          <w:marLeft w:val="547"/>
          <w:marRight w:val="0"/>
          <w:marTop w:val="96"/>
          <w:marBottom w:val="60"/>
          <w:divBdr>
            <w:top w:val="none" w:sz="0" w:space="0" w:color="auto"/>
            <w:left w:val="none" w:sz="0" w:space="0" w:color="auto"/>
            <w:bottom w:val="none" w:sz="0" w:space="0" w:color="auto"/>
            <w:right w:val="none" w:sz="0" w:space="0" w:color="auto"/>
          </w:divBdr>
        </w:div>
      </w:divsChild>
    </w:div>
    <w:div w:id="948437936">
      <w:bodyDiv w:val="1"/>
      <w:marLeft w:val="0"/>
      <w:marRight w:val="0"/>
      <w:marTop w:val="0"/>
      <w:marBottom w:val="0"/>
      <w:divBdr>
        <w:top w:val="none" w:sz="0" w:space="0" w:color="auto"/>
        <w:left w:val="none" w:sz="0" w:space="0" w:color="auto"/>
        <w:bottom w:val="none" w:sz="0" w:space="0" w:color="auto"/>
        <w:right w:val="none" w:sz="0" w:space="0" w:color="auto"/>
      </w:divBdr>
    </w:div>
    <w:div w:id="966007931">
      <w:bodyDiv w:val="1"/>
      <w:marLeft w:val="0"/>
      <w:marRight w:val="0"/>
      <w:marTop w:val="0"/>
      <w:marBottom w:val="0"/>
      <w:divBdr>
        <w:top w:val="none" w:sz="0" w:space="0" w:color="auto"/>
        <w:left w:val="none" w:sz="0" w:space="0" w:color="auto"/>
        <w:bottom w:val="none" w:sz="0" w:space="0" w:color="auto"/>
        <w:right w:val="none" w:sz="0" w:space="0" w:color="auto"/>
      </w:divBdr>
    </w:div>
    <w:div w:id="974290774">
      <w:bodyDiv w:val="1"/>
      <w:marLeft w:val="0"/>
      <w:marRight w:val="0"/>
      <w:marTop w:val="0"/>
      <w:marBottom w:val="0"/>
      <w:divBdr>
        <w:top w:val="none" w:sz="0" w:space="0" w:color="auto"/>
        <w:left w:val="none" w:sz="0" w:space="0" w:color="auto"/>
        <w:bottom w:val="none" w:sz="0" w:space="0" w:color="auto"/>
        <w:right w:val="none" w:sz="0" w:space="0" w:color="auto"/>
      </w:divBdr>
    </w:div>
    <w:div w:id="976179641">
      <w:bodyDiv w:val="1"/>
      <w:marLeft w:val="0"/>
      <w:marRight w:val="0"/>
      <w:marTop w:val="0"/>
      <w:marBottom w:val="0"/>
      <w:divBdr>
        <w:top w:val="none" w:sz="0" w:space="0" w:color="auto"/>
        <w:left w:val="none" w:sz="0" w:space="0" w:color="auto"/>
        <w:bottom w:val="none" w:sz="0" w:space="0" w:color="auto"/>
        <w:right w:val="none" w:sz="0" w:space="0" w:color="auto"/>
      </w:divBdr>
    </w:div>
    <w:div w:id="991713252">
      <w:bodyDiv w:val="1"/>
      <w:marLeft w:val="0"/>
      <w:marRight w:val="0"/>
      <w:marTop w:val="0"/>
      <w:marBottom w:val="0"/>
      <w:divBdr>
        <w:top w:val="none" w:sz="0" w:space="0" w:color="auto"/>
        <w:left w:val="none" w:sz="0" w:space="0" w:color="auto"/>
        <w:bottom w:val="none" w:sz="0" w:space="0" w:color="auto"/>
        <w:right w:val="none" w:sz="0" w:space="0" w:color="auto"/>
      </w:divBdr>
    </w:div>
    <w:div w:id="1021205843">
      <w:bodyDiv w:val="1"/>
      <w:marLeft w:val="0"/>
      <w:marRight w:val="0"/>
      <w:marTop w:val="0"/>
      <w:marBottom w:val="0"/>
      <w:divBdr>
        <w:top w:val="none" w:sz="0" w:space="0" w:color="auto"/>
        <w:left w:val="none" w:sz="0" w:space="0" w:color="auto"/>
        <w:bottom w:val="none" w:sz="0" w:space="0" w:color="auto"/>
        <w:right w:val="none" w:sz="0" w:space="0" w:color="auto"/>
      </w:divBdr>
    </w:div>
    <w:div w:id="1047994544">
      <w:bodyDiv w:val="1"/>
      <w:marLeft w:val="0"/>
      <w:marRight w:val="0"/>
      <w:marTop w:val="0"/>
      <w:marBottom w:val="0"/>
      <w:divBdr>
        <w:top w:val="none" w:sz="0" w:space="0" w:color="auto"/>
        <w:left w:val="none" w:sz="0" w:space="0" w:color="auto"/>
        <w:bottom w:val="none" w:sz="0" w:space="0" w:color="auto"/>
        <w:right w:val="none" w:sz="0" w:space="0" w:color="auto"/>
      </w:divBdr>
    </w:div>
    <w:div w:id="1077939967">
      <w:bodyDiv w:val="1"/>
      <w:marLeft w:val="0"/>
      <w:marRight w:val="0"/>
      <w:marTop w:val="0"/>
      <w:marBottom w:val="0"/>
      <w:divBdr>
        <w:top w:val="none" w:sz="0" w:space="0" w:color="auto"/>
        <w:left w:val="none" w:sz="0" w:space="0" w:color="auto"/>
        <w:bottom w:val="none" w:sz="0" w:space="0" w:color="auto"/>
        <w:right w:val="none" w:sz="0" w:space="0" w:color="auto"/>
      </w:divBdr>
      <w:divsChild>
        <w:div w:id="115872948">
          <w:marLeft w:val="1166"/>
          <w:marRight w:val="0"/>
          <w:marTop w:val="86"/>
          <w:marBottom w:val="60"/>
          <w:divBdr>
            <w:top w:val="none" w:sz="0" w:space="0" w:color="auto"/>
            <w:left w:val="none" w:sz="0" w:space="0" w:color="auto"/>
            <w:bottom w:val="none" w:sz="0" w:space="0" w:color="auto"/>
            <w:right w:val="none" w:sz="0" w:space="0" w:color="auto"/>
          </w:divBdr>
        </w:div>
        <w:div w:id="499663015">
          <w:marLeft w:val="1166"/>
          <w:marRight w:val="0"/>
          <w:marTop w:val="86"/>
          <w:marBottom w:val="60"/>
          <w:divBdr>
            <w:top w:val="none" w:sz="0" w:space="0" w:color="auto"/>
            <w:left w:val="none" w:sz="0" w:space="0" w:color="auto"/>
            <w:bottom w:val="none" w:sz="0" w:space="0" w:color="auto"/>
            <w:right w:val="none" w:sz="0" w:space="0" w:color="auto"/>
          </w:divBdr>
        </w:div>
        <w:div w:id="831721619">
          <w:marLeft w:val="547"/>
          <w:marRight w:val="0"/>
          <w:marTop w:val="96"/>
          <w:marBottom w:val="60"/>
          <w:divBdr>
            <w:top w:val="none" w:sz="0" w:space="0" w:color="auto"/>
            <w:left w:val="none" w:sz="0" w:space="0" w:color="auto"/>
            <w:bottom w:val="none" w:sz="0" w:space="0" w:color="auto"/>
            <w:right w:val="none" w:sz="0" w:space="0" w:color="auto"/>
          </w:divBdr>
        </w:div>
        <w:div w:id="1141654918">
          <w:marLeft w:val="1166"/>
          <w:marRight w:val="0"/>
          <w:marTop w:val="86"/>
          <w:marBottom w:val="60"/>
          <w:divBdr>
            <w:top w:val="none" w:sz="0" w:space="0" w:color="auto"/>
            <w:left w:val="none" w:sz="0" w:space="0" w:color="auto"/>
            <w:bottom w:val="none" w:sz="0" w:space="0" w:color="auto"/>
            <w:right w:val="none" w:sz="0" w:space="0" w:color="auto"/>
          </w:divBdr>
        </w:div>
        <w:div w:id="1451126738">
          <w:marLeft w:val="547"/>
          <w:marRight w:val="0"/>
          <w:marTop w:val="96"/>
          <w:marBottom w:val="60"/>
          <w:divBdr>
            <w:top w:val="none" w:sz="0" w:space="0" w:color="auto"/>
            <w:left w:val="none" w:sz="0" w:space="0" w:color="auto"/>
            <w:bottom w:val="none" w:sz="0" w:space="0" w:color="auto"/>
            <w:right w:val="none" w:sz="0" w:space="0" w:color="auto"/>
          </w:divBdr>
        </w:div>
        <w:div w:id="1864125216">
          <w:marLeft w:val="1166"/>
          <w:marRight w:val="0"/>
          <w:marTop w:val="86"/>
          <w:marBottom w:val="60"/>
          <w:divBdr>
            <w:top w:val="none" w:sz="0" w:space="0" w:color="auto"/>
            <w:left w:val="none" w:sz="0" w:space="0" w:color="auto"/>
            <w:bottom w:val="none" w:sz="0" w:space="0" w:color="auto"/>
            <w:right w:val="none" w:sz="0" w:space="0" w:color="auto"/>
          </w:divBdr>
        </w:div>
      </w:divsChild>
    </w:div>
    <w:div w:id="1082022695">
      <w:bodyDiv w:val="1"/>
      <w:marLeft w:val="0"/>
      <w:marRight w:val="0"/>
      <w:marTop w:val="0"/>
      <w:marBottom w:val="0"/>
      <w:divBdr>
        <w:top w:val="none" w:sz="0" w:space="0" w:color="auto"/>
        <w:left w:val="none" w:sz="0" w:space="0" w:color="auto"/>
        <w:bottom w:val="none" w:sz="0" w:space="0" w:color="auto"/>
        <w:right w:val="none" w:sz="0" w:space="0" w:color="auto"/>
      </w:divBdr>
      <w:divsChild>
        <w:div w:id="1396321892">
          <w:marLeft w:val="0"/>
          <w:marRight w:val="0"/>
          <w:marTop w:val="0"/>
          <w:marBottom w:val="0"/>
          <w:divBdr>
            <w:top w:val="none" w:sz="0" w:space="0" w:color="auto"/>
            <w:left w:val="none" w:sz="0" w:space="0" w:color="auto"/>
            <w:bottom w:val="none" w:sz="0" w:space="0" w:color="auto"/>
            <w:right w:val="none" w:sz="0" w:space="0" w:color="auto"/>
          </w:divBdr>
        </w:div>
      </w:divsChild>
    </w:div>
    <w:div w:id="1086997139">
      <w:bodyDiv w:val="1"/>
      <w:marLeft w:val="0"/>
      <w:marRight w:val="0"/>
      <w:marTop w:val="0"/>
      <w:marBottom w:val="0"/>
      <w:divBdr>
        <w:top w:val="none" w:sz="0" w:space="0" w:color="auto"/>
        <w:left w:val="none" w:sz="0" w:space="0" w:color="auto"/>
        <w:bottom w:val="none" w:sz="0" w:space="0" w:color="auto"/>
        <w:right w:val="none" w:sz="0" w:space="0" w:color="auto"/>
      </w:divBdr>
      <w:divsChild>
        <w:div w:id="391315820">
          <w:marLeft w:val="1166"/>
          <w:marRight w:val="0"/>
          <w:marTop w:val="86"/>
          <w:marBottom w:val="0"/>
          <w:divBdr>
            <w:top w:val="none" w:sz="0" w:space="0" w:color="auto"/>
            <w:left w:val="none" w:sz="0" w:space="0" w:color="auto"/>
            <w:bottom w:val="none" w:sz="0" w:space="0" w:color="auto"/>
            <w:right w:val="none" w:sz="0" w:space="0" w:color="auto"/>
          </w:divBdr>
        </w:div>
        <w:div w:id="650451171">
          <w:marLeft w:val="1166"/>
          <w:marRight w:val="0"/>
          <w:marTop w:val="86"/>
          <w:marBottom w:val="0"/>
          <w:divBdr>
            <w:top w:val="none" w:sz="0" w:space="0" w:color="auto"/>
            <w:left w:val="none" w:sz="0" w:space="0" w:color="auto"/>
            <w:bottom w:val="none" w:sz="0" w:space="0" w:color="auto"/>
            <w:right w:val="none" w:sz="0" w:space="0" w:color="auto"/>
          </w:divBdr>
        </w:div>
        <w:div w:id="925840667">
          <w:marLeft w:val="547"/>
          <w:marRight w:val="0"/>
          <w:marTop w:val="96"/>
          <w:marBottom w:val="0"/>
          <w:divBdr>
            <w:top w:val="none" w:sz="0" w:space="0" w:color="auto"/>
            <w:left w:val="none" w:sz="0" w:space="0" w:color="auto"/>
            <w:bottom w:val="none" w:sz="0" w:space="0" w:color="auto"/>
            <w:right w:val="none" w:sz="0" w:space="0" w:color="auto"/>
          </w:divBdr>
        </w:div>
        <w:div w:id="1433168511">
          <w:marLeft w:val="547"/>
          <w:marRight w:val="0"/>
          <w:marTop w:val="96"/>
          <w:marBottom w:val="0"/>
          <w:divBdr>
            <w:top w:val="none" w:sz="0" w:space="0" w:color="auto"/>
            <w:left w:val="none" w:sz="0" w:space="0" w:color="auto"/>
            <w:bottom w:val="none" w:sz="0" w:space="0" w:color="auto"/>
            <w:right w:val="none" w:sz="0" w:space="0" w:color="auto"/>
          </w:divBdr>
        </w:div>
        <w:div w:id="1923368991">
          <w:marLeft w:val="547"/>
          <w:marRight w:val="0"/>
          <w:marTop w:val="96"/>
          <w:marBottom w:val="0"/>
          <w:divBdr>
            <w:top w:val="none" w:sz="0" w:space="0" w:color="auto"/>
            <w:left w:val="none" w:sz="0" w:space="0" w:color="auto"/>
            <w:bottom w:val="none" w:sz="0" w:space="0" w:color="auto"/>
            <w:right w:val="none" w:sz="0" w:space="0" w:color="auto"/>
          </w:divBdr>
        </w:div>
        <w:div w:id="2070837395">
          <w:marLeft w:val="547"/>
          <w:marRight w:val="0"/>
          <w:marTop w:val="96"/>
          <w:marBottom w:val="0"/>
          <w:divBdr>
            <w:top w:val="none" w:sz="0" w:space="0" w:color="auto"/>
            <w:left w:val="none" w:sz="0" w:space="0" w:color="auto"/>
            <w:bottom w:val="none" w:sz="0" w:space="0" w:color="auto"/>
            <w:right w:val="none" w:sz="0" w:space="0" w:color="auto"/>
          </w:divBdr>
        </w:div>
      </w:divsChild>
    </w:div>
    <w:div w:id="1104881385">
      <w:bodyDiv w:val="1"/>
      <w:marLeft w:val="0"/>
      <w:marRight w:val="0"/>
      <w:marTop w:val="0"/>
      <w:marBottom w:val="0"/>
      <w:divBdr>
        <w:top w:val="none" w:sz="0" w:space="0" w:color="auto"/>
        <w:left w:val="none" w:sz="0" w:space="0" w:color="auto"/>
        <w:bottom w:val="none" w:sz="0" w:space="0" w:color="auto"/>
        <w:right w:val="none" w:sz="0" w:space="0" w:color="auto"/>
      </w:divBdr>
      <w:divsChild>
        <w:div w:id="771323012">
          <w:marLeft w:val="1166"/>
          <w:marRight w:val="0"/>
          <w:marTop w:val="82"/>
          <w:marBottom w:val="0"/>
          <w:divBdr>
            <w:top w:val="none" w:sz="0" w:space="0" w:color="auto"/>
            <w:left w:val="none" w:sz="0" w:space="0" w:color="auto"/>
            <w:bottom w:val="none" w:sz="0" w:space="0" w:color="auto"/>
            <w:right w:val="none" w:sz="0" w:space="0" w:color="auto"/>
          </w:divBdr>
        </w:div>
        <w:div w:id="1238857709">
          <w:marLeft w:val="547"/>
          <w:marRight w:val="0"/>
          <w:marTop w:val="96"/>
          <w:marBottom w:val="0"/>
          <w:divBdr>
            <w:top w:val="none" w:sz="0" w:space="0" w:color="auto"/>
            <w:left w:val="none" w:sz="0" w:space="0" w:color="auto"/>
            <w:bottom w:val="none" w:sz="0" w:space="0" w:color="auto"/>
            <w:right w:val="none" w:sz="0" w:space="0" w:color="auto"/>
          </w:divBdr>
        </w:div>
        <w:div w:id="1319455080">
          <w:marLeft w:val="1166"/>
          <w:marRight w:val="0"/>
          <w:marTop w:val="82"/>
          <w:marBottom w:val="0"/>
          <w:divBdr>
            <w:top w:val="none" w:sz="0" w:space="0" w:color="auto"/>
            <w:left w:val="none" w:sz="0" w:space="0" w:color="auto"/>
            <w:bottom w:val="none" w:sz="0" w:space="0" w:color="auto"/>
            <w:right w:val="none" w:sz="0" w:space="0" w:color="auto"/>
          </w:divBdr>
        </w:div>
        <w:div w:id="1865361936">
          <w:marLeft w:val="1166"/>
          <w:marRight w:val="0"/>
          <w:marTop w:val="82"/>
          <w:marBottom w:val="0"/>
          <w:divBdr>
            <w:top w:val="none" w:sz="0" w:space="0" w:color="auto"/>
            <w:left w:val="none" w:sz="0" w:space="0" w:color="auto"/>
            <w:bottom w:val="none" w:sz="0" w:space="0" w:color="auto"/>
            <w:right w:val="none" w:sz="0" w:space="0" w:color="auto"/>
          </w:divBdr>
        </w:div>
        <w:div w:id="1942563266">
          <w:marLeft w:val="547"/>
          <w:marRight w:val="0"/>
          <w:marTop w:val="96"/>
          <w:marBottom w:val="0"/>
          <w:divBdr>
            <w:top w:val="none" w:sz="0" w:space="0" w:color="auto"/>
            <w:left w:val="none" w:sz="0" w:space="0" w:color="auto"/>
            <w:bottom w:val="none" w:sz="0" w:space="0" w:color="auto"/>
            <w:right w:val="none" w:sz="0" w:space="0" w:color="auto"/>
          </w:divBdr>
        </w:div>
      </w:divsChild>
    </w:div>
    <w:div w:id="1122383149">
      <w:bodyDiv w:val="1"/>
      <w:marLeft w:val="0"/>
      <w:marRight w:val="0"/>
      <w:marTop w:val="0"/>
      <w:marBottom w:val="0"/>
      <w:divBdr>
        <w:top w:val="none" w:sz="0" w:space="0" w:color="auto"/>
        <w:left w:val="none" w:sz="0" w:space="0" w:color="auto"/>
        <w:bottom w:val="none" w:sz="0" w:space="0" w:color="auto"/>
        <w:right w:val="none" w:sz="0" w:space="0" w:color="auto"/>
      </w:divBdr>
    </w:div>
    <w:div w:id="1144930899">
      <w:bodyDiv w:val="1"/>
      <w:marLeft w:val="0"/>
      <w:marRight w:val="0"/>
      <w:marTop w:val="0"/>
      <w:marBottom w:val="0"/>
      <w:divBdr>
        <w:top w:val="none" w:sz="0" w:space="0" w:color="auto"/>
        <w:left w:val="none" w:sz="0" w:space="0" w:color="auto"/>
        <w:bottom w:val="none" w:sz="0" w:space="0" w:color="auto"/>
        <w:right w:val="none" w:sz="0" w:space="0" w:color="auto"/>
      </w:divBdr>
    </w:div>
    <w:div w:id="1171532411">
      <w:bodyDiv w:val="1"/>
      <w:marLeft w:val="0"/>
      <w:marRight w:val="0"/>
      <w:marTop w:val="0"/>
      <w:marBottom w:val="0"/>
      <w:divBdr>
        <w:top w:val="none" w:sz="0" w:space="0" w:color="auto"/>
        <w:left w:val="none" w:sz="0" w:space="0" w:color="auto"/>
        <w:bottom w:val="none" w:sz="0" w:space="0" w:color="auto"/>
        <w:right w:val="none" w:sz="0" w:space="0" w:color="auto"/>
      </w:divBdr>
    </w:div>
    <w:div w:id="1178697452">
      <w:bodyDiv w:val="1"/>
      <w:marLeft w:val="0"/>
      <w:marRight w:val="0"/>
      <w:marTop w:val="0"/>
      <w:marBottom w:val="0"/>
      <w:divBdr>
        <w:top w:val="none" w:sz="0" w:space="0" w:color="auto"/>
        <w:left w:val="none" w:sz="0" w:space="0" w:color="auto"/>
        <w:bottom w:val="none" w:sz="0" w:space="0" w:color="auto"/>
        <w:right w:val="none" w:sz="0" w:space="0" w:color="auto"/>
      </w:divBdr>
    </w:div>
    <w:div w:id="1190336668">
      <w:bodyDiv w:val="1"/>
      <w:marLeft w:val="0"/>
      <w:marRight w:val="0"/>
      <w:marTop w:val="0"/>
      <w:marBottom w:val="0"/>
      <w:divBdr>
        <w:top w:val="none" w:sz="0" w:space="0" w:color="auto"/>
        <w:left w:val="none" w:sz="0" w:space="0" w:color="auto"/>
        <w:bottom w:val="none" w:sz="0" w:space="0" w:color="auto"/>
        <w:right w:val="none" w:sz="0" w:space="0" w:color="auto"/>
      </w:divBdr>
    </w:div>
    <w:div w:id="1195733184">
      <w:bodyDiv w:val="1"/>
      <w:marLeft w:val="0"/>
      <w:marRight w:val="0"/>
      <w:marTop w:val="0"/>
      <w:marBottom w:val="0"/>
      <w:divBdr>
        <w:top w:val="none" w:sz="0" w:space="0" w:color="auto"/>
        <w:left w:val="none" w:sz="0" w:space="0" w:color="auto"/>
        <w:bottom w:val="none" w:sz="0" w:space="0" w:color="auto"/>
        <w:right w:val="none" w:sz="0" w:space="0" w:color="auto"/>
      </w:divBdr>
    </w:div>
    <w:div w:id="1243031815">
      <w:bodyDiv w:val="1"/>
      <w:marLeft w:val="0"/>
      <w:marRight w:val="0"/>
      <w:marTop w:val="0"/>
      <w:marBottom w:val="0"/>
      <w:divBdr>
        <w:top w:val="none" w:sz="0" w:space="0" w:color="auto"/>
        <w:left w:val="none" w:sz="0" w:space="0" w:color="auto"/>
        <w:bottom w:val="none" w:sz="0" w:space="0" w:color="auto"/>
        <w:right w:val="none" w:sz="0" w:space="0" w:color="auto"/>
      </w:divBdr>
      <w:divsChild>
        <w:div w:id="248387332">
          <w:marLeft w:val="547"/>
          <w:marRight w:val="0"/>
          <w:marTop w:val="91"/>
          <w:marBottom w:val="0"/>
          <w:divBdr>
            <w:top w:val="none" w:sz="0" w:space="0" w:color="auto"/>
            <w:left w:val="none" w:sz="0" w:space="0" w:color="auto"/>
            <w:bottom w:val="none" w:sz="0" w:space="0" w:color="auto"/>
            <w:right w:val="none" w:sz="0" w:space="0" w:color="auto"/>
          </w:divBdr>
        </w:div>
        <w:div w:id="1494377238">
          <w:marLeft w:val="547"/>
          <w:marRight w:val="0"/>
          <w:marTop w:val="91"/>
          <w:marBottom w:val="0"/>
          <w:divBdr>
            <w:top w:val="none" w:sz="0" w:space="0" w:color="auto"/>
            <w:left w:val="none" w:sz="0" w:space="0" w:color="auto"/>
            <w:bottom w:val="none" w:sz="0" w:space="0" w:color="auto"/>
            <w:right w:val="none" w:sz="0" w:space="0" w:color="auto"/>
          </w:divBdr>
        </w:div>
        <w:div w:id="1549295372">
          <w:marLeft w:val="547"/>
          <w:marRight w:val="0"/>
          <w:marTop w:val="91"/>
          <w:marBottom w:val="0"/>
          <w:divBdr>
            <w:top w:val="none" w:sz="0" w:space="0" w:color="auto"/>
            <w:left w:val="none" w:sz="0" w:space="0" w:color="auto"/>
            <w:bottom w:val="none" w:sz="0" w:space="0" w:color="auto"/>
            <w:right w:val="none" w:sz="0" w:space="0" w:color="auto"/>
          </w:divBdr>
        </w:div>
        <w:div w:id="1694576635">
          <w:marLeft w:val="547"/>
          <w:marRight w:val="0"/>
          <w:marTop w:val="91"/>
          <w:marBottom w:val="0"/>
          <w:divBdr>
            <w:top w:val="none" w:sz="0" w:space="0" w:color="auto"/>
            <w:left w:val="none" w:sz="0" w:space="0" w:color="auto"/>
            <w:bottom w:val="none" w:sz="0" w:space="0" w:color="auto"/>
            <w:right w:val="none" w:sz="0" w:space="0" w:color="auto"/>
          </w:divBdr>
        </w:div>
      </w:divsChild>
    </w:div>
    <w:div w:id="1298339851">
      <w:bodyDiv w:val="1"/>
      <w:marLeft w:val="0"/>
      <w:marRight w:val="0"/>
      <w:marTop w:val="0"/>
      <w:marBottom w:val="0"/>
      <w:divBdr>
        <w:top w:val="none" w:sz="0" w:space="0" w:color="auto"/>
        <w:left w:val="none" w:sz="0" w:space="0" w:color="auto"/>
        <w:bottom w:val="none" w:sz="0" w:space="0" w:color="auto"/>
        <w:right w:val="none" w:sz="0" w:space="0" w:color="auto"/>
      </w:divBdr>
    </w:div>
    <w:div w:id="1299919423">
      <w:bodyDiv w:val="1"/>
      <w:marLeft w:val="0"/>
      <w:marRight w:val="0"/>
      <w:marTop w:val="0"/>
      <w:marBottom w:val="0"/>
      <w:divBdr>
        <w:top w:val="none" w:sz="0" w:space="0" w:color="auto"/>
        <w:left w:val="none" w:sz="0" w:space="0" w:color="auto"/>
        <w:bottom w:val="none" w:sz="0" w:space="0" w:color="auto"/>
        <w:right w:val="none" w:sz="0" w:space="0" w:color="auto"/>
      </w:divBdr>
      <w:divsChild>
        <w:div w:id="446001587">
          <w:marLeft w:val="547"/>
          <w:marRight w:val="0"/>
          <w:marTop w:val="115"/>
          <w:marBottom w:val="60"/>
          <w:divBdr>
            <w:top w:val="none" w:sz="0" w:space="0" w:color="auto"/>
            <w:left w:val="none" w:sz="0" w:space="0" w:color="auto"/>
            <w:bottom w:val="none" w:sz="0" w:space="0" w:color="auto"/>
            <w:right w:val="none" w:sz="0" w:space="0" w:color="auto"/>
          </w:divBdr>
        </w:div>
        <w:div w:id="678967548">
          <w:marLeft w:val="1166"/>
          <w:marRight w:val="0"/>
          <w:marTop w:val="96"/>
          <w:marBottom w:val="60"/>
          <w:divBdr>
            <w:top w:val="none" w:sz="0" w:space="0" w:color="auto"/>
            <w:left w:val="none" w:sz="0" w:space="0" w:color="auto"/>
            <w:bottom w:val="none" w:sz="0" w:space="0" w:color="auto"/>
            <w:right w:val="none" w:sz="0" w:space="0" w:color="auto"/>
          </w:divBdr>
        </w:div>
        <w:div w:id="1404375325">
          <w:marLeft w:val="1166"/>
          <w:marRight w:val="0"/>
          <w:marTop w:val="96"/>
          <w:marBottom w:val="60"/>
          <w:divBdr>
            <w:top w:val="none" w:sz="0" w:space="0" w:color="auto"/>
            <w:left w:val="none" w:sz="0" w:space="0" w:color="auto"/>
            <w:bottom w:val="none" w:sz="0" w:space="0" w:color="auto"/>
            <w:right w:val="none" w:sz="0" w:space="0" w:color="auto"/>
          </w:divBdr>
        </w:div>
        <w:div w:id="1525627697">
          <w:marLeft w:val="1166"/>
          <w:marRight w:val="0"/>
          <w:marTop w:val="96"/>
          <w:marBottom w:val="60"/>
          <w:divBdr>
            <w:top w:val="none" w:sz="0" w:space="0" w:color="auto"/>
            <w:left w:val="none" w:sz="0" w:space="0" w:color="auto"/>
            <w:bottom w:val="none" w:sz="0" w:space="0" w:color="auto"/>
            <w:right w:val="none" w:sz="0" w:space="0" w:color="auto"/>
          </w:divBdr>
        </w:div>
        <w:div w:id="1773353912">
          <w:marLeft w:val="547"/>
          <w:marRight w:val="0"/>
          <w:marTop w:val="115"/>
          <w:marBottom w:val="60"/>
          <w:divBdr>
            <w:top w:val="none" w:sz="0" w:space="0" w:color="auto"/>
            <w:left w:val="none" w:sz="0" w:space="0" w:color="auto"/>
            <w:bottom w:val="none" w:sz="0" w:space="0" w:color="auto"/>
            <w:right w:val="none" w:sz="0" w:space="0" w:color="auto"/>
          </w:divBdr>
        </w:div>
        <w:div w:id="2020692940">
          <w:marLeft w:val="1166"/>
          <w:marRight w:val="0"/>
          <w:marTop w:val="96"/>
          <w:marBottom w:val="60"/>
          <w:divBdr>
            <w:top w:val="none" w:sz="0" w:space="0" w:color="auto"/>
            <w:left w:val="none" w:sz="0" w:space="0" w:color="auto"/>
            <w:bottom w:val="none" w:sz="0" w:space="0" w:color="auto"/>
            <w:right w:val="none" w:sz="0" w:space="0" w:color="auto"/>
          </w:divBdr>
        </w:div>
      </w:divsChild>
    </w:div>
    <w:div w:id="1309284894">
      <w:bodyDiv w:val="1"/>
      <w:marLeft w:val="0"/>
      <w:marRight w:val="0"/>
      <w:marTop w:val="0"/>
      <w:marBottom w:val="0"/>
      <w:divBdr>
        <w:top w:val="none" w:sz="0" w:space="0" w:color="auto"/>
        <w:left w:val="none" w:sz="0" w:space="0" w:color="auto"/>
        <w:bottom w:val="none" w:sz="0" w:space="0" w:color="auto"/>
        <w:right w:val="none" w:sz="0" w:space="0" w:color="auto"/>
      </w:divBdr>
      <w:divsChild>
        <w:div w:id="776292441">
          <w:marLeft w:val="547"/>
          <w:marRight w:val="0"/>
          <w:marTop w:val="96"/>
          <w:marBottom w:val="60"/>
          <w:divBdr>
            <w:top w:val="none" w:sz="0" w:space="0" w:color="auto"/>
            <w:left w:val="none" w:sz="0" w:space="0" w:color="auto"/>
            <w:bottom w:val="none" w:sz="0" w:space="0" w:color="auto"/>
            <w:right w:val="none" w:sz="0" w:space="0" w:color="auto"/>
          </w:divBdr>
        </w:div>
        <w:div w:id="788747391">
          <w:marLeft w:val="1166"/>
          <w:marRight w:val="0"/>
          <w:marTop w:val="86"/>
          <w:marBottom w:val="60"/>
          <w:divBdr>
            <w:top w:val="none" w:sz="0" w:space="0" w:color="auto"/>
            <w:left w:val="none" w:sz="0" w:space="0" w:color="auto"/>
            <w:bottom w:val="none" w:sz="0" w:space="0" w:color="auto"/>
            <w:right w:val="none" w:sz="0" w:space="0" w:color="auto"/>
          </w:divBdr>
        </w:div>
        <w:div w:id="1282762081">
          <w:marLeft w:val="1166"/>
          <w:marRight w:val="0"/>
          <w:marTop w:val="86"/>
          <w:marBottom w:val="60"/>
          <w:divBdr>
            <w:top w:val="none" w:sz="0" w:space="0" w:color="auto"/>
            <w:left w:val="none" w:sz="0" w:space="0" w:color="auto"/>
            <w:bottom w:val="none" w:sz="0" w:space="0" w:color="auto"/>
            <w:right w:val="none" w:sz="0" w:space="0" w:color="auto"/>
          </w:divBdr>
        </w:div>
        <w:div w:id="1361279023">
          <w:marLeft w:val="1166"/>
          <w:marRight w:val="0"/>
          <w:marTop w:val="86"/>
          <w:marBottom w:val="60"/>
          <w:divBdr>
            <w:top w:val="none" w:sz="0" w:space="0" w:color="auto"/>
            <w:left w:val="none" w:sz="0" w:space="0" w:color="auto"/>
            <w:bottom w:val="none" w:sz="0" w:space="0" w:color="auto"/>
            <w:right w:val="none" w:sz="0" w:space="0" w:color="auto"/>
          </w:divBdr>
        </w:div>
        <w:div w:id="1412966956">
          <w:marLeft w:val="547"/>
          <w:marRight w:val="0"/>
          <w:marTop w:val="96"/>
          <w:marBottom w:val="60"/>
          <w:divBdr>
            <w:top w:val="none" w:sz="0" w:space="0" w:color="auto"/>
            <w:left w:val="none" w:sz="0" w:space="0" w:color="auto"/>
            <w:bottom w:val="none" w:sz="0" w:space="0" w:color="auto"/>
            <w:right w:val="none" w:sz="0" w:space="0" w:color="auto"/>
          </w:divBdr>
        </w:div>
        <w:div w:id="1705136304">
          <w:marLeft w:val="547"/>
          <w:marRight w:val="0"/>
          <w:marTop w:val="96"/>
          <w:marBottom w:val="60"/>
          <w:divBdr>
            <w:top w:val="none" w:sz="0" w:space="0" w:color="auto"/>
            <w:left w:val="none" w:sz="0" w:space="0" w:color="auto"/>
            <w:bottom w:val="none" w:sz="0" w:space="0" w:color="auto"/>
            <w:right w:val="none" w:sz="0" w:space="0" w:color="auto"/>
          </w:divBdr>
        </w:div>
        <w:div w:id="1984387605">
          <w:marLeft w:val="1166"/>
          <w:marRight w:val="0"/>
          <w:marTop w:val="86"/>
          <w:marBottom w:val="60"/>
          <w:divBdr>
            <w:top w:val="none" w:sz="0" w:space="0" w:color="auto"/>
            <w:left w:val="none" w:sz="0" w:space="0" w:color="auto"/>
            <w:bottom w:val="none" w:sz="0" w:space="0" w:color="auto"/>
            <w:right w:val="none" w:sz="0" w:space="0" w:color="auto"/>
          </w:divBdr>
        </w:div>
      </w:divsChild>
    </w:div>
    <w:div w:id="1319654802">
      <w:bodyDiv w:val="1"/>
      <w:marLeft w:val="0"/>
      <w:marRight w:val="0"/>
      <w:marTop w:val="0"/>
      <w:marBottom w:val="0"/>
      <w:divBdr>
        <w:top w:val="none" w:sz="0" w:space="0" w:color="auto"/>
        <w:left w:val="none" w:sz="0" w:space="0" w:color="auto"/>
        <w:bottom w:val="none" w:sz="0" w:space="0" w:color="auto"/>
        <w:right w:val="none" w:sz="0" w:space="0" w:color="auto"/>
      </w:divBdr>
      <w:divsChild>
        <w:div w:id="493837962">
          <w:marLeft w:val="720"/>
          <w:marRight w:val="0"/>
          <w:marTop w:val="96"/>
          <w:marBottom w:val="240"/>
          <w:divBdr>
            <w:top w:val="none" w:sz="0" w:space="0" w:color="auto"/>
            <w:left w:val="none" w:sz="0" w:space="0" w:color="auto"/>
            <w:bottom w:val="none" w:sz="0" w:space="0" w:color="auto"/>
            <w:right w:val="none" w:sz="0" w:space="0" w:color="auto"/>
          </w:divBdr>
        </w:div>
        <w:div w:id="548958451">
          <w:marLeft w:val="720"/>
          <w:marRight w:val="0"/>
          <w:marTop w:val="96"/>
          <w:marBottom w:val="240"/>
          <w:divBdr>
            <w:top w:val="none" w:sz="0" w:space="0" w:color="auto"/>
            <w:left w:val="none" w:sz="0" w:space="0" w:color="auto"/>
            <w:bottom w:val="none" w:sz="0" w:space="0" w:color="auto"/>
            <w:right w:val="none" w:sz="0" w:space="0" w:color="auto"/>
          </w:divBdr>
        </w:div>
        <w:div w:id="551307175">
          <w:marLeft w:val="720"/>
          <w:marRight w:val="0"/>
          <w:marTop w:val="96"/>
          <w:marBottom w:val="240"/>
          <w:divBdr>
            <w:top w:val="none" w:sz="0" w:space="0" w:color="auto"/>
            <w:left w:val="none" w:sz="0" w:space="0" w:color="auto"/>
            <w:bottom w:val="none" w:sz="0" w:space="0" w:color="auto"/>
            <w:right w:val="none" w:sz="0" w:space="0" w:color="auto"/>
          </w:divBdr>
        </w:div>
        <w:div w:id="640842255">
          <w:marLeft w:val="720"/>
          <w:marRight w:val="0"/>
          <w:marTop w:val="96"/>
          <w:marBottom w:val="240"/>
          <w:divBdr>
            <w:top w:val="none" w:sz="0" w:space="0" w:color="auto"/>
            <w:left w:val="none" w:sz="0" w:space="0" w:color="auto"/>
            <w:bottom w:val="none" w:sz="0" w:space="0" w:color="auto"/>
            <w:right w:val="none" w:sz="0" w:space="0" w:color="auto"/>
          </w:divBdr>
        </w:div>
        <w:div w:id="676158680">
          <w:marLeft w:val="720"/>
          <w:marRight w:val="0"/>
          <w:marTop w:val="96"/>
          <w:marBottom w:val="240"/>
          <w:divBdr>
            <w:top w:val="none" w:sz="0" w:space="0" w:color="auto"/>
            <w:left w:val="none" w:sz="0" w:space="0" w:color="auto"/>
            <w:bottom w:val="none" w:sz="0" w:space="0" w:color="auto"/>
            <w:right w:val="none" w:sz="0" w:space="0" w:color="auto"/>
          </w:divBdr>
        </w:div>
        <w:div w:id="817261135">
          <w:marLeft w:val="720"/>
          <w:marRight w:val="0"/>
          <w:marTop w:val="96"/>
          <w:marBottom w:val="240"/>
          <w:divBdr>
            <w:top w:val="none" w:sz="0" w:space="0" w:color="auto"/>
            <w:left w:val="none" w:sz="0" w:space="0" w:color="auto"/>
            <w:bottom w:val="none" w:sz="0" w:space="0" w:color="auto"/>
            <w:right w:val="none" w:sz="0" w:space="0" w:color="auto"/>
          </w:divBdr>
        </w:div>
        <w:div w:id="1208178002">
          <w:marLeft w:val="720"/>
          <w:marRight w:val="0"/>
          <w:marTop w:val="96"/>
          <w:marBottom w:val="240"/>
          <w:divBdr>
            <w:top w:val="none" w:sz="0" w:space="0" w:color="auto"/>
            <w:left w:val="none" w:sz="0" w:space="0" w:color="auto"/>
            <w:bottom w:val="none" w:sz="0" w:space="0" w:color="auto"/>
            <w:right w:val="none" w:sz="0" w:space="0" w:color="auto"/>
          </w:divBdr>
        </w:div>
      </w:divsChild>
    </w:div>
    <w:div w:id="1328971716">
      <w:bodyDiv w:val="1"/>
      <w:marLeft w:val="0"/>
      <w:marRight w:val="0"/>
      <w:marTop w:val="0"/>
      <w:marBottom w:val="0"/>
      <w:divBdr>
        <w:top w:val="none" w:sz="0" w:space="0" w:color="auto"/>
        <w:left w:val="none" w:sz="0" w:space="0" w:color="auto"/>
        <w:bottom w:val="none" w:sz="0" w:space="0" w:color="auto"/>
        <w:right w:val="none" w:sz="0" w:space="0" w:color="auto"/>
      </w:divBdr>
      <w:divsChild>
        <w:div w:id="67503837">
          <w:marLeft w:val="547"/>
          <w:marRight w:val="0"/>
          <w:marTop w:val="86"/>
          <w:marBottom w:val="0"/>
          <w:divBdr>
            <w:top w:val="none" w:sz="0" w:space="0" w:color="auto"/>
            <w:left w:val="none" w:sz="0" w:space="0" w:color="auto"/>
            <w:bottom w:val="none" w:sz="0" w:space="0" w:color="auto"/>
            <w:right w:val="none" w:sz="0" w:space="0" w:color="auto"/>
          </w:divBdr>
        </w:div>
        <w:div w:id="420956310">
          <w:marLeft w:val="547"/>
          <w:marRight w:val="0"/>
          <w:marTop w:val="86"/>
          <w:marBottom w:val="0"/>
          <w:divBdr>
            <w:top w:val="none" w:sz="0" w:space="0" w:color="auto"/>
            <w:left w:val="none" w:sz="0" w:space="0" w:color="auto"/>
            <w:bottom w:val="none" w:sz="0" w:space="0" w:color="auto"/>
            <w:right w:val="none" w:sz="0" w:space="0" w:color="auto"/>
          </w:divBdr>
        </w:div>
        <w:div w:id="502009233">
          <w:marLeft w:val="547"/>
          <w:marRight w:val="0"/>
          <w:marTop w:val="86"/>
          <w:marBottom w:val="0"/>
          <w:divBdr>
            <w:top w:val="none" w:sz="0" w:space="0" w:color="auto"/>
            <w:left w:val="none" w:sz="0" w:space="0" w:color="auto"/>
            <w:bottom w:val="none" w:sz="0" w:space="0" w:color="auto"/>
            <w:right w:val="none" w:sz="0" w:space="0" w:color="auto"/>
          </w:divBdr>
        </w:div>
        <w:div w:id="800731503">
          <w:marLeft w:val="547"/>
          <w:marRight w:val="0"/>
          <w:marTop w:val="86"/>
          <w:marBottom w:val="0"/>
          <w:divBdr>
            <w:top w:val="none" w:sz="0" w:space="0" w:color="auto"/>
            <w:left w:val="none" w:sz="0" w:space="0" w:color="auto"/>
            <w:bottom w:val="none" w:sz="0" w:space="0" w:color="auto"/>
            <w:right w:val="none" w:sz="0" w:space="0" w:color="auto"/>
          </w:divBdr>
        </w:div>
        <w:div w:id="828984160">
          <w:marLeft w:val="547"/>
          <w:marRight w:val="0"/>
          <w:marTop w:val="86"/>
          <w:marBottom w:val="0"/>
          <w:divBdr>
            <w:top w:val="none" w:sz="0" w:space="0" w:color="auto"/>
            <w:left w:val="none" w:sz="0" w:space="0" w:color="auto"/>
            <w:bottom w:val="none" w:sz="0" w:space="0" w:color="auto"/>
            <w:right w:val="none" w:sz="0" w:space="0" w:color="auto"/>
          </w:divBdr>
        </w:div>
        <w:div w:id="1790516152">
          <w:marLeft w:val="547"/>
          <w:marRight w:val="0"/>
          <w:marTop w:val="86"/>
          <w:marBottom w:val="0"/>
          <w:divBdr>
            <w:top w:val="none" w:sz="0" w:space="0" w:color="auto"/>
            <w:left w:val="none" w:sz="0" w:space="0" w:color="auto"/>
            <w:bottom w:val="none" w:sz="0" w:space="0" w:color="auto"/>
            <w:right w:val="none" w:sz="0" w:space="0" w:color="auto"/>
          </w:divBdr>
        </w:div>
        <w:div w:id="2048025146">
          <w:marLeft w:val="547"/>
          <w:marRight w:val="0"/>
          <w:marTop w:val="86"/>
          <w:marBottom w:val="0"/>
          <w:divBdr>
            <w:top w:val="none" w:sz="0" w:space="0" w:color="auto"/>
            <w:left w:val="none" w:sz="0" w:space="0" w:color="auto"/>
            <w:bottom w:val="none" w:sz="0" w:space="0" w:color="auto"/>
            <w:right w:val="none" w:sz="0" w:space="0" w:color="auto"/>
          </w:divBdr>
        </w:div>
        <w:div w:id="2057005119">
          <w:marLeft w:val="547"/>
          <w:marRight w:val="0"/>
          <w:marTop w:val="86"/>
          <w:marBottom w:val="0"/>
          <w:divBdr>
            <w:top w:val="none" w:sz="0" w:space="0" w:color="auto"/>
            <w:left w:val="none" w:sz="0" w:space="0" w:color="auto"/>
            <w:bottom w:val="none" w:sz="0" w:space="0" w:color="auto"/>
            <w:right w:val="none" w:sz="0" w:space="0" w:color="auto"/>
          </w:divBdr>
        </w:div>
      </w:divsChild>
    </w:div>
    <w:div w:id="1330787993">
      <w:bodyDiv w:val="1"/>
      <w:marLeft w:val="0"/>
      <w:marRight w:val="0"/>
      <w:marTop w:val="0"/>
      <w:marBottom w:val="0"/>
      <w:divBdr>
        <w:top w:val="none" w:sz="0" w:space="0" w:color="auto"/>
        <w:left w:val="none" w:sz="0" w:space="0" w:color="auto"/>
        <w:bottom w:val="none" w:sz="0" w:space="0" w:color="auto"/>
        <w:right w:val="none" w:sz="0" w:space="0" w:color="auto"/>
      </w:divBdr>
      <w:divsChild>
        <w:div w:id="840507213">
          <w:marLeft w:val="1166"/>
          <w:marRight w:val="0"/>
          <w:marTop w:val="0"/>
          <w:marBottom w:val="0"/>
          <w:divBdr>
            <w:top w:val="none" w:sz="0" w:space="0" w:color="auto"/>
            <w:left w:val="none" w:sz="0" w:space="0" w:color="auto"/>
            <w:bottom w:val="none" w:sz="0" w:space="0" w:color="auto"/>
            <w:right w:val="none" w:sz="0" w:space="0" w:color="auto"/>
          </w:divBdr>
        </w:div>
        <w:div w:id="861866538">
          <w:marLeft w:val="547"/>
          <w:marRight w:val="0"/>
          <w:marTop w:val="0"/>
          <w:marBottom w:val="0"/>
          <w:divBdr>
            <w:top w:val="none" w:sz="0" w:space="0" w:color="auto"/>
            <w:left w:val="none" w:sz="0" w:space="0" w:color="auto"/>
            <w:bottom w:val="none" w:sz="0" w:space="0" w:color="auto"/>
            <w:right w:val="none" w:sz="0" w:space="0" w:color="auto"/>
          </w:divBdr>
        </w:div>
      </w:divsChild>
    </w:div>
    <w:div w:id="1342778815">
      <w:bodyDiv w:val="1"/>
      <w:marLeft w:val="0"/>
      <w:marRight w:val="0"/>
      <w:marTop w:val="0"/>
      <w:marBottom w:val="0"/>
      <w:divBdr>
        <w:top w:val="none" w:sz="0" w:space="0" w:color="auto"/>
        <w:left w:val="none" w:sz="0" w:space="0" w:color="auto"/>
        <w:bottom w:val="none" w:sz="0" w:space="0" w:color="auto"/>
        <w:right w:val="none" w:sz="0" w:space="0" w:color="auto"/>
      </w:divBdr>
    </w:div>
    <w:div w:id="1363437777">
      <w:bodyDiv w:val="1"/>
      <w:marLeft w:val="0"/>
      <w:marRight w:val="0"/>
      <w:marTop w:val="0"/>
      <w:marBottom w:val="0"/>
      <w:divBdr>
        <w:top w:val="none" w:sz="0" w:space="0" w:color="auto"/>
        <w:left w:val="none" w:sz="0" w:space="0" w:color="auto"/>
        <w:bottom w:val="none" w:sz="0" w:space="0" w:color="auto"/>
        <w:right w:val="none" w:sz="0" w:space="0" w:color="auto"/>
      </w:divBdr>
    </w:div>
    <w:div w:id="1373001120">
      <w:bodyDiv w:val="1"/>
      <w:marLeft w:val="0"/>
      <w:marRight w:val="0"/>
      <w:marTop w:val="0"/>
      <w:marBottom w:val="0"/>
      <w:divBdr>
        <w:top w:val="none" w:sz="0" w:space="0" w:color="auto"/>
        <w:left w:val="none" w:sz="0" w:space="0" w:color="auto"/>
        <w:bottom w:val="none" w:sz="0" w:space="0" w:color="auto"/>
        <w:right w:val="none" w:sz="0" w:space="0" w:color="auto"/>
      </w:divBdr>
    </w:div>
    <w:div w:id="1386295351">
      <w:bodyDiv w:val="1"/>
      <w:marLeft w:val="0"/>
      <w:marRight w:val="0"/>
      <w:marTop w:val="0"/>
      <w:marBottom w:val="0"/>
      <w:divBdr>
        <w:top w:val="none" w:sz="0" w:space="0" w:color="auto"/>
        <w:left w:val="none" w:sz="0" w:space="0" w:color="auto"/>
        <w:bottom w:val="none" w:sz="0" w:space="0" w:color="auto"/>
        <w:right w:val="none" w:sz="0" w:space="0" w:color="auto"/>
      </w:divBdr>
    </w:div>
    <w:div w:id="1392583436">
      <w:bodyDiv w:val="1"/>
      <w:marLeft w:val="0"/>
      <w:marRight w:val="0"/>
      <w:marTop w:val="0"/>
      <w:marBottom w:val="0"/>
      <w:divBdr>
        <w:top w:val="none" w:sz="0" w:space="0" w:color="auto"/>
        <w:left w:val="none" w:sz="0" w:space="0" w:color="auto"/>
        <w:bottom w:val="none" w:sz="0" w:space="0" w:color="auto"/>
        <w:right w:val="none" w:sz="0" w:space="0" w:color="auto"/>
      </w:divBdr>
    </w:div>
    <w:div w:id="1393649599">
      <w:bodyDiv w:val="1"/>
      <w:marLeft w:val="0"/>
      <w:marRight w:val="0"/>
      <w:marTop w:val="0"/>
      <w:marBottom w:val="0"/>
      <w:divBdr>
        <w:top w:val="none" w:sz="0" w:space="0" w:color="auto"/>
        <w:left w:val="none" w:sz="0" w:space="0" w:color="auto"/>
        <w:bottom w:val="none" w:sz="0" w:space="0" w:color="auto"/>
        <w:right w:val="none" w:sz="0" w:space="0" w:color="auto"/>
      </w:divBdr>
    </w:div>
    <w:div w:id="1407534819">
      <w:bodyDiv w:val="1"/>
      <w:marLeft w:val="0"/>
      <w:marRight w:val="0"/>
      <w:marTop w:val="0"/>
      <w:marBottom w:val="0"/>
      <w:divBdr>
        <w:top w:val="none" w:sz="0" w:space="0" w:color="auto"/>
        <w:left w:val="none" w:sz="0" w:space="0" w:color="auto"/>
        <w:bottom w:val="none" w:sz="0" w:space="0" w:color="auto"/>
        <w:right w:val="none" w:sz="0" w:space="0" w:color="auto"/>
      </w:divBdr>
    </w:div>
    <w:div w:id="1418358479">
      <w:bodyDiv w:val="1"/>
      <w:marLeft w:val="0"/>
      <w:marRight w:val="0"/>
      <w:marTop w:val="0"/>
      <w:marBottom w:val="0"/>
      <w:divBdr>
        <w:top w:val="none" w:sz="0" w:space="0" w:color="auto"/>
        <w:left w:val="none" w:sz="0" w:space="0" w:color="auto"/>
        <w:bottom w:val="none" w:sz="0" w:space="0" w:color="auto"/>
        <w:right w:val="none" w:sz="0" w:space="0" w:color="auto"/>
      </w:divBdr>
      <w:divsChild>
        <w:div w:id="908198694">
          <w:marLeft w:val="547"/>
          <w:marRight w:val="0"/>
          <w:marTop w:val="115"/>
          <w:marBottom w:val="0"/>
          <w:divBdr>
            <w:top w:val="none" w:sz="0" w:space="0" w:color="auto"/>
            <w:left w:val="none" w:sz="0" w:space="0" w:color="auto"/>
            <w:bottom w:val="none" w:sz="0" w:space="0" w:color="auto"/>
            <w:right w:val="none" w:sz="0" w:space="0" w:color="auto"/>
          </w:divBdr>
        </w:div>
      </w:divsChild>
    </w:div>
    <w:div w:id="1452934917">
      <w:bodyDiv w:val="1"/>
      <w:marLeft w:val="0"/>
      <w:marRight w:val="0"/>
      <w:marTop w:val="0"/>
      <w:marBottom w:val="0"/>
      <w:divBdr>
        <w:top w:val="none" w:sz="0" w:space="0" w:color="auto"/>
        <w:left w:val="none" w:sz="0" w:space="0" w:color="auto"/>
        <w:bottom w:val="none" w:sz="0" w:space="0" w:color="auto"/>
        <w:right w:val="none" w:sz="0" w:space="0" w:color="auto"/>
      </w:divBdr>
    </w:div>
    <w:div w:id="1454446844">
      <w:bodyDiv w:val="1"/>
      <w:marLeft w:val="0"/>
      <w:marRight w:val="0"/>
      <w:marTop w:val="0"/>
      <w:marBottom w:val="0"/>
      <w:divBdr>
        <w:top w:val="none" w:sz="0" w:space="0" w:color="auto"/>
        <w:left w:val="none" w:sz="0" w:space="0" w:color="auto"/>
        <w:bottom w:val="none" w:sz="0" w:space="0" w:color="auto"/>
        <w:right w:val="none" w:sz="0" w:space="0" w:color="auto"/>
      </w:divBdr>
    </w:div>
    <w:div w:id="1458599035">
      <w:bodyDiv w:val="1"/>
      <w:marLeft w:val="0"/>
      <w:marRight w:val="0"/>
      <w:marTop w:val="0"/>
      <w:marBottom w:val="0"/>
      <w:divBdr>
        <w:top w:val="none" w:sz="0" w:space="0" w:color="auto"/>
        <w:left w:val="none" w:sz="0" w:space="0" w:color="auto"/>
        <w:bottom w:val="none" w:sz="0" w:space="0" w:color="auto"/>
        <w:right w:val="none" w:sz="0" w:space="0" w:color="auto"/>
      </w:divBdr>
    </w:div>
    <w:div w:id="1485925525">
      <w:bodyDiv w:val="1"/>
      <w:marLeft w:val="0"/>
      <w:marRight w:val="0"/>
      <w:marTop w:val="0"/>
      <w:marBottom w:val="0"/>
      <w:divBdr>
        <w:top w:val="none" w:sz="0" w:space="0" w:color="auto"/>
        <w:left w:val="none" w:sz="0" w:space="0" w:color="auto"/>
        <w:bottom w:val="none" w:sz="0" w:space="0" w:color="auto"/>
        <w:right w:val="none" w:sz="0" w:space="0" w:color="auto"/>
      </w:divBdr>
      <w:divsChild>
        <w:div w:id="30569152">
          <w:marLeft w:val="1166"/>
          <w:marRight w:val="0"/>
          <w:marTop w:val="86"/>
          <w:marBottom w:val="60"/>
          <w:divBdr>
            <w:top w:val="none" w:sz="0" w:space="0" w:color="auto"/>
            <w:left w:val="none" w:sz="0" w:space="0" w:color="auto"/>
            <w:bottom w:val="none" w:sz="0" w:space="0" w:color="auto"/>
            <w:right w:val="none" w:sz="0" w:space="0" w:color="auto"/>
          </w:divBdr>
        </w:div>
        <w:div w:id="1262566280">
          <w:marLeft w:val="1166"/>
          <w:marRight w:val="0"/>
          <w:marTop w:val="86"/>
          <w:marBottom w:val="60"/>
          <w:divBdr>
            <w:top w:val="none" w:sz="0" w:space="0" w:color="auto"/>
            <w:left w:val="none" w:sz="0" w:space="0" w:color="auto"/>
            <w:bottom w:val="none" w:sz="0" w:space="0" w:color="auto"/>
            <w:right w:val="none" w:sz="0" w:space="0" w:color="auto"/>
          </w:divBdr>
        </w:div>
        <w:div w:id="1309355671">
          <w:marLeft w:val="1166"/>
          <w:marRight w:val="0"/>
          <w:marTop w:val="86"/>
          <w:marBottom w:val="60"/>
          <w:divBdr>
            <w:top w:val="none" w:sz="0" w:space="0" w:color="auto"/>
            <w:left w:val="none" w:sz="0" w:space="0" w:color="auto"/>
            <w:bottom w:val="none" w:sz="0" w:space="0" w:color="auto"/>
            <w:right w:val="none" w:sz="0" w:space="0" w:color="auto"/>
          </w:divBdr>
        </w:div>
        <w:div w:id="1693606742">
          <w:marLeft w:val="547"/>
          <w:marRight w:val="0"/>
          <w:marTop w:val="96"/>
          <w:marBottom w:val="60"/>
          <w:divBdr>
            <w:top w:val="none" w:sz="0" w:space="0" w:color="auto"/>
            <w:left w:val="none" w:sz="0" w:space="0" w:color="auto"/>
            <w:bottom w:val="none" w:sz="0" w:space="0" w:color="auto"/>
            <w:right w:val="none" w:sz="0" w:space="0" w:color="auto"/>
          </w:divBdr>
        </w:div>
      </w:divsChild>
    </w:div>
    <w:div w:id="1498183798">
      <w:bodyDiv w:val="1"/>
      <w:marLeft w:val="0"/>
      <w:marRight w:val="0"/>
      <w:marTop w:val="0"/>
      <w:marBottom w:val="0"/>
      <w:divBdr>
        <w:top w:val="none" w:sz="0" w:space="0" w:color="auto"/>
        <w:left w:val="none" w:sz="0" w:space="0" w:color="auto"/>
        <w:bottom w:val="none" w:sz="0" w:space="0" w:color="auto"/>
        <w:right w:val="none" w:sz="0" w:space="0" w:color="auto"/>
      </w:divBdr>
    </w:div>
    <w:div w:id="1521119558">
      <w:bodyDiv w:val="1"/>
      <w:marLeft w:val="0"/>
      <w:marRight w:val="0"/>
      <w:marTop w:val="0"/>
      <w:marBottom w:val="0"/>
      <w:divBdr>
        <w:top w:val="none" w:sz="0" w:space="0" w:color="auto"/>
        <w:left w:val="none" w:sz="0" w:space="0" w:color="auto"/>
        <w:bottom w:val="none" w:sz="0" w:space="0" w:color="auto"/>
        <w:right w:val="none" w:sz="0" w:space="0" w:color="auto"/>
      </w:divBdr>
    </w:div>
    <w:div w:id="1527519975">
      <w:bodyDiv w:val="1"/>
      <w:marLeft w:val="0"/>
      <w:marRight w:val="0"/>
      <w:marTop w:val="0"/>
      <w:marBottom w:val="0"/>
      <w:divBdr>
        <w:top w:val="none" w:sz="0" w:space="0" w:color="auto"/>
        <w:left w:val="none" w:sz="0" w:space="0" w:color="auto"/>
        <w:bottom w:val="none" w:sz="0" w:space="0" w:color="auto"/>
        <w:right w:val="none" w:sz="0" w:space="0" w:color="auto"/>
      </w:divBdr>
    </w:div>
    <w:div w:id="1572886820">
      <w:bodyDiv w:val="1"/>
      <w:marLeft w:val="0"/>
      <w:marRight w:val="0"/>
      <w:marTop w:val="0"/>
      <w:marBottom w:val="0"/>
      <w:divBdr>
        <w:top w:val="none" w:sz="0" w:space="0" w:color="auto"/>
        <w:left w:val="none" w:sz="0" w:space="0" w:color="auto"/>
        <w:bottom w:val="none" w:sz="0" w:space="0" w:color="auto"/>
        <w:right w:val="none" w:sz="0" w:space="0" w:color="auto"/>
      </w:divBdr>
      <w:divsChild>
        <w:div w:id="497305999">
          <w:marLeft w:val="547"/>
          <w:marRight w:val="0"/>
          <w:marTop w:val="96"/>
          <w:marBottom w:val="60"/>
          <w:divBdr>
            <w:top w:val="none" w:sz="0" w:space="0" w:color="auto"/>
            <w:left w:val="none" w:sz="0" w:space="0" w:color="auto"/>
            <w:bottom w:val="none" w:sz="0" w:space="0" w:color="auto"/>
            <w:right w:val="none" w:sz="0" w:space="0" w:color="auto"/>
          </w:divBdr>
        </w:div>
        <w:div w:id="602303924">
          <w:marLeft w:val="547"/>
          <w:marRight w:val="0"/>
          <w:marTop w:val="96"/>
          <w:marBottom w:val="60"/>
          <w:divBdr>
            <w:top w:val="none" w:sz="0" w:space="0" w:color="auto"/>
            <w:left w:val="none" w:sz="0" w:space="0" w:color="auto"/>
            <w:bottom w:val="none" w:sz="0" w:space="0" w:color="auto"/>
            <w:right w:val="none" w:sz="0" w:space="0" w:color="auto"/>
          </w:divBdr>
        </w:div>
        <w:div w:id="743642519">
          <w:marLeft w:val="547"/>
          <w:marRight w:val="0"/>
          <w:marTop w:val="96"/>
          <w:marBottom w:val="60"/>
          <w:divBdr>
            <w:top w:val="none" w:sz="0" w:space="0" w:color="auto"/>
            <w:left w:val="none" w:sz="0" w:space="0" w:color="auto"/>
            <w:bottom w:val="none" w:sz="0" w:space="0" w:color="auto"/>
            <w:right w:val="none" w:sz="0" w:space="0" w:color="auto"/>
          </w:divBdr>
        </w:div>
      </w:divsChild>
    </w:div>
    <w:div w:id="1583105407">
      <w:bodyDiv w:val="1"/>
      <w:marLeft w:val="0"/>
      <w:marRight w:val="0"/>
      <w:marTop w:val="0"/>
      <w:marBottom w:val="0"/>
      <w:divBdr>
        <w:top w:val="none" w:sz="0" w:space="0" w:color="auto"/>
        <w:left w:val="none" w:sz="0" w:space="0" w:color="auto"/>
        <w:bottom w:val="none" w:sz="0" w:space="0" w:color="auto"/>
        <w:right w:val="none" w:sz="0" w:space="0" w:color="auto"/>
      </w:divBdr>
    </w:div>
    <w:div w:id="1597205688">
      <w:bodyDiv w:val="1"/>
      <w:marLeft w:val="0"/>
      <w:marRight w:val="0"/>
      <w:marTop w:val="0"/>
      <w:marBottom w:val="0"/>
      <w:divBdr>
        <w:top w:val="none" w:sz="0" w:space="0" w:color="auto"/>
        <w:left w:val="none" w:sz="0" w:space="0" w:color="auto"/>
        <w:bottom w:val="none" w:sz="0" w:space="0" w:color="auto"/>
        <w:right w:val="none" w:sz="0" w:space="0" w:color="auto"/>
      </w:divBdr>
    </w:div>
    <w:div w:id="1605184177">
      <w:bodyDiv w:val="1"/>
      <w:marLeft w:val="0"/>
      <w:marRight w:val="0"/>
      <w:marTop w:val="0"/>
      <w:marBottom w:val="0"/>
      <w:divBdr>
        <w:top w:val="none" w:sz="0" w:space="0" w:color="auto"/>
        <w:left w:val="none" w:sz="0" w:space="0" w:color="auto"/>
        <w:bottom w:val="none" w:sz="0" w:space="0" w:color="auto"/>
        <w:right w:val="none" w:sz="0" w:space="0" w:color="auto"/>
      </w:divBdr>
      <w:divsChild>
        <w:div w:id="363596250">
          <w:marLeft w:val="547"/>
          <w:marRight w:val="0"/>
          <w:marTop w:val="96"/>
          <w:marBottom w:val="60"/>
          <w:divBdr>
            <w:top w:val="none" w:sz="0" w:space="0" w:color="auto"/>
            <w:left w:val="none" w:sz="0" w:space="0" w:color="auto"/>
            <w:bottom w:val="none" w:sz="0" w:space="0" w:color="auto"/>
            <w:right w:val="none" w:sz="0" w:space="0" w:color="auto"/>
          </w:divBdr>
        </w:div>
        <w:div w:id="608389844">
          <w:marLeft w:val="547"/>
          <w:marRight w:val="0"/>
          <w:marTop w:val="96"/>
          <w:marBottom w:val="60"/>
          <w:divBdr>
            <w:top w:val="none" w:sz="0" w:space="0" w:color="auto"/>
            <w:left w:val="none" w:sz="0" w:space="0" w:color="auto"/>
            <w:bottom w:val="none" w:sz="0" w:space="0" w:color="auto"/>
            <w:right w:val="none" w:sz="0" w:space="0" w:color="auto"/>
          </w:divBdr>
        </w:div>
        <w:div w:id="1431002926">
          <w:marLeft w:val="547"/>
          <w:marRight w:val="0"/>
          <w:marTop w:val="96"/>
          <w:marBottom w:val="60"/>
          <w:divBdr>
            <w:top w:val="none" w:sz="0" w:space="0" w:color="auto"/>
            <w:left w:val="none" w:sz="0" w:space="0" w:color="auto"/>
            <w:bottom w:val="none" w:sz="0" w:space="0" w:color="auto"/>
            <w:right w:val="none" w:sz="0" w:space="0" w:color="auto"/>
          </w:divBdr>
        </w:div>
        <w:div w:id="1640499733">
          <w:marLeft w:val="547"/>
          <w:marRight w:val="0"/>
          <w:marTop w:val="96"/>
          <w:marBottom w:val="60"/>
          <w:divBdr>
            <w:top w:val="none" w:sz="0" w:space="0" w:color="auto"/>
            <w:left w:val="none" w:sz="0" w:space="0" w:color="auto"/>
            <w:bottom w:val="none" w:sz="0" w:space="0" w:color="auto"/>
            <w:right w:val="none" w:sz="0" w:space="0" w:color="auto"/>
          </w:divBdr>
        </w:div>
        <w:div w:id="1688632976">
          <w:marLeft w:val="547"/>
          <w:marRight w:val="0"/>
          <w:marTop w:val="96"/>
          <w:marBottom w:val="60"/>
          <w:divBdr>
            <w:top w:val="none" w:sz="0" w:space="0" w:color="auto"/>
            <w:left w:val="none" w:sz="0" w:space="0" w:color="auto"/>
            <w:bottom w:val="none" w:sz="0" w:space="0" w:color="auto"/>
            <w:right w:val="none" w:sz="0" w:space="0" w:color="auto"/>
          </w:divBdr>
        </w:div>
        <w:div w:id="1820799912">
          <w:marLeft w:val="547"/>
          <w:marRight w:val="0"/>
          <w:marTop w:val="96"/>
          <w:marBottom w:val="60"/>
          <w:divBdr>
            <w:top w:val="none" w:sz="0" w:space="0" w:color="auto"/>
            <w:left w:val="none" w:sz="0" w:space="0" w:color="auto"/>
            <w:bottom w:val="none" w:sz="0" w:space="0" w:color="auto"/>
            <w:right w:val="none" w:sz="0" w:space="0" w:color="auto"/>
          </w:divBdr>
        </w:div>
      </w:divsChild>
    </w:div>
    <w:div w:id="1657562714">
      <w:bodyDiv w:val="1"/>
      <w:marLeft w:val="0"/>
      <w:marRight w:val="0"/>
      <w:marTop w:val="0"/>
      <w:marBottom w:val="0"/>
      <w:divBdr>
        <w:top w:val="none" w:sz="0" w:space="0" w:color="auto"/>
        <w:left w:val="none" w:sz="0" w:space="0" w:color="auto"/>
        <w:bottom w:val="none" w:sz="0" w:space="0" w:color="auto"/>
        <w:right w:val="none" w:sz="0" w:space="0" w:color="auto"/>
      </w:divBdr>
      <w:divsChild>
        <w:div w:id="346754092">
          <w:marLeft w:val="547"/>
          <w:marRight w:val="0"/>
          <w:marTop w:val="96"/>
          <w:marBottom w:val="60"/>
          <w:divBdr>
            <w:top w:val="none" w:sz="0" w:space="0" w:color="auto"/>
            <w:left w:val="none" w:sz="0" w:space="0" w:color="auto"/>
            <w:bottom w:val="none" w:sz="0" w:space="0" w:color="auto"/>
            <w:right w:val="none" w:sz="0" w:space="0" w:color="auto"/>
          </w:divBdr>
        </w:div>
        <w:div w:id="367754092">
          <w:marLeft w:val="547"/>
          <w:marRight w:val="0"/>
          <w:marTop w:val="96"/>
          <w:marBottom w:val="60"/>
          <w:divBdr>
            <w:top w:val="none" w:sz="0" w:space="0" w:color="auto"/>
            <w:left w:val="none" w:sz="0" w:space="0" w:color="auto"/>
            <w:bottom w:val="none" w:sz="0" w:space="0" w:color="auto"/>
            <w:right w:val="none" w:sz="0" w:space="0" w:color="auto"/>
          </w:divBdr>
        </w:div>
        <w:div w:id="454831498">
          <w:marLeft w:val="547"/>
          <w:marRight w:val="0"/>
          <w:marTop w:val="96"/>
          <w:marBottom w:val="60"/>
          <w:divBdr>
            <w:top w:val="none" w:sz="0" w:space="0" w:color="auto"/>
            <w:left w:val="none" w:sz="0" w:space="0" w:color="auto"/>
            <w:bottom w:val="none" w:sz="0" w:space="0" w:color="auto"/>
            <w:right w:val="none" w:sz="0" w:space="0" w:color="auto"/>
          </w:divBdr>
        </w:div>
        <w:div w:id="640577586">
          <w:marLeft w:val="547"/>
          <w:marRight w:val="0"/>
          <w:marTop w:val="96"/>
          <w:marBottom w:val="60"/>
          <w:divBdr>
            <w:top w:val="none" w:sz="0" w:space="0" w:color="auto"/>
            <w:left w:val="none" w:sz="0" w:space="0" w:color="auto"/>
            <w:bottom w:val="none" w:sz="0" w:space="0" w:color="auto"/>
            <w:right w:val="none" w:sz="0" w:space="0" w:color="auto"/>
          </w:divBdr>
        </w:div>
        <w:div w:id="1425758253">
          <w:marLeft w:val="547"/>
          <w:marRight w:val="0"/>
          <w:marTop w:val="96"/>
          <w:marBottom w:val="60"/>
          <w:divBdr>
            <w:top w:val="none" w:sz="0" w:space="0" w:color="auto"/>
            <w:left w:val="none" w:sz="0" w:space="0" w:color="auto"/>
            <w:bottom w:val="none" w:sz="0" w:space="0" w:color="auto"/>
            <w:right w:val="none" w:sz="0" w:space="0" w:color="auto"/>
          </w:divBdr>
        </w:div>
        <w:div w:id="1438989672">
          <w:marLeft w:val="547"/>
          <w:marRight w:val="0"/>
          <w:marTop w:val="96"/>
          <w:marBottom w:val="60"/>
          <w:divBdr>
            <w:top w:val="none" w:sz="0" w:space="0" w:color="auto"/>
            <w:left w:val="none" w:sz="0" w:space="0" w:color="auto"/>
            <w:bottom w:val="none" w:sz="0" w:space="0" w:color="auto"/>
            <w:right w:val="none" w:sz="0" w:space="0" w:color="auto"/>
          </w:divBdr>
        </w:div>
      </w:divsChild>
    </w:div>
    <w:div w:id="1670407756">
      <w:bodyDiv w:val="1"/>
      <w:marLeft w:val="0"/>
      <w:marRight w:val="0"/>
      <w:marTop w:val="0"/>
      <w:marBottom w:val="0"/>
      <w:divBdr>
        <w:top w:val="none" w:sz="0" w:space="0" w:color="auto"/>
        <w:left w:val="none" w:sz="0" w:space="0" w:color="auto"/>
        <w:bottom w:val="none" w:sz="0" w:space="0" w:color="auto"/>
        <w:right w:val="none" w:sz="0" w:space="0" w:color="auto"/>
      </w:divBdr>
    </w:div>
    <w:div w:id="1687294333">
      <w:bodyDiv w:val="1"/>
      <w:marLeft w:val="0"/>
      <w:marRight w:val="0"/>
      <w:marTop w:val="0"/>
      <w:marBottom w:val="0"/>
      <w:divBdr>
        <w:top w:val="none" w:sz="0" w:space="0" w:color="auto"/>
        <w:left w:val="none" w:sz="0" w:space="0" w:color="auto"/>
        <w:bottom w:val="none" w:sz="0" w:space="0" w:color="auto"/>
        <w:right w:val="none" w:sz="0" w:space="0" w:color="auto"/>
      </w:divBdr>
    </w:div>
    <w:div w:id="1691955850">
      <w:bodyDiv w:val="1"/>
      <w:marLeft w:val="0"/>
      <w:marRight w:val="0"/>
      <w:marTop w:val="0"/>
      <w:marBottom w:val="0"/>
      <w:divBdr>
        <w:top w:val="none" w:sz="0" w:space="0" w:color="auto"/>
        <w:left w:val="none" w:sz="0" w:space="0" w:color="auto"/>
        <w:bottom w:val="none" w:sz="0" w:space="0" w:color="auto"/>
        <w:right w:val="none" w:sz="0" w:space="0" w:color="auto"/>
      </w:divBdr>
      <w:divsChild>
        <w:div w:id="998774270">
          <w:marLeft w:val="720"/>
          <w:marRight w:val="0"/>
          <w:marTop w:val="96"/>
          <w:marBottom w:val="60"/>
          <w:divBdr>
            <w:top w:val="none" w:sz="0" w:space="0" w:color="auto"/>
            <w:left w:val="none" w:sz="0" w:space="0" w:color="auto"/>
            <w:bottom w:val="none" w:sz="0" w:space="0" w:color="auto"/>
            <w:right w:val="none" w:sz="0" w:space="0" w:color="auto"/>
          </w:divBdr>
        </w:div>
        <w:div w:id="1218317562">
          <w:marLeft w:val="720"/>
          <w:marRight w:val="0"/>
          <w:marTop w:val="96"/>
          <w:marBottom w:val="60"/>
          <w:divBdr>
            <w:top w:val="none" w:sz="0" w:space="0" w:color="auto"/>
            <w:left w:val="none" w:sz="0" w:space="0" w:color="auto"/>
            <w:bottom w:val="none" w:sz="0" w:space="0" w:color="auto"/>
            <w:right w:val="none" w:sz="0" w:space="0" w:color="auto"/>
          </w:divBdr>
        </w:div>
        <w:div w:id="1886523486">
          <w:marLeft w:val="720"/>
          <w:marRight w:val="0"/>
          <w:marTop w:val="96"/>
          <w:marBottom w:val="60"/>
          <w:divBdr>
            <w:top w:val="none" w:sz="0" w:space="0" w:color="auto"/>
            <w:left w:val="none" w:sz="0" w:space="0" w:color="auto"/>
            <w:bottom w:val="none" w:sz="0" w:space="0" w:color="auto"/>
            <w:right w:val="none" w:sz="0" w:space="0" w:color="auto"/>
          </w:divBdr>
        </w:div>
        <w:div w:id="2065175821">
          <w:marLeft w:val="720"/>
          <w:marRight w:val="0"/>
          <w:marTop w:val="96"/>
          <w:marBottom w:val="60"/>
          <w:divBdr>
            <w:top w:val="none" w:sz="0" w:space="0" w:color="auto"/>
            <w:left w:val="none" w:sz="0" w:space="0" w:color="auto"/>
            <w:bottom w:val="none" w:sz="0" w:space="0" w:color="auto"/>
            <w:right w:val="none" w:sz="0" w:space="0" w:color="auto"/>
          </w:divBdr>
        </w:div>
      </w:divsChild>
    </w:div>
    <w:div w:id="1726903067">
      <w:bodyDiv w:val="1"/>
      <w:marLeft w:val="0"/>
      <w:marRight w:val="0"/>
      <w:marTop w:val="0"/>
      <w:marBottom w:val="0"/>
      <w:divBdr>
        <w:top w:val="none" w:sz="0" w:space="0" w:color="auto"/>
        <w:left w:val="none" w:sz="0" w:space="0" w:color="auto"/>
        <w:bottom w:val="none" w:sz="0" w:space="0" w:color="auto"/>
        <w:right w:val="none" w:sz="0" w:space="0" w:color="auto"/>
      </w:divBdr>
    </w:div>
    <w:div w:id="1747847121">
      <w:bodyDiv w:val="1"/>
      <w:marLeft w:val="0"/>
      <w:marRight w:val="0"/>
      <w:marTop w:val="0"/>
      <w:marBottom w:val="0"/>
      <w:divBdr>
        <w:top w:val="none" w:sz="0" w:space="0" w:color="auto"/>
        <w:left w:val="none" w:sz="0" w:space="0" w:color="auto"/>
        <w:bottom w:val="none" w:sz="0" w:space="0" w:color="auto"/>
        <w:right w:val="none" w:sz="0" w:space="0" w:color="auto"/>
      </w:divBdr>
    </w:div>
    <w:div w:id="1768043004">
      <w:bodyDiv w:val="1"/>
      <w:marLeft w:val="0"/>
      <w:marRight w:val="0"/>
      <w:marTop w:val="0"/>
      <w:marBottom w:val="0"/>
      <w:divBdr>
        <w:top w:val="none" w:sz="0" w:space="0" w:color="auto"/>
        <w:left w:val="none" w:sz="0" w:space="0" w:color="auto"/>
        <w:bottom w:val="none" w:sz="0" w:space="0" w:color="auto"/>
        <w:right w:val="none" w:sz="0" w:space="0" w:color="auto"/>
      </w:divBdr>
    </w:div>
    <w:div w:id="1805654898">
      <w:bodyDiv w:val="1"/>
      <w:marLeft w:val="0"/>
      <w:marRight w:val="0"/>
      <w:marTop w:val="0"/>
      <w:marBottom w:val="0"/>
      <w:divBdr>
        <w:top w:val="none" w:sz="0" w:space="0" w:color="auto"/>
        <w:left w:val="none" w:sz="0" w:space="0" w:color="auto"/>
        <w:bottom w:val="none" w:sz="0" w:space="0" w:color="auto"/>
        <w:right w:val="none" w:sz="0" w:space="0" w:color="auto"/>
      </w:divBdr>
      <w:divsChild>
        <w:div w:id="92357910">
          <w:marLeft w:val="547"/>
          <w:marRight w:val="0"/>
          <w:marTop w:val="96"/>
          <w:marBottom w:val="0"/>
          <w:divBdr>
            <w:top w:val="none" w:sz="0" w:space="0" w:color="auto"/>
            <w:left w:val="none" w:sz="0" w:space="0" w:color="auto"/>
            <w:bottom w:val="none" w:sz="0" w:space="0" w:color="auto"/>
            <w:right w:val="none" w:sz="0" w:space="0" w:color="auto"/>
          </w:divBdr>
        </w:div>
        <w:div w:id="131799618">
          <w:marLeft w:val="547"/>
          <w:marRight w:val="0"/>
          <w:marTop w:val="96"/>
          <w:marBottom w:val="0"/>
          <w:divBdr>
            <w:top w:val="none" w:sz="0" w:space="0" w:color="auto"/>
            <w:left w:val="none" w:sz="0" w:space="0" w:color="auto"/>
            <w:bottom w:val="none" w:sz="0" w:space="0" w:color="auto"/>
            <w:right w:val="none" w:sz="0" w:space="0" w:color="auto"/>
          </w:divBdr>
        </w:div>
        <w:div w:id="244805491">
          <w:marLeft w:val="547"/>
          <w:marRight w:val="0"/>
          <w:marTop w:val="96"/>
          <w:marBottom w:val="0"/>
          <w:divBdr>
            <w:top w:val="none" w:sz="0" w:space="0" w:color="auto"/>
            <w:left w:val="none" w:sz="0" w:space="0" w:color="auto"/>
            <w:bottom w:val="none" w:sz="0" w:space="0" w:color="auto"/>
            <w:right w:val="none" w:sz="0" w:space="0" w:color="auto"/>
          </w:divBdr>
        </w:div>
        <w:div w:id="996962638">
          <w:marLeft w:val="547"/>
          <w:marRight w:val="0"/>
          <w:marTop w:val="96"/>
          <w:marBottom w:val="0"/>
          <w:divBdr>
            <w:top w:val="none" w:sz="0" w:space="0" w:color="auto"/>
            <w:left w:val="none" w:sz="0" w:space="0" w:color="auto"/>
            <w:bottom w:val="none" w:sz="0" w:space="0" w:color="auto"/>
            <w:right w:val="none" w:sz="0" w:space="0" w:color="auto"/>
          </w:divBdr>
        </w:div>
        <w:div w:id="1235312852">
          <w:marLeft w:val="547"/>
          <w:marRight w:val="0"/>
          <w:marTop w:val="96"/>
          <w:marBottom w:val="0"/>
          <w:divBdr>
            <w:top w:val="none" w:sz="0" w:space="0" w:color="auto"/>
            <w:left w:val="none" w:sz="0" w:space="0" w:color="auto"/>
            <w:bottom w:val="none" w:sz="0" w:space="0" w:color="auto"/>
            <w:right w:val="none" w:sz="0" w:space="0" w:color="auto"/>
          </w:divBdr>
        </w:div>
        <w:div w:id="1289967255">
          <w:marLeft w:val="547"/>
          <w:marRight w:val="0"/>
          <w:marTop w:val="96"/>
          <w:marBottom w:val="0"/>
          <w:divBdr>
            <w:top w:val="none" w:sz="0" w:space="0" w:color="auto"/>
            <w:left w:val="none" w:sz="0" w:space="0" w:color="auto"/>
            <w:bottom w:val="none" w:sz="0" w:space="0" w:color="auto"/>
            <w:right w:val="none" w:sz="0" w:space="0" w:color="auto"/>
          </w:divBdr>
        </w:div>
        <w:div w:id="1430157370">
          <w:marLeft w:val="547"/>
          <w:marRight w:val="0"/>
          <w:marTop w:val="96"/>
          <w:marBottom w:val="0"/>
          <w:divBdr>
            <w:top w:val="none" w:sz="0" w:space="0" w:color="auto"/>
            <w:left w:val="none" w:sz="0" w:space="0" w:color="auto"/>
            <w:bottom w:val="none" w:sz="0" w:space="0" w:color="auto"/>
            <w:right w:val="none" w:sz="0" w:space="0" w:color="auto"/>
          </w:divBdr>
        </w:div>
        <w:div w:id="1831477330">
          <w:marLeft w:val="547"/>
          <w:marRight w:val="0"/>
          <w:marTop w:val="96"/>
          <w:marBottom w:val="0"/>
          <w:divBdr>
            <w:top w:val="none" w:sz="0" w:space="0" w:color="auto"/>
            <w:left w:val="none" w:sz="0" w:space="0" w:color="auto"/>
            <w:bottom w:val="none" w:sz="0" w:space="0" w:color="auto"/>
            <w:right w:val="none" w:sz="0" w:space="0" w:color="auto"/>
          </w:divBdr>
        </w:div>
      </w:divsChild>
    </w:div>
    <w:div w:id="1826778497">
      <w:bodyDiv w:val="1"/>
      <w:marLeft w:val="0"/>
      <w:marRight w:val="0"/>
      <w:marTop w:val="0"/>
      <w:marBottom w:val="0"/>
      <w:divBdr>
        <w:top w:val="none" w:sz="0" w:space="0" w:color="auto"/>
        <w:left w:val="none" w:sz="0" w:space="0" w:color="auto"/>
        <w:bottom w:val="none" w:sz="0" w:space="0" w:color="auto"/>
        <w:right w:val="none" w:sz="0" w:space="0" w:color="auto"/>
      </w:divBdr>
    </w:div>
    <w:div w:id="1833787956">
      <w:bodyDiv w:val="1"/>
      <w:marLeft w:val="0"/>
      <w:marRight w:val="0"/>
      <w:marTop w:val="0"/>
      <w:marBottom w:val="0"/>
      <w:divBdr>
        <w:top w:val="none" w:sz="0" w:space="0" w:color="auto"/>
        <w:left w:val="none" w:sz="0" w:space="0" w:color="auto"/>
        <w:bottom w:val="none" w:sz="0" w:space="0" w:color="auto"/>
        <w:right w:val="none" w:sz="0" w:space="0" w:color="auto"/>
      </w:divBdr>
      <w:divsChild>
        <w:div w:id="254241535">
          <w:marLeft w:val="547"/>
          <w:marRight w:val="0"/>
          <w:marTop w:val="96"/>
          <w:marBottom w:val="60"/>
          <w:divBdr>
            <w:top w:val="none" w:sz="0" w:space="0" w:color="auto"/>
            <w:left w:val="none" w:sz="0" w:space="0" w:color="auto"/>
            <w:bottom w:val="none" w:sz="0" w:space="0" w:color="auto"/>
            <w:right w:val="none" w:sz="0" w:space="0" w:color="auto"/>
          </w:divBdr>
        </w:div>
        <w:div w:id="2009480760">
          <w:marLeft w:val="547"/>
          <w:marRight w:val="0"/>
          <w:marTop w:val="96"/>
          <w:marBottom w:val="60"/>
          <w:divBdr>
            <w:top w:val="none" w:sz="0" w:space="0" w:color="auto"/>
            <w:left w:val="none" w:sz="0" w:space="0" w:color="auto"/>
            <w:bottom w:val="none" w:sz="0" w:space="0" w:color="auto"/>
            <w:right w:val="none" w:sz="0" w:space="0" w:color="auto"/>
          </w:divBdr>
        </w:div>
      </w:divsChild>
    </w:div>
    <w:div w:id="1842308884">
      <w:bodyDiv w:val="1"/>
      <w:marLeft w:val="0"/>
      <w:marRight w:val="0"/>
      <w:marTop w:val="0"/>
      <w:marBottom w:val="0"/>
      <w:divBdr>
        <w:top w:val="none" w:sz="0" w:space="0" w:color="auto"/>
        <w:left w:val="none" w:sz="0" w:space="0" w:color="auto"/>
        <w:bottom w:val="none" w:sz="0" w:space="0" w:color="auto"/>
        <w:right w:val="none" w:sz="0" w:space="0" w:color="auto"/>
      </w:divBdr>
    </w:div>
    <w:div w:id="1842357354">
      <w:bodyDiv w:val="1"/>
      <w:marLeft w:val="0"/>
      <w:marRight w:val="0"/>
      <w:marTop w:val="0"/>
      <w:marBottom w:val="0"/>
      <w:divBdr>
        <w:top w:val="none" w:sz="0" w:space="0" w:color="auto"/>
        <w:left w:val="none" w:sz="0" w:space="0" w:color="auto"/>
        <w:bottom w:val="none" w:sz="0" w:space="0" w:color="auto"/>
        <w:right w:val="none" w:sz="0" w:space="0" w:color="auto"/>
      </w:divBdr>
    </w:div>
    <w:div w:id="1848867773">
      <w:bodyDiv w:val="1"/>
      <w:marLeft w:val="0"/>
      <w:marRight w:val="0"/>
      <w:marTop w:val="0"/>
      <w:marBottom w:val="0"/>
      <w:divBdr>
        <w:top w:val="none" w:sz="0" w:space="0" w:color="auto"/>
        <w:left w:val="none" w:sz="0" w:space="0" w:color="auto"/>
        <w:bottom w:val="none" w:sz="0" w:space="0" w:color="auto"/>
        <w:right w:val="none" w:sz="0" w:space="0" w:color="auto"/>
      </w:divBdr>
    </w:div>
    <w:div w:id="1858738019">
      <w:bodyDiv w:val="1"/>
      <w:marLeft w:val="0"/>
      <w:marRight w:val="0"/>
      <w:marTop w:val="0"/>
      <w:marBottom w:val="0"/>
      <w:divBdr>
        <w:top w:val="none" w:sz="0" w:space="0" w:color="auto"/>
        <w:left w:val="none" w:sz="0" w:space="0" w:color="auto"/>
        <w:bottom w:val="none" w:sz="0" w:space="0" w:color="auto"/>
        <w:right w:val="none" w:sz="0" w:space="0" w:color="auto"/>
      </w:divBdr>
    </w:div>
    <w:div w:id="1934169440">
      <w:bodyDiv w:val="1"/>
      <w:marLeft w:val="0"/>
      <w:marRight w:val="0"/>
      <w:marTop w:val="0"/>
      <w:marBottom w:val="0"/>
      <w:divBdr>
        <w:top w:val="none" w:sz="0" w:space="0" w:color="auto"/>
        <w:left w:val="none" w:sz="0" w:space="0" w:color="auto"/>
        <w:bottom w:val="none" w:sz="0" w:space="0" w:color="auto"/>
        <w:right w:val="none" w:sz="0" w:space="0" w:color="auto"/>
      </w:divBdr>
    </w:div>
    <w:div w:id="1942906577">
      <w:bodyDiv w:val="1"/>
      <w:marLeft w:val="0"/>
      <w:marRight w:val="0"/>
      <w:marTop w:val="0"/>
      <w:marBottom w:val="0"/>
      <w:divBdr>
        <w:top w:val="none" w:sz="0" w:space="0" w:color="auto"/>
        <w:left w:val="none" w:sz="0" w:space="0" w:color="auto"/>
        <w:bottom w:val="none" w:sz="0" w:space="0" w:color="auto"/>
        <w:right w:val="none" w:sz="0" w:space="0" w:color="auto"/>
      </w:divBdr>
    </w:div>
    <w:div w:id="1978756348">
      <w:bodyDiv w:val="1"/>
      <w:marLeft w:val="0"/>
      <w:marRight w:val="0"/>
      <w:marTop w:val="0"/>
      <w:marBottom w:val="0"/>
      <w:divBdr>
        <w:top w:val="none" w:sz="0" w:space="0" w:color="auto"/>
        <w:left w:val="none" w:sz="0" w:space="0" w:color="auto"/>
        <w:bottom w:val="none" w:sz="0" w:space="0" w:color="auto"/>
        <w:right w:val="none" w:sz="0" w:space="0" w:color="auto"/>
      </w:divBdr>
      <w:divsChild>
        <w:div w:id="1760254185">
          <w:marLeft w:val="0"/>
          <w:marRight w:val="0"/>
          <w:marTop w:val="0"/>
          <w:marBottom w:val="0"/>
          <w:divBdr>
            <w:top w:val="none" w:sz="0" w:space="0" w:color="auto"/>
            <w:left w:val="none" w:sz="0" w:space="0" w:color="auto"/>
            <w:bottom w:val="none" w:sz="0" w:space="0" w:color="auto"/>
            <w:right w:val="none" w:sz="0" w:space="0" w:color="auto"/>
          </w:divBdr>
          <w:divsChild>
            <w:div w:id="2065173264">
              <w:marLeft w:val="0"/>
              <w:marRight w:val="0"/>
              <w:marTop w:val="0"/>
              <w:marBottom w:val="0"/>
              <w:divBdr>
                <w:top w:val="none" w:sz="0" w:space="0" w:color="auto"/>
                <w:left w:val="none" w:sz="0" w:space="0" w:color="auto"/>
                <w:bottom w:val="none" w:sz="0" w:space="0" w:color="auto"/>
                <w:right w:val="none" w:sz="0" w:space="0" w:color="auto"/>
              </w:divBdr>
              <w:divsChild>
                <w:div w:id="2026320122">
                  <w:marLeft w:val="0"/>
                  <w:marRight w:val="0"/>
                  <w:marTop w:val="0"/>
                  <w:marBottom w:val="0"/>
                  <w:divBdr>
                    <w:top w:val="none" w:sz="0" w:space="0" w:color="auto"/>
                    <w:left w:val="none" w:sz="0" w:space="0" w:color="auto"/>
                    <w:bottom w:val="none" w:sz="0" w:space="0" w:color="auto"/>
                    <w:right w:val="none" w:sz="0" w:space="0" w:color="auto"/>
                  </w:divBdr>
                  <w:divsChild>
                    <w:div w:id="1363095048">
                      <w:marLeft w:val="0"/>
                      <w:marRight w:val="0"/>
                      <w:marTop w:val="0"/>
                      <w:marBottom w:val="0"/>
                      <w:divBdr>
                        <w:top w:val="none" w:sz="0" w:space="0" w:color="auto"/>
                        <w:left w:val="none" w:sz="0" w:space="0" w:color="auto"/>
                        <w:bottom w:val="none" w:sz="0" w:space="0" w:color="auto"/>
                        <w:right w:val="none" w:sz="0" w:space="0" w:color="auto"/>
                      </w:divBdr>
                      <w:divsChild>
                        <w:div w:id="1667782254">
                          <w:marLeft w:val="0"/>
                          <w:marRight w:val="0"/>
                          <w:marTop w:val="0"/>
                          <w:marBottom w:val="0"/>
                          <w:divBdr>
                            <w:top w:val="none" w:sz="0" w:space="0" w:color="auto"/>
                            <w:left w:val="none" w:sz="0" w:space="0" w:color="auto"/>
                            <w:bottom w:val="none" w:sz="0" w:space="0" w:color="auto"/>
                            <w:right w:val="none" w:sz="0" w:space="0" w:color="auto"/>
                          </w:divBdr>
                          <w:divsChild>
                            <w:div w:id="7607316">
                              <w:marLeft w:val="0"/>
                              <w:marRight w:val="0"/>
                              <w:marTop w:val="0"/>
                              <w:marBottom w:val="0"/>
                              <w:divBdr>
                                <w:top w:val="none" w:sz="0" w:space="0" w:color="auto"/>
                                <w:left w:val="none" w:sz="0" w:space="0" w:color="auto"/>
                                <w:bottom w:val="none" w:sz="0" w:space="0" w:color="auto"/>
                                <w:right w:val="none" w:sz="0" w:space="0" w:color="auto"/>
                              </w:divBdr>
                              <w:divsChild>
                                <w:div w:id="293996338">
                                  <w:marLeft w:val="0"/>
                                  <w:marRight w:val="0"/>
                                  <w:marTop w:val="0"/>
                                  <w:marBottom w:val="0"/>
                                  <w:divBdr>
                                    <w:top w:val="none" w:sz="0" w:space="0" w:color="auto"/>
                                    <w:left w:val="none" w:sz="0" w:space="0" w:color="auto"/>
                                    <w:bottom w:val="none" w:sz="0" w:space="0" w:color="auto"/>
                                    <w:right w:val="none" w:sz="0" w:space="0" w:color="auto"/>
                                  </w:divBdr>
                                  <w:divsChild>
                                    <w:div w:id="212172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150664">
      <w:bodyDiv w:val="1"/>
      <w:marLeft w:val="0"/>
      <w:marRight w:val="0"/>
      <w:marTop w:val="0"/>
      <w:marBottom w:val="0"/>
      <w:divBdr>
        <w:top w:val="none" w:sz="0" w:space="0" w:color="auto"/>
        <w:left w:val="none" w:sz="0" w:space="0" w:color="auto"/>
        <w:bottom w:val="none" w:sz="0" w:space="0" w:color="auto"/>
        <w:right w:val="none" w:sz="0" w:space="0" w:color="auto"/>
      </w:divBdr>
      <w:divsChild>
        <w:div w:id="723330734">
          <w:marLeft w:val="0"/>
          <w:marRight w:val="0"/>
          <w:marTop w:val="0"/>
          <w:marBottom w:val="0"/>
          <w:divBdr>
            <w:top w:val="none" w:sz="0" w:space="0" w:color="auto"/>
            <w:left w:val="none" w:sz="0" w:space="0" w:color="auto"/>
            <w:bottom w:val="none" w:sz="0" w:space="0" w:color="auto"/>
            <w:right w:val="none" w:sz="0" w:space="0" w:color="auto"/>
          </w:divBdr>
          <w:divsChild>
            <w:div w:id="1935702179">
              <w:marLeft w:val="0"/>
              <w:marRight w:val="0"/>
              <w:marTop w:val="0"/>
              <w:marBottom w:val="0"/>
              <w:divBdr>
                <w:top w:val="none" w:sz="0" w:space="0" w:color="auto"/>
                <w:left w:val="none" w:sz="0" w:space="0" w:color="auto"/>
                <w:bottom w:val="none" w:sz="0" w:space="0" w:color="auto"/>
                <w:right w:val="none" w:sz="0" w:space="0" w:color="auto"/>
              </w:divBdr>
              <w:divsChild>
                <w:div w:id="1988969903">
                  <w:marLeft w:val="0"/>
                  <w:marRight w:val="150"/>
                  <w:marTop w:val="0"/>
                  <w:marBottom w:val="0"/>
                  <w:divBdr>
                    <w:top w:val="none" w:sz="0" w:space="0" w:color="auto"/>
                    <w:left w:val="none" w:sz="0" w:space="0" w:color="auto"/>
                    <w:bottom w:val="none" w:sz="0" w:space="0" w:color="auto"/>
                    <w:right w:val="none" w:sz="0" w:space="0" w:color="auto"/>
                  </w:divBdr>
                  <w:divsChild>
                    <w:div w:id="778568260">
                      <w:marLeft w:val="0"/>
                      <w:marRight w:val="0"/>
                      <w:marTop w:val="240"/>
                      <w:marBottom w:val="0"/>
                      <w:divBdr>
                        <w:top w:val="single" w:sz="6" w:space="11" w:color="DDDDDD"/>
                        <w:left w:val="single" w:sz="6" w:space="11" w:color="F0F0F0"/>
                        <w:bottom w:val="single" w:sz="6" w:space="11" w:color="FBFBFB"/>
                        <w:right w:val="single" w:sz="6" w:space="11" w:color="F0F0F0"/>
                      </w:divBdr>
                    </w:div>
                  </w:divsChild>
                </w:div>
              </w:divsChild>
            </w:div>
          </w:divsChild>
        </w:div>
      </w:divsChild>
    </w:div>
    <w:div w:id="2013141355">
      <w:bodyDiv w:val="1"/>
      <w:marLeft w:val="0"/>
      <w:marRight w:val="0"/>
      <w:marTop w:val="0"/>
      <w:marBottom w:val="0"/>
      <w:divBdr>
        <w:top w:val="none" w:sz="0" w:space="0" w:color="auto"/>
        <w:left w:val="none" w:sz="0" w:space="0" w:color="auto"/>
        <w:bottom w:val="none" w:sz="0" w:space="0" w:color="auto"/>
        <w:right w:val="none" w:sz="0" w:space="0" w:color="auto"/>
      </w:divBdr>
    </w:div>
    <w:div w:id="2106611128">
      <w:bodyDiv w:val="1"/>
      <w:marLeft w:val="0"/>
      <w:marRight w:val="0"/>
      <w:marTop w:val="0"/>
      <w:marBottom w:val="0"/>
      <w:divBdr>
        <w:top w:val="none" w:sz="0" w:space="0" w:color="auto"/>
        <w:left w:val="none" w:sz="0" w:space="0" w:color="auto"/>
        <w:bottom w:val="none" w:sz="0" w:space="0" w:color="auto"/>
        <w:right w:val="none" w:sz="0" w:space="0" w:color="auto"/>
      </w:divBdr>
    </w:div>
    <w:div w:id="2109347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header" Target="header9.xml"/><Relationship Id="rId21" Type="http://schemas.openxmlformats.org/officeDocument/2006/relationships/image" Target="media/image6.jpeg"/><Relationship Id="rId34" Type="http://schemas.openxmlformats.org/officeDocument/2006/relationships/header" Target="header6.xml"/><Relationship Id="rId42" Type="http://schemas.openxmlformats.org/officeDocument/2006/relationships/image" Target="media/image14.png"/><Relationship Id="rId47" Type="http://schemas.openxmlformats.org/officeDocument/2006/relationships/header" Target="header14.xml"/><Relationship Id="rId50" Type="http://schemas.openxmlformats.org/officeDocument/2006/relationships/footer" Target="footer6.xml"/><Relationship Id="rId55"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chart" Target="charts/chart4.xml"/><Relationship Id="rId11" Type="http://schemas.openxmlformats.org/officeDocument/2006/relationships/image" Target="media/image3.png"/><Relationship Id="rId24" Type="http://schemas.openxmlformats.org/officeDocument/2006/relationships/chart" Target="charts/chart1.xml"/><Relationship Id="rId32" Type="http://schemas.openxmlformats.org/officeDocument/2006/relationships/image" Target="media/image11.png"/><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image" Target="media/image16.emf"/><Relationship Id="rId53" Type="http://schemas.microsoft.com/office/2011/relationships/commentsExtended" Target="commentsExtended.xml"/><Relationship Id="rId5" Type="http://schemas.openxmlformats.org/officeDocument/2006/relationships/settings" Target="settings.xml"/><Relationship Id="rId10" Type="http://schemas.openxmlformats.org/officeDocument/2006/relationships/image" Target="media/image2.emf"/><Relationship Id="rId19" Type="http://schemas.openxmlformats.org/officeDocument/2006/relationships/header" Target="header4.xml"/><Relationship Id="rId31" Type="http://schemas.openxmlformats.org/officeDocument/2006/relationships/image" Target="media/image10.png"/><Relationship Id="rId44" Type="http://schemas.openxmlformats.org/officeDocument/2006/relationships/header" Target="header12.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eader" Target="header7.xml"/><Relationship Id="rId43" Type="http://schemas.openxmlformats.org/officeDocument/2006/relationships/image" Target="media/image15.emf"/><Relationship Id="rId48" Type="http://schemas.openxmlformats.org/officeDocument/2006/relationships/image" Target="media/image17.emf"/><Relationship Id="rId56"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eader" Target="header3.xml"/><Relationship Id="rId25" Type="http://schemas.openxmlformats.org/officeDocument/2006/relationships/chart" Target="charts/chart2.xml"/><Relationship Id="rId33" Type="http://schemas.openxmlformats.org/officeDocument/2006/relationships/image" Target="media/image12.png"/><Relationship Id="rId38" Type="http://schemas.openxmlformats.org/officeDocument/2006/relationships/chart" Target="charts/chart5.xml"/><Relationship Id="rId46" Type="http://schemas.openxmlformats.org/officeDocument/2006/relationships/header" Target="header13.xml"/><Relationship Id="rId20" Type="http://schemas.openxmlformats.org/officeDocument/2006/relationships/footer" Target="footer4.xml"/><Relationship Id="rId41" Type="http://schemas.openxmlformats.org/officeDocument/2006/relationships/header" Target="header11.xm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chart" Target="charts/chart3.xml"/><Relationship Id="rId36" Type="http://schemas.openxmlformats.org/officeDocument/2006/relationships/image" Target="media/image13.png"/><Relationship Id="rId49" Type="http://schemas.openxmlformats.org/officeDocument/2006/relationships/header" Target="header15.xml"/></Relationships>
</file>

<file path=word/_rels/endnotes.xml.rels><?xml version="1.0" encoding="UTF-8" standalone="yes"?>
<Relationships xmlns="http://schemas.openxmlformats.org/package/2006/relationships"><Relationship Id="rId3" Type="http://schemas.openxmlformats.org/officeDocument/2006/relationships/hyperlink" Target="http://pendis.kemenag.go.id/index.php?a=artikel&amp;id2=strategipendis" TargetMode="External"/><Relationship Id="rId2" Type="http://schemas.openxmlformats.org/officeDocument/2006/relationships/hyperlink" Target="http://dapo.dikdas.kemdikbud.go.id/exreport/" TargetMode="External"/><Relationship Id="rId1" Type="http://schemas.openxmlformats.org/officeDocument/2006/relationships/hyperlink" Target="http://www.mediaindonesia.com/news/read/9555/pengawas-sekolah-harus-ubah-paradigma/2015-12-10"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5.emf"/></Relationships>
</file>

<file path=word/_rels/header11.xml.rels><?xml version="1.0" encoding="UTF-8" standalone="yes"?>
<Relationships xmlns="http://schemas.openxmlformats.org/package/2006/relationships"><Relationship Id="rId1" Type="http://schemas.openxmlformats.org/officeDocument/2006/relationships/image" Target="media/image5.emf"/></Relationships>
</file>

<file path=word/_rels/header12.xml.rels><?xml version="1.0" encoding="UTF-8" standalone="yes"?>
<Relationships xmlns="http://schemas.openxmlformats.org/package/2006/relationships"><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1" Type="http://schemas.openxmlformats.org/officeDocument/2006/relationships/image" Target="media/image5.emf"/></Relationships>
</file>

<file path=word/_rels/header5.xml.rels><?xml version="1.0" encoding="UTF-8" standalone="yes"?>
<Relationships xmlns="http://schemas.openxmlformats.org/package/2006/relationships"><Relationship Id="rId1" Type="http://schemas.openxmlformats.org/officeDocument/2006/relationships/image" Target="media/image5.emf"/></Relationships>
</file>

<file path=word/_rels/header6.xml.rels><?xml version="1.0" encoding="UTF-8" standalone="yes"?>
<Relationships xmlns="http://schemas.openxmlformats.org/package/2006/relationships"><Relationship Id="rId1" Type="http://schemas.openxmlformats.org/officeDocument/2006/relationships/image" Target="media/image5.emf"/></Relationships>
</file>

<file path=word/_rels/header7.xml.rels><?xml version="1.0" encoding="UTF-8" standalone="yes"?>
<Relationships xmlns="http://schemas.openxmlformats.org/package/2006/relationships"><Relationship Id="rId1" Type="http://schemas.openxmlformats.org/officeDocument/2006/relationships/image" Target="media/image5.emf"/></Relationships>
</file>

<file path=word/_rels/header8.xml.rels><?xml version="1.0" encoding="UTF-8" standalone="yes"?>
<Relationships xmlns="http://schemas.openxmlformats.org/package/2006/relationships"><Relationship Id="rId1" Type="http://schemas.openxmlformats.org/officeDocument/2006/relationships/image" Target="media/image5.emf"/></Relationships>
</file>

<file path=word/_rels/header9.xml.rels><?xml version="1.0" encoding="UTF-8" standalone="yes"?>
<Relationships xmlns="http://schemas.openxmlformats.org/package/2006/relationships"><Relationship Id="rId1" Type="http://schemas.openxmlformats.org/officeDocument/2006/relationships/image" Target="media/image5.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nggaDanta\AppData\Local\Temp\7zO6E4F.tmp\main%20data%20eopo%20endlin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nggaDanta\AppData\Local\Temp\7zO6E4F.tmp\main%20data%20eopo%20endlin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rmiddc01.grm.com.au\IDPOM\Shared\05%20APPR\APPR%202015\06%20Final%20report\C4\160321%20Disbursement%20etc%20figs%20provided%20by%20Ocha%20AD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7486369023785"/>
          <c:y val="0.13634819793232419"/>
          <c:w val="0.86877147238252073"/>
          <c:h val="0.67919521471278033"/>
        </c:manualLayout>
      </c:layout>
      <c:lineChart>
        <c:grouping val="standard"/>
        <c:varyColors val="0"/>
        <c:ser>
          <c:idx val="0"/>
          <c:order val="0"/>
          <c:tx>
            <c:strRef>
              <c:f>Sheet1!$B$12</c:f>
              <c:strCache>
                <c:ptCount val="1"/>
                <c:pt idx="0">
                  <c:v>Cycle 4</c:v>
                </c:pt>
              </c:strCache>
            </c:strRef>
          </c:tx>
          <c:spPr>
            <a:ln w="19050"/>
          </c:spPr>
          <c:marker>
            <c:symbol val="none"/>
          </c:marker>
          <c:dLbls>
            <c:dLbl>
              <c:idx val="10"/>
              <c:layout/>
              <c:dLblPos val="b"/>
              <c:showLegendKey val="0"/>
              <c:showVal val="1"/>
              <c:showCatName val="0"/>
              <c:showSerName val="0"/>
              <c:showPercent val="0"/>
              <c:showBubbleSize val="0"/>
              <c:extLst>
                <c:ext xmlns:c15="http://schemas.microsoft.com/office/drawing/2012/chart" uri="{CE6537A1-D6FC-4f65-9D91-7224C49458BB}">
                  <c15:layout/>
                </c:ext>
              </c:extLst>
            </c:dLbl>
            <c:dLbl>
              <c:idx val="13"/>
              <c:layout/>
              <c:dLblPos val="b"/>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b"/>
            <c:showLegendKey val="0"/>
            <c:showVal val="0"/>
            <c:showCatName val="0"/>
            <c:showSerName val="0"/>
            <c:showPercent val="0"/>
            <c:showBubbleSize val="0"/>
            <c:extLst>
              <c:ext xmlns:c15="http://schemas.microsoft.com/office/drawing/2012/chart" uri="{CE6537A1-D6FC-4f65-9D91-7224C49458BB}">
                <c15:showLeaderLines val="0"/>
              </c:ext>
            </c:extLst>
          </c:dLbls>
          <c:cat>
            <c:numRef>
              <c:f>Sheet1!$A$13:$A$26</c:f>
              <c:numCache>
                <c:formatCode>d\-mmm</c:formatCode>
                <c:ptCount val="14"/>
                <c:pt idx="0">
                  <c:v>42231</c:v>
                </c:pt>
                <c:pt idx="1">
                  <c:v>42244</c:v>
                </c:pt>
                <c:pt idx="2">
                  <c:v>42258</c:v>
                </c:pt>
                <c:pt idx="3">
                  <c:v>42272</c:v>
                </c:pt>
                <c:pt idx="4">
                  <c:v>42286</c:v>
                </c:pt>
                <c:pt idx="5">
                  <c:v>42300</c:v>
                </c:pt>
                <c:pt idx="6">
                  <c:v>42314</c:v>
                </c:pt>
                <c:pt idx="7">
                  <c:v>42328</c:v>
                </c:pt>
                <c:pt idx="8">
                  <c:v>42342</c:v>
                </c:pt>
                <c:pt idx="9">
                  <c:v>42356</c:v>
                </c:pt>
                <c:pt idx="10">
                  <c:v>42370</c:v>
                </c:pt>
                <c:pt idx="11">
                  <c:v>42384</c:v>
                </c:pt>
                <c:pt idx="12">
                  <c:v>42398</c:v>
                </c:pt>
                <c:pt idx="13">
                  <c:v>42412</c:v>
                </c:pt>
              </c:numCache>
            </c:numRef>
          </c:cat>
          <c:val>
            <c:numRef>
              <c:f>Sheet1!$B$13:$B$26</c:f>
              <c:numCache>
                <c:formatCode>0.00%</c:formatCode>
                <c:ptCount val="14"/>
                <c:pt idx="0">
                  <c:v>0</c:v>
                </c:pt>
                <c:pt idx="1">
                  <c:v>0</c:v>
                </c:pt>
                <c:pt idx="2">
                  <c:v>4.7999999999999996E-3</c:v>
                </c:pt>
                <c:pt idx="3">
                  <c:v>4.6899999999999997E-2</c:v>
                </c:pt>
                <c:pt idx="4">
                  <c:v>0.10249999999999999</c:v>
                </c:pt>
                <c:pt idx="5">
                  <c:v>0.20319999999999999</c:v>
                </c:pt>
                <c:pt idx="6">
                  <c:v>0.26790000000000003</c:v>
                </c:pt>
                <c:pt idx="7">
                  <c:v>0.3281</c:v>
                </c:pt>
                <c:pt idx="8">
                  <c:v>0.35589999999999999</c:v>
                </c:pt>
                <c:pt idx="9">
                  <c:v>0.40539999999999998</c:v>
                </c:pt>
                <c:pt idx="10">
                  <c:v>0.43259999999999998</c:v>
                </c:pt>
                <c:pt idx="11">
                  <c:v>0.49120000000000003</c:v>
                </c:pt>
                <c:pt idx="12">
                  <c:v>0.56079999999999997</c:v>
                </c:pt>
                <c:pt idx="13">
                  <c:v>0.63370000000000004</c:v>
                </c:pt>
              </c:numCache>
            </c:numRef>
          </c:val>
          <c:smooth val="0"/>
        </c:ser>
        <c:ser>
          <c:idx val="2"/>
          <c:order val="1"/>
          <c:tx>
            <c:strRef>
              <c:f>Sheet1!$D$12</c:f>
              <c:strCache>
                <c:ptCount val="1"/>
                <c:pt idx="0">
                  <c:v>Cycle 3</c:v>
                </c:pt>
              </c:strCache>
            </c:strRef>
          </c:tx>
          <c:spPr>
            <a:ln w="19050">
              <a:solidFill>
                <a:schemeClr val="accent2"/>
              </a:solidFill>
              <a:prstDash val="sysDot"/>
            </a:ln>
          </c:spPr>
          <c:marker>
            <c:symbol val="none"/>
          </c:marker>
          <c:dLbls>
            <c:dLbl>
              <c:idx val="10"/>
              <c:layout/>
              <c:dLblPos val="t"/>
              <c:showLegendKey val="0"/>
              <c:showVal val="1"/>
              <c:showCatName val="0"/>
              <c:showSerName val="0"/>
              <c:showPercent val="0"/>
              <c:showBubbleSize val="0"/>
              <c:extLst>
                <c:ext xmlns:c15="http://schemas.microsoft.com/office/drawing/2012/chart" uri="{CE6537A1-D6FC-4f65-9D91-7224C49458BB}">
                  <c15:layout/>
                </c:ext>
              </c:extLst>
            </c:dLbl>
            <c:dLbl>
              <c:idx val="13"/>
              <c:layout/>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numRef>
              <c:f>Sheet1!$A$13:$A$26</c:f>
              <c:numCache>
                <c:formatCode>d\-mmm</c:formatCode>
                <c:ptCount val="14"/>
                <c:pt idx="0">
                  <c:v>42231</c:v>
                </c:pt>
                <c:pt idx="1">
                  <c:v>42244</c:v>
                </c:pt>
                <c:pt idx="2">
                  <c:v>42258</c:v>
                </c:pt>
                <c:pt idx="3">
                  <c:v>42272</c:v>
                </c:pt>
                <c:pt idx="4">
                  <c:v>42286</c:v>
                </c:pt>
                <c:pt idx="5">
                  <c:v>42300</c:v>
                </c:pt>
                <c:pt idx="6">
                  <c:v>42314</c:v>
                </c:pt>
                <c:pt idx="7">
                  <c:v>42328</c:v>
                </c:pt>
                <c:pt idx="8">
                  <c:v>42342</c:v>
                </c:pt>
                <c:pt idx="9">
                  <c:v>42356</c:v>
                </c:pt>
                <c:pt idx="10">
                  <c:v>42370</c:v>
                </c:pt>
                <c:pt idx="11">
                  <c:v>42384</c:v>
                </c:pt>
                <c:pt idx="12">
                  <c:v>42398</c:v>
                </c:pt>
                <c:pt idx="13">
                  <c:v>42412</c:v>
                </c:pt>
              </c:numCache>
            </c:numRef>
          </c:cat>
          <c:val>
            <c:numRef>
              <c:f>Sheet1!$D$13:$D$26</c:f>
              <c:numCache>
                <c:formatCode>0.00%</c:formatCode>
                <c:ptCount val="14"/>
                <c:pt idx="0">
                  <c:v>0</c:v>
                </c:pt>
                <c:pt idx="1">
                  <c:v>2.9999999999999997E-4</c:v>
                </c:pt>
                <c:pt idx="2">
                  <c:v>1.12E-2</c:v>
                </c:pt>
                <c:pt idx="3">
                  <c:v>6.1799999999999994E-2</c:v>
                </c:pt>
                <c:pt idx="4">
                  <c:v>0.12239999999999999</c:v>
                </c:pt>
                <c:pt idx="5">
                  <c:v>0.1895</c:v>
                </c:pt>
                <c:pt idx="6">
                  <c:v>0.26190000000000002</c:v>
                </c:pt>
                <c:pt idx="7">
                  <c:v>0.33149999999999996</c:v>
                </c:pt>
                <c:pt idx="8">
                  <c:v>0.39020000000000005</c:v>
                </c:pt>
                <c:pt idx="9">
                  <c:v>0.45270000000000005</c:v>
                </c:pt>
                <c:pt idx="10">
                  <c:v>0.48200000000000004</c:v>
                </c:pt>
                <c:pt idx="11">
                  <c:v>0.54069999999999996</c:v>
                </c:pt>
                <c:pt idx="12">
                  <c:v>0.6583</c:v>
                </c:pt>
                <c:pt idx="13">
                  <c:v>0.73440000000000005</c:v>
                </c:pt>
              </c:numCache>
            </c:numRef>
          </c:val>
          <c:smooth val="0"/>
        </c:ser>
        <c:dLbls>
          <c:showLegendKey val="0"/>
          <c:showVal val="0"/>
          <c:showCatName val="0"/>
          <c:showSerName val="0"/>
          <c:showPercent val="0"/>
          <c:showBubbleSize val="0"/>
        </c:dLbls>
        <c:marker val="1"/>
        <c:smooth val="0"/>
        <c:axId val="118836224"/>
        <c:axId val="27321088"/>
      </c:lineChart>
      <c:dateAx>
        <c:axId val="118836224"/>
        <c:scaling>
          <c:orientation val="minMax"/>
        </c:scaling>
        <c:delete val="0"/>
        <c:axPos val="b"/>
        <c:numFmt formatCode="d\-mmm" sourceLinked="1"/>
        <c:majorTickMark val="none"/>
        <c:minorTickMark val="none"/>
        <c:tickLblPos val="none"/>
        <c:crossAx val="27321088"/>
        <c:crosses val="autoZero"/>
        <c:auto val="1"/>
        <c:lblOffset val="100"/>
        <c:baseTimeUnit val="days"/>
      </c:dateAx>
      <c:valAx>
        <c:axId val="27321088"/>
        <c:scaling>
          <c:orientation val="minMax"/>
        </c:scaling>
        <c:delete val="0"/>
        <c:axPos val="l"/>
        <c:numFmt formatCode="0.00%" sourceLinked="1"/>
        <c:majorTickMark val="out"/>
        <c:minorTickMark val="none"/>
        <c:tickLblPos val="nextTo"/>
        <c:crossAx val="118836224"/>
        <c:crosses val="autoZero"/>
        <c:crossBetween val="between"/>
        <c:majorUnit val="0.2"/>
      </c:valAx>
      <c:spPr>
        <a:noFill/>
        <a:ln>
          <a:noFill/>
        </a:ln>
      </c:spPr>
    </c:plotArea>
    <c:legend>
      <c:legendPos val="l"/>
      <c:layout>
        <c:manualLayout>
          <c:xMode val="edge"/>
          <c:yMode val="edge"/>
          <c:x val="0.14851485148514851"/>
          <c:y val="0.11875867852397858"/>
          <c:w val="0.21491440383318641"/>
          <c:h val="0.14681086098506788"/>
        </c:manualLayout>
      </c:layout>
      <c:overlay val="1"/>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67653692114438"/>
          <c:y val="5.1400554097404488E-2"/>
          <c:w val="0.84776543539859717"/>
          <c:h val="0.7527766841644794"/>
        </c:manualLayout>
      </c:layout>
      <c:lineChart>
        <c:grouping val="standard"/>
        <c:varyColors val="0"/>
        <c:ser>
          <c:idx val="1"/>
          <c:order val="0"/>
          <c:tx>
            <c:strRef>
              <c:f>Sheet1!$C$12</c:f>
              <c:strCache>
                <c:ptCount val="1"/>
                <c:pt idx="0">
                  <c:v>Weekly Progress (Cy4)</c:v>
                </c:pt>
              </c:strCache>
            </c:strRef>
          </c:tx>
          <c:spPr>
            <a:ln w="19050">
              <a:solidFill>
                <a:schemeClr val="accent1"/>
              </a:solidFill>
              <a:prstDash val="solid"/>
            </a:ln>
          </c:spPr>
          <c:marker>
            <c:symbol val="none"/>
          </c:marker>
          <c:cat>
            <c:numRef>
              <c:f>Sheet1!$A$13:$A$26</c:f>
              <c:numCache>
                <c:formatCode>d\-mmm</c:formatCode>
                <c:ptCount val="14"/>
                <c:pt idx="0">
                  <c:v>42231</c:v>
                </c:pt>
                <c:pt idx="1">
                  <c:v>42244</c:v>
                </c:pt>
                <c:pt idx="2">
                  <c:v>42258</c:v>
                </c:pt>
                <c:pt idx="3">
                  <c:v>42272</c:v>
                </c:pt>
                <c:pt idx="4">
                  <c:v>42286</c:v>
                </c:pt>
                <c:pt idx="5">
                  <c:v>42300</c:v>
                </c:pt>
                <c:pt idx="6">
                  <c:v>42314</c:v>
                </c:pt>
                <c:pt idx="7">
                  <c:v>42328</c:v>
                </c:pt>
                <c:pt idx="8">
                  <c:v>42342</c:v>
                </c:pt>
                <c:pt idx="9">
                  <c:v>42356</c:v>
                </c:pt>
                <c:pt idx="10">
                  <c:v>42370</c:v>
                </c:pt>
                <c:pt idx="11">
                  <c:v>42384</c:v>
                </c:pt>
                <c:pt idx="12">
                  <c:v>42398</c:v>
                </c:pt>
                <c:pt idx="13">
                  <c:v>42412</c:v>
                </c:pt>
              </c:numCache>
            </c:numRef>
          </c:cat>
          <c:val>
            <c:numRef>
              <c:f>Sheet1!$C$13:$C$26</c:f>
              <c:numCache>
                <c:formatCode>0%</c:formatCode>
                <c:ptCount val="14"/>
                <c:pt idx="0">
                  <c:v>0</c:v>
                </c:pt>
                <c:pt idx="1">
                  <c:v>0</c:v>
                </c:pt>
                <c:pt idx="2" formatCode="0.00%">
                  <c:v>3.8999999999999998E-3</c:v>
                </c:pt>
                <c:pt idx="3" formatCode="0.00%">
                  <c:v>1.9400000000000001E-2</c:v>
                </c:pt>
                <c:pt idx="4" formatCode="0.00%">
                  <c:v>2.93E-2</c:v>
                </c:pt>
                <c:pt idx="5" formatCode="0.00%">
                  <c:v>3.3599999999999998E-2</c:v>
                </c:pt>
                <c:pt idx="6" formatCode="0.00%">
                  <c:v>3.4500000000000003E-2</c:v>
                </c:pt>
                <c:pt idx="7" formatCode="0.00%">
                  <c:v>2.93E-2</c:v>
                </c:pt>
                <c:pt idx="8" formatCode="0.00%">
                  <c:v>2.7799999999999998E-2</c:v>
                </c:pt>
                <c:pt idx="9" formatCode="0.00%">
                  <c:v>2.3900000000000001E-2</c:v>
                </c:pt>
                <c:pt idx="10" formatCode="0.00%">
                  <c:v>1.12E-2</c:v>
                </c:pt>
                <c:pt idx="11" formatCode="0.00%">
                  <c:v>3.1300000000000001E-2</c:v>
                </c:pt>
                <c:pt idx="12" formatCode="0.00%">
                  <c:v>3.5299999999999998E-2</c:v>
                </c:pt>
                <c:pt idx="13" formatCode="0.00%">
                  <c:v>3.5799999999999998E-2</c:v>
                </c:pt>
              </c:numCache>
            </c:numRef>
          </c:val>
          <c:smooth val="0"/>
        </c:ser>
        <c:ser>
          <c:idx val="3"/>
          <c:order val="1"/>
          <c:tx>
            <c:strRef>
              <c:f>Sheet1!$E$12</c:f>
              <c:strCache>
                <c:ptCount val="1"/>
                <c:pt idx="0">
                  <c:v>Weekly Progress (Cy3)</c:v>
                </c:pt>
              </c:strCache>
            </c:strRef>
          </c:tx>
          <c:spPr>
            <a:ln w="19050">
              <a:solidFill>
                <a:schemeClr val="accent2"/>
              </a:solidFill>
              <a:prstDash val="sysDot"/>
            </a:ln>
          </c:spPr>
          <c:marker>
            <c:symbol val="none"/>
          </c:marker>
          <c:cat>
            <c:numRef>
              <c:f>Sheet1!$A$13:$A$26</c:f>
              <c:numCache>
                <c:formatCode>d\-mmm</c:formatCode>
                <c:ptCount val="14"/>
                <c:pt idx="0">
                  <c:v>42231</c:v>
                </c:pt>
                <c:pt idx="1">
                  <c:v>42244</c:v>
                </c:pt>
                <c:pt idx="2">
                  <c:v>42258</c:v>
                </c:pt>
                <c:pt idx="3">
                  <c:v>42272</c:v>
                </c:pt>
                <c:pt idx="4">
                  <c:v>42286</c:v>
                </c:pt>
                <c:pt idx="5">
                  <c:v>42300</c:v>
                </c:pt>
                <c:pt idx="6">
                  <c:v>42314</c:v>
                </c:pt>
                <c:pt idx="7">
                  <c:v>42328</c:v>
                </c:pt>
                <c:pt idx="8">
                  <c:v>42342</c:v>
                </c:pt>
                <c:pt idx="9">
                  <c:v>42356</c:v>
                </c:pt>
                <c:pt idx="10">
                  <c:v>42370</c:v>
                </c:pt>
                <c:pt idx="11">
                  <c:v>42384</c:v>
                </c:pt>
                <c:pt idx="12">
                  <c:v>42398</c:v>
                </c:pt>
                <c:pt idx="13">
                  <c:v>42412</c:v>
                </c:pt>
              </c:numCache>
            </c:numRef>
          </c:cat>
          <c:val>
            <c:numRef>
              <c:f>Sheet1!$E$13:$E$26</c:f>
              <c:numCache>
                <c:formatCode>0.00%</c:formatCode>
                <c:ptCount val="14"/>
                <c:pt idx="0">
                  <c:v>0</c:v>
                </c:pt>
                <c:pt idx="1">
                  <c:v>2.9999999999999997E-4</c:v>
                </c:pt>
                <c:pt idx="2">
                  <c:v>8.6E-3</c:v>
                </c:pt>
                <c:pt idx="3">
                  <c:v>2.8399999999999995E-2</c:v>
                </c:pt>
                <c:pt idx="4">
                  <c:v>2.9100000000000001E-2</c:v>
                </c:pt>
                <c:pt idx="5">
                  <c:v>3.3099999999999997E-2</c:v>
                </c:pt>
                <c:pt idx="6">
                  <c:v>3.6999999999999998E-2</c:v>
                </c:pt>
                <c:pt idx="7">
                  <c:v>3.1699999999999999E-2</c:v>
                </c:pt>
                <c:pt idx="8">
                  <c:v>3.1099999999999999E-2</c:v>
                </c:pt>
                <c:pt idx="9">
                  <c:v>3.2500000000000001E-2</c:v>
                </c:pt>
                <c:pt idx="10">
                  <c:v>2.93E-2</c:v>
                </c:pt>
                <c:pt idx="11">
                  <c:v>3.8300000000000001E-2</c:v>
                </c:pt>
                <c:pt idx="12">
                  <c:v>3.8800000000000001E-2</c:v>
                </c:pt>
                <c:pt idx="13">
                  <c:v>4.1300000000000003E-2</c:v>
                </c:pt>
              </c:numCache>
            </c:numRef>
          </c:val>
          <c:smooth val="0"/>
        </c:ser>
        <c:dLbls>
          <c:showLegendKey val="0"/>
          <c:showVal val="0"/>
          <c:showCatName val="0"/>
          <c:showSerName val="0"/>
          <c:showPercent val="0"/>
          <c:showBubbleSize val="0"/>
        </c:dLbls>
        <c:marker val="1"/>
        <c:smooth val="0"/>
        <c:axId val="28079232"/>
        <c:axId val="28080768"/>
      </c:lineChart>
      <c:dateAx>
        <c:axId val="28079232"/>
        <c:scaling>
          <c:orientation val="minMax"/>
        </c:scaling>
        <c:delete val="0"/>
        <c:axPos val="b"/>
        <c:numFmt formatCode="d\-mmm" sourceLinked="1"/>
        <c:majorTickMark val="out"/>
        <c:minorTickMark val="none"/>
        <c:tickLblPos val="nextTo"/>
        <c:crossAx val="28080768"/>
        <c:crosses val="autoZero"/>
        <c:auto val="1"/>
        <c:lblOffset val="100"/>
        <c:baseTimeUnit val="days"/>
        <c:majorUnit val="14"/>
        <c:majorTimeUnit val="days"/>
      </c:dateAx>
      <c:valAx>
        <c:axId val="28080768"/>
        <c:scaling>
          <c:orientation val="minMax"/>
          <c:max val="7.0000000000000007E-2"/>
          <c:min val="0"/>
        </c:scaling>
        <c:delete val="0"/>
        <c:axPos val="l"/>
        <c:numFmt formatCode="0.00%" sourceLinked="0"/>
        <c:majorTickMark val="out"/>
        <c:minorTickMark val="none"/>
        <c:tickLblPos val="nextTo"/>
        <c:crossAx val="28079232"/>
        <c:crosses val="autoZero"/>
        <c:crossBetween val="between"/>
        <c:majorUnit val="2.5000000000000005E-2"/>
      </c:valAx>
      <c:spPr>
        <a:noFill/>
      </c:spPr>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stacked"/>
        <c:varyColors val="0"/>
        <c:ser>
          <c:idx val="0"/>
          <c:order val="0"/>
          <c:tx>
            <c:strRef>
              <c:f>Sheet8!$A$16</c:f>
              <c:strCache>
                <c:ptCount val="1"/>
                <c:pt idx="0">
                  <c:v>Not Operational</c:v>
                </c:pt>
              </c:strCache>
            </c:strRef>
          </c:tx>
          <c:spPr>
            <a:solidFill>
              <a:schemeClr val="tx1"/>
            </a:solidFill>
          </c:spPr>
          <c:invertIfNegative val="0"/>
          <c:cat>
            <c:strRef>
              <c:f>Sheet8!$B$15:$D$15</c:f>
              <c:strCache>
                <c:ptCount val="3"/>
                <c:pt idx="0">
                  <c:v>2012/2013</c:v>
                </c:pt>
                <c:pt idx="1">
                  <c:v>2013/2014</c:v>
                </c:pt>
                <c:pt idx="2">
                  <c:v>2014/2015</c:v>
                </c:pt>
              </c:strCache>
            </c:strRef>
          </c:cat>
          <c:val>
            <c:numRef>
              <c:f>Sheet8!$B$16:$D$16</c:f>
              <c:numCache>
                <c:formatCode>General</c:formatCode>
                <c:ptCount val="3"/>
                <c:pt idx="0">
                  <c:v>12</c:v>
                </c:pt>
                <c:pt idx="1">
                  <c:v>1</c:v>
                </c:pt>
                <c:pt idx="2">
                  <c:v>0</c:v>
                </c:pt>
              </c:numCache>
            </c:numRef>
          </c:val>
        </c:ser>
        <c:ser>
          <c:idx val="1"/>
          <c:order val="1"/>
          <c:tx>
            <c:strRef>
              <c:f>Sheet8!$A$17</c:f>
              <c:strCache>
                <c:ptCount val="1"/>
                <c:pt idx="0">
                  <c:v>Very Small</c:v>
                </c:pt>
              </c:strCache>
            </c:strRef>
          </c:tx>
          <c:invertIfNegative val="0"/>
          <c:dLbls>
            <c:dLbl>
              <c:idx val="2"/>
              <c:layout>
                <c:manualLayout>
                  <c:x val="0.101068999028183"/>
                  <c:y val="-2.44304639432403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Sheet8!$B$15:$D$15</c:f>
              <c:strCache>
                <c:ptCount val="3"/>
                <c:pt idx="0">
                  <c:v>2012/2013</c:v>
                </c:pt>
                <c:pt idx="1">
                  <c:v>2013/2014</c:v>
                </c:pt>
                <c:pt idx="2">
                  <c:v>2014/2015</c:v>
                </c:pt>
              </c:strCache>
            </c:strRef>
          </c:cat>
          <c:val>
            <c:numRef>
              <c:f>Sheet8!$B$17:$D$17</c:f>
              <c:numCache>
                <c:formatCode>General</c:formatCode>
                <c:ptCount val="3"/>
                <c:pt idx="0">
                  <c:v>18</c:v>
                </c:pt>
                <c:pt idx="1">
                  <c:v>15</c:v>
                </c:pt>
                <c:pt idx="2">
                  <c:v>1</c:v>
                </c:pt>
              </c:numCache>
            </c:numRef>
          </c:val>
        </c:ser>
        <c:ser>
          <c:idx val="2"/>
          <c:order val="2"/>
          <c:tx>
            <c:strRef>
              <c:f>Sheet8!$A$18</c:f>
              <c:strCache>
                <c:ptCount val="1"/>
                <c:pt idx="0">
                  <c:v>Small</c:v>
                </c:pt>
              </c:strCache>
            </c:strRef>
          </c:tx>
          <c:spPr>
            <a:solidFill>
              <a:schemeClr val="accent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Sheet8!$B$15:$D$15</c:f>
              <c:strCache>
                <c:ptCount val="3"/>
                <c:pt idx="0">
                  <c:v>2012/2013</c:v>
                </c:pt>
                <c:pt idx="1">
                  <c:v>2013/2014</c:v>
                </c:pt>
                <c:pt idx="2">
                  <c:v>2014/2015</c:v>
                </c:pt>
              </c:strCache>
            </c:strRef>
          </c:cat>
          <c:val>
            <c:numRef>
              <c:f>Sheet8!$B$18:$D$18</c:f>
              <c:numCache>
                <c:formatCode>General</c:formatCode>
                <c:ptCount val="3"/>
                <c:pt idx="0">
                  <c:v>29</c:v>
                </c:pt>
                <c:pt idx="1">
                  <c:v>23</c:v>
                </c:pt>
                <c:pt idx="2">
                  <c:v>16</c:v>
                </c:pt>
              </c:numCache>
            </c:numRef>
          </c:val>
        </c:ser>
        <c:ser>
          <c:idx val="3"/>
          <c:order val="3"/>
          <c:tx>
            <c:strRef>
              <c:f>Sheet8!$A$19</c:f>
              <c:strCache>
                <c:ptCount val="1"/>
                <c:pt idx="0">
                  <c:v>Adequate</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Sheet8!$B$15:$D$15</c:f>
              <c:strCache>
                <c:ptCount val="3"/>
                <c:pt idx="0">
                  <c:v>2012/2013</c:v>
                </c:pt>
                <c:pt idx="1">
                  <c:v>2013/2014</c:v>
                </c:pt>
                <c:pt idx="2">
                  <c:v>2014/2015</c:v>
                </c:pt>
              </c:strCache>
            </c:strRef>
          </c:cat>
          <c:val>
            <c:numRef>
              <c:f>Sheet8!$B$19:$D$19</c:f>
              <c:numCache>
                <c:formatCode>General</c:formatCode>
                <c:ptCount val="3"/>
                <c:pt idx="0">
                  <c:v>9</c:v>
                </c:pt>
                <c:pt idx="1">
                  <c:v>15</c:v>
                </c:pt>
                <c:pt idx="2">
                  <c:v>26</c:v>
                </c:pt>
              </c:numCache>
            </c:numRef>
          </c:val>
        </c:ser>
        <c:ser>
          <c:idx val="4"/>
          <c:order val="4"/>
          <c:tx>
            <c:strRef>
              <c:f>Sheet8!$A$20</c:f>
              <c:strCache>
                <c:ptCount val="1"/>
                <c:pt idx="0">
                  <c:v>Large</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Sheet8!$B$15:$D$15</c:f>
              <c:strCache>
                <c:ptCount val="3"/>
                <c:pt idx="0">
                  <c:v>2012/2013</c:v>
                </c:pt>
                <c:pt idx="1">
                  <c:v>2013/2014</c:v>
                </c:pt>
                <c:pt idx="2">
                  <c:v>2014/2015</c:v>
                </c:pt>
              </c:strCache>
            </c:strRef>
          </c:cat>
          <c:val>
            <c:numRef>
              <c:f>Sheet8!$B$20:$D$20</c:f>
              <c:numCache>
                <c:formatCode>General</c:formatCode>
                <c:ptCount val="3"/>
                <c:pt idx="0">
                  <c:v>5</c:v>
                </c:pt>
                <c:pt idx="1">
                  <c:v>10</c:v>
                </c:pt>
                <c:pt idx="2">
                  <c:v>14</c:v>
                </c:pt>
              </c:numCache>
            </c:numRef>
          </c:val>
        </c:ser>
        <c:ser>
          <c:idx val="5"/>
          <c:order val="5"/>
          <c:tx>
            <c:strRef>
              <c:f>Sheet8!$A$21</c:f>
              <c:strCache>
                <c:ptCount val="1"/>
                <c:pt idx="0">
                  <c:v>Very Large</c:v>
                </c:pt>
              </c:strCache>
            </c:strRef>
          </c:tx>
          <c:spPr>
            <a:solidFill>
              <a:schemeClr val="accent3">
                <a:lumMod val="75000"/>
              </a:schemeClr>
            </a:solidFill>
          </c:spPr>
          <c:invertIfNegative val="0"/>
          <c:dLbls>
            <c:dLbl>
              <c:idx val="0"/>
              <c:layout>
                <c:manualLayout>
                  <c:x val="9.3294460641399402E-2"/>
                  <c:y val="2.982847919851110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Sheet8!$B$15:$D$15</c:f>
              <c:strCache>
                <c:ptCount val="3"/>
                <c:pt idx="0">
                  <c:v>2012/2013</c:v>
                </c:pt>
                <c:pt idx="1">
                  <c:v>2013/2014</c:v>
                </c:pt>
                <c:pt idx="2">
                  <c:v>2014/2015</c:v>
                </c:pt>
              </c:strCache>
            </c:strRef>
          </c:cat>
          <c:val>
            <c:numRef>
              <c:f>Sheet8!$B$21:$D$21</c:f>
              <c:numCache>
                <c:formatCode>General</c:formatCode>
                <c:ptCount val="3"/>
                <c:pt idx="0">
                  <c:v>1</c:v>
                </c:pt>
                <c:pt idx="1">
                  <c:v>10</c:v>
                </c:pt>
                <c:pt idx="2">
                  <c:v>17</c:v>
                </c:pt>
              </c:numCache>
            </c:numRef>
          </c:val>
        </c:ser>
        <c:dLbls>
          <c:showLegendKey val="0"/>
          <c:showVal val="0"/>
          <c:showCatName val="0"/>
          <c:showSerName val="0"/>
          <c:showPercent val="0"/>
          <c:showBubbleSize val="0"/>
        </c:dLbls>
        <c:gapWidth val="70"/>
        <c:overlap val="100"/>
        <c:axId val="28169728"/>
        <c:axId val="28171264"/>
      </c:barChart>
      <c:catAx>
        <c:axId val="28169728"/>
        <c:scaling>
          <c:orientation val="minMax"/>
        </c:scaling>
        <c:delete val="0"/>
        <c:axPos val="b"/>
        <c:numFmt formatCode="General" sourceLinked="0"/>
        <c:majorTickMark val="out"/>
        <c:minorTickMark val="none"/>
        <c:tickLblPos val="nextTo"/>
        <c:crossAx val="28171264"/>
        <c:crosses val="autoZero"/>
        <c:auto val="1"/>
        <c:lblAlgn val="ctr"/>
        <c:lblOffset val="100"/>
        <c:noMultiLvlLbl val="0"/>
      </c:catAx>
      <c:valAx>
        <c:axId val="28171264"/>
        <c:scaling>
          <c:orientation val="minMax"/>
          <c:max val="74"/>
          <c:min val="0"/>
        </c:scaling>
        <c:delete val="0"/>
        <c:axPos val="l"/>
        <c:title>
          <c:tx>
            <c:rich>
              <a:bodyPr rot="-5400000" vert="horz"/>
              <a:lstStyle/>
              <a:p>
                <a:pPr>
                  <a:defRPr/>
                </a:pPr>
                <a:r>
                  <a:rPr lang="en-AU"/>
                  <a:t>Number of Schools</a:t>
                </a:r>
              </a:p>
            </c:rich>
          </c:tx>
          <c:overlay val="0"/>
        </c:title>
        <c:numFmt formatCode="General" sourceLinked="1"/>
        <c:majorTickMark val="out"/>
        <c:minorTickMark val="none"/>
        <c:tickLblPos val="nextTo"/>
        <c:crossAx val="28169728"/>
        <c:crosses val="autoZero"/>
        <c:crossBetween val="between"/>
      </c:valAx>
    </c:plotArea>
    <c:plotVisOnly val="1"/>
    <c:dispBlanksAs val="gap"/>
    <c:showDLblsOverMax val="0"/>
  </c:chart>
  <c:spPr>
    <a:ln>
      <a:noFill/>
    </a:ln>
  </c:spPr>
  <c:txPr>
    <a:bodyPr/>
    <a:lstStyle/>
    <a:p>
      <a:pPr>
        <a:defRPr sz="9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stacked"/>
        <c:varyColors val="0"/>
        <c:ser>
          <c:idx val="0"/>
          <c:order val="0"/>
          <c:tx>
            <c:strRef>
              <c:f>Sheet8!$A$24</c:f>
              <c:strCache>
                <c:ptCount val="1"/>
                <c:pt idx="0">
                  <c:v>0 - Not Operational</c:v>
                </c:pt>
              </c:strCache>
            </c:strRef>
          </c:tx>
          <c:spPr>
            <a:solidFill>
              <a:schemeClr val="tx1"/>
            </a:solidFill>
          </c:spPr>
          <c:invertIfNegative val="0"/>
          <c:cat>
            <c:strRef>
              <c:f>Sheet8!$B$15:$D$15</c:f>
              <c:strCache>
                <c:ptCount val="3"/>
                <c:pt idx="0">
                  <c:v>2012/2013</c:v>
                </c:pt>
                <c:pt idx="1">
                  <c:v>2013/2014</c:v>
                </c:pt>
                <c:pt idx="2">
                  <c:v>2014/2015</c:v>
                </c:pt>
              </c:strCache>
            </c:strRef>
          </c:cat>
          <c:val>
            <c:numRef>
              <c:f>Sheet8!$B$24:$D$24</c:f>
              <c:numCache>
                <c:formatCode>General</c:formatCode>
                <c:ptCount val="3"/>
                <c:pt idx="0">
                  <c:v>9</c:v>
                </c:pt>
                <c:pt idx="1">
                  <c:v>1</c:v>
                </c:pt>
                <c:pt idx="2">
                  <c:v>0</c:v>
                </c:pt>
              </c:numCache>
            </c:numRef>
          </c:val>
        </c:ser>
        <c:ser>
          <c:idx val="1"/>
          <c:order val="1"/>
          <c:tx>
            <c:strRef>
              <c:f>Sheet8!$A$25</c:f>
              <c:strCache>
                <c:ptCount val="1"/>
                <c:pt idx="0">
                  <c:v>1 - Very Small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Sheet8!$B$15:$D$15</c:f>
              <c:strCache>
                <c:ptCount val="3"/>
                <c:pt idx="0">
                  <c:v>2012/2013</c:v>
                </c:pt>
                <c:pt idx="1">
                  <c:v>2013/2014</c:v>
                </c:pt>
                <c:pt idx="2">
                  <c:v>2014/2015</c:v>
                </c:pt>
              </c:strCache>
            </c:strRef>
          </c:cat>
          <c:val>
            <c:numRef>
              <c:f>Sheet8!$B$25:$D$25</c:f>
              <c:numCache>
                <c:formatCode>General</c:formatCode>
                <c:ptCount val="3"/>
                <c:pt idx="0">
                  <c:v>3</c:v>
                </c:pt>
                <c:pt idx="1">
                  <c:v>4</c:v>
                </c:pt>
                <c:pt idx="2">
                  <c:v>3</c:v>
                </c:pt>
              </c:numCache>
            </c:numRef>
          </c:val>
        </c:ser>
        <c:ser>
          <c:idx val="2"/>
          <c:order val="2"/>
          <c:tx>
            <c:strRef>
              <c:f>Sheet8!$A$26</c:f>
              <c:strCache>
                <c:ptCount val="1"/>
                <c:pt idx="0">
                  <c:v>2 - Small</c:v>
                </c:pt>
              </c:strCache>
            </c:strRef>
          </c:tx>
          <c:spPr>
            <a:solidFill>
              <a:schemeClr val="accent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Sheet8!$B$15:$D$15</c:f>
              <c:strCache>
                <c:ptCount val="3"/>
                <c:pt idx="0">
                  <c:v>2012/2013</c:v>
                </c:pt>
                <c:pt idx="1">
                  <c:v>2013/2014</c:v>
                </c:pt>
                <c:pt idx="2">
                  <c:v>2014/2015</c:v>
                </c:pt>
              </c:strCache>
            </c:strRef>
          </c:cat>
          <c:val>
            <c:numRef>
              <c:f>Sheet8!$B$26:$D$26</c:f>
              <c:numCache>
                <c:formatCode>General</c:formatCode>
                <c:ptCount val="3"/>
                <c:pt idx="0">
                  <c:v>8</c:v>
                </c:pt>
                <c:pt idx="1">
                  <c:v>7</c:v>
                </c:pt>
                <c:pt idx="2">
                  <c:v>3</c:v>
                </c:pt>
              </c:numCache>
            </c:numRef>
          </c:val>
        </c:ser>
        <c:ser>
          <c:idx val="3"/>
          <c:order val="3"/>
          <c:tx>
            <c:strRef>
              <c:f>Sheet8!$A$27</c:f>
              <c:strCache>
                <c:ptCount val="1"/>
                <c:pt idx="0">
                  <c:v>3 - Adequate</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Sheet8!$B$15:$D$15</c:f>
              <c:strCache>
                <c:ptCount val="3"/>
                <c:pt idx="0">
                  <c:v>2012/2013</c:v>
                </c:pt>
                <c:pt idx="1">
                  <c:v>2013/2014</c:v>
                </c:pt>
                <c:pt idx="2">
                  <c:v>2014/2015</c:v>
                </c:pt>
              </c:strCache>
            </c:strRef>
          </c:cat>
          <c:val>
            <c:numRef>
              <c:f>Sheet8!$B$27:$D$27</c:f>
              <c:numCache>
                <c:formatCode>General</c:formatCode>
                <c:ptCount val="3"/>
                <c:pt idx="0">
                  <c:v>5</c:v>
                </c:pt>
                <c:pt idx="1">
                  <c:v>8</c:v>
                </c:pt>
                <c:pt idx="2">
                  <c:v>9</c:v>
                </c:pt>
              </c:numCache>
            </c:numRef>
          </c:val>
        </c:ser>
        <c:ser>
          <c:idx val="4"/>
          <c:order val="4"/>
          <c:tx>
            <c:strRef>
              <c:f>Sheet8!$A$28</c:f>
              <c:strCache>
                <c:ptCount val="1"/>
                <c:pt idx="0">
                  <c:v>4 - Large</c:v>
                </c:pt>
              </c:strCache>
            </c:strRef>
          </c:tx>
          <c:spPr>
            <a:solidFill>
              <a:schemeClr val="accent3"/>
            </a:solidFill>
          </c:spPr>
          <c:invertIfNegative val="0"/>
          <c:dLbls>
            <c:dLbl>
              <c:idx val="0"/>
              <c:layout>
                <c:manualLayout>
                  <c:x val="0.104956268221574"/>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Sheet8!$B$15:$D$15</c:f>
              <c:strCache>
                <c:ptCount val="3"/>
                <c:pt idx="0">
                  <c:v>2012/2013</c:v>
                </c:pt>
                <c:pt idx="1">
                  <c:v>2013/2014</c:v>
                </c:pt>
                <c:pt idx="2">
                  <c:v>2014/2015</c:v>
                </c:pt>
              </c:strCache>
            </c:strRef>
          </c:cat>
          <c:val>
            <c:numRef>
              <c:f>Sheet8!$B$28:$D$28</c:f>
              <c:numCache>
                <c:formatCode>General</c:formatCode>
                <c:ptCount val="3"/>
                <c:pt idx="0">
                  <c:v>1</c:v>
                </c:pt>
                <c:pt idx="1">
                  <c:v>5</c:v>
                </c:pt>
                <c:pt idx="2">
                  <c:v>6</c:v>
                </c:pt>
              </c:numCache>
            </c:numRef>
          </c:val>
        </c:ser>
        <c:ser>
          <c:idx val="5"/>
          <c:order val="5"/>
          <c:tx>
            <c:strRef>
              <c:f>Sheet8!$A$29</c:f>
              <c:strCache>
                <c:ptCount val="1"/>
                <c:pt idx="0">
                  <c:v>5 - Very Large</c:v>
                </c:pt>
              </c:strCache>
            </c:strRef>
          </c:tx>
          <c:spPr>
            <a:solidFill>
              <a:schemeClr val="accent3">
                <a:lumMod val="75000"/>
              </a:schemeClr>
            </a:solidFill>
          </c:spPr>
          <c:invertIfNegative val="0"/>
          <c:dLbls>
            <c:dLbl>
              <c:idx val="0"/>
              <c:delete val="1"/>
              <c:extLst>
                <c:ext xmlns:c15="http://schemas.microsoft.com/office/drawing/2012/chart" uri="{CE6537A1-D6FC-4f65-9D91-7224C49458BB}"/>
              </c:extLst>
            </c:dLbl>
            <c:dLbl>
              <c:idx val="1"/>
              <c:layout>
                <c:manualLayout>
                  <c:x val="0.108843537414966"/>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Sheet8!$B$15:$D$15</c:f>
              <c:strCache>
                <c:ptCount val="3"/>
                <c:pt idx="0">
                  <c:v>2012/2013</c:v>
                </c:pt>
                <c:pt idx="1">
                  <c:v>2013/2014</c:v>
                </c:pt>
                <c:pt idx="2">
                  <c:v>2014/2015</c:v>
                </c:pt>
              </c:strCache>
            </c:strRef>
          </c:cat>
          <c:val>
            <c:numRef>
              <c:f>Sheet8!$B$29:$D$29</c:f>
              <c:numCache>
                <c:formatCode>General</c:formatCode>
                <c:ptCount val="3"/>
                <c:pt idx="0">
                  <c:v>0</c:v>
                </c:pt>
                <c:pt idx="1">
                  <c:v>1</c:v>
                </c:pt>
                <c:pt idx="2">
                  <c:v>5</c:v>
                </c:pt>
              </c:numCache>
            </c:numRef>
          </c:val>
        </c:ser>
        <c:dLbls>
          <c:showLegendKey val="0"/>
          <c:showVal val="0"/>
          <c:showCatName val="0"/>
          <c:showSerName val="0"/>
          <c:showPercent val="0"/>
          <c:showBubbleSize val="0"/>
        </c:dLbls>
        <c:gapWidth val="70"/>
        <c:overlap val="100"/>
        <c:axId val="28234496"/>
        <c:axId val="28236032"/>
      </c:barChart>
      <c:catAx>
        <c:axId val="28234496"/>
        <c:scaling>
          <c:orientation val="minMax"/>
        </c:scaling>
        <c:delete val="0"/>
        <c:axPos val="b"/>
        <c:numFmt formatCode="General" sourceLinked="0"/>
        <c:majorTickMark val="out"/>
        <c:minorTickMark val="none"/>
        <c:tickLblPos val="nextTo"/>
        <c:crossAx val="28236032"/>
        <c:crosses val="autoZero"/>
        <c:auto val="1"/>
        <c:lblAlgn val="ctr"/>
        <c:lblOffset val="100"/>
        <c:noMultiLvlLbl val="0"/>
      </c:catAx>
      <c:valAx>
        <c:axId val="28236032"/>
        <c:scaling>
          <c:orientation val="minMax"/>
          <c:max val="26"/>
          <c:min val="0"/>
        </c:scaling>
        <c:delete val="0"/>
        <c:axPos val="l"/>
        <c:title>
          <c:tx>
            <c:rich>
              <a:bodyPr rot="-5400000" vert="horz"/>
              <a:lstStyle/>
              <a:p>
                <a:pPr>
                  <a:defRPr/>
                </a:pPr>
                <a:r>
                  <a:rPr lang="en-AU"/>
                  <a:t>Number of Schools</a:t>
                </a:r>
              </a:p>
            </c:rich>
          </c:tx>
          <c:overlay val="0"/>
        </c:title>
        <c:numFmt formatCode="General" sourceLinked="1"/>
        <c:majorTickMark val="out"/>
        <c:minorTickMark val="none"/>
        <c:tickLblPos val="nextTo"/>
        <c:crossAx val="28234496"/>
        <c:crosses val="autoZero"/>
        <c:crossBetween val="between"/>
        <c:majorUnit val="5"/>
      </c:valAx>
    </c:plotArea>
    <c:plotVisOnly val="1"/>
    <c:dispBlanksAs val="gap"/>
    <c:showDLblsOverMax val="0"/>
  </c:chart>
  <c:spPr>
    <a:ln>
      <a:noFill/>
    </a:ln>
  </c:spPr>
  <c:txPr>
    <a:bodyPr/>
    <a:lstStyle/>
    <a:p>
      <a:pPr>
        <a:defRPr sz="9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7688712941344"/>
          <c:y val="2.8345207756543072E-2"/>
          <c:w val="0.8765913907721582"/>
          <c:h val="0.65040438647459142"/>
        </c:manualLayout>
      </c:layout>
      <c:barChart>
        <c:barDir val="col"/>
        <c:grouping val="clustered"/>
        <c:varyColors val="0"/>
        <c:ser>
          <c:idx val="0"/>
          <c:order val="0"/>
          <c:tx>
            <c:strRef>
              <c:f>Sheet1!$A$2</c:f>
              <c:strCache>
                <c:ptCount val="1"/>
                <c:pt idx="0">
                  <c:v>Annual value of contracts awarded</c:v>
                </c:pt>
              </c:strCache>
            </c:strRef>
          </c:tx>
          <c:spPr>
            <a:pattFill prst="ltDnDiag">
              <a:fgClr>
                <a:schemeClr val="accent1"/>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name>2 periods moving average (annual value of contract awarded)</c:name>
            <c:spPr>
              <a:ln w="28575">
                <a:solidFill>
                  <a:schemeClr val="tx2"/>
                </a:solidFill>
              </a:ln>
            </c:spPr>
            <c:trendlineType val="movingAvg"/>
            <c:period val="2"/>
            <c:dispRSqr val="0"/>
            <c:dispEq val="0"/>
          </c:trendline>
          <c:cat>
            <c:numRef>
              <c:f>Sheet1!$A$3:$E$3</c:f>
              <c:numCache>
                <c:formatCode>General</c:formatCode>
                <c:ptCount val="5"/>
                <c:pt idx="0">
                  <c:v>2011</c:v>
                </c:pt>
                <c:pt idx="1">
                  <c:v>2012</c:v>
                </c:pt>
                <c:pt idx="2">
                  <c:v>2013</c:v>
                </c:pt>
                <c:pt idx="3">
                  <c:v>2014</c:v>
                </c:pt>
                <c:pt idx="4">
                  <c:v>2015</c:v>
                </c:pt>
              </c:numCache>
            </c:numRef>
          </c:cat>
          <c:val>
            <c:numRef>
              <c:f>Sheet1!$A$4:$E$4</c:f>
              <c:numCache>
                <c:formatCode>#,##0_ ;[Red]\-#,##0\ </c:formatCode>
                <c:ptCount val="5"/>
                <c:pt idx="0">
                  <c:v>5574587</c:v>
                </c:pt>
                <c:pt idx="1">
                  <c:v>5912438</c:v>
                </c:pt>
                <c:pt idx="2">
                  <c:v>7713112</c:v>
                </c:pt>
                <c:pt idx="3">
                  <c:v>8436983</c:v>
                </c:pt>
                <c:pt idx="4">
                  <c:v>2634937</c:v>
                </c:pt>
              </c:numCache>
            </c:numRef>
          </c:val>
        </c:ser>
        <c:ser>
          <c:idx val="1"/>
          <c:order val="1"/>
          <c:tx>
            <c:strRef>
              <c:f>Sheet1!$A$8</c:f>
              <c:strCache>
                <c:ptCount val="1"/>
                <c:pt idx="0">
                  <c:v>Annual disbursement</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name>2 periods moving average (annual disbursement)</c:name>
            <c:spPr>
              <a:ln w="28575">
                <a:solidFill>
                  <a:srgbClr val="FF0000"/>
                </a:solidFill>
                <a:prstDash val="sysDash"/>
              </a:ln>
            </c:spPr>
            <c:trendlineType val="movingAvg"/>
            <c:period val="2"/>
            <c:dispRSqr val="0"/>
            <c:dispEq val="0"/>
          </c:trendline>
          <c:cat>
            <c:numRef>
              <c:f>Sheet1!$A$3:$E$3</c:f>
              <c:numCache>
                <c:formatCode>General</c:formatCode>
                <c:ptCount val="5"/>
                <c:pt idx="0">
                  <c:v>2011</c:v>
                </c:pt>
                <c:pt idx="1">
                  <c:v>2012</c:v>
                </c:pt>
                <c:pt idx="2">
                  <c:v>2013</c:v>
                </c:pt>
                <c:pt idx="3">
                  <c:v>2014</c:v>
                </c:pt>
                <c:pt idx="4">
                  <c:v>2015</c:v>
                </c:pt>
              </c:numCache>
            </c:numRef>
          </c:cat>
          <c:val>
            <c:numRef>
              <c:f>Sheet1!$A$10:$E$10</c:f>
              <c:numCache>
                <c:formatCode>#,##0_ ;[Red]\-#,##0\ </c:formatCode>
                <c:ptCount val="5"/>
                <c:pt idx="0">
                  <c:v>1264258.81</c:v>
                </c:pt>
                <c:pt idx="1">
                  <c:v>3368473.86</c:v>
                </c:pt>
                <c:pt idx="2">
                  <c:v>5841476.2300000004</c:v>
                </c:pt>
                <c:pt idx="3">
                  <c:v>6319782.0300000003</c:v>
                </c:pt>
                <c:pt idx="4">
                  <c:v>7288306.3899999997</c:v>
                </c:pt>
              </c:numCache>
            </c:numRef>
          </c:val>
        </c:ser>
        <c:dLbls>
          <c:showLegendKey val="0"/>
          <c:showVal val="1"/>
          <c:showCatName val="0"/>
          <c:showSerName val="0"/>
          <c:showPercent val="0"/>
          <c:showBubbleSize val="0"/>
        </c:dLbls>
        <c:gapWidth val="75"/>
        <c:axId val="33602560"/>
        <c:axId val="33620736"/>
      </c:barChart>
      <c:catAx>
        <c:axId val="33602560"/>
        <c:scaling>
          <c:orientation val="minMax"/>
        </c:scaling>
        <c:delete val="0"/>
        <c:axPos val="b"/>
        <c:numFmt formatCode="General" sourceLinked="1"/>
        <c:majorTickMark val="none"/>
        <c:minorTickMark val="none"/>
        <c:tickLblPos val="nextTo"/>
        <c:crossAx val="33620736"/>
        <c:crosses val="autoZero"/>
        <c:auto val="1"/>
        <c:lblAlgn val="ctr"/>
        <c:lblOffset val="100"/>
        <c:noMultiLvlLbl val="0"/>
      </c:catAx>
      <c:valAx>
        <c:axId val="33620736"/>
        <c:scaling>
          <c:orientation val="minMax"/>
        </c:scaling>
        <c:delete val="0"/>
        <c:axPos val="l"/>
        <c:numFmt formatCode="#,##0_ ;[Red]\-#,##0\ " sourceLinked="1"/>
        <c:majorTickMark val="none"/>
        <c:minorTickMark val="none"/>
        <c:tickLblPos val="nextTo"/>
        <c:crossAx val="33602560"/>
        <c:crosses val="autoZero"/>
        <c:crossBetween val="between"/>
      </c:valAx>
    </c:plotArea>
    <c:legend>
      <c:legendPos val="b"/>
      <c:layout>
        <c:manualLayout>
          <c:xMode val="edge"/>
          <c:yMode val="edge"/>
          <c:x val="0.1209424168835614"/>
          <c:y val="0.77463832288139556"/>
          <c:w val="0.85610273391194169"/>
          <c:h val="0.21279691183640212"/>
        </c:manualLayout>
      </c:layout>
      <c:overlay val="0"/>
    </c:legend>
    <c:plotVisOnly val="1"/>
    <c:dispBlanksAs val="gap"/>
    <c:showDLblsOverMax val="0"/>
  </c:chart>
  <c:txPr>
    <a:bodyPr/>
    <a:lstStyle/>
    <a:p>
      <a:pPr>
        <a:defRPr sz="10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179177C-64DE-4E42-B7FA-E3523C4C7A72}"/>
</file>

<file path=customXml/itemProps2.xml><?xml version="1.0" encoding="utf-8"?>
<ds:datastoreItem xmlns:ds="http://schemas.openxmlformats.org/officeDocument/2006/customXml" ds:itemID="{D6CAA6F9-BA8D-412B-929F-1347E73DAF8C}"/>
</file>

<file path=customXml/itemProps3.xml><?xml version="1.0" encoding="utf-8"?>
<ds:datastoreItem xmlns:ds="http://schemas.openxmlformats.org/officeDocument/2006/customXml" ds:itemID="{32708F96-3034-4BA6-99C7-CC5735CAF23A}"/>
</file>

<file path=customXml/itemProps4.xml><?xml version="1.0" encoding="utf-8"?>
<ds:datastoreItem xmlns:ds="http://schemas.openxmlformats.org/officeDocument/2006/customXml" ds:itemID="{3DFC6BD6-93E7-4EAE-8D57-581288013676}"/>
</file>

<file path=docProps/app.xml><?xml version="1.0" encoding="utf-8"?>
<Properties xmlns="http://schemas.openxmlformats.org/officeDocument/2006/extended-properties" xmlns:vt="http://schemas.openxmlformats.org/officeDocument/2006/docPropsVTypes">
  <Template>1B641BCE</Template>
  <TotalTime>0</TotalTime>
  <Pages>137</Pages>
  <Words>38726</Words>
  <Characters>221520</Characters>
  <Application>Microsoft Office Word</Application>
  <DocSecurity>0</DocSecurity>
  <Lines>1846</Lines>
  <Paragraphs>519</Paragraphs>
  <ScaleCrop>false</ScaleCrop>
  <Company/>
  <LinksUpToDate>false</LinksUpToDate>
  <CharactersWithSpaces>259727</CharactersWithSpaces>
  <SharedDoc>false</SharedDoc>
  <HLinks>
    <vt:vector size="228" baseType="variant">
      <vt:variant>
        <vt:i4>1703996</vt:i4>
      </vt:variant>
      <vt:variant>
        <vt:i4>224</vt:i4>
      </vt:variant>
      <vt:variant>
        <vt:i4>0</vt:i4>
      </vt:variant>
      <vt:variant>
        <vt:i4>5</vt:i4>
      </vt:variant>
      <vt:variant>
        <vt:lpwstr/>
      </vt:variant>
      <vt:variant>
        <vt:lpwstr>_Toc353955940</vt:lpwstr>
      </vt:variant>
      <vt:variant>
        <vt:i4>1900604</vt:i4>
      </vt:variant>
      <vt:variant>
        <vt:i4>218</vt:i4>
      </vt:variant>
      <vt:variant>
        <vt:i4>0</vt:i4>
      </vt:variant>
      <vt:variant>
        <vt:i4>5</vt:i4>
      </vt:variant>
      <vt:variant>
        <vt:lpwstr/>
      </vt:variant>
      <vt:variant>
        <vt:lpwstr>_Toc353955939</vt:lpwstr>
      </vt:variant>
      <vt:variant>
        <vt:i4>1900604</vt:i4>
      </vt:variant>
      <vt:variant>
        <vt:i4>212</vt:i4>
      </vt:variant>
      <vt:variant>
        <vt:i4>0</vt:i4>
      </vt:variant>
      <vt:variant>
        <vt:i4>5</vt:i4>
      </vt:variant>
      <vt:variant>
        <vt:lpwstr/>
      </vt:variant>
      <vt:variant>
        <vt:lpwstr>_Toc353955938</vt:lpwstr>
      </vt:variant>
      <vt:variant>
        <vt:i4>1900604</vt:i4>
      </vt:variant>
      <vt:variant>
        <vt:i4>206</vt:i4>
      </vt:variant>
      <vt:variant>
        <vt:i4>0</vt:i4>
      </vt:variant>
      <vt:variant>
        <vt:i4>5</vt:i4>
      </vt:variant>
      <vt:variant>
        <vt:lpwstr/>
      </vt:variant>
      <vt:variant>
        <vt:lpwstr>_Toc353955937</vt:lpwstr>
      </vt:variant>
      <vt:variant>
        <vt:i4>1900604</vt:i4>
      </vt:variant>
      <vt:variant>
        <vt:i4>200</vt:i4>
      </vt:variant>
      <vt:variant>
        <vt:i4>0</vt:i4>
      </vt:variant>
      <vt:variant>
        <vt:i4>5</vt:i4>
      </vt:variant>
      <vt:variant>
        <vt:lpwstr/>
      </vt:variant>
      <vt:variant>
        <vt:lpwstr>_Toc353955936</vt:lpwstr>
      </vt:variant>
      <vt:variant>
        <vt:i4>1900604</vt:i4>
      </vt:variant>
      <vt:variant>
        <vt:i4>194</vt:i4>
      </vt:variant>
      <vt:variant>
        <vt:i4>0</vt:i4>
      </vt:variant>
      <vt:variant>
        <vt:i4>5</vt:i4>
      </vt:variant>
      <vt:variant>
        <vt:lpwstr/>
      </vt:variant>
      <vt:variant>
        <vt:lpwstr>_Toc353955935</vt:lpwstr>
      </vt:variant>
      <vt:variant>
        <vt:i4>1900604</vt:i4>
      </vt:variant>
      <vt:variant>
        <vt:i4>188</vt:i4>
      </vt:variant>
      <vt:variant>
        <vt:i4>0</vt:i4>
      </vt:variant>
      <vt:variant>
        <vt:i4>5</vt:i4>
      </vt:variant>
      <vt:variant>
        <vt:lpwstr/>
      </vt:variant>
      <vt:variant>
        <vt:lpwstr>_Toc353955934</vt:lpwstr>
      </vt:variant>
      <vt:variant>
        <vt:i4>1900604</vt:i4>
      </vt:variant>
      <vt:variant>
        <vt:i4>182</vt:i4>
      </vt:variant>
      <vt:variant>
        <vt:i4>0</vt:i4>
      </vt:variant>
      <vt:variant>
        <vt:i4>5</vt:i4>
      </vt:variant>
      <vt:variant>
        <vt:lpwstr/>
      </vt:variant>
      <vt:variant>
        <vt:lpwstr>_Toc353955933</vt:lpwstr>
      </vt:variant>
      <vt:variant>
        <vt:i4>1900604</vt:i4>
      </vt:variant>
      <vt:variant>
        <vt:i4>176</vt:i4>
      </vt:variant>
      <vt:variant>
        <vt:i4>0</vt:i4>
      </vt:variant>
      <vt:variant>
        <vt:i4>5</vt:i4>
      </vt:variant>
      <vt:variant>
        <vt:lpwstr/>
      </vt:variant>
      <vt:variant>
        <vt:lpwstr>_Toc353955932</vt:lpwstr>
      </vt:variant>
      <vt:variant>
        <vt:i4>1900604</vt:i4>
      </vt:variant>
      <vt:variant>
        <vt:i4>170</vt:i4>
      </vt:variant>
      <vt:variant>
        <vt:i4>0</vt:i4>
      </vt:variant>
      <vt:variant>
        <vt:i4>5</vt:i4>
      </vt:variant>
      <vt:variant>
        <vt:lpwstr/>
      </vt:variant>
      <vt:variant>
        <vt:lpwstr>_Toc353955931</vt:lpwstr>
      </vt:variant>
      <vt:variant>
        <vt:i4>1900604</vt:i4>
      </vt:variant>
      <vt:variant>
        <vt:i4>164</vt:i4>
      </vt:variant>
      <vt:variant>
        <vt:i4>0</vt:i4>
      </vt:variant>
      <vt:variant>
        <vt:i4>5</vt:i4>
      </vt:variant>
      <vt:variant>
        <vt:lpwstr/>
      </vt:variant>
      <vt:variant>
        <vt:lpwstr>_Toc353955930</vt:lpwstr>
      </vt:variant>
      <vt:variant>
        <vt:i4>1835068</vt:i4>
      </vt:variant>
      <vt:variant>
        <vt:i4>158</vt:i4>
      </vt:variant>
      <vt:variant>
        <vt:i4>0</vt:i4>
      </vt:variant>
      <vt:variant>
        <vt:i4>5</vt:i4>
      </vt:variant>
      <vt:variant>
        <vt:lpwstr/>
      </vt:variant>
      <vt:variant>
        <vt:lpwstr>_Toc353955929</vt:lpwstr>
      </vt:variant>
      <vt:variant>
        <vt:i4>1835068</vt:i4>
      </vt:variant>
      <vt:variant>
        <vt:i4>152</vt:i4>
      </vt:variant>
      <vt:variant>
        <vt:i4>0</vt:i4>
      </vt:variant>
      <vt:variant>
        <vt:i4>5</vt:i4>
      </vt:variant>
      <vt:variant>
        <vt:lpwstr/>
      </vt:variant>
      <vt:variant>
        <vt:lpwstr>_Toc353955928</vt:lpwstr>
      </vt:variant>
      <vt:variant>
        <vt:i4>1835068</vt:i4>
      </vt:variant>
      <vt:variant>
        <vt:i4>146</vt:i4>
      </vt:variant>
      <vt:variant>
        <vt:i4>0</vt:i4>
      </vt:variant>
      <vt:variant>
        <vt:i4>5</vt:i4>
      </vt:variant>
      <vt:variant>
        <vt:lpwstr/>
      </vt:variant>
      <vt:variant>
        <vt:lpwstr>_Toc353955927</vt:lpwstr>
      </vt:variant>
      <vt:variant>
        <vt:i4>1835068</vt:i4>
      </vt:variant>
      <vt:variant>
        <vt:i4>140</vt:i4>
      </vt:variant>
      <vt:variant>
        <vt:i4>0</vt:i4>
      </vt:variant>
      <vt:variant>
        <vt:i4>5</vt:i4>
      </vt:variant>
      <vt:variant>
        <vt:lpwstr/>
      </vt:variant>
      <vt:variant>
        <vt:lpwstr>_Toc353955926</vt:lpwstr>
      </vt:variant>
      <vt:variant>
        <vt:i4>1835068</vt:i4>
      </vt:variant>
      <vt:variant>
        <vt:i4>134</vt:i4>
      </vt:variant>
      <vt:variant>
        <vt:i4>0</vt:i4>
      </vt:variant>
      <vt:variant>
        <vt:i4>5</vt:i4>
      </vt:variant>
      <vt:variant>
        <vt:lpwstr/>
      </vt:variant>
      <vt:variant>
        <vt:lpwstr>_Toc353955925</vt:lpwstr>
      </vt:variant>
      <vt:variant>
        <vt:i4>1835068</vt:i4>
      </vt:variant>
      <vt:variant>
        <vt:i4>128</vt:i4>
      </vt:variant>
      <vt:variant>
        <vt:i4>0</vt:i4>
      </vt:variant>
      <vt:variant>
        <vt:i4>5</vt:i4>
      </vt:variant>
      <vt:variant>
        <vt:lpwstr/>
      </vt:variant>
      <vt:variant>
        <vt:lpwstr>_Toc353955924</vt:lpwstr>
      </vt:variant>
      <vt:variant>
        <vt:i4>1835068</vt:i4>
      </vt:variant>
      <vt:variant>
        <vt:i4>122</vt:i4>
      </vt:variant>
      <vt:variant>
        <vt:i4>0</vt:i4>
      </vt:variant>
      <vt:variant>
        <vt:i4>5</vt:i4>
      </vt:variant>
      <vt:variant>
        <vt:lpwstr/>
      </vt:variant>
      <vt:variant>
        <vt:lpwstr>_Toc353955923</vt:lpwstr>
      </vt:variant>
      <vt:variant>
        <vt:i4>1835068</vt:i4>
      </vt:variant>
      <vt:variant>
        <vt:i4>116</vt:i4>
      </vt:variant>
      <vt:variant>
        <vt:i4>0</vt:i4>
      </vt:variant>
      <vt:variant>
        <vt:i4>5</vt:i4>
      </vt:variant>
      <vt:variant>
        <vt:lpwstr/>
      </vt:variant>
      <vt:variant>
        <vt:lpwstr>_Toc353955922</vt:lpwstr>
      </vt:variant>
      <vt:variant>
        <vt:i4>1835068</vt:i4>
      </vt:variant>
      <vt:variant>
        <vt:i4>110</vt:i4>
      </vt:variant>
      <vt:variant>
        <vt:i4>0</vt:i4>
      </vt:variant>
      <vt:variant>
        <vt:i4>5</vt:i4>
      </vt:variant>
      <vt:variant>
        <vt:lpwstr/>
      </vt:variant>
      <vt:variant>
        <vt:lpwstr>_Toc353955921</vt:lpwstr>
      </vt:variant>
      <vt:variant>
        <vt:i4>1835068</vt:i4>
      </vt:variant>
      <vt:variant>
        <vt:i4>104</vt:i4>
      </vt:variant>
      <vt:variant>
        <vt:i4>0</vt:i4>
      </vt:variant>
      <vt:variant>
        <vt:i4>5</vt:i4>
      </vt:variant>
      <vt:variant>
        <vt:lpwstr/>
      </vt:variant>
      <vt:variant>
        <vt:lpwstr>_Toc353955920</vt:lpwstr>
      </vt:variant>
      <vt:variant>
        <vt:i4>2031676</vt:i4>
      </vt:variant>
      <vt:variant>
        <vt:i4>98</vt:i4>
      </vt:variant>
      <vt:variant>
        <vt:i4>0</vt:i4>
      </vt:variant>
      <vt:variant>
        <vt:i4>5</vt:i4>
      </vt:variant>
      <vt:variant>
        <vt:lpwstr/>
      </vt:variant>
      <vt:variant>
        <vt:lpwstr>_Toc353955919</vt:lpwstr>
      </vt:variant>
      <vt:variant>
        <vt:i4>2031676</vt:i4>
      </vt:variant>
      <vt:variant>
        <vt:i4>92</vt:i4>
      </vt:variant>
      <vt:variant>
        <vt:i4>0</vt:i4>
      </vt:variant>
      <vt:variant>
        <vt:i4>5</vt:i4>
      </vt:variant>
      <vt:variant>
        <vt:lpwstr/>
      </vt:variant>
      <vt:variant>
        <vt:lpwstr>_Toc353955918</vt:lpwstr>
      </vt:variant>
      <vt:variant>
        <vt:i4>2031676</vt:i4>
      </vt:variant>
      <vt:variant>
        <vt:i4>86</vt:i4>
      </vt:variant>
      <vt:variant>
        <vt:i4>0</vt:i4>
      </vt:variant>
      <vt:variant>
        <vt:i4>5</vt:i4>
      </vt:variant>
      <vt:variant>
        <vt:lpwstr/>
      </vt:variant>
      <vt:variant>
        <vt:lpwstr>_Toc353955917</vt:lpwstr>
      </vt:variant>
      <vt:variant>
        <vt:i4>2031676</vt:i4>
      </vt:variant>
      <vt:variant>
        <vt:i4>80</vt:i4>
      </vt:variant>
      <vt:variant>
        <vt:i4>0</vt:i4>
      </vt:variant>
      <vt:variant>
        <vt:i4>5</vt:i4>
      </vt:variant>
      <vt:variant>
        <vt:lpwstr/>
      </vt:variant>
      <vt:variant>
        <vt:lpwstr>_Toc353955916</vt:lpwstr>
      </vt:variant>
      <vt:variant>
        <vt:i4>2031676</vt:i4>
      </vt:variant>
      <vt:variant>
        <vt:i4>74</vt:i4>
      </vt:variant>
      <vt:variant>
        <vt:i4>0</vt:i4>
      </vt:variant>
      <vt:variant>
        <vt:i4>5</vt:i4>
      </vt:variant>
      <vt:variant>
        <vt:lpwstr/>
      </vt:variant>
      <vt:variant>
        <vt:lpwstr>_Toc353955915</vt:lpwstr>
      </vt:variant>
      <vt:variant>
        <vt:i4>2031676</vt:i4>
      </vt:variant>
      <vt:variant>
        <vt:i4>68</vt:i4>
      </vt:variant>
      <vt:variant>
        <vt:i4>0</vt:i4>
      </vt:variant>
      <vt:variant>
        <vt:i4>5</vt:i4>
      </vt:variant>
      <vt:variant>
        <vt:lpwstr/>
      </vt:variant>
      <vt:variant>
        <vt:lpwstr>_Toc353955914</vt:lpwstr>
      </vt:variant>
      <vt:variant>
        <vt:i4>2031676</vt:i4>
      </vt:variant>
      <vt:variant>
        <vt:i4>62</vt:i4>
      </vt:variant>
      <vt:variant>
        <vt:i4>0</vt:i4>
      </vt:variant>
      <vt:variant>
        <vt:i4>5</vt:i4>
      </vt:variant>
      <vt:variant>
        <vt:lpwstr/>
      </vt:variant>
      <vt:variant>
        <vt:lpwstr>_Toc353955913</vt:lpwstr>
      </vt:variant>
      <vt:variant>
        <vt:i4>2031676</vt:i4>
      </vt:variant>
      <vt:variant>
        <vt:i4>56</vt:i4>
      </vt:variant>
      <vt:variant>
        <vt:i4>0</vt:i4>
      </vt:variant>
      <vt:variant>
        <vt:i4>5</vt:i4>
      </vt:variant>
      <vt:variant>
        <vt:lpwstr/>
      </vt:variant>
      <vt:variant>
        <vt:lpwstr>_Toc353955912</vt:lpwstr>
      </vt:variant>
      <vt:variant>
        <vt:i4>2031676</vt:i4>
      </vt:variant>
      <vt:variant>
        <vt:i4>50</vt:i4>
      </vt:variant>
      <vt:variant>
        <vt:i4>0</vt:i4>
      </vt:variant>
      <vt:variant>
        <vt:i4>5</vt:i4>
      </vt:variant>
      <vt:variant>
        <vt:lpwstr/>
      </vt:variant>
      <vt:variant>
        <vt:lpwstr>_Toc353955911</vt:lpwstr>
      </vt:variant>
      <vt:variant>
        <vt:i4>2031676</vt:i4>
      </vt:variant>
      <vt:variant>
        <vt:i4>44</vt:i4>
      </vt:variant>
      <vt:variant>
        <vt:i4>0</vt:i4>
      </vt:variant>
      <vt:variant>
        <vt:i4>5</vt:i4>
      </vt:variant>
      <vt:variant>
        <vt:lpwstr/>
      </vt:variant>
      <vt:variant>
        <vt:lpwstr>_Toc353955910</vt:lpwstr>
      </vt:variant>
      <vt:variant>
        <vt:i4>1966140</vt:i4>
      </vt:variant>
      <vt:variant>
        <vt:i4>38</vt:i4>
      </vt:variant>
      <vt:variant>
        <vt:i4>0</vt:i4>
      </vt:variant>
      <vt:variant>
        <vt:i4>5</vt:i4>
      </vt:variant>
      <vt:variant>
        <vt:lpwstr/>
      </vt:variant>
      <vt:variant>
        <vt:lpwstr>_Toc353955909</vt:lpwstr>
      </vt:variant>
      <vt:variant>
        <vt:i4>1966140</vt:i4>
      </vt:variant>
      <vt:variant>
        <vt:i4>32</vt:i4>
      </vt:variant>
      <vt:variant>
        <vt:i4>0</vt:i4>
      </vt:variant>
      <vt:variant>
        <vt:i4>5</vt:i4>
      </vt:variant>
      <vt:variant>
        <vt:lpwstr/>
      </vt:variant>
      <vt:variant>
        <vt:lpwstr>_Toc353955908</vt:lpwstr>
      </vt:variant>
      <vt:variant>
        <vt:i4>1966140</vt:i4>
      </vt:variant>
      <vt:variant>
        <vt:i4>26</vt:i4>
      </vt:variant>
      <vt:variant>
        <vt:i4>0</vt:i4>
      </vt:variant>
      <vt:variant>
        <vt:i4>5</vt:i4>
      </vt:variant>
      <vt:variant>
        <vt:lpwstr/>
      </vt:variant>
      <vt:variant>
        <vt:lpwstr>_Toc353955907</vt:lpwstr>
      </vt:variant>
      <vt:variant>
        <vt:i4>1966140</vt:i4>
      </vt:variant>
      <vt:variant>
        <vt:i4>20</vt:i4>
      </vt:variant>
      <vt:variant>
        <vt:i4>0</vt:i4>
      </vt:variant>
      <vt:variant>
        <vt:i4>5</vt:i4>
      </vt:variant>
      <vt:variant>
        <vt:lpwstr/>
      </vt:variant>
      <vt:variant>
        <vt:lpwstr>_Toc353955906</vt:lpwstr>
      </vt:variant>
      <vt:variant>
        <vt:i4>1966140</vt:i4>
      </vt:variant>
      <vt:variant>
        <vt:i4>14</vt:i4>
      </vt:variant>
      <vt:variant>
        <vt:i4>0</vt:i4>
      </vt:variant>
      <vt:variant>
        <vt:i4>5</vt:i4>
      </vt:variant>
      <vt:variant>
        <vt:lpwstr/>
      </vt:variant>
      <vt:variant>
        <vt:lpwstr>_Toc353955905</vt:lpwstr>
      </vt:variant>
      <vt:variant>
        <vt:i4>1966140</vt:i4>
      </vt:variant>
      <vt:variant>
        <vt:i4>8</vt:i4>
      </vt:variant>
      <vt:variant>
        <vt:i4>0</vt:i4>
      </vt:variant>
      <vt:variant>
        <vt:i4>5</vt:i4>
      </vt:variant>
      <vt:variant>
        <vt:lpwstr/>
      </vt:variant>
      <vt:variant>
        <vt:lpwstr>_Toc353955904</vt:lpwstr>
      </vt:variant>
      <vt:variant>
        <vt:i4>1966140</vt:i4>
      </vt:variant>
      <vt:variant>
        <vt:i4>2</vt:i4>
      </vt:variant>
      <vt:variant>
        <vt:i4>0</vt:i4>
      </vt:variant>
      <vt:variant>
        <vt:i4>5</vt:i4>
      </vt:variant>
      <vt:variant>
        <vt:lpwstr/>
      </vt:variant>
      <vt:variant>
        <vt:lpwstr>_Toc353955903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2016-07-28T00:44:00Z</dcterms:created>
  <dcterms:modified xsi:type="dcterms:W3CDTF">2016-07-28T00:44:00Z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c56e9778-df01-4796-ac46-275ecb769cbb</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1047400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