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0D30" w14:textId="1298DA5D" w:rsidR="001E4907" w:rsidRPr="001E4907" w:rsidRDefault="001E4907" w:rsidP="002F762A">
      <w:pPr>
        <w:pStyle w:val="Heading1"/>
        <w:spacing w:after="300"/>
        <w:rPr>
          <w:color w:val="auto"/>
          <w:sz w:val="32"/>
          <w:szCs w:val="22"/>
        </w:rPr>
      </w:pPr>
      <w:bookmarkStart w:id="0" w:name="_Toc475348267"/>
      <w:r w:rsidRPr="001E4907">
        <w:rPr>
          <w:color w:val="auto"/>
          <w:sz w:val="32"/>
          <w:szCs w:val="22"/>
        </w:rPr>
        <w:t>End of Program Evaluation of DFAT’s ‘COVID-19 Response in Bangladesh’ Investment</w:t>
      </w:r>
    </w:p>
    <w:p w14:paraId="5138E978" w14:textId="6E0B6D4B" w:rsidR="002F762A" w:rsidRPr="001E4907" w:rsidRDefault="002F762A" w:rsidP="001E4907">
      <w:pPr>
        <w:pStyle w:val="Heading1"/>
        <w:spacing w:after="300"/>
        <w:jc w:val="center"/>
        <w:rPr>
          <w:color w:val="auto"/>
          <w:sz w:val="28"/>
          <w:szCs w:val="20"/>
        </w:rPr>
      </w:pPr>
      <w:r w:rsidRPr="001E4907">
        <w:rPr>
          <w:color w:val="auto"/>
          <w:sz w:val="28"/>
          <w:szCs w:val="20"/>
        </w:rPr>
        <w:t>Management Response</w:t>
      </w:r>
      <w:bookmarkEnd w:id="0"/>
    </w:p>
    <w:p w14:paraId="6C2471AD" w14:textId="77777777" w:rsidR="002F762A" w:rsidRPr="009E5906" w:rsidRDefault="002F762A" w:rsidP="002F762A">
      <w:pPr>
        <w:pStyle w:val="Heading3"/>
        <w:rPr>
          <w:color w:val="auto"/>
        </w:rPr>
      </w:pPr>
      <w:r w:rsidRPr="009E5906">
        <w:rPr>
          <w:color w:val="auto"/>
        </w:rPr>
        <w:t xml:space="preserve">Summary of management response </w:t>
      </w:r>
    </w:p>
    <w:p w14:paraId="1C19A2AB" w14:textId="7912CD8F" w:rsidR="005171EB" w:rsidRPr="004F1C42" w:rsidRDefault="00186E6A" w:rsidP="004F1C42">
      <w:pPr>
        <w:pStyle w:val="BodyText"/>
      </w:pPr>
      <w:r w:rsidRPr="004F1C42">
        <w:t>DFAT agrees with the find</w:t>
      </w:r>
      <w:r w:rsidR="004B4954" w:rsidRPr="004F1C42">
        <w:t>ings</w:t>
      </w:r>
      <w:r w:rsidRPr="004F1C42">
        <w:t xml:space="preserve"> and </w:t>
      </w:r>
      <w:r w:rsidR="004B4954" w:rsidRPr="004F1C42">
        <w:t>recommendations</w:t>
      </w:r>
      <w:r w:rsidR="00FE608C" w:rsidRPr="004F1C42">
        <w:t xml:space="preserve"> of the </w:t>
      </w:r>
      <w:r w:rsidR="005171EB" w:rsidRPr="004F1C42">
        <w:t>End of Program Evaluation of the ‘COVID-19 Response in Bangladesh’ inve</w:t>
      </w:r>
      <w:r w:rsidR="000D0844" w:rsidRPr="004F1C42">
        <w:t xml:space="preserve">stment, and thanks the consultant, Dr Pieter </w:t>
      </w:r>
      <w:r w:rsidR="004C4BD9" w:rsidRPr="004F1C42">
        <w:t>van Diermen for the report</w:t>
      </w:r>
      <w:r w:rsidR="005F3C46" w:rsidRPr="004F1C42">
        <w:t xml:space="preserve">. </w:t>
      </w:r>
      <w:r w:rsidR="00725DF7" w:rsidRPr="004F1C42">
        <w:t xml:space="preserve">The ‘COVID-19 Response in Bangladesh’ project was funded by </w:t>
      </w:r>
      <w:r w:rsidR="009014A3" w:rsidRPr="004F1C42">
        <w:t>DFAT</w:t>
      </w:r>
      <w:r w:rsidR="00725DF7" w:rsidRPr="004F1C42">
        <w:t xml:space="preserve"> through an agreement with the Australian Red Cross (ARC). Activities were implemented by the International Federation of the Red Cross and Red Crescent Societies (IFRC) and the Bangladesh Red Crescent Society (BDRCS</w:t>
      </w:r>
      <w:r w:rsidR="002B495A" w:rsidRPr="004F1C42">
        <w:t>). We</w:t>
      </w:r>
      <w:r w:rsidR="005F3C46" w:rsidRPr="004F1C42">
        <w:t xml:space="preserve"> acknowledge the contributions</w:t>
      </w:r>
      <w:r w:rsidR="009014A3" w:rsidRPr="004F1C42">
        <w:t xml:space="preserve"> of these partners</w:t>
      </w:r>
      <w:r w:rsidR="000A3D04" w:rsidRPr="004F1C42">
        <w:t xml:space="preserve"> </w:t>
      </w:r>
      <w:r w:rsidR="004B5F22" w:rsidRPr="004F1C42">
        <w:t xml:space="preserve">towards the findings of this evaluation. </w:t>
      </w:r>
    </w:p>
    <w:p w14:paraId="1C111162" w14:textId="526AA1B0" w:rsidR="0044735A" w:rsidRPr="004F1C42" w:rsidRDefault="00E912CC" w:rsidP="004F1C42">
      <w:pPr>
        <w:pStyle w:val="BodyText"/>
      </w:pPr>
      <w:r w:rsidRPr="004F1C42">
        <w:t xml:space="preserve">The purpose of the </w:t>
      </w:r>
      <w:r w:rsidRPr="004F1C42">
        <w:t xml:space="preserve">evaluation </w:t>
      </w:r>
      <w:r w:rsidRPr="004F1C42">
        <w:t xml:space="preserve">was to </w:t>
      </w:r>
      <w:r w:rsidRPr="004F1C42">
        <w:t xml:space="preserve">systematic and objective assessment of effectiveness, efficiency and relevance of the ‘COVID-19 Response in Bangladesh’ project, including the extent to </w:t>
      </w:r>
      <w:r w:rsidRPr="004F1C42">
        <w:t>which it delivered the intended outcomes and objectives.</w:t>
      </w:r>
      <w:r w:rsidRPr="004F1C42">
        <w:t xml:space="preserve"> </w:t>
      </w:r>
      <w:r w:rsidR="006C3141" w:rsidRPr="004F1C42">
        <w:t xml:space="preserve">The </w:t>
      </w:r>
      <w:r w:rsidR="006971BA" w:rsidRPr="004F1C42">
        <w:t>purpose</w:t>
      </w:r>
      <w:r w:rsidR="006C3141" w:rsidRPr="004F1C42">
        <w:t xml:space="preserve"> of th</w:t>
      </w:r>
      <w:r w:rsidR="006971BA" w:rsidRPr="004F1C42">
        <w:t>e</w:t>
      </w:r>
      <w:r w:rsidR="006C3141" w:rsidRPr="004F1C42">
        <w:t xml:space="preserve"> </w:t>
      </w:r>
      <w:r w:rsidR="006F35BC" w:rsidRPr="004F1C42">
        <w:t xml:space="preserve">evaluation </w:t>
      </w:r>
      <w:r w:rsidR="006C3141" w:rsidRPr="004F1C42">
        <w:t xml:space="preserve">was to </w:t>
      </w:r>
      <w:r w:rsidR="00CD2E22" w:rsidRPr="004F1C42">
        <w:t>undertake a</w:t>
      </w:r>
      <w:r w:rsidR="006C3141" w:rsidRPr="004F1C42">
        <w:t xml:space="preserve"> </w:t>
      </w:r>
      <w:r w:rsidR="001E3CC8" w:rsidRPr="004F1C42">
        <w:t xml:space="preserve">systematic and objective assessment of effectiveness, efficiency and relevance of the ‘COVID-19 Response in Bangladesh’ project, including the extent to which it delivered the intended outcomes and </w:t>
      </w:r>
      <w:r w:rsidR="007974E9" w:rsidRPr="004F1C42">
        <w:t>objectives.</w:t>
      </w:r>
      <w:r w:rsidR="000D0FF3" w:rsidRPr="004F1C42">
        <w:t xml:space="preserve"> </w:t>
      </w:r>
      <w:r w:rsidR="00D35F73" w:rsidRPr="004F1C42">
        <w:t>T</w:t>
      </w:r>
      <w:r w:rsidR="000D0FF3" w:rsidRPr="004F1C42">
        <w:t xml:space="preserve">his investment was </w:t>
      </w:r>
      <w:r w:rsidR="00D35F73" w:rsidRPr="004F1C42">
        <w:t>activated</w:t>
      </w:r>
      <w:r w:rsidR="000D0FF3" w:rsidRPr="004F1C42">
        <w:t xml:space="preserve"> in anticipation of Bangladesh experiencing a wave of </w:t>
      </w:r>
      <w:r w:rsidR="00D35F73" w:rsidRPr="004F1C42">
        <w:t xml:space="preserve">COVID-19 </w:t>
      </w:r>
      <w:r w:rsidR="000D0FF3" w:rsidRPr="004F1C42">
        <w:t xml:space="preserve">infections, </w:t>
      </w:r>
      <w:proofErr w:type="gramStart"/>
      <w:r w:rsidR="000D0FF3" w:rsidRPr="004F1C42">
        <w:t>similar to</w:t>
      </w:r>
      <w:proofErr w:type="gramEnd"/>
      <w:r w:rsidR="000D0FF3" w:rsidRPr="004F1C42">
        <w:t xml:space="preserve"> the Delta wave in India</w:t>
      </w:r>
      <w:r w:rsidR="00527454" w:rsidRPr="004F1C42">
        <w:t xml:space="preserve">, which </w:t>
      </w:r>
      <w:r w:rsidR="001475FD" w:rsidRPr="004F1C42">
        <w:t xml:space="preserve">would have potentially overwhelmed </w:t>
      </w:r>
      <w:r w:rsidR="00825FEA" w:rsidRPr="004F1C42">
        <w:t xml:space="preserve">the country’s </w:t>
      </w:r>
      <w:r w:rsidR="001475FD" w:rsidRPr="004F1C42">
        <w:t>public health systems</w:t>
      </w:r>
      <w:r w:rsidR="00527454" w:rsidRPr="004F1C42">
        <w:t>. T</w:t>
      </w:r>
      <w:r w:rsidR="00602271" w:rsidRPr="004F1C42">
        <w:t xml:space="preserve">his ultimately did not happen, and </w:t>
      </w:r>
      <w:r w:rsidR="001B696F" w:rsidRPr="004F1C42">
        <w:t xml:space="preserve">while the investments funds were used for health and livelihoods support, a portion was also used to strengthen Bangladesh’s health systems in anticipation of future public health crises. </w:t>
      </w:r>
    </w:p>
    <w:p w14:paraId="14572DF7" w14:textId="01351A5F" w:rsidR="00E928D7" w:rsidRPr="004F1C42" w:rsidRDefault="00F22392" w:rsidP="004F1C42">
      <w:pPr>
        <w:pStyle w:val="BodyText"/>
      </w:pPr>
      <w:r w:rsidRPr="004F1C42">
        <w:t xml:space="preserve">DFAT has already begun implementing </w:t>
      </w:r>
      <w:r w:rsidR="001E3CC8" w:rsidRPr="004F1C42">
        <w:t xml:space="preserve">some of the </w:t>
      </w:r>
      <w:r w:rsidR="00DC1828" w:rsidRPr="004F1C42">
        <w:t>evaluation’s recommendations, including</w:t>
      </w:r>
      <w:r w:rsidR="00FC1CD7" w:rsidRPr="004F1C42">
        <w:t xml:space="preserve"> adapting more </w:t>
      </w:r>
      <w:r w:rsidR="009C0CD4" w:rsidRPr="004F1C42">
        <w:t>detailed and specific reporting requirements</w:t>
      </w:r>
      <w:r w:rsidR="00CF251E" w:rsidRPr="004F1C42">
        <w:t xml:space="preserve">, in subsequent investments/projects. </w:t>
      </w:r>
      <w:r w:rsidR="003A3672" w:rsidRPr="004F1C42">
        <w:t>The management response outlines planned actions by DFAT and partner in response to the mid-term review recommendations.</w:t>
      </w:r>
    </w:p>
    <w:p w14:paraId="38F394F8" w14:textId="065C4759" w:rsidR="004E058F" w:rsidRPr="00E03024" w:rsidRDefault="007A335A" w:rsidP="00E03024">
      <w:pPr>
        <w:pStyle w:val="Heading1"/>
        <w:spacing w:after="300"/>
        <w:rPr>
          <w:color w:val="auto"/>
          <w:sz w:val="32"/>
        </w:rPr>
      </w:pPr>
      <w:r w:rsidRPr="00E03024">
        <w:rPr>
          <w:color w:val="auto"/>
          <w:sz w:val="32"/>
        </w:rPr>
        <w:lastRenderedPageBreak/>
        <w:t>JULY 202</w:t>
      </w:r>
      <w:r w:rsidR="00F23E21" w:rsidRPr="00E03024">
        <w:rPr>
          <w:color w:val="auto"/>
          <w:sz w:val="32"/>
        </w:rPr>
        <w:t>5</w:t>
      </w:r>
    </w:p>
    <w:p w14:paraId="5F00AA30" w14:textId="0367789A" w:rsidR="00C10415" w:rsidRPr="00E03024" w:rsidRDefault="0031432C" w:rsidP="00E03024">
      <w:pPr>
        <w:pStyle w:val="Heading3"/>
        <w:rPr>
          <w:color w:val="auto"/>
        </w:rPr>
      </w:pPr>
      <w:bookmarkStart w:id="1" w:name="_Toc373853205"/>
      <w:r w:rsidRPr="00E03024">
        <w:rPr>
          <w:color w:val="auto"/>
        </w:rPr>
        <w:t>Individual m</w:t>
      </w:r>
      <w:r w:rsidR="00C10415" w:rsidRPr="00E03024">
        <w:rPr>
          <w:color w:val="auto"/>
        </w:rPr>
        <w:t xml:space="preserve">anagement response to the recommendations </w:t>
      </w:r>
    </w:p>
    <w:tbl>
      <w:tblPr>
        <w:tblStyle w:val="DFATTable1"/>
        <w:tblpPr w:leftFromText="181" w:rightFromText="181" w:vertAnchor="text" w:tblpXSpec="center" w:tblpY="1"/>
        <w:tblOverlap w:val="never"/>
        <w:tblW w:w="14680"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850"/>
        <w:gridCol w:w="1710"/>
        <w:gridCol w:w="4133"/>
        <w:gridCol w:w="3848"/>
        <w:gridCol w:w="2139"/>
      </w:tblGrid>
      <w:tr w:rsidR="00C5258F" w14:paraId="464F0A9D" w14:textId="77777777" w:rsidTr="009065F8">
        <w:trPr>
          <w:cnfStyle w:val="100000000000" w:firstRow="1" w:lastRow="0" w:firstColumn="0" w:lastColumn="0" w:oddVBand="0" w:evenVBand="0" w:oddHBand="0"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2850" w:type="dxa"/>
            <w:shd w:val="clear" w:color="auto" w:fill="B35D31" w:themeFill="accent1" w:themeFillShade="BF"/>
            <w:hideMark/>
          </w:tcPr>
          <w:p w14:paraId="378DEF72" w14:textId="77777777" w:rsidR="00C10415" w:rsidRPr="008A0512" w:rsidRDefault="00C10415" w:rsidP="00C5258F">
            <w:pPr>
              <w:pStyle w:val="TableHeaderRow"/>
            </w:pPr>
            <w:r w:rsidRPr="008A0512">
              <w:t>Recommendation</w:t>
            </w:r>
          </w:p>
        </w:tc>
        <w:tc>
          <w:tcPr>
            <w:tcW w:w="1710" w:type="dxa"/>
            <w:shd w:val="clear" w:color="auto" w:fill="B35D31" w:themeFill="accent1" w:themeFillShade="BF"/>
            <w:hideMark/>
          </w:tcPr>
          <w:p w14:paraId="5B27B37E" w14:textId="2CB53F5D" w:rsidR="00C10415" w:rsidRPr="008A0512" w:rsidRDefault="00C10415" w:rsidP="00C5258F">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4133" w:type="dxa"/>
            <w:shd w:val="clear" w:color="auto" w:fill="B35D31" w:themeFill="accent1" w:themeFillShade="BF"/>
            <w:hideMark/>
          </w:tcPr>
          <w:p w14:paraId="1D1DC2C4" w14:textId="77777777" w:rsidR="00C10415" w:rsidRPr="008A0512" w:rsidRDefault="00C10415" w:rsidP="00C5258F">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3848" w:type="dxa"/>
            <w:shd w:val="clear" w:color="auto" w:fill="B35D31" w:themeFill="accent1" w:themeFillShade="BF"/>
            <w:hideMark/>
          </w:tcPr>
          <w:p w14:paraId="19C59273" w14:textId="77777777" w:rsidR="00C10415" w:rsidRPr="008A0512" w:rsidRDefault="00C10415" w:rsidP="00C5258F">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2139" w:type="dxa"/>
            <w:shd w:val="clear" w:color="auto" w:fill="B35D31" w:themeFill="accent1" w:themeFillShade="BF"/>
            <w:hideMark/>
          </w:tcPr>
          <w:p w14:paraId="4B9016ED" w14:textId="77777777" w:rsidR="00C10415" w:rsidRPr="008A0512" w:rsidRDefault="00C10415" w:rsidP="00C5258F">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p w14:paraId="71CC5112" w14:textId="77777777" w:rsidR="00C10415" w:rsidRPr="008F4A4D" w:rsidRDefault="00C10415" w:rsidP="00C5258F">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hAnsiTheme="majorHAnsi"/>
              </w:rPr>
              <w:t>[If practical, please specify timeframe here]</w:t>
            </w:r>
          </w:p>
        </w:tc>
      </w:tr>
      <w:tr w:rsidR="00C5258F" w14:paraId="1E1CDDD4" w14:textId="77777777" w:rsidTr="00C5258F">
        <w:trPr>
          <w:cnfStyle w:val="000000100000" w:firstRow="0" w:lastRow="0" w:firstColumn="0" w:lastColumn="0" w:oddVBand="0" w:evenVBand="0" w:oddHBand="1" w:evenHBand="0" w:firstRowFirstColumn="0" w:firstRowLastColumn="0" w:lastRowFirstColumn="0" w:lastRowLastColumn="0"/>
          <w:trHeight w:val="2131"/>
        </w:trPr>
        <w:tc>
          <w:tcPr>
            <w:cnfStyle w:val="001000000000" w:firstRow="0" w:lastRow="0" w:firstColumn="1" w:lastColumn="0" w:oddVBand="0" w:evenVBand="0" w:oddHBand="0" w:evenHBand="0" w:firstRowFirstColumn="0" w:firstRowLastColumn="0" w:lastRowFirstColumn="0" w:lastRowLastColumn="0"/>
            <w:tcW w:w="2850" w:type="dxa"/>
          </w:tcPr>
          <w:p w14:paraId="3C1E9A07" w14:textId="77777777" w:rsidR="00654666" w:rsidRPr="00534AC0" w:rsidRDefault="00654666" w:rsidP="00C5258F">
            <w:pPr>
              <w:pStyle w:val="Heading3"/>
              <w:rPr>
                <w:b/>
                <w:color w:val="auto"/>
                <w:sz w:val="24"/>
                <w:szCs w:val="24"/>
              </w:rPr>
            </w:pPr>
            <w:r w:rsidRPr="00534AC0">
              <w:rPr>
                <w:b/>
                <w:color w:val="auto"/>
                <w:sz w:val="24"/>
                <w:szCs w:val="24"/>
              </w:rPr>
              <w:t>Recommendation 1</w:t>
            </w:r>
            <w:r w:rsidRPr="00534AC0">
              <w:rPr>
                <w:b/>
                <w:i/>
                <w:color w:val="auto"/>
                <w:sz w:val="24"/>
                <w:szCs w:val="24"/>
              </w:rPr>
              <w:t xml:space="preserve"> </w:t>
            </w:r>
          </w:p>
          <w:p w14:paraId="3263A97F" w14:textId="2178B901" w:rsidR="00654666" w:rsidRPr="009065F8" w:rsidRDefault="00E83E09" w:rsidP="004F1C42">
            <w:pPr>
              <w:pStyle w:val="BodyText"/>
            </w:pPr>
            <w:r w:rsidRPr="00E83E09">
              <w:t xml:space="preserve">For future similar Humanitarian rapid funding, DFAT should include more detailed and specific reporting requirements.  </w:t>
            </w:r>
          </w:p>
          <w:p w14:paraId="346A427B" w14:textId="77777777" w:rsidR="00654666" w:rsidRPr="009065F8" w:rsidRDefault="00654666" w:rsidP="004F1C42">
            <w:pPr>
              <w:pStyle w:val="BodyText"/>
            </w:pPr>
          </w:p>
        </w:tc>
        <w:tc>
          <w:tcPr>
            <w:tcW w:w="1710" w:type="dxa"/>
            <w:shd w:val="clear" w:color="auto" w:fill="92D050"/>
            <w:hideMark/>
          </w:tcPr>
          <w:p w14:paraId="6B853E40" w14:textId="77777777" w:rsidR="00654666" w:rsidRPr="009065F8" w:rsidRDefault="00654666" w:rsidP="00C5258F">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 xml:space="preserve">Agree </w:t>
            </w:r>
          </w:p>
        </w:tc>
        <w:tc>
          <w:tcPr>
            <w:tcW w:w="4133" w:type="dxa"/>
          </w:tcPr>
          <w:p w14:paraId="71B207B8" w14:textId="18894EC5" w:rsidR="00B96D80" w:rsidRPr="009065F8" w:rsidRDefault="007F764D" w:rsidP="004F1C42">
            <w:pPr>
              <w:pStyle w:val="BodyText"/>
              <w:cnfStyle w:val="000000100000" w:firstRow="0" w:lastRow="0" w:firstColumn="0" w:lastColumn="0" w:oddVBand="0" w:evenVBand="0" w:oddHBand="1" w:evenHBand="0" w:firstRowFirstColumn="0" w:firstRowLastColumn="0" w:lastRowFirstColumn="0" w:lastRowLastColumn="0"/>
            </w:pPr>
            <w:r>
              <w:t>The agreement for this investment did no</w:t>
            </w:r>
            <w:r w:rsidR="0058644A">
              <w:t>t</w:t>
            </w:r>
            <w:r>
              <w:t xml:space="preserve"> outline any specific reporting requirements, especially </w:t>
            </w:r>
            <w:proofErr w:type="gramStart"/>
            <w:r w:rsidR="002755EE">
              <w:t>in regard to</w:t>
            </w:r>
            <w:proofErr w:type="gramEnd"/>
            <w:r>
              <w:t xml:space="preserve"> gender and disability related data</w:t>
            </w:r>
            <w:r w:rsidR="0058644A">
              <w:t>. The program reports therefore did not have any disaggregated data</w:t>
            </w:r>
          </w:p>
        </w:tc>
        <w:tc>
          <w:tcPr>
            <w:tcW w:w="3848" w:type="dxa"/>
          </w:tcPr>
          <w:p w14:paraId="55DF2264" w14:textId="0A4C31AF" w:rsidR="00654666" w:rsidRPr="009065F8" w:rsidRDefault="00363664" w:rsidP="004F1C42">
            <w:pPr>
              <w:pStyle w:val="BodyText"/>
              <w:cnfStyle w:val="000000100000" w:firstRow="0" w:lastRow="0" w:firstColumn="0" w:lastColumn="0" w:oddVBand="0" w:evenVBand="0" w:oddHBand="1" w:evenHBand="0" w:firstRowFirstColumn="0" w:firstRowLastColumn="0" w:lastRowFirstColumn="0" w:lastRowLastColumn="0"/>
            </w:pPr>
            <w:r>
              <w:t>We have incorporated specific reporting requirements in our subsequent agreement with ARC/IFRC (</w:t>
            </w:r>
            <w:r w:rsidR="001E2D75">
              <w:t>for</w:t>
            </w:r>
            <w:r>
              <w:t xml:space="preserve"> the Cyclone Mocha Response Project in Cox</w:t>
            </w:r>
            <w:r w:rsidR="001E2D75">
              <w:t>’s Bazar, Bangladesh)</w:t>
            </w:r>
          </w:p>
        </w:tc>
        <w:tc>
          <w:tcPr>
            <w:tcW w:w="2139" w:type="dxa"/>
          </w:tcPr>
          <w:p w14:paraId="6C373C9A" w14:textId="0928CBF1" w:rsidR="00654666" w:rsidRPr="009065F8" w:rsidRDefault="001B7E52" w:rsidP="004F1C42">
            <w:pPr>
              <w:pStyle w:val="BodyText"/>
              <w:cnfStyle w:val="000000100000" w:firstRow="0" w:lastRow="0" w:firstColumn="0" w:lastColumn="0" w:oddVBand="0" w:evenVBand="0" w:oddHBand="1" w:evenHBand="0" w:firstRowFirstColumn="0" w:firstRowLastColumn="0" w:lastRowFirstColumn="0" w:lastRowLastColumn="0"/>
            </w:pPr>
            <w:r>
              <w:t>Completed</w:t>
            </w:r>
          </w:p>
        </w:tc>
      </w:tr>
      <w:tr w:rsidR="00C5258F" w14:paraId="2C38D767" w14:textId="77777777" w:rsidTr="00C5258F">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50" w:type="dxa"/>
          </w:tcPr>
          <w:p w14:paraId="5476C77C" w14:textId="1A50FE7E" w:rsidR="00654666" w:rsidRPr="00534AC0" w:rsidRDefault="00654666" w:rsidP="00C5258F">
            <w:pPr>
              <w:pStyle w:val="Heading3"/>
              <w:rPr>
                <w:b/>
                <w:color w:val="auto"/>
                <w:sz w:val="24"/>
                <w:szCs w:val="24"/>
              </w:rPr>
            </w:pPr>
            <w:r w:rsidRPr="00534AC0">
              <w:rPr>
                <w:b/>
                <w:color w:val="auto"/>
                <w:sz w:val="24"/>
                <w:szCs w:val="24"/>
              </w:rPr>
              <w:t>Recommendation 2</w:t>
            </w:r>
            <w:r w:rsidRPr="00534AC0">
              <w:rPr>
                <w:b/>
                <w:i/>
                <w:color w:val="auto"/>
                <w:sz w:val="24"/>
                <w:szCs w:val="24"/>
              </w:rPr>
              <w:t xml:space="preserve"> </w:t>
            </w:r>
          </w:p>
          <w:p w14:paraId="1A69F57E" w14:textId="387F1B86" w:rsidR="00654666" w:rsidRPr="009065F8" w:rsidRDefault="004533EB" w:rsidP="004F1C42">
            <w:pPr>
              <w:pStyle w:val="BodyText"/>
            </w:pPr>
            <w:r w:rsidRPr="004533EB">
              <w:t>Contractor’s reporting requirements should align as much as possible with DFAT’s fiduciary, risk management and safeguard reporting requirement and structure of reporting.</w:t>
            </w:r>
          </w:p>
          <w:p w14:paraId="1CEF960F" w14:textId="77777777" w:rsidR="00654666" w:rsidRPr="009065F8" w:rsidRDefault="00654666" w:rsidP="004F1C42">
            <w:pPr>
              <w:pStyle w:val="BodyText"/>
            </w:pPr>
          </w:p>
          <w:p w14:paraId="2E5C835C" w14:textId="77777777" w:rsidR="00654666" w:rsidRPr="009065F8" w:rsidRDefault="00654666" w:rsidP="004F1C42">
            <w:pPr>
              <w:pStyle w:val="BodyText"/>
            </w:pPr>
          </w:p>
        </w:tc>
        <w:tc>
          <w:tcPr>
            <w:tcW w:w="1710" w:type="dxa"/>
            <w:shd w:val="clear" w:color="auto" w:fill="92D050"/>
            <w:hideMark/>
          </w:tcPr>
          <w:p w14:paraId="2E2825F5" w14:textId="77777777" w:rsidR="00654666" w:rsidRPr="009065F8" w:rsidRDefault="00654666" w:rsidP="00C5258F">
            <w:pPr>
              <w:pStyle w:val="Heading3"/>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lastRenderedPageBreak/>
              <w:t xml:space="preserve">Agree </w:t>
            </w:r>
          </w:p>
        </w:tc>
        <w:tc>
          <w:tcPr>
            <w:tcW w:w="4133" w:type="dxa"/>
          </w:tcPr>
          <w:p w14:paraId="231793B8" w14:textId="3131BB33" w:rsidR="0020267B" w:rsidRDefault="0020267B" w:rsidP="004F1C42">
            <w:pPr>
              <w:pStyle w:val="BodyText"/>
              <w:cnfStyle w:val="000000010000" w:firstRow="0" w:lastRow="0" w:firstColumn="0" w:lastColumn="0" w:oddVBand="0" w:evenVBand="0" w:oddHBand="0" w:evenHBand="1" w:firstRowFirstColumn="0" w:firstRowLastColumn="0" w:lastRowFirstColumn="0" w:lastRowLastColumn="0"/>
            </w:pPr>
            <w:r>
              <w:t>ARC/IFRC used its own reporting format for the program</w:t>
            </w:r>
            <w:r w:rsidR="00435AFF">
              <w:t>. This did not cover all the priority areas that DFAT normally requires reporting on</w:t>
            </w:r>
          </w:p>
          <w:p w14:paraId="5544F10F" w14:textId="65665D56" w:rsidR="00D96B35" w:rsidRPr="009065F8" w:rsidRDefault="002755EE" w:rsidP="004F1C42">
            <w:pPr>
              <w:pStyle w:val="BodyText"/>
              <w:cnfStyle w:val="000000010000" w:firstRow="0" w:lastRow="0" w:firstColumn="0" w:lastColumn="0" w:oddVBand="0" w:evenVBand="0" w:oddHBand="0" w:evenHBand="1" w:firstRowFirstColumn="0" w:firstRowLastColumn="0" w:lastRowFirstColumn="0" w:lastRowLastColumn="0"/>
            </w:pPr>
            <w:r>
              <w:t>Po</w:t>
            </w:r>
            <w:r w:rsidR="00A33446">
              <w:t>st had limited visibility on key program documents including the risk register</w:t>
            </w:r>
          </w:p>
        </w:tc>
        <w:tc>
          <w:tcPr>
            <w:tcW w:w="3848" w:type="dxa"/>
          </w:tcPr>
          <w:p w14:paraId="51A0E6BF" w14:textId="77777777" w:rsidR="00654666" w:rsidRDefault="00435AFF" w:rsidP="004F1C42">
            <w:pPr>
              <w:pStyle w:val="BodyText"/>
              <w:cnfStyle w:val="000000010000" w:firstRow="0" w:lastRow="0" w:firstColumn="0" w:lastColumn="0" w:oddVBand="0" w:evenVBand="0" w:oddHBand="0" w:evenHBand="1" w:firstRowFirstColumn="0" w:firstRowLastColumn="0" w:lastRowFirstColumn="0" w:lastRowLastColumn="0"/>
            </w:pPr>
            <w:r>
              <w:t xml:space="preserve">Post have discussed this with the ARC partnership team in Canberra. For the subsequent agreement with ARC/IFRC (Cyclone Mocha Response), the partners used the </w:t>
            </w:r>
            <w:r w:rsidR="001A241F">
              <w:t>‘8+3’ reporting format (</w:t>
            </w:r>
            <w:proofErr w:type="gramStart"/>
            <w:r w:rsidR="001A241F">
              <w:t>similar to</w:t>
            </w:r>
            <w:proofErr w:type="gramEnd"/>
            <w:r w:rsidR="001A241F">
              <w:t xml:space="preserve"> DFAT’s other humanitarian partners).</w:t>
            </w:r>
          </w:p>
          <w:p w14:paraId="50E0AA1C" w14:textId="31B7C061" w:rsidR="00654666" w:rsidRPr="009065F8" w:rsidRDefault="001B7E52" w:rsidP="004F1C42">
            <w:pPr>
              <w:pStyle w:val="BodyText"/>
              <w:cnfStyle w:val="000000010000" w:firstRow="0" w:lastRow="0" w:firstColumn="0" w:lastColumn="0" w:oddVBand="0" w:evenVBand="0" w:oddHBand="0" w:evenHBand="1" w:firstRowFirstColumn="0" w:firstRowLastColumn="0" w:lastRowFirstColumn="0" w:lastRowLastColumn="0"/>
            </w:pPr>
            <w:r>
              <w:t>Post has been working more closely with the ARC partnership team in Canberra and has better access to documents including the risk register.</w:t>
            </w:r>
          </w:p>
        </w:tc>
        <w:tc>
          <w:tcPr>
            <w:tcW w:w="2139" w:type="dxa"/>
          </w:tcPr>
          <w:p w14:paraId="55EACFF5" w14:textId="43167F81" w:rsidR="00654666" w:rsidRPr="009065F8" w:rsidRDefault="001B7E52" w:rsidP="004F1C42">
            <w:pPr>
              <w:pStyle w:val="BodyText"/>
              <w:cnfStyle w:val="000000010000" w:firstRow="0" w:lastRow="0" w:firstColumn="0" w:lastColumn="0" w:oddVBand="0" w:evenVBand="0" w:oddHBand="0" w:evenHBand="1" w:firstRowFirstColumn="0" w:firstRowLastColumn="0" w:lastRowFirstColumn="0" w:lastRowLastColumn="0"/>
            </w:pPr>
            <w:r>
              <w:t>Completed</w:t>
            </w:r>
          </w:p>
        </w:tc>
      </w:tr>
      <w:tr w:rsidR="00C5258F" w14:paraId="70CFBD2B" w14:textId="77777777" w:rsidTr="00C5258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50" w:type="dxa"/>
          </w:tcPr>
          <w:p w14:paraId="1BAC4564" w14:textId="00174135" w:rsidR="00654666" w:rsidRPr="00534AC0" w:rsidRDefault="00654666" w:rsidP="00C5258F">
            <w:pPr>
              <w:pStyle w:val="Heading3"/>
              <w:rPr>
                <w:b/>
                <w:color w:val="auto"/>
                <w:sz w:val="24"/>
                <w:szCs w:val="24"/>
              </w:rPr>
            </w:pPr>
            <w:r w:rsidRPr="00534AC0">
              <w:rPr>
                <w:b/>
                <w:color w:val="auto"/>
                <w:sz w:val="24"/>
                <w:szCs w:val="24"/>
              </w:rPr>
              <w:t>Recommendation 3</w:t>
            </w:r>
          </w:p>
          <w:p w14:paraId="741F93BD" w14:textId="66E0BB09" w:rsidR="00654666" w:rsidRPr="009065F8" w:rsidRDefault="003E1CDF" w:rsidP="004F1C42">
            <w:pPr>
              <w:pStyle w:val="BodyText"/>
            </w:pPr>
            <w:r w:rsidRPr="003E1CDF">
              <w:t>At a minimum, future humanitarian emergency aid should require reporting on gender disaggregated data and consider including the cost, if any, in the contracting.</w:t>
            </w:r>
          </w:p>
          <w:p w14:paraId="7A73AD59" w14:textId="77777777" w:rsidR="00654666" w:rsidRPr="009065F8" w:rsidRDefault="00654666" w:rsidP="004F1C42">
            <w:pPr>
              <w:pStyle w:val="BodyText"/>
            </w:pPr>
          </w:p>
        </w:tc>
        <w:tc>
          <w:tcPr>
            <w:tcW w:w="1710" w:type="dxa"/>
            <w:shd w:val="clear" w:color="auto" w:fill="92D050"/>
            <w:hideMark/>
          </w:tcPr>
          <w:p w14:paraId="42CE1A8E" w14:textId="77777777" w:rsidR="00654666" w:rsidRPr="009065F8" w:rsidRDefault="00654666" w:rsidP="00C5258F">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 xml:space="preserve">Agree </w:t>
            </w:r>
          </w:p>
        </w:tc>
        <w:tc>
          <w:tcPr>
            <w:tcW w:w="4133" w:type="dxa"/>
          </w:tcPr>
          <w:p w14:paraId="77DD90B9" w14:textId="577EE4F7" w:rsidR="000D0A86" w:rsidRPr="009065F8" w:rsidRDefault="00CD20EF" w:rsidP="004F1C42">
            <w:pPr>
              <w:pStyle w:val="BodyText"/>
              <w:cnfStyle w:val="000000100000" w:firstRow="0" w:lastRow="0" w:firstColumn="0" w:lastColumn="0" w:oddVBand="0" w:evenVBand="0" w:oddHBand="1" w:evenHBand="0" w:firstRowFirstColumn="0" w:firstRowLastColumn="0" w:lastRowFirstColumn="0" w:lastRowLastColumn="0"/>
            </w:pPr>
            <w:proofErr w:type="gramStart"/>
            <w:r>
              <w:t xml:space="preserve">Similar </w:t>
            </w:r>
            <w:r w:rsidR="00A82FCB">
              <w:t>to</w:t>
            </w:r>
            <w:proofErr w:type="gramEnd"/>
            <w:r w:rsidR="00A82FCB">
              <w:t xml:space="preserve"> recommendation 1, this point refers specifically to the lack of specific reporting requirements around providing gender and disability disaggregated data. </w:t>
            </w:r>
            <w:r w:rsidR="00664E03">
              <w:t>While</w:t>
            </w:r>
            <w:r w:rsidR="00873410">
              <w:t xml:space="preserve"> partners did collect this data, they did not report ion it as this was not specified in the agreement</w:t>
            </w:r>
          </w:p>
        </w:tc>
        <w:tc>
          <w:tcPr>
            <w:tcW w:w="3848" w:type="dxa"/>
          </w:tcPr>
          <w:p w14:paraId="0A0612EE" w14:textId="4A369339" w:rsidR="00654666" w:rsidRPr="009065F8" w:rsidRDefault="00664E03" w:rsidP="004F1C42">
            <w:pPr>
              <w:pStyle w:val="BodyText"/>
              <w:cnfStyle w:val="000000100000" w:firstRow="0" w:lastRow="0" w:firstColumn="0" w:lastColumn="0" w:oddVBand="0" w:evenVBand="0" w:oddHBand="1" w:evenHBand="0" w:firstRowFirstColumn="0" w:firstRowLastColumn="0" w:lastRowFirstColumn="0" w:lastRowLastColumn="0"/>
            </w:pPr>
            <w:r>
              <w:t xml:space="preserve">In our subsequent project with ARC/IFRC (for the Cyclone Mocha Response Project in Cox’s Bazar, Bangladesh), we have included specific clauses in the agreement requiring the partners to provide gender and disability level disaggregation for </w:t>
            </w:r>
            <w:r w:rsidR="00C76CD4">
              <w:t>a</w:t>
            </w:r>
            <w:r>
              <w:t>ll results.</w:t>
            </w:r>
          </w:p>
        </w:tc>
        <w:tc>
          <w:tcPr>
            <w:tcW w:w="2139" w:type="dxa"/>
          </w:tcPr>
          <w:p w14:paraId="2610E28B" w14:textId="47B5DF62" w:rsidR="00654666" w:rsidRPr="009065F8" w:rsidRDefault="00C76CD4" w:rsidP="004F1C42">
            <w:pPr>
              <w:pStyle w:val="BodyText"/>
              <w:cnfStyle w:val="000000100000" w:firstRow="0" w:lastRow="0" w:firstColumn="0" w:lastColumn="0" w:oddVBand="0" w:evenVBand="0" w:oddHBand="1" w:evenHBand="0" w:firstRowFirstColumn="0" w:firstRowLastColumn="0" w:lastRowFirstColumn="0" w:lastRowLastColumn="0"/>
            </w:pPr>
            <w:r>
              <w:t>Completed</w:t>
            </w:r>
          </w:p>
        </w:tc>
      </w:tr>
      <w:tr w:rsidR="00C5258F" w14:paraId="0BEEA0EA" w14:textId="77777777" w:rsidTr="00C5258F">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50" w:type="dxa"/>
          </w:tcPr>
          <w:p w14:paraId="6C99102E" w14:textId="34F36FB9" w:rsidR="00654666" w:rsidRPr="00534AC0" w:rsidRDefault="00654666" w:rsidP="00C5258F">
            <w:pPr>
              <w:pStyle w:val="Heading3"/>
              <w:rPr>
                <w:b/>
                <w:color w:val="auto"/>
                <w:sz w:val="24"/>
                <w:szCs w:val="24"/>
              </w:rPr>
            </w:pPr>
            <w:r w:rsidRPr="00534AC0">
              <w:rPr>
                <w:b/>
                <w:color w:val="auto"/>
                <w:sz w:val="24"/>
                <w:szCs w:val="24"/>
              </w:rPr>
              <w:t>Recommendation 4</w:t>
            </w:r>
          </w:p>
          <w:p w14:paraId="2BFD66B1" w14:textId="01D5D7C4" w:rsidR="00654666" w:rsidRPr="009065F8" w:rsidRDefault="003E1CDF" w:rsidP="004F1C42">
            <w:pPr>
              <w:pStyle w:val="BodyText"/>
            </w:pPr>
            <w:r w:rsidRPr="003E1CDF">
              <w:t>Partnership and localisation should be encouraged with considerations given to the feasibility of further or deeper partnerships and localisation in terms of counterpart’s capacity and meeting fiduciary, risk management and safeguard assurances.</w:t>
            </w:r>
          </w:p>
        </w:tc>
        <w:tc>
          <w:tcPr>
            <w:tcW w:w="1710" w:type="dxa"/>
            <w:shd w:val="clear" w:color="auto" w:fill="92D050"/>
            <w:hideMark/>
          </w:tcPr>
          <w:p w14:paraId="33595DA8" w14:textId="77777777" w:rsidR="00654666" w:rsidRPr="009065F8" w:rsidRDefault="00654666" w:rsidP="00C5258F">
            <w:pPr>
              <w:pStyle w:val="Heading3"/>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Agree </w:t>
            </w:r>
          </w:p>
        </w:tc>
        <w:tc>
          <w:tcPr>
            <w:tcW w:w="4133" w:type="dxa"/>
          </w:tcPr>
          <w:p w14:paraId="066AC935" w14:textId="3D9BBF7E" w:rsidR="00094C33" w:rsidRPr="009065F8" w:rsidRDefault="009548F5" w:rsidP="004F1C42">
            <w:pPr>
              <w:pStyle w:val="BodyText"/>
              <w:cnfStyle w:val="000000010000" w:firstRow="0" w:lastRow="0" w:firstColumn="0" w:lastColumn="0" w:oddVBand="0" w:evenVBand="0" w:oddHBand="0" w:evenHBand="1" w:firstRowFirstColumn="0" w:firstRowLastColumn="0" w:lastRowFirstColumn="0" w:lastRowLastColumn="0"/>
            </w:pPr>
            <w:r>
              <w:t>For this investment, DFAT partnered directly with the A</w:t>
            </w:r>
            <w:r w:rsidR="007D5996">
              <w:t>RC. The program was then implemented through IFRC and BDRCS.</w:t>
            </w:r>
            <w:r w:rsidR="00120C72">
              <w:t xml:space="preserve"> </w:t>
            </w:r>
            <w:r w:rsidR="008F5D0F">
              <w:t>This recommendation</w:t>
            </w:r>
            <w:r w:rsidR="00513B64">
              <w:t xml:space="preserve"> focuses in DFAT </w:t>
            </w:r>
            <w:proofErr w:type="gramStart"/>
            <w:r w:rsidR="00513B64">
              <w:t>entering into</w:t>
            </w:r>
            <w:proofErr w:type="gramEnd"/>
            <w:r w:rsidR="00513B64">
              <w:t xml:space="preserve"> direct partnerships with IFRC and </w:t>
            </w:r>
            <w:r w:rsidR="007F5510">
              <w:t xml:space="preserve">BDRCS </w:t>
            </w:r>
            <w:r w:rsidR="007F5510" w:rsidRPr="009B1698">
              <w:t>to</w:t>
            </w:r>
            <w:r w:rsidR="009B1698" w:rsidRPr="009B1698">
              <w:t xml:space="preserve"> deliver rapid assistance toward country-level appeals or proposals developed specifically for Post.</w:t>
            </w:r>
            <w:r w:rsidR="009B1698">
              <w:t xml:space="preserve"> As BDRCS is a more ‘local’ organisation, this would </w:t>
            </w:r>
            <w:r w:rsidR="00335F1D">
              <w:t>also contribute towards DFAT’s larger localisation agenda</w:t>
            </w:r>
            <w:r w:rsidR="00F23E21">
              <w:t xml:space="preserve">. </w:t>
            </w:r>
            <w:r w:rsidR="00E51FF7">
              <w:t>T</w:t>
            </w:r>
            <w:r w:rsidR="00DA6C8A">
              <w:t>his sort of direct partnership carries greater risk</w:t>
            </w:r>
            <w:r w:rsidR="00BF5D99">
              <w:t xml:space="preserve">, since BDRCS might not have a robust system of risk management </w:t>
            </w:r>
            <w:r w:rsidR="00864750">
              <w:t>compared to ARC.</w:t>
            </w:r>
            <w:r w:rsidR="00E51FF7">
              <w:t xml:space="preserve"> </w:t>
            </w:r>
            <w:r w:rsidR="00E51FF7">
              <w:lastRenderedPageBreak/>
              <w:t>Managing a partnership with BDRCS would also require a more hands-on approach from Post, which will be a challenge given our limited resources.</w:t>
            </w:r>
          </w:p>
        </w:tc>
        <w:tc>
          <w:tcPr>
            <w:tcW w:w="3848" w:type="dxa"/>
          </w:tcPr>
          <w:p w14:paraId="49B59B31" w14:textId="69F4753E" w:rsidR="00654666" w:rsidRPr="009065F8" w:rsidRDefault="00335F1D" w:rsidP="004F1C42">
            <w:pPr>
              <w:pStyle w:val="BodyText"/>
              <w:cnfStyle w:val="000000010000" w:firstRow="0" w:lastRow="0" w:firstColumn="0" w:lastColumn="0" w:oddVBand="0" w:evenVBand="0" w:oddHBand="0" w:evenHBand="1" w:firstRowFirstColumn="0" w:firstRowLastColumn="0" w:lastRowFirstColumn="0" w:lastRowLastColumn="0"/>
            </w:pPr>
            <w:r>
              <w:lastRenderedPageBreak/>
              <w:t>DFAT will have to carry out the necessary due diligence assessments on IFRC and BDRCS</w:t>
            </w:r>
            <w:r w:rsidR="00D47A6C">
              <w:t xml:space="preserve"> to lay the groundwork for direct partnerships in the future.</w:t>
            </w:r>
            <w:r w:rsidR="007F5510">
              <w:t xml:space="preserve"> Additional resources might be required at Post, as this partnership would call for a more hands-on approach. </w:t>
            </w:r>
          </w:p>
        </w:tc>
        <w:tc>
          <w:tcPr>
            <w:tcW w:w="2139" w:type="dxa"/>
          </w:tcPr>
          <w:p w14:paraId="570F95B2" w14:textId="64C9783D" w:rsidR="00654666" w:rsidRPr="009065F8" w:rsidRDefault="003B5BA9" w:rsidP="004F1C42">
            <w:pPr>
              <w:pStyle w:val="BodyText"/>
              <w:cnfStyle w:val="000000010000" w:firstRow="0" w:lastRow="0" w:firstColumn="0" w:lastColumn="0" w:oddVBand="0" w:evenVBand="0" w:oddHBand="0" w:evenHBand="1" w:firstRowFirstColumn="0" w:firstRowLastColumn="0" w:lastRowFirstColumn="0" w:lastRowLastColumn="0"/>
            </w:pPr>
            <w:r>
              <w:t xml:space="preserve">Under discussion </w:t>
            </w:r>
          </w:p>
        </w:tc>
      </w:tr>
      <w:bookmarkEnd w:id="1"/>
    </w:tbl>
    <w:p w14:paraId="6CD5609B" w14:textId="77777777" w:rsidR="00C10415" w:rsidRPr="00C10415" w:rsidRDefault="00C10415" w:rsidP="00C10415">
      <w:pPr>
        <w:rPr>
          <w:lang w:val="en-AU"/>
        </w:rPr>
      </w:pPr>
    </w:p>
    <w:sectPr w:rsidR="00C10415" w:rsidRPr="00C10415" w:rsidSect="00D96B35">
      <w:headerReference w:type="default" r:id="rId10"/>
      <w:footerReference w:type="default" r:id="rId11"/>
      <w:headerReference w:type="first" r:id="rId12"/>
      <w:footerReference w:type="first" r:id="rId13"/>
      <w:pgSz w:w="16838" w:h="11906" w:orient="landscape" w:code="9"/>
      <w:pgMar w:top="1134" w:right="1985"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428BA" w14:textId="77777777" w:rsidR="002A480A" w:rsidRDefault="002A480A" w:rsidP="003A5358">
      <w:r>
        <w:separator/>
      </w:r>
    </w:p>
  </w:endnote>
  <w:endnote w:type="continuationSeparator" w:id="0">
    <w:p w14:paraId="6F172EE5" w14:textId="77777777" w:rsidR="002A480A" w:rsidRDefault="002A480A" w:rsidP="003A5358">
      <w:r>
        <w:continuationSeparator/>
      </w:r>
    </w:p>
  </w:endnote>
  <w:endnote w:type="continuationNotice" w:id="1">
    <w:p w14:paraId="293F223B" w14:textId="77777777" w:rsidR="002A480A" w:rsidRDefault="002A48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5DC0" w14:textId="77777777" w:rsidR="00FF2B29" w:rsidRDefault="00FF2B29" w:rsidP="00057479">
    <w:pPr>
      <w:pStyle w:val="Classification"/>
    </w:pPr>
    <w:r>
      <w:rPr>
        <w:noProof/>
        <w:lang w:val="en-US"/>
      </w:rPr>
      <w:drawing>
        <wp:anchor distT="0" distB="0" distL="114300" distR="114300" simplePos="0" relativeHeight="251658240" behindDoc="1" locked="0" layoutInCell="1" allowOverlap="1" wp14:anchorId="232EE034" wp14:editId="721A3E0C">
          <wp:simplePos x="0" y="0"/>
          <wp:positionH relativeFrom="page">
            <wp:posOffset>723900</wp:posOffset>
          </wp:positionH>
          <wp:positionV relativeFrom="page">
            <wp:posOffset>10156190</wp:posOffset>
          </wp:positionV>
          <wp:extent cx="6119495" cy="3822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14:paraId="482C4D04" w14:textId="15DEB0F9" w:rsidR="00FF2B29" w:rsidRDefault="00FF2B29"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C5258F">
      <w:rPr>
        <w:rStyle w:val="PageNumber"/>
        <w:noProof/>
      </w:rPr>
      <w:t>3</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DB2F" w14:textId="1B9DF265" w:rsidR="00FF2B29" w:rsidRDefault="00FF2B29" w:rsidP="003A5358">
    <w:pPr>
      <w:pStyle w:val="Footer"/>
    </w:pPr>
    <w:r>
      <w:rPr>
        <w:noProof/>
        <w:lang w:val="en-US"/>
      </w:rPr>
      <w:drawing>
        <wp:anchor distT="0" distB="0" distL="114300" distR="114300" simplePos="0" relativeHeight="251658241" behindDoc="1" locked="0" layoutInCell="1" allowOverlap="1" wp14:anchorId="0BC4A3D8" wp14:editId="73CB35A3">
          <wp:simplePos x="0" y="0"/>
          <wp:positionH relativeFrom="page">
            <wp:posOffset>723900</wp:posOffset>
          </wp:positionH>
          <wp:positionV relativeFrom="page">
            <wp:posOffset>10149840</wp:posOffset>
          </wp:positionV>
          <wp:extent cx="6119495" cy="382270"/>
          <wp:effectExtent l="0" t="0" r="0"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C5258F">
      <w:rPr>
        <w:rStyle w:val="PageNumber"/>
        <w:noProof/>
      </w:rPr>
      <w:t>2</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B5955" w14:textId="77777777" w:rsidR="002A480A" w:rsidRPr="008C5A0E" w:rsidRDefault="002A480A" w:rsidP="003A5358">
      <w:pPr>
        <w:pStyle w:val="FootnoteSeparator"/>
      </w:pPr>
    </w:p>
  </w:footnote>
  <w:footnote w:type="continuationSeparator" w:id="0">
    <w:p w14:paraId="202C358D" w14:textId="77777777" w:rsidR="002A480A" w:rsidRDefault="002A480A" w:rsidP="003A5358">
      <w:r>
        <w:continuationSeparator/>
      </w:r>
    </w:p>
  </w:footnote>
  <w:footnote w:type="continuationNotice" w:id="1">
    <w:p w14:paraId="6EFF2BD5" w14:textId="77777777" w:rsidR="002A480A" w:rsidRDefault="002A480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867F" w14:textId="7ECBEE22" w:rsidR="00FF2B29" w:rsidRPr="00806503" w:rsidRDefault="00FF2B29" w:rsidP="00057479">
    <w:pPr>
      <w:pStyle w:val="Classifica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EEAB" w14:textId="4C90918B" w:rsidR="00FF2B29" w:rsidRDefault="00FF2B29" w:rsidP="003A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5"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6"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62C5C1E"/>
    <w:multiLevelType w:val="hybridMultilevel"/>
    <w:tmpl w:val="7DB05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D56043A"/>
    <w:multiLevelType w:val="multilevel"/>
    <w:tmpl w:val="69AEB596"/>
    <w:numStyleLink w:val="BulletsList"/>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0E2ABC"/>
    <w:multiLevelType w:val="multilevel"/>
    <w:tmpl w:val="3BBAD900"/>
    <w:numStyleLink w:val="HeadingsList"/>
  </w:abstractNum>
  <w:abstractNum w:abstractNumId="14"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83123000">
    <w:abstractNumId w:val="14"/>
  </w:num>
  <w:num w:numId="2" w16cid:durableId="140464685">
    <w:abstractNumId w:val="1"/>
  </w:num>
  <w:num w:numId="3" w16cid:durableId="522747862">
    <w:abstractNumId w:val="6"/>
  </w:num>
  <w:num w:numId="4" w16cid:durableId="1827625478">
    <w:abstractNumId w:val="8"/>
  </w:num>
  <w:num w:numId="5" w16cid:durableId="1428693647">
    <w:abstractNumId w:val="11"/>
  </w:num>
  <w:num w:numId="6" w16cid:durableId="1214537426">
    <w:abstractNumId w:val="1"/>
  </w:num>
  <w:num w:numId="7" w16cid:durableId="826479686">
    <w:abstractNumId w:val="3"/>
  </w:num>
  <w:num w:numId="8" w16cid:durableId="1931040546">
    <w:abstractNumId w:val="15"/>
  </w:num>
  <w:num w:numId="9" w16cid:durableId="1796021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760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8789471">
    <w:abstractNumId w:val="12"/>
  </w:num>
  <w:num w:numId="12" w16cid:durableId="688868988">
    <w:abstractNumId w:val="2"/>
  </w:num>
  <w:num w:numId="13" w16cid:durableId="1815372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9522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2585742">
    <w:abstractNumId w:val="10"/>
  </w:num>
  <w:num w:numId="16" w16cid:durableId="47413384">
    <w:abstractNumId w:val="13"/>
  </w:num>
  <w:num w:numId="17" w16cid:durableId="60727606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F6"/>
    <w:rsid w:val="00007DB9"/>
    <w:rsid w:val="00013F0E"/>
    <w:rsid w:val="0001666A"/>
    <w:rsid w:val="0001758F"/>
    <w:rsid w:val="0002080A"/>
    <w:rsid w:val="0002336C"/>
    <w:rsid w:val="00025D1E"/>
    <w:rsid w:val="00027287"/>
    <w:rsid w:val="0002782F"/>
    <w:rsid w:val="00033496"/>
    <w:rsid w:val="000356C3"/>
    <w:rsid w:val="00040A8B"/>
    <w:rsid w:val="00040C6D"/>
    <w:rsid w:val="00043F46"/>
    <w:rsid w:val="00045462"/>
    <w:rsid w:val="00047307"/>
    <w:rsid w:val="000524C5"/>
    <w:rsid w:val="00054E4D"/>
    <w:rsid w:val="00055B0A"/>
    <w:rsid w:val="00057479"/>
    <w:rsid w:val="00057A97"/>
    <w:rsid w:val="00060073"/>
    <w:rsid w:val="00061316"/>
    <w:rsid w:val="00064004"/>
    <w:rsid w:val="00067916"/>
    <w:rsid w:val="00094C33"/>
    <w:rsid w:val="000972FD"/>
    <w:rsid w:val="000A3D04"/>
    <w:rsid w:val="000A7FA1"/>
    <w:rsid w:val="000B3155"/>
    <w:rsid w:val="000B321A"/>
    <w:rsid w:val="000B5035"/>
    <w:rsid w:val="000C3638"/>
    <w:rsid w:val="000D0844"/>
    <w:rsid w:val="000D0A86"/>
    <w:rsid w:val="000D0FF3"/>
    <w:rsid w:val="000D53CF"/>
    <w:rsid w:val="000E79F6"/>
    <w:rsid w:val="000F12F0"/>
    <w:rsid w:val="000F2A97"/>
    <w:rsid w:val="00101A68"/>
    <w:rsid w:val="00105094"/>
    <w:rsid w:val="001055F8"/>
    <w:rsid w:val="00107CD1"/>
    <w:rsid w:val="0011276D"/>
    <w:rsid w:val="00120092"/>
    <w:rsid w:val="00120C72"/>
    <w:rsid w:val="001250CF"/>
    <w:rsid w:val="00125E4E"/>
    <w:rsid w:val="00135189"/>
    <w:rsid w:val="00135A5B"/>
    <w:rsid w:val="0013615E"/>
    <w:rsid w:val="00141E3E"/>
    <w:rsid w:val="00146016"/>
    <w:rsid w:val="001475FD"/>
    <w:rsid w:val="0015356B"/>
    <w:rsid w:val="001541EA"/>
    <w:rsid w:val="00154921"/>
    <w:rsid w:val="0015505E"/>
    <w:rsid w:val="00156A3D"/>
    <w:rsid w:val="00157C34"/>
    <w:rsid w:val="00157CF5"/>
    <w:rsid w:val="00160C67"/>
    <w:rsid w:val="00160F95"/>
    <w:rsid w:val="0016320A"/>
    <w:rsid w:val="0017300A"/>
    <w:rsid w:val="00176E78"/>
    <w:rsid w:val="00177828"/>
    <w:rsid w:val="00186E6A"/>
    <w:rsid w:val="00193FDB"/>
    <w:rsid w:val="001956FD"/>
    <w:rsid w:val="0019675B"/>
    <w:rsid w:val="00196DE3"/>
    <w:rsid w:val="001A241F"/>
    <w:rsid w:val="001A2B63"/>
    <w:rsid w:val="001A79DE"/>
    <w:rsid w:val="001B696F"/>
    <w:rsid w:val="001B7E52"/>
    <w:rsid w:val="001C013B"/>
    <w:rsid w:val="001C2CE5"/>
    <w:rsid w:val="001C5C4C"/>
    <w:rsid w:val="001C7935"/>
    <w:rsid w:val="001D2C55"/>
    <w:rsid w:val="001D36D7"/>
    <w:rsid w:val="001D4767"/>
    <w:rsid w:val="001D663E"/>
    <w:rsid w:val="001E0CB4"/>
    <w:rsid w:val="001E0D37"/>
    <w:rsid w:val="001E1DC0"/>
    <w:rsid w:val="001E2D75"/>
    <w:rsid w:val="001E3CC8"/>
    <w:rsid w:val="001E4907"/>
    <w:rsid w:val="001F27D9"/>
    <w:rsid w:val="0020267B"/>
    <w:rsid w:val="00203BF7"/>
    <w:rsid w:val="0022167B"/>
    <w:rsid w:val="0022186C"/>
    <w:rsid w:val="00232EAB"/>
    <w:rsid w:val="0023481D"/>
    <w:rsid w:val="00234A59"/>
    <w:rsid w:val="00235580"/>
    <w:rsid w:val="002359C9"/>
    <w:rsid w:val="00240892"/>
    <w:rsid w:val="00241162"/>
    <w:rsid w:val="0024653B"/>
    <w:rsid w:val="00253405"/>
    <w:rsid w:val="002573DB"/>
    <w:rsid w:val="00260099"/>
    <w:rsid w:val="002607B0"/>
    <w:rsid w:val="00271503"/>
    <w:rsid w:val="00272489"/>
    <w:rsid w:val="00272B56"/>
    <w:rsid w:val="00273FF7"/>
    <w:rsid w:val="002755EE"/>
    <w:rsid w:val="00276B76"/>
    <w:rsid w:val="0028158A"/>
    <w:rsid w:val="00283EFE"/>
    <w:rsid w:val="0028602A"/>
    <w:rsid w:val="00286EDD"/>
    <w:rsid w:val="002921CE"/>
    <w:rsid w:val="0029542A"/>
    <w:rsid w:val="00296AF6"/>
    <w:rsid w:val="002A1C58"/>
    <w:rsid w:val="002A480A"/>
    <w:rsid w:val="002B1079"/>
    <w:rsid w:val="002B22C4"/>
    <w:rsid w:val="002B495A"/>
    <w:rsid w:val="002C0C6F"/>
    <w:rsid w:val="002C1EB6"/>
    <w:rsid w:val="002C5997"/>
    <w:rsid w:val="002D43C3"/>
    <w:rsid w:val="002D484F"/>
    <w:rsid w:val="002D5825"/>
    <w:rsid w:val="002D71E9"/>
    <w:rsid w:val="002E0790"/>
    <w:rsid w:val="002F1BDC"/>
    <w:rsid w:val="002F617C"/>
    <w:rsid w:val="002F762A"/>
    <w:rsid w:val="002F782D"/>
    <w:rsid w:val="003002C0"/>
    <w:rsid w:val="00301144"/>
    <w:rsid w:val="00302E4B"/>
    <w:rsid w:val="00304BF3"/>
    <w:rsid w:val="0031097F"/>
    <w:rsid w:val="0031432C"/>
    <w:rsid w:val="003148B7"/>
    <w:rsid w:val="003158C3"/>
    <w:rsid w:val="00317188"/>
    <w:rsid w:val="003274CD"/>
    <w:rsid w:val="003308E6"/>
    <w:rsid w:val="00332FA2"/>
    <w:rsid w:val="00333501"/>
    <w:rsid w:val="00334595"/>
    <w:rsid w:val="00335F1D"/>
    <w:rsid w:val="00337B31"/>
    <w:rsid w:val="00337D35"/>
    <w:rsid w:val="00343E2A"/>
    <w:rsid w:val="003457C4"/>
    <w:rsid w:val="003508A8"/>
    <w:rsid w:val="0035119D"/>
    <w:rsid w:val="003538D3"/>
    <w:rsid w:val="003545FA"/>
    <w:rsid w:val="0035513B"/>
    <w:rsid w:val="00355610"/>
    <w:rsid w:val="003567C7"/>
    <w:rsid w:val="00363664"/>
    <w:rsid w:val="00363B3C"/>
    <w:rsid w:val="003653B1"/>
    <w:rsid w:val="00365E71"/>
    <w:rsid w:val="00367856"/>
    <w:rsid w:val="00372B86"/>
    <w:rsid w:val="00383B26"/>
    <w:rsid w:val="00387667"/>
    <w:rsid w:val="00391846"/>
    <w:rsid w:val="00392BFF"/>
    <w:rsid w:val="003A2A87"/>
    <w:rsid w:val="003A3672"/>
    <w:rsid w:val="003A5358"/>
    <w:rsid w:val="003A5CD1"/>
    <w:rsid w:val="003B4F12"/>
    <w:rsid w:val="003B5BA9"/>
    <w:rsid w:val="003B7805"/>
    <w:rsid w:val="003D4F79"/>
    <w:rsid w:val="003D7D08"/>
    <w:rsid w:val="003D7F56"/>
    <w:rsid w:val="003E038E"/>
    <w:rsid w:val="003E0442"/>
    <w:rsid w:val="003E1CDF"/>
    <w:rsid w:val="003E32FA"/>
    <w:rsid w:val="003F163B"/>
    <w:rsid w:val="003F2F48"/>
    <w:rsid w:val="003F3DE0"/>
    <w:rsid w:val="003F525E"/>
    <w:rsid w:val="0041430C"/>
    <w:rsid w:val="004144E9"/>
    <w:rsid w:val="004203A3"/>
    <w:rsid w:val="0042098F"/>
    <w:rsid w:val="004215E7"/>
    <w:rsid w:val="004230ED"/>
    <w:rsid w:val="00423F31"/>
    <w:rsid w:val="0042455D"/>
    <w:rsid w:val="00425CB9"/>
    <w:rsid w:val="00426C51"/>
    <w:rsid w:val="004270F9"/>
    <w:rsid w:val="00427B4D"/>
    <w:rsid w:val="00431899"/>
    <w:rsid w:val="00434C6D"/>
    <w:rsid w:val="00435AFF"/>
    <w:rsid w:val="00436291"/>
    <w:rsid w:val="00437A5A"/>
    <w:rsid w:val="0044735A"/>
    <w:rsid w:val="004533EB"/>
    <w:rsid w:val="00457856"/>
    <w:rsid w:val="00463389"/>
    <w:rsid w:val="00467695"/>
    <w:rsid w:val="0047483B"/>
    <w:rsid w:val="0047491E"/>
    <w:rsid w:val="004778BE"/>
    <w:rsid w:val="0048174A"/>
    <w:rsid w:val="00481CA0"/>
    <w:rsid w:val="00486804"/>
    <w:rsid w:val="00486BA0"/>
    <w:rsid w:val="00495F8E"/>
    <w:rsid w:val="004971E7"/>
    <w:rsid w:val="004A3947"/>
    <w:rsid w:val="004B0F18"/>
    <w:rsid w:val="004B3775"/>
    <w:rsid w:val="004B4954"/>
    <w:rsid w:val="004B5F22"/>
    <w:rsid w:val="004C02CA"/>
    <w:rsid w:val="004C4BD9"/>
    <w:rsid w:val="004D0AEE"/>
    <w:rsid w:val="004D336E"/>
    <w:rsid w:val="004D633C"/>
    <w:rsid w:val="004E058F"/>
    <w:rsid w:val="004E3B87"/>
    <w:rsid w:val="004E7E9F"/>
    <w:rsid w:val="004F1C42"/>
    <w:rsid w:val="004F2CEC"/>
    <w:rsid w:val="00501EA3"/>
    <w:rsid w:val="0050405D"/>
    <w:rsid w:val="00510921"/>
    <w:rsid w:val="00510AD3"/>
    <w:rsid w:val="00513348"/>
    <w:rsid w:val="00513B64"/>
    <w:rsid w:val="005171EB"/>
    <w:rsid w:val="00521B2A"/>
    <w:rsid w:val="00527454"/>
    <w:rsid w:val="00533B5D"/>
    <w:rsid w:val="00534683"/>
    <w:rsid w:val="00534AC0"/>
    <w:rsid w:val="00534BE6"/>
    <w:rsid w:val="00536F42"/>
    <w:rsid w:val="00551658"/>
    <w:rsid w:val="00552BFE"/>
    <w:rsid w:val="005536C4"/>
    <w:rsid w:val="0056172E"/>
    <w:rsid w:val="00562760"/>
    <w:rsid w:val="00564E34"/>
    <w:rsid w:val="0057225D"/>
    <w:rsid w:val="00580BDB"/>
    <w:rsid w:val="0058458D"/>
    <w:rsid w:val="0058530D"/>
    <w:rsid w:val="0058644A"/>
    <w:rsid w:val="0059099C"/>
    <w:rsid w:val="00596DED"/>
    <w:rsid w:val="005A3526"/>
    <w:rsid w:val="005B091C"/>
    <w:rsid w:val="005B583F"/>
    <w:rsid w:val="005C18AC"/>
    <w:rsid w:val="005C4B23"/>
    <w:rsid w:val="005C62CC"/>
    <w:rsid w:val="005C70FA"/>
    <w:rsid w:val="005D0990"/>
    <w:rsid w:val="005D1E4D"/>
    <w:rsid w:val="005D6697"/>
    <w:rsid w:val="005E295B"/>
    <w:rsid w:val="005F0701"/>
    <w:rsid w:val="005F1D57"/>
    <w:rsid w:val="005F3C46"/>
    <w:rsid w:val="00602271"/>
    <w:rsid w:val="00617926"/>
    <w:rsid w:val="006222A8"/>
    <w:rsid w:val="006234A7"/>
    <w:rsid w:val="00623BA1"/>
    <w:rsid w:val="00627558"/>
    <w:rsid w:val="0063446C"/>
    <w:rsid w:val="006346BC"/>
    <w:rsid w:val="00635A5C"/>
    <w:rsid w:val="006418E7"/>
    <w:rsid w:val="00654666"/>
    <w:rsid w:val="00655169"/>
    <w:rsid w:val="00655284"/>
    <w:rsid w:val="0065749D"/>
    <w:rsid w:val="00660AF5"/>
    <w:rsid w:val="00661748"/>
    <w:rsid w:val="00663BB9"/>
    <w:rsid w:val="00664E03"/>
    <w:rsid w:val="00665DF4"/>
    <w:rsid w:val="0066652A"/>
    <w:rsid w:val="006703FA"/>
    <w:rsid w:val="006719D4"/>
    <w:rsid w:val="00682167"/>
    <w:rsid w:val="00686E76"/>
    <w:rsid w:val="00687B3B"/>
    <w:rsid w:val="006922D7"/>
    <w:rsid w:val="006955CE"/>
    <w:rsid w:val="006955FB"/>
    <w:rsid w:val="006971BA"/>
    <w:rsid w:val="00697320"/>
    <w:rsid w:val="006A3EB6"/>
    <w:rsid w:val="006B0E2A"/>
    <w:rsid w:val="006B50CE"/>
    <w:rsid w:val="006C3042"/>
    <w:rsid w:val="006C3141"/>
    <w:rsid w:val="006C3316"/>
    <w:rsid w:val="006C3AD6"/>
    <w:rsid w:val="006C3B01"/>
    <w:rsid w:val="006C42AF"/>
    <w:rsid w:val="006C483E"/>
    <w:rsid w:val="006C6575"/>
    <w:rsid w:val="006C7A60"/>
    <w:rsid w:val="006D3831"/>
    <w:rsid w:val="006E2A12"/>
    <w:rsid w:val="006F0606"/>
    <w:rsid w:val="006F35BC"/>
    <w:rsid w:val="006F682D"/>
    <w:rsid w:val="00700B3A"/>
    <w:rsid w:val="00706FDE"/>
    <w:rsid w:val="007071DB"/>
    <w:rsid w:val="0071086E"/>
    <w:rsid w:val="00710AC4"/>
    <w:rsid w:val="00711D8E"/>
    <w:rsid w:val="00712672"/>
    <w:rsid w:val="0071528C"/>
    <w:rsid w:val="00716B4B"/>
    <w:rsid w:val="007217E9"/>
    <w:rsid w:val="007217FC"/>
    <w:rsid w:val="00721E12"/>
    <w:rsid w:val="00725DF7"/>
    <w:rsid w:val="00731A39"/>
    <w:rsid w:val="00732705"/>
    <w:rsid w:val="00732CA1"/>
    <w:rsid w:val="00734E3F"/>
    <w:rsid w:val="00736985"/>
    <w:rsid w:val="007451B9"/>
    <w:rsid w:val="00745DF5"/>
    <w:rsid w:val="007509B3"/>
    <w:rsid w:val="00750DBA"/>
    <w:rsid w:val="007538A5"/>
    <w:rsid w:val="00755B50"/>
    <w:rsid w:val="00756044"/>
    <w:rsid w:val="0075794C"/>
    <w:rsid w:val="00761FBB"/>
    <w:rsid w:val="00774489"/>
    <w:rsid w:val="007806BC"/>
    <w:rsid w:val="0078409A"/>
    <w:rsid w:val="0078540E"/>
    <w:rsid w:val="00785854"/>
    <w:rsid w:val="007903D7"/>
    <w:rsid w:val="00794DDF"/>
    <w:rsid w:val="00794E78"/>
    <w:rsid w:val="0079738A"/>
    <w:rsid w:val="007974E9"/>
    <w:rsid w:val="007A011C"/>
    <w:rsid w:val="007A1263"/>
    <w:rsid w:val="007A335A"/>
    <w:rsid w:val="007A34B5"/>
    <w:rsid w:val="007A7373"/>
    <w:rsid w:val="007B42BF"/>
    <w:rsid w:val="007B6200"/>
    <w:rsid w:val="007B634D"/>
    <w:rsid w:val="007C42D8"/>
    <w:rsid w:val="007D28C2"/>
    <w:rsid w:val="007D5996"/>
    <w:rsid w:val="007D5DCF"/>
    <w:rsid w:val="007D60CC"/>
    <w:rsid w:val="007E2357"/>
    <w:rsid w:val="007E2535"/>
    <w:rsid w:val="007E3380"/>
    <w:rsid w:val="007F14D1"/>
    <w:rsid w:val="007F3395"/>
    <w:rsid w:val="007F3779"/>
    <w:rsid w:val="007F5510"/>
    <w:rsid w:val="007F764D"/>
    <w:rsid w:val="00801B9F"/>
    <w:rsid w:val="00802141"/>
    <w:rsid w:val="00806503"/>
    <w:rsid w:val="00806757"/>
    <w:rsid w:val="00823F67"/>
    <w:rsid w:val="00823FC8"/>
    <w:rsid w:val="00825FEA"/>
    <w:rsid w:val="0082741E"/>
    <w:rsid w:val="00827B71"/>
    <w:rsid w:val="00834336"/>
    <w:rsid w:val="00840942"/>
    <w:rsid w:val="0085011E"/>
    <w:rsid w:val="00864750"/>
    <w:rsid w:val="00873410"/>
    <w:rsid w:val="00875F79"/>
    <w:rsid w:val="008830D2"/>
    <w:rsid w:val="00885EF9"/>
    <w:rsid w:val="00887A93"/>
    <w:rsid w:val="00892441"/>
    <w:rsid w:val="00892D47"/>
    <w:rsid w:val="008A0512"/>
    <w:rsid w:val="008A217A"/>
    <w:rsid w:val="008A2D70"/>
    <w:rsid w:val="008B24F6"/>
    <w:rsid w:val="008B3A67"/>
    <w:rsid w:val="008C455D"/>
    <w:rsid w:val="008C5A0E"/>
    <w:rsid w:val="008D31CE"/>
    <w:rsid w:val="008E032F"/>
    <w:rsid w:val="008F4066"/>
    <w:rsid w:val="008F4A4D"/>
    <w:rsid w:val="008F516A"/>
    <w:rsid w:val="008F5D0F"/>
    <w:rsid w:val="009014A3"/>
    <w:rsid w:val="009057EA"/>
    <w:rsid w:val="009065F8"/>
    <w:rsid w:val="00906837"/>
    <w:rsid w:val="00914311"/>
    <w:rsid w:val="00921BD6"/>
    <w:rsid w:val="00924EB1"/>
    <w:rsid w:val="00933DD2"/>
    <w:rsid w:val="009548F5"/>
    <w:rsid w:val="00956EDF"/>
    <w:rsid w:val="00961895"/>
    <w:rsid w:val="00971905"/>
    <w:rsid w:val="009767DC"/>
    <w:rsid w:val="00982A5F"/>
    <w:rsid w:val="009946C6"/>
    <w:rsid w:val="009A1EE6"/>
    <w:rsid w:val="009A44AF"/>
    <w:rsid w:val="009A4CDE"/>
    <w:rsid w:val="009A60A0"/>
    <w:rsid w:val="009B12CA"/>
    <w:rsid w:val="009B1698"/>
    <w:rsid w:val="009B231E"/>
    <w:rsid w:val="009B4D3B"/>
    <w:rsid w:val="009B592E"/>
    <w:rsid w:val="009B6A22"/>
    <w:rsid w:val="009B7334"/>
    <w:rsid w:val="009C0928"/>
    <w:rsid w:val="009C0CD4"/>
    <w:rsid w:val="009C2469"/>
    <w:rsid w:val="009C3821"/>
    <w:rsid w:val="009C60BD"/>
    <w:rsid w:val="009C6BCD"/>
    <w:rsid w:val="009C6D70"/>
    <w:rsid w:val="009D3402"/>
    <w:rsid w:val="009D7407"/>
    <w:rsid w:val="009E0866"/>
    <w:rsid w:val="009E25BF"/>
    <w:rsid w:val="009E5906"/>
    <w:rsid w:val="009F6423"/>
    <w:rsid w:val="00A02111"/>
    <w:rsid w:val="00A04166"/>
    <w:rsid w:val="00A06BE8"/>
    <w:rsid w:val="00A11535"/>
    <w:rsid w:val="00A13E4D"/>
    <w:rsid w:val="00A14083"/>
    <w:rsid w:val="00A1561E"/>
    <w:rsid w:val="00A161CD"/>
    <w:rsid w:val="00A2226F"/>
    <w:rsid w:val="00A24100"/>
    <w:rsid w:val="00A2486C"/>
    <w:rsid w:val="00A24A62"/>
    <w:rsid w:val="00A3022D"/>
    <w:rsid w:val="00A3043C"/>
    <w:rsid w:val="00A31C9F"/>
    <w:rsid w:val="00A33446"/>
    <w:rsid w:val="00A33827"/>
    <w:rsid w:val="00A33A72"/>
    <w:rsid w:val="00A3732B"/>
    <w:rsid w:val="00A376D2"/>
    <w:rsid w:val="00A4144F"/>
    <w:rsid w:val="00A44AC6"/>
    <w:rsid w:val="00A51B45"/>
    <w:rsid w:val="00A5609A"/>
    <w:rsid w:val="00A61550"/>
    <w:rsid w:val="00A61D28"/>
    <w:rsid w:val="00A6241D"/>
    <w:rsid w:val="00A62CC4"/>
    <w:rsid w:val="00A65F96"/>
    <w:rsid w:val="00A745FC"/>
    <w:rsid w:val="00A75A27"/>
    <w:rsid w:val="00A82FCB"/>
    <w:rsid w:val="00A90510"/>
    <w:rsid w:val="00A90AC6"/>
    <w:rsid w:val="00A940AA"/>
    <w:rsid w:val="00AA43A7"/>
    <w:rsid w:val="00AB207A"/>
    <w:rsid w:val="00AB388E"/>
    <w:rsid w:val="00AC164A"/>
    <w:rsid w:val="00AC4620"/>
    <w:rsid w:val="00AC5C34"/>
    <w:rsid w:val="00AC5DC8"/>
    <w:rsid w:val="00AE3E05"/>
    <w:rsid w:val="00AF0A34"/>
    <w:rsid w:val="00AF2050"/>
    <w:rsid w:val="00AF558F"/>
    <w:rsid w:val="00AF5A66"/>
    <w:rsid w:val="00AF6D5E"/>
    <w:rsid w:val="00AF7340"/>
    <w:rsid w:val="00B03CA8"/>
    <w:rsid w:val="00B13B4F"/>
    <w:rsid w:val="00B13C94"/>
    <w:rsid w:val="00B15FC6"/>
    <w:rsid w:val="00B3204C"/>
    <w:rsid w:val="00B34059"/>
    <w:rsid w:val="00B35911"/>
    <w:rsid w:val="00B50F8E"/>
    <w:rsid w:val="00B55E19"/>
    <w:rsid w:val="00B6075D"/>
    <w:rsid w:val="00B64F4F"/>
    <w:rsid w:val="00B66051"/>
    <w:rsid w:val="00B66BDC"/>
    <w:rsid w:val="00B6782A"/>
    <w:rsid w:val="00B71158"/>
    <w:rsid w:val="00B76749"/>
    <w:rsid w:val="00B76C71"/>
    <w:rsid w:val="00B7755D"/>
    <w:rsid w:val="00B818C8"/>
    <w:rsid w:val="00B851FD"/>
    <w:rsid w:val="00B92E1E"/>
    <w:rsid w:val="00B96D80"/>
    <w:rsid w:val="00BA1378"/>
    <w:rsid w:val="00BA31A7"/>
    <w:rsid w:val="00BA4B6D"/>
    <w:rsid w:val="00BA5D1A"/>
    <w:rsid w:val="00BB19CD"/>
    <w:rsid w:val="00BB26C5"/>
    <w:rsid w:val="00BB567A"/>
    <w:rsid w:val="00BC05DC"/>
    <w:rsid w:val="00BC17FB"/>
    <w:rsid w:val="00BC25E7"/>
    <w:rsid w:val="00BC628E"/>
    <w:rsid w:val="00BD0B99"/>
    <w:rsid w:val="00BE0891"/>
    <w:rsid w:val="00BE1FFF"/>
    <w:rsid w:val="00BF14D0"/>
    <w:rsid w:val="00BF27EF"/>
    <w:rsid w:val="00BF29D2"/>
    <w:rsid w:val="00BF3A17"/>
    <w:rsid w:val="00BF4DE6"/>
    <w:rsid w:val="00BF57D1"/>
    <w:rsid w:val="00BF5D99"/>
    <w:rsid w:val="00C00C98"/>
    <w:rsid w:val="00C04CAA"/>
    <w:rsid w:val="00C0613F"/>
    <w:rsid w:val="00C10415"/>
    <w:rsid w:val="00C16478"/>
    <w:rsid w:val="00C31B26"/>
    <w:rsid w:val="00C33A9C"/>
    <w:rsid w:val="00C33BCE"/>
    <w:rsid w:val="00C3731C"/>
    <w:rsid w:val="00C40091"/>
    <w:rsid w:val="00C42CDE"/>
    <w:rsid w:val="00C5258F"/>
    <w:rsid w:val="00C536D7"/>
    <w:rsid w:val="00C61902"/>
    <w:rsid w:val="00C63EE9"/>
    <w:rsid w:val="00C65C11"/>
    <w:rsid w:val="00C76CD4"/>
    <w:rsid w:val="00C806A0"/>
    <w:rsid w:val="00C85550"/>
    <w:rsid w:val="00C86007"/>
    <w:rsid w:val="00C96797"/>
    <w:rsid w:val="00CA37B1"/>
    <w:rsid w:val="00CA3B9B"/>
    <w:rsid w:val="00CA6EC9"/>
    <w:rsid w:val="00CB1959"/>
    <w:rsid w:val="00CB27ED"/>
    <w:rsid w:val="00CB5018"/>
    <w:rsid w:val="00CC18E5"/>
    <w:rsid w:val="00CC431B"/>
    <w:rsid w:val="00CC531A"/>
    <w:rsid w:val="00CD20EF"/>
    <w:rsid w:val="00CD2B0B"/>
    <w:rsid w:val="00CD2E22"/>
    <w:rsid w:val="00CD2F34"/>
    <w:rsid w:val="00CD60B1"/>
    <w:rsid w:val="00CE2F1B"/>
    <w:rsid w:val="00CE321B"/>
    <w:rsid w:val="00CF251E"/>
    <w:rsid w:val="00CF280B"/>
    <w:rsid w:val="00CF4C87"/>
    <w:rsid w:val="00D018D0"/>
    <w:rsid w:val="00D0296C"/>
    <w:rsid w:val="00D042D3"/>
    <w:rsid w:val="00D07E78"/>
    <w:rsid w:val="00D12225"/>
    <w:rsid w:val="00D12D89"/>
    <w:rsid w:val="00D17E7D"/>
    <w:rsid w:val="00D203EB"/>
    <w:rsid w:val="00D2248F"/>
    <w:rsid w:val="00D22A81"/>
    <w:rsid w:val="00D35F73"/>
    <w:rsid w:val="00D40C15"/>
    <w:rsid w:val="00D41E2A"/>
    <w:rsid w:val="00D44758"/>
    <w:rsid w:val="00D44F25"/>
    <w:rsid w:val="00D47A6C"/>
    <w:rsid w:val="00D500E9"/>
    <w:rsid w:val="00D509F3"/>
    <w:rsid w:val="00D5556A"/>
    <w:rsid w:val="00D57616"/>
    <w:rsid w:val="00D61576"/>
    <w:rsid w:val="00D61652"/>
    <w:rsid w:val="00D65170"/>
    <w:rsid w:val="00D76BB9"/>
    <w:rsid w:val="00D9353F"/>
    <w:rsid w:val="00D96B35"/>
    <w:rsid w:val="00DA024F"/>
    <w:rsid w:val="00DA4A25"/>
    <w:rsid w:val="00DA4DB3"/>
    <w:rsid w:val="00DA6C8A"/>
    <w:rsid w:val="00DB0239"/>
    <w:rsid w:val="00DB6402"/>
    <w:rsid w:val="00DB792F"/>
    <w:rsid w:val="00DC1828"/>
    <w:rsid w:val="00DC5265"/>
    <w:rsid w:val="00DD420C"/>
    <w:rsid w:val="00DD44EA"/>
    <w:rsid w:val="00E03024"/>
    <w:rsid w:val="00E03461"/>
    <w:rsid w:val="00E03E92"/>
    <w:rsid w:val="00E04AC1"/>
    <w:rsid w:val="00E05A46"/>
    <w:rsid w:val="00E10987"/>
    <w:rsid w:val="00E1612F"/>
    <w:rsid w:val="00E16D17"/>
    <w:rsid w:val="00E26E94"/>
    <w:rsid w:val="00E3368B"/>
    <w:rsid w:val="00E357B7"/>
    <w:rsid w:val="00E377D5"/>
    <w:rsid w:val="00E37B70"/>
    <w:rsid w:val="00E41B0A"/>
    <w:rsid w:val="00E436AD"/>
    <w:rsid w:val="00E4629C"/>
    <w:rsid w:val="00E51FF7"/>
    <w:rsid w:val="00E53800"/>
    <w:rsid w:val="00E55AF3"/>
    <w:rsid w:val="00E56AB5"/>
    <w:rsid w:val="00E6081F"/>
    <w:rsid w:val="00E62377"/>
    <w:rsid w:val="00E62925"/>
    <w:rsid w:val="00E65687"/>
    <w:rsid w:val="00E6753E"/>
    <w:rsid w:val="00E73B1F"/>
    <w:rsid w:val="00E8026F"/>
    <w:rsid w:val="00E82491"/>
    <w:rsid w:val="00E82F47"/>
    <w:rsid w:val="00E839A4"/>
    <w:rsid w:val="00E83E09"/>
    <w:rsid w:val="00E86EFA"/>
    <w:rsid w:val="00E91D1D"/>
    <w:rsid w:val="00E928D7"/>
    <w:rsid w:val="00E9392A"/>
    <w:rsid w:val="00EA04B2"/>
    <w:rsid w:val="00EA0BCE"/>
    <w:rsid w:val="00EA20F3"/>
    <w:rsid w:val="00EA2234"/>
    <w:rsid w:val="00EA3CFE"/>
    <w:rsid w:val="00EA5EDD"/>
    <w:rsid w:val="00EA7640"/>
    <w:rsid w:val="00EB4B96"/>
    <w:rsid w:val="00EB6875"/>
    <w:rsid w:val="00EC7096"/>
    <w:rsid w:val="00ED43D1"/>
    <w:rsid w:val="00ED5255"/>
    <w:rsid w:val="00ED75E2"/>
    <w:rsid w:val="00EE0D33"/>
    <w:rsid w:val="00EE4EE1"/>
    <w:rsid w:val="00EF23EA"/>
    <w:rsid w:val="00EF315F"/>
    <w:rsid w:val="00EF4574"/>
    <w:rsid w:val="00EF75BF"/>
    <w:rsid w:val="00F001F8"/>
    <w:rsid w:val="00F14C4A"/>
    <w:rsid w:val="00F1611E"/>
    <w:rsid w:val="00F20E5E"/>
    <w:rsid w:val="00F22392"/>
    <w:rsid w:val="00F23E21"/>
    <w:rsid w:val="00F2684E"/>
    <w:rsid w:val="00F4791C"/>
    <w:rsid w:val="00F50744"/>
    <w:rsid w:val="00F5404C"/>
    <w:rsid w:val="00F6098C"/>
    <w:rsid w:val="00F62971"/>
    <w:rsid w:val="00F63911"/>
    <w:rsid w:val="00F66D0E"/>
    <w:rsid w:val="00F729EF"/>
    <w:rsid w:val="00F73034"/>
    <w:rsid w:val="00F77CAE"/>
    <w:rsid w:val="00F82D13"/>
    <w:rsid w:val="00F8555B"/>
    <w:rsid w:val="00F86324"/>
    <w:rsid w:val="00F958AE"/>
    <w:rsid w:val="00F96BB9"/>
    <w:rsid w:val="00FA4183"/>
    <w:rsid w:val="00FA6261"/>
    <w:rsid w:val="00FB7242"/>
    <w:rsid w:val="00FC1CD7"/>
    <w:rsid w:val="00FC1DEF"/>
    <w:rsid w:val="00FC750D"/>
    <w:rsid w:val="00FD1DF4"/>
    <w:rsid w:val="00FD22B7"/>
    <w:rsid w:val="00FD2FA0"/>
    <w:rsid w:val="00FD4520"/>
    <w:rsid w:val="00FD4C8E"/>
    <w:rsid w:val="00FE608C"/>
    <w:rsid w:val="00FE6D51"/>
    <w:rsid w:val="00FE7052"/>
    <w:rsid w:val="00FF2B29"/>
    <w:rsid w:val="00FF4B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D445AA"/>
  <w15:docId w15:val="{12831FA7-55D2-41D5-9B6E-E95670F8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1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16"/>
      </w:numPr>
      <w:spacing w:after="60"/>
    </w:pPr>
    <w:rPr>
      <w:bCs/>
    </w:rPr>
  </w:style>
  <w:style w:type="paragraph" w:customStyle="1" w:styleId="Heading3Numbered">
    <w:name w:val="Heading 3 Numbered"/>
    <w:basedOn w:val="Heading3"/>
    <w:next w:val="Normal"/>
    <w:qFormat/>
    <w:rsid w:val="006D3831"/>
    <w:pPr>
      <w:numPr>
        <w:ilvl w:val="2"/>
        <w:numId w:val="16"/>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link w:val="BodyTextChar"/>
    <w:uiPriority w:val="99"/>
    <w:unhideWhenUsed/>
    <w:qFormat/>
    <w:rsid w:val="00F73034"/>
    <w:rPr>
      <w:lang w:val="en-GB"/>
    </w:rPr>
  </w:style>
  <w:style w:type="character" w:customStyle="1" w:styleId="BodyTextChar">
    <w:name w:val="Body Text Char"/>
    <w:basedOn w:val="DefaultParagraphFont"/>
    <w:link w:val="BodyText"/>
    <w:uiPriority w:val="99"/>
    <w:rsid w:val="00F73034"/>
    <w:rPr>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aliases w:val="Bullet1,Bullets,Evidence on Demand bullet points,Dot pt,F5 List Paragraph,List Paragraph1,No Spacing1,List Paragraph Char Char Char,Indicator Text,Numbered Para 1,List Paragraph12,Bullet Points,MAIN CONTENT,Normal 2,Reference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16"/>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keepNext/>
      <w:keepLines/>
      <w:spacing w:before="80" w:line="360" w:lineRule="auto"/>
      <w:ind w:left="360" w:hanging="360"/>
      <w:contextualSpacing/>
      <w:outlineLvl w:val="2"/>
    </w:pPr>
    <w:rPr>
      <w:rFonts w:ascii="Franklin Gothic Book" w:eastAsia="Times New Roman" w:hAnsi="Franklin Gothic Book" w:cs="Times New Roman"/>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aliases w:val="Bullet1 Char,Bullets Char,Evidence on Demand bullet points Char,Dot pt Char,F5 List Paragraph Char,List Paragraph1 Char,No Spacing1 Char,List Paragraph Char Char Char Char,Indicator Text Char,Numbered Para 1 Char,Bullet Points Char"/>
    <w:basedOn w:val="DefaultParagraphFont"/>
    <w:link w:val="ListParagraph"/>
    <w:uiPriority w:val="34"/>
    <w:qFormat/>
    <w:locked/>
    <w:rsid w:val="00D44758"/>
    <w:rPr>
      <w:color w:val="495965" w:themeColor="text2"/>
      <w:lang w:val="en-GB"/>
    </w:rPr>
  </w:style>
  <w:style w:type="paragraph" w:customStyle="1" w:styleId="Reference">
    <w:name w:val="Reference"/>
    <w:basedOn w:val="BodyText"/>
    <w:uiPriority w:val="99"/>
    <w:rsid w:val="00D44758"/>
    <w:pPr>
      <w:keepNext/>
      <w:keepLines/>
      <w:spacing w:before="60" w:line="360" w:lineRule="atLeast"/>
      <w:ind w:left="284" w:hanging="284"/>
      <w:contextualSpacing/>
      <w:outlineLvl w:val="2"/>
    </w:pPr>
    <w:rPr>
      <w:rFonts w:ascii="Franklin Gothic Book" w:eastAsia="Times New Roman" w:hAnsi="Franklin Gothic Book" w:cs="Times New Roman"/>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keepNext/>
      <w:keepLines/>
      <w:spacing w:before="80" w:after="160" w:line="400" w:lineRule="atLeast"/>
      <w:contextualSpacing/>
      <w:outlineLvl w:val="2"/>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keepNext/>
      <w:keepLines/>
      <w:spacing w:before="100" w:after="160" w:line="190" w:lineRule="exact"/>
      <w:contextualSpacing/>
      <w:outlineLvl w:val="2"/>
    </w:pPr>
    <w:rPr>
      <w:rFonts w:ascii="Arial" w:eastAsia="Times New Roman" w:hAnsi="Arial" w:cs="Times New Roman"/>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keepNext/>
      <w:keepLines/>
      <w:spacing w:before="80" w:line="240" w:lineRule="exact"/>
      <w:contextualSpacing/>
      <w:outlineLvl w:val="2"/>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keepNext/>
      <w:keepLines/>
      <w:spacing w:before="80" w:after="160" w:line="240" w:lineRule="auto"/>
      <w:contextualSpacing/>
      <w:outlineLvl w:val="2"/>
    </w:pPr>
    <w:rPr>
      <w:rFonts w:ascii="Franklin Gothic Book" w:eastAsia="Times New Roman" w:hAnsi="Franklin Gothic Book" w:cs="Times New Roman"/>
      <w:noProof/>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36183277E134E9915F59669268432" ma:contentTypeVersion="13" ma:contentTypeDescription="Create a new document." ma:contentTypeScope="" ma:versionID="b06cc9e23c7b8d950ff945d08d35659c">
  <xsd:schema xmlns:xsd="http://www.w3.org/2001/XMLSchema" xmlns:xs="http://www.w3.org/2001/XMLSchema" xmlns:p="http://schemas.microsoft.com/office/2006/metadata/properties" xmlns:ns2="94957f58-8c9b-48f1-9a23-72185527d8a2" xmlns:ns3="46a9ee1c-e9d7-4c33-a893-a1e31be4ca82" targetNamespace="http://schemas.microsoft.com/office/2006/metadata/properties" ma:root="true" ma:fieldsID="3f2a72c0d9673bb7b65f53df16e76fbe" ns2:_="" ns3:_="">
    <xsd:import namespace="94957f58-8c9b-48f1-9a23-72185527d8a2"/>
    <xsd:import namespace="46a9ee1c-e9d7-4c33-a893-a1e31be4ca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57f58-8c9b-48f1-9a23-72185527d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ee1c-e9d7-4c33-a893-a1e31be4ca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61af4f-1581-466b-8bcd-5c113baef68a}" ma:internalName="TaxCatchAll" ma:showField="CatchAllData" ma:web="46a9ee1c-e9d7-4c33-a893-a1e31be4c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7AAA6-E3E5-2A4E-8BDD-1AF7F642DBD1}">
  <ds:schemaRefs>
    <ds:schemaRef ds:uri="http://schemas.openxmlformats.org/officeDocument/2006/bibliography"/>
  </ds:schemaRefs>
</ds:datastoreItem>
</file>

<file path=customXml/itemProps2.xml><?xml version="1.0" encoding="utf-8"?>
<ds:datastoreItem xmlns:ds="http://schemas.openxmlformats.org/officeDocument/2006/customXml" ds:itemID="{978AC54F-3FBD-494D-AFB8-52D12B571115}">
  <ds:schemaRefs>
    <ds:schemaRef ds:uri="http://schemas.microsoft.com/sharepoint/v3/contenttype/forms"/>
  </ds:schemaRefs>
</ds:datastoreItem>
</file>

<file path=customXml/itemProps3.xml><?xml version="1.0" encoding="utf-8"?>
<ds:datastoreItem xmlns:ds="http://schemas.openxmlformats.org/officeDocument/2006/customXml" ds:itemID="{FE3B87A4-2AE9-4B56-BCF7-03D19D63B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57f58-8c9b-48f1-9a23-72185527d8a2"/>
    <ds:schemaRef ds:uri="46a9ee1c-e9d7-4c33-a893-a1e31be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778</Words>
  <Characters>4638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Program Evaluation – Australia’s COVID-19 Response in Bangladesh management response</dc:title>
  <dc:subject/>
  <dc:creator>Australian Government Department of Foreign Affairs and Trade</dc:creator>
  <cp:keywords>[SEC=OFFICIAL]</cp:keywords>
  <dc:description/>
  <cp:lastModifiedBy>Patrick Baggoley</cp:lastModifiedBy>
  <cp:revision>14</cp:revision>
  <dcterms:created xsi:type="dcterms:W3CDTF">2024-07-10T06:10:00Z</dcterms:created>
  <dcterms:modified xsi:type="dcterms:W3CDTF">2025-08-11T04:15:00Z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2024-07-10T06:09:23Z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E5329D78ADFF18985C404F3A4015F7B7C209C4C5</vt:lpwstr>
  </property>
  <property fmtid="{D5CDD505-2E9C-101B-9397-08002B2CF9AE}" pid="13" name="PM_DisplayValueSecClassificationWithQualifier">
    <vt:lpwstr>OFFICIAL</vt:lpwstr>
  </property>
  <property fmtid="{D5CDD505-2E9C-101B-9397-08002B2CF9AE}" pid="14" name="PM_Originating_FileId">
    <vt:lpwstr>BA8CBECA34B44FABAE59913A9DED45C5</vt:lpwstr>
  </property>
  <property fmtid="{D5CDD505-2E9C-101B-9397-08002B2CF9AE}" pid="15" name="PM_ProtectiveMarkingValue_Footer">
    <vt:lpwstr>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C427463A240001568B1E728057080C091949066E05DD342FA6B5B9F6FF33F8D6</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920EDA7565F68DB33454C92EB0517C45</vt:lpwstr>
  </property>
  <property fmtid="{D5CDD505-2E9C-101B-9397-08002B2CF9AE}" pid="24" name="PMHMAC">
    <vt:lpwstr>v=2022.1;a=SHA256;h=E2FFC68DFD59D6FA5F4AEE007FB858E41276F44364E4FDB3C24B34854DF706F1</vt:lpwstr>
  </property>
  <property fmtid="{D5CDD505-2E9C-101B-9397-08002B2CF9AE}" pid="25" name="PM_Hash_Salt">
    <vt:lpwstr>384DCF7668494DD99A9C11890BCDFD3A</vt:lpwstr>
  </property>
  <property fmtid="{D5CDD505-2E9C-101B-9397-08002B2CF9AE}" pid="26" name="PM_Hash_SHA1">
    <vt:lpwstr>2F945C02D46FC5BD40C930423F2A6DB1C31FCFBE</vt:lpwstr>
  </property>
  <property fmtid="{D5CDD505-2E9C-101B-9397-08002B2CF9AE}" pid="27" name="PM_SecurityClassification_Prev">
    <vt:lpwstr>OFFICIAL</vt:lpwstr>
  </property>
  <property fmtid="{D5CDD505-2E9C-101B-9397-08002B2CF9AE}" pid="28" name="PM_Qualifier_Prev">
    <vt:lpwstr/>
  </property>
</Properties>
</file>