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2E25" w14:textId="18DD01B1" w:rsidR="00511329" w:rsidRPr="00F90CFE" w:rsidRDefault="00511329" w:rsidP="00511329">
      <w:pPr>
        <w:pStyle w:val="Annexheading"/>
        <w:rPr>
          <w:lang w:val="en-AU"/>
        </w:rPr>
      </w:pPr>
      <w:r w:rsidRPr="00F90CFE">
        <w:rPr>
          <w:lang w:val="en-AU"/>
        </w:rPr>
        <w:t xml:space="preserve">Evaluation </w:t>
      </w:r>
      <w:r w:rsidR="00AB01D7">
        <w:rPr>
          <w:lang w:val="en-AU"/>
        </w:rPr>
        <w:t>p</w:t>
      </w:r>
      <w:r w:rsidRPr="00F90CFE">
        <w:rPr>
          <w:lang w:val="en-AU"/>
        </w:rPr>
        <w:t xml:space="preserve">urpose and </w:t>
      </w:r>
      <w:r w:rsidR="00AB01D7">
        <w:rPr>
          <w:lang w:val="en-AU"/>
        </w:rPr>
        <w:t>m</w:t>
      </w:r>
      <w:r w:rsidRPr="00F90CFE">
        <w:rPr>
          <w:lang w:val="en-AU"/>
        </w:rPr>
        <w:t>ethodology</w:t>
      </w:r>
    </w:p>
    <w:p w14:paraId="4F6A5FB4" w14:textId="44C47E5A" w:rsidR="00E259F4" w:rsidRPr="00F90CFE" w:rsidRDefault="00E259F4" w:rsidP="00594409">
      <w:pPr>
        <w:rPr>
          <w:b/>
          <w:lang w:val="en-AU"/>
        </w:rPr>
      </w:pPr>
      <w:r w:rsidRPr="00F90CFE">
        <w:rPr>
          <w:lang w:val="en-AU"/>
        </w:rPr>
        <w:t>This section builds on the final Evaluation Plan submitted by Tetra</w:t>
      </w:r>
      <w:r w:rsidR="00875D0A" w:rsidRPr="00F90CFE">
        <w:rPr>
          <w:lang w:val="en-AU"/>
        </w:rPr>
        <w:t xml:space="preserve"> </w:t>
      </w:r>
      <w:r w:rsidRPr="00F90CFE">
        <w:rPr>
          <w:lang w:val="en-AU"/>
        </w:rPr>
        <w:t>Tech</w:t>
      </w:r>
      <w:r w:rsidR="00875D0A" w:rsidRPr="00F90CFE">
        <w:rPr>
          <w:lang w:val="en-AU"/>
        </w:rPr>
        <w:t xml:space="preserve"> International Development</w:t>
      </w:r>
      <w:r w:rsidRPr="00F90CFE">
        <w:rPr>
          <w:lang w:val="en-AU"/>
        </w:rPr>
        <w:t xml:space="preserve"> to</w:t>
      </w:r>
      <w:r w:rsidR="00875D0A" w:rsidRPr="00F90CFE">
        <w:rPr>
          <w:lang w:val="en-AU"/>
        </w:rPr>
        <w:t xml:space="preserve"> the Department of Foreign Affairs and Trade (</w:t>
      </w:r>
      <w:r w:rsidRPr="00F90CFE">
        <w:rPr>
          <w:lang w:val="en-AU"/>
        </w:rPr>
        <w:t>DFAT</w:t>
      </w:r>
      <w:r w:rsidR="00875D0A" w:rsidRPr="00F90CFE">
        <w:rPr>
          <w:lang w:val="en-AU"/>
        </w:rPr>
        <w:t>)</w:t>
      </w:r>
      <w:r w:rsidRPr="00F90CFE">
        <w:rPr>
          <w:lang w:val="en-AU"/>
        </w:rPr>
        <w:t xml:space="preserve"> on 10 December 2020, to provide an overview of the evaluation purpose, key evaluation questions and the methodology used. </w:t>
      </w:r>
    </w:p>
    <w:p w14:paraId="3EE658A1" w14:textId="77777777" w:rsidR="00E259F4" w:rsidRPr="00F90CFE" w:rsidRDefault="00E259F4" w:rsidP="00CF609D">
      <w:pPr>
        <w:pStyle w:val="Heading1"/>
        <w:numPr>
          <w:ilvl w:val="0"/>
          <w:numId w:val="13"/>
        </w:numPr>
        <w:ind w:left="0"/>
        <w:rPr>
          <w:sz w:val="28"/>
          <w:szCs w:val="28"/>
          <w:lang w:val="en-AU"/>
        </w:rPr>
      </w:pPr>
      <w:bookmarkStart w:id="0" w:name="_Toc58334864"/>
      <w:r w:rsidRPr="00F90CFE">
        <w:rPr>
          <w:sz w:val="28"/>
          <w:szCs w:val="28"/>
          <w:lang w:val="en-AU"/>
        </w:rPr>
        <w:t>Purpose and use of the evaluation</w:t>
      </w:r>
      <w:bookmarkEnd w:id="0"/>
    </w:p>
    <w:p w14:paraId="25E2E2F8" w14:textId="30EA27FB" w:rsidR="00E259F4" w:rsidRPr="00F90CFE" w:rsidRDefault="00E259F4" w:rsidP="00594409">
      <w:pPr>
        <w:rPr>
          <w:b/>
          <w:lang w:val="en-AU"/>
        </w:rPr>
      </w:pPr>
      <w:r w:rsidRPr="00F90CFE">
        <w:rPr>
          <w:lang w:val="en-AU"/>
        </w:rPr>
        <w:t xml:space="preserve">The aim of this evaluation was to serve DFAT’s dual key purpose: to account for Australia’s investment through the </w:t>
      </w:r>
      <w:r w:rsidR="00875D0A" w:rsidRPr="00F90CFE">
        <w:rPr>
          <w:lang w:val="en-AU"/>
        </w:rPr>
        <w:t>p</w:t>
      </w:r>
      <w:r w:rsidRPr="00F90CFE">
        <w:rPr>
          <w:lang w:val="en-AU"/>
        </w:rPr>
        <w:t xml:space="preserve">rogram, and to improve what future investment can achieve. To achieve this, the evaluation was backward looking to provide evidence of the outcomes achieved by </w:t>
      </w:r>
      <w:r w:rsidR="00875D0A" w:rsidRPr="00F90CFE">
        <w:rPr>
          <w:lang w:val="en-AU"/>
        </w:rPr>
        <w:t>the program</w:t>
      </w:r>
      <w:r w:rsidRPr="00F90CFE">
        <w:rPr>
          <w:lang w:val="en-AU"/>
        </w:rPr>
        <w:t xml:space="preserve"> but also forward looking to provide recommendations on the policy and strategic foresight of </w:t>
      </w:r>
      <w:r w:rsidR="00875D0A" w:rsidRPr="00F90CFE">
        <w:rPr>
          <w:lang w:val="en-AU"/>
        </w:rPr>
        <w:t>the program</w:t>
      </w:r>
      <w:r w:rsidRPr="00F90CFE">
        <w:rPr>
          <w:lang w:val="en-AU"/>
        </w:rPr>
        <w:t xml:space="preserve"> by exploring what works best for whom in what contexts, as well as new approaches and ways of working/volunteering. </w:t>
      </w:r>
    </w:p>
    <w:p w14:paraId="0C2A0CB4" w14:textId="77777777" w:rsidR="00E259F4" w:rsidRPr="00F90CFE" w:rsidRDefault="00E259F4" w:rsidP="00E259F4">
      <w:pPr>
        <w:pStyle w:val="BodyText"/>
        <w:spacing w:after="120"/>
        <w:rPr>
          <w:rStyle w:val="Strong"/>
          <w:noProof w:val="0"/>
        </w:rPr>
      </w:pPr>
      <w:r w:rsidRPr="00F90CFE">
        <w:rPr>
          <w:rStyle w:val="Strong"/>
          <w:noProof w:val="0"/>
        </w:rPr>
        <w:t>Evaluation use</w:t>
      </w:r>
    </w:p>
    <w:p w14:paraId="4436093E" w14:textId="21BC9FA4" w:rsidR="00E259F4" w:rsidRDefault="00E259F4" w:rsidP="00594409">
      <w:pPr>
        <w:rPr>
          <w:lang w:val="en-AU"/>
        </w:rPr>
      </w:pPr>
      <w:r w:rsidRPr="00F90CFE">
        <w:rPr>
          <w:lang w:val="en-AU"/>
        </w:rPr>
        <w:t xml:space="preserve">The evaluation’s Terms of Reference identified three primary uses of the evaluation findings, namely: </w:t>
      </w:r>
    </w:p>
    <w:p w14:paraId="6120C6EE" w14:textId="77777777" w:rsidR="0086741B" w:rsidRPr="00F90CFE" w:rsidRDefault="0086741B" w:rsidP="0086741B">
      <w:pPr>
        <w:pStyle w:val="ListBullet"/>
        <w:shd w:val="clear" w:color="auto" w:fill="F2F2F2" w:themeFill="background1" w:themeFillShade="F2"/>
        <w:rPr>
          <w:noProof w:val="0"/>
          <w:lang w:val="en-AU"/>
        </w:rPr>
      </w:pPr>
      <w:r w:rsidRPr="00F90CFE">
        <w:rPr>
          <w:noProof w:val="0"/>
          <w:lang w:val="en-AU"/>
        </w:rPr>
        <w:t>Informing decisions about whether the program and the term of the current service provider/contractor should be extended by the second term option of five years</w:t>
      </w:r>
    </w:p>
    <w:p w14:paraId="3D16F1E9" w14:textId="77777777" w:rsidR="0086741B" w:rsidRDefault="0086741B" w:rsidP="0086741B">
      <w:pPr>
        <w:pStyle w:val="ListBullet"/>
        <w:shd w:val="clear" w:color="auto" w:fill="F2F2F2" w:themeFill="background1" w:themeFillShade="F2"/>
        <w:rPr>
          <w:lang w:val="en-AU"/>
        </w:rPr>
      </w:pPr>
      <w:r w:rsidRPr="0086741B">
        <w:rPr>
          <w:noProof w:val="0"/>
          <w:lang w:val="en-AU"/>
        </w:rPr>
        <w:t>Demonstrating program achievements to Australia’s partners, stakeholders, and taxpayers</w:t>
      </w:r>
    </w:p>
    <w:p w14:paraId="5C451418" w14:textId="69E2CE73" w:rsidR="0086741B" w:rsidRPr="0086741B" w:rsidRDefault="0086741B" w:rsidP="0086741B">
      <w:pPr>
        <w:pStyle w:val="ListBullet"/>
        <w:shd w:val="clear" w:color="auto" w:fill="F2F2F2" w:themeFill="background1" w:themeFillShade="F2"/>
        <w:rPr>
          <w:lang w:val="en-AU"/>
        </w:rPr>
      </w:pPr>
      <w:r w:rsidRPr="0086741B">
        <w:rPr>
          <w:noProof w:val="0"/>
          <w:lang w:val="en-AU"/>
        </w:rPr>
        <w:t>Informing future design for the program particularly in a post-COVID-19 environment.</w:t>
      </w:r>
    </w:p>
    <w:p w14:paraId="00C88111" w14:textId="125E7C1B" w:rsidR="00E259F4" w:rsidRDefault="00E259F4" w:rsidP="00594409">
      <w:pPr>
        <w:rPr>
          <w:lang w:val="en-AU"/>
        </w:rPr>
      </w:pPr>
      <w:r w:rsidRPr="00F90CFE">
        <w:rPr>
          <w:lang w:val="en-AU"/>
        </w:rPr>
        <w:t>In addition to the primary uses above, the evaluation also provides other benefits and serves several other secondary uses. It also:</w:t>
      </w:r>
    </w:p>
    <w:p w14:paraId="2E79C3B7" w14:textId="77777777" w:rsidR="0086741B" w:rsidRDefault="0086741B" w:rsidP="0086741B">
      <w:pPr>
        <w:pStyle w:val="ListBullet"/>
        <w:numPr>
          <w:ilvl w:val="0"/>
          <w:numId w:val="12"/>
        </w:numPr>
        <w:shd w:val="clear" w:color="auto" w:fill="F2F2F2" w:themeFill="background1" w:themeFillShade="F2"/>
        <w:rPr>
          <w:lang w:val="en-AU"/>
        </w:rPr>
      </w:pPr>
      <w:r w:rsidRPr="0086741B">
        <w:rPr>
          <w:noProof w:val="0"/>
          <w:lang w:val="en-AU" w:eastAsia="en-AU"/>
        </w:rPr>
        <w:t xml:space="preserve">Generates a solid evidence-base about what works – to share lessons and “best practice”, informing future programming decisions </w:t>
      </w:r>
    </w:p>
    <w:p w14:paraId="4DCBC13E" w14:textId="4C5D32FC" w:rsidR="0086741B" w:rsidRPr="0086741B" w:rsidRDefault="0086741B" w:rsidP="0086741B">
      <w:pPr>
        <w:pStyle w:val="ListBullet"/>
        <w:numPr>
          <w:ilvl w:val="0"/>
          <w:numId w:val="12"/>
        </w:numPr>
        <w:shd w:val="clear" w:color="auto" w:fill="F2F2F2" w:themeFill="background1" w:themeFillShade="F2"/>
        <w:rPr>
          <w:lang w:val="en-AU"/>
        </w:rPr>
      </w:pPr>
      <w:r w:rsidRPr="0086741B">
        <w:rPr>
          <w:noProof w:val="0"/>
          <w:lang w:val="en-AU" w:eastAsia="en-AU"/>
        </w:rPr>
        <w:t xml:space="preserve">Builds awareness and engagement with the </w:t>
      </w:r>
      <w:r w:rsidRPr="0086741B">
        <w:rPr>
          <w:noProof w:val="0"/>
          <w:szCs w:val="20"/>
          <w:lang w:val="en-AU" w:eastAsia="en-AU"/>
        </w:rPr>
        <w:t>program</w:t>
      </w:r>
      <w:r w:rsidRPr="0086741B">
        <w:rPr>
          <w:noProof w:val="0"/>
          <w:lang w:val="en-AU" w:eastAsia="en-AU"/>
        </w:rPr>
        <w:t>, its complementarity to other DFAT programs, and strengthening partner understanding of its strategic intentions.</w:t>
      </w:r>
    </w:p>
    <w:p w14:paraId="3CD2B39A" w14:textId="77777777" w:rsidR="00E259F4" w:rsidRPr="00F90CFE" w:rsidRDefault="00E259F4" w:rsidP="00E5639D">
      <w:pPr>
        <w:pStyle w:val="Heading1"/>
        <w:spacing w:before="120"/>
        <w:ind w:left="0" w:hanging="431"/>
        <w:rPr>
          <w:sz w:val="28"/>
          <w:szCs w:val="28"/>
          <w:lang w:val="en-AU"/>
        </w:rPr>
      </w:pPr>
      <w:bookmarkStart w:id="1" w:name="_Toc54132873"/>
      <w:bookmarkStart w:id="2" w:name="_Toc54133680"/>
      <w:bookmarkStart w:id="3" w:name="_Toc54133942"/>
      <w:bookmarkStart w:id="4" w:name="_Toc54132874"/>
      <w:bookmarkStart w:id="5" w:name="_Toc54133681"/>
      <w:bookmarkStart w:id="6" w:name="_Toc54133943"/>
      <w:bookmarkStart w:id="7" w:name="_Toc54132875"/>
      <w:bookmarkStart w:id="8" w:name="_Toc54133682"/>
      <w:bookmarkStart w:id="9" w:name="_Toc54133944"/>
      <w:bookmarkStart w:id="10" w:name="_Toc54132876"/>
      <w:bookmarkStart w:id="11" w:name="_Toc54133683"/>
      <w:bookmarkStart w:id="12" w:name="_Toc54133945"/>
      <w:bookmarkStart w:id="13" w:name="_Toc54132877"/>
      <w:bookmarkStart w:id="14" w:name="_Toc54133684"/>
      <w:bookmarkStart w:id="15" w:name="_Toc54133946"/>
      <w:bookmarkStart w:id="16" w:name="_Toc54132878"/>
      <w:bookmarkStart w:id="17" w:name="_Toc54133685"/>
      <w:bookmarkStart w:id="18" w:name="_Toc54133947"/>
      <w:bookmarkStart w:id="19" w:name="_Toc54132879"/>
      <w:bookmarkStart w:id="20" w:name="_Toc54133686"/>
      <w:bookmarkStart w:id="21" w:name="_Toc54133948"/>
      <w:bookmarkStart w:id="22" w:name="_Toc583348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F90CFE">
        <w:rPr>
          <w:sz w:val="28"/>
          <w:szCs w:val="28"/>
          <w:lang w:val="en-AU"/>
        </w:rPr>
        <w:t>Evaluation scope</w:t>
      </w:r>
      <w:bookmarkEnd w:id="22"/>
    </w:p>
    <w:p w14:paraId="7A40E32C" w14:textId="6E98188B" w:rsidR="00E259F4" w:rsidRPr="00F90CFE" w:rsidRDefault="00E259F4" w:rsidP="00594409">
      <w:pPr>
        <w:rPr>
          <w:rFonts w:eastAsia="Times New Roman"/>
          <w:lang w:val="en-AU"/>
        </w:rPr>
      </w:pPr>
      <w:r w:rsidRPr="00F90CFE">
        <w:rPr>
          <w:lang w:val="en-AU" w:bidi="en-NZ"/>
        </w:rPr>
        <w:t xml:space="preserve">This evaluation covered </w:t>
      </w:r>
      <w:r w:rsidR="00875D0A" w:rsidRPr="00F90CFE">
        <w:rPr>
          <w:lang w:val="en-AU" w:bidi="en-NZ"/>
        </w:rPr>
        <w:t>the program</w:t>
      </w:r>
      <w:r w:rsidRPr="00F90CFE">
        <w:rPr>
          <w:lang w:val="en-AU" w:bidi="en-NZ"/>
        </w:rPr>
        <w:t xml:space="preserve">’s activities over the period from July 2017 to 2020 including the transition phase. During this period, </w:t>
      </w:r>
      <w:r w:rsidR="00875D0A" w:rsidRPr="00F90CFE">
        <w:rPr>
          <w:lang w:val="en-AU" w:bidi="en-NZ"/>
        </w:rPr>
        <w:t>the program</w:t>
      </w:r>
      <w:r w:rsidRPr="00F90CFE">
        <w:rPr>
          <w:lang w:val="en-AU" w:bidi="en-NZ"/>
        </w:rPr>
        <w:t xml:space="preserve"> moved to a new design and contractor. </w:t>
      </w:r>
      <w:r w:rsidRPr="00F90CFE">
        <w:rPr>
          <w:rFonts w:eastAsia="Times New Roman"/>
          <w:lang w:val="en-AU"/>
        </w:rPr>
        <w:t xml:space="preserve">This new chapter continues to deliver on the enduring vision and goal of </w:t>
      </w:r>
      <w:r w:rsidR="00875D0A" w:rsidRPr="00F90CFE">
        <w:rPr>
          <w:rFonts w:eastAsia="Times New Roman"/>
          <w:lang w:val="en-AU"/>
        </w:rPr>
        <w:t>the program</w:t>
      </w:r>
      <w:r w:rsidRPr="00F90CFE">
        <w:rPr>
          <w:rFonts w:eastAsia="Times New Roman"/>
          <w:lang w:val="en-AU"/>
        </w:rPr>
        <w:t xml:space="preserve"> to match skilled Australians with organisations overseas to deliver on their own locally determined objectives. </w:t>
      </w:r>
      <w:r w:rsidR="00875D0A" w:rsidRPr="00F90CFE">
        <w:rPr>
          <w:rFonts w:eastAsia="Times New Roman"/>
          <w:lang w:val="en-AU"/>
        </w:rPr>
        <w:t>The program</w:t>
      </w:r>
      <w:r w:rsidRPr="00F90CFE">
        <w:rPr>
          <w:rFonts w:eastAsia="Times New Roman"/>
          <w:lang w:val="en-AU"/>
        </w:rPr>
        <w:t xml:space="preserve"> is building on successful </w:t>
      </w:r>
      <w:r w:rsidR="004654D6" w:rsidRPr="00F90CFE">
        <w:rPr>
          <w:rFonts w:eastAsia="Times New Roman"/>
          <w:lang w:val="en-AU"/>
        </w:rPr>
        <w:t xml:space="preserve">past </w:t>
      </w:r>
      <w:r w:rsidRPr="00F90CFE">
        <w:rPr>
          <w:rFonts w:eastAsia="Times New Roman"/>
          <w:lang w:val="en-AU"/>
        </w:rPr>
        <w:t xml:space="preserve">iterations </w:t>
      </w:r>
      <w:r w:rsidRPr="00F90CFE">
        <w:rPr>
          <w:lang w:val="en-AU" w:bidi="en-NZ"/>
        </w:rPr>
        <w:t>and is guided by a Global Program Strategy.</w:t>
      </w:r>
    </w:p>
    <w:p w14:paraId="749AEB93" w14:textId="77777777" w:rsidR="003079EE" w:rsidRPr="00F90CFE" w:rsidRDefault="00E259F4" w:rsidP="003079EE">
      <w:pPr>
        <w:rPr>
          <w:lang w:val="en-AU" w:bidi="en-NZ"/>
        </w:rPr>
      </w:pPr>
      <w:r w:rsidRPr="00F90CFE">
        <w:rPr>
          <w:lang w:val="en-AU" w:bidi="en-NZ"/>
        </w:rPr>
        <w:t xml:space="preserve">Specifically, the evaluation </w:t>
      </w:r>
      <w:r w:rsidR="00186AAD" w:rsidRPr="00F90CFE">
        <w:rPr>
          <w:lang w:val="en-AU" w:bidi="en-NZ"/>
        </w:rPr>
        <w:t>focussed on</w:t>
      </w:r>
      <w:r w:rsidRPr="00F90CFE">
        <w:rPr>
          <w:lang w:val="en-AU" w:bidi="en-NZ"/>
        </w:rPr>
        <w:t xml:space="preserve"> volunteering assignments across all 26 countries, cognisant that the Pacific Program is comparatively more substantial in terms of numbers of volunteers and assignments. </w:t>
      </w:r>
    </w:p>
    <w:p w14:paraId="1F4F4BC0" w14:textId="1AEC4189" w:rsidR="00E259F4" w:rsidRPr="00F90CFE" w:rsidRDefault="00E259F4" w:rsidP="003079EE">
      <w:pPr>
        <w:rPr>
          <w:lang w:val="en-AU" w:bidi="en-NZ"/>
        </w:rPr>
      </w:pPr>
      <w:r w:rsidRPr="00F90CFE">
        <w:rPr>
          <w:lang w:val="en-AU" w:bidi="en-NZ"/>
        </w:rPr>
        <w:t xml:space="preserve">As such, the evaluation </w:t>
      </w:r>
      <w:r w:rsidR="003079EE" w:rsidRPr="00F90CFE">
        <w:rPr>
          <w:lang w:val="en-AU" w:bidi="en-NZ"/>
        </w:rPr>
        <w:t>aimed to</w:t>
      </w:r>
      <w:r w:rsidRPr="00F90CFE">
        <w:rPr>
          <w:lang w:val="en-AU" w:bidi="en-NZ"/>
        </w:rPr>
        <w:t>:</w:t>
      </w:r>
    </w:p>
    <w:p w14:paraId="4019BBF9" w14:textId="08F4B52F" w:rsidR="00E259F4" w:rsidRPr="00F90CFE" w:rsidRDefault="00E259F4" w:rsidP="008F1E8C">
      <w:pPr>
        <w:pStyle w:val="ListBullet"/>
      </w:pPr>
      <w:r w:rsidRPr="00F90CFE">
        <w:t xml:space="preserve">Focus on the </w:t>
      </w:r>
      <w:r w:rsidRPr="00F90CFE">
        <w:rPr>
          <w:b/>
          <w:bCs/>
        </w:rPr>
        <w:t>strategic level</w:t>
      </w:r>
      <w:r w:rsidRPr="00F90CFE">
        <w:t xml:space="preserve"> when looking at all activities within the 26 countries of operation</w:t>
      </w:r>
    </w:p>
    <w:p w14:paraId="364D1447" w14:textId="7BF5AEA6" w:rsidR="00E259F4" w:rsidRPr="00F90CFE" w:rsidRDefault="00E259F4" w:rsidP="008F1E8C">
      <w:pPr>
        <w:pStyle w:val="ListBullet"/>
      </w:pPr>
      <w:r w:rsidRPr="00F90CFE">
        <w:t xml:space="preserve">Focus on </w:t>
      </w:r>
      <w:r w:rsidRPr="00F90CFE">
        <w:rPr>
          <w:b/>
          <w:bCs/>
        </w:rPr>
        <w:t>certain types of impacts</w:t>
      </w:r>
      <w:r w:rsidRPr="00F90CFE">
        <w:t xml:space="preserve"> from </w:t>
      </w:r>
      <w:r w:rsidR="00875D0A" w:rsidRPr="00F90CFE">
        <w:t>the program</w:t>
      </w:r>
      <w:r w:rsidRPr="00F90CFE">
        <w:t>’s three key impact areas as well as key sectors (health, education, etc.) that will offer an opportunity to examine specific strands of interest e.g. different sectoral impacts and partnership structures</w:t>
      </w:r>
    </w:p>
    <w:p w14:paraId="460FB2F2" w14:textId="1EDA3827" w:rsidR="00E259F4" w:rsidRPr="00F90CFE" w:rsidRDefault="00E259F4" w:rsidP="008F1E8C">
      <w:pPr>
        <w:pStyle w:val="ListBullet"/>
      </w:pPr>
      <w:r w:rsidRPr="00F90CFE">
        <w:t xml:space="preserve">Focus on </w:t>
      </w:r>
      <w:r w:rsidRPr="00F90CFE">
        <w:rPr>
          <w:b/>
          <w:bCs/>
        </w:rPr>
        <w:t>certain types of assignments</w:t>
      </w:r>
      <w:r w:rsidRPr="00F90CFE">
        <w:t xml:space="preserve"> that will offer an opportunity to examine specific strands of interest e.g. different volunteering modalities</w:t>
      </w:r>
    </w:p>
    <w:p w14:paraId="6350CEDF" w14:textId="34A8EE6F" w:rsidR="00E259F4" w:rsidRPr="00F90CFE" w:rsidRDefault="00E259F4" w:rsidP="008F1E8C">
      <w:pPr>
        <w:pStyle w:val="ListBullet"/>
      </w:pPr>
      <w:r w:rsidRPr="00F90CFE">
        <w:t xml:space="preserve">Seek to ensure that a </w:t>
      </w:r>
      <w:r w:rsidRPr="00F90CFE">
        <w:rPr>
          <w:b/>
        </w:rPr>
        <w:t>wide representation</w:t>
      </w:r>
      <w:r w:rsidRPr="00F90CFE">
        <w:t xml:space="preserve"> of voices and opinions are gathered, particularly local populations</w:t>
      </w:r>
    </w:p>
    <w:p w14:paraId="2E1D1C80" w14:textId="2024D80A" w:rsidR="00E259F4" w:rsidRPr="00F90CFE" w:rsidRDefault="00E259F4" w:rsidP="008F1E8C">
      <w:pPr>
        <w:pStyle w:val="ListBullet"/>
      </w:pPr>
      <w:r w:rsidRPr="00F90CFE">
        <w:t xml:space="preserve">Undertake </w:t>
      </w:r>
      <w:r w:rsidRPr="00F90CFE">
        <w:rPr>
          <w:b/>
          <w:bCs/>
        </w:rPr>
        <w:t xml:space="preserve">high-level analysis of </w:t>
      </w:r>
      <w:r w:rsidR="00875D0A" w:rsidRPr="00F90CFE">
        <w:rPr>
          <w:b/>
          <w:bCs/>
        </w:rPr>
        <w:t>the program</w:t>
      </w:r>
      <w:r w:rsidRPr="00F90CFE">
        <w:t xml:space="preserve"> to provide insights into the efficiency of governance arrangements and program management systems</w:t>
      </w:r>
    </w:p>
    <w:p w14:paraId="2DDB2C06" w14:textId="1D9B2F88" w:rsidR="00E259F4" w:rsidRPr="00F90CFE" w:rsidRDefault="00E259F4" w:rsidP="008F1E8C">
      <w:pPr>
        <w:pStyle w:val="ListBullet"/>
      </w:pPr>
      <w:r w:rsidRPr="00F90CFE">
        <w:t xml:space="preserve">Undertake </w:t>
      </w:r>
      <w:r w:rsidR="00724F8D" w:rsidRPr="00F90CFE">
        <w:t>six</w:t>
      </w:r>
      <w:r w:rsidRPr="00F90CFE">
        <w:t xml:space="preserve"> </w:t>
      </w:r>
      <w:r w:rsidRPr="00F90CFE">
        <w:rPr>
          <w:b/>
          <w:bCs/>
        </w:rPr>
        <w:t>country</w:t>
      </w:r>
      <w:r w:rsidR="00542765" w:rsidRPr="00F90CFE">
        <w:rPr>
          <w:b/>
          <w:bCs/>
        </w:rPr>
        <w:t>-</w:t>
      </w:r>
      <w:r w:rsidRPr="00F90CFE">
        <w:rPr>
          <w:b/>
          <w:bCs/>
        </w:rPr>
        <w:t>level case studies</w:t>
      </w:r>
      <w:r w:rsidRPr="00F90CFE">
        <w:t xml:space="preserve"> including a range of county-level stakeholder opinions and examining two partner organisations per country. </w:t>
      </w:r>
    </w:p>
    <w:p w14:paraId="6A069121" w14:textId="69B479F2" w:rsidR="003079EE" w:rsidRDefault="003079EE" w:rsidP="003079EE">
      <w:pPr>
        <w:pStyle w:val="Heading1"/>
        <w:ind w:left="0"/>
        <w:rPr>
          <w:sz w:val="28"/>
          <w:szCs w:val="28"/>
          <w:lang w:val="en-AU"/>
        </w:rPr>
      </w:pPr>
      <w:bookmarkStart w:id="23" w:name="_Toc58334866"/>
    </w:p>
    <w:p w14:paraId="4BB728C8" w14:textId="4CA461C3" w:rsidR="0086741B" w:rsidRDefault="0086741B" w:rsidP="0086741B">
      <w:pPr>
        <w:rPr>
          <w:lang w:val="en-AU"/>
        </w:rPr>
      </w:pPr>
    </w:p>
    <w:p w14:paraId="59475F43" w14:textId="77777777" w:rsidR="0086741B" w:rsidRPr="0086741B" w:rsidRDefault="0086741B" w:rsidP="0086741B">
      <w:pPr>
        <w:rPr>
          <w:lang w:val="en-AU"/>
        </w:rPr>
      </w:pPr>
    </w:p>
    <w:p w14:paraId="4C34ADA2" w14:textId="646A8E20" w:rsidR="00E259F4" w:rsidRPr="00F90CFE" w:rsidRDefault="00E259F4" w:rsidP="00E5639D">
      <w:pPr>
        <w:pStyle w:val="Heading1"/>
        <w:ind w:left="0"/>
        <w:rPr>
          <w:sz w:val="28"/>
          <w:szCs w:val="28"/>
          <w:lang w:val="en-AU"/>
        </w:rPr>
      </w:pPr>
      <w:r w:rsidRPr="00F90CFE">
        <w:rPr>
          <w:sz w:val="28"/>
          <w:szCs w:val="28"/>
          <w:lang w:val="en-AU"/>
        </w:rPr>
        <w:lastRenderedPageBreak/>
        <w:t>Key evaluation questions</w:t>
      </w:r>
      <w:bookmarkEnd w:id="23"/>
    </w:p>
    <w:p w14:paraId="45F772CB" w14:textId="6D33DFF0" w:rsidR="00E259F4" w:rsidRPr="00F90CFE" w:rsidRDefault="00E259F4" w:rsidP="00594409">
      <w:pPr>
        <w:rPr>
          <w:lang w:val="en-AU"/>
        </w:rPr>
      </w:pPr>
      <w:bookmarkStart w:id="24" w:name="_Hlk53786639"/>
      <w:r w:rsidRPr="00F90CFE">
        <w:rPr>
          <w:lang w:val="en-AU"/>
        </w:rPr>
        <w:t xml:space="preserve">The </w:t>
      </w:r>
      <w:bookmarkEnd w:id="24"/>
      <w:r w:rsidR="00594409" w:rsidRPr="00F90CFE">
        <w:rPr>
          <w:lang w:val="en-AU"/>
        </w:rPr>
        <w:t>terms of reference</w:t>
      </w:r>
      <w:r w:rsidRPr="00F90CFE">
        <w:rPr>
          <w:lang w:val="en-AU"/>
        </w:rPr>
        <w:t xml:space="preserve"> </w:t>
      </w:r>
      <w:r w:rsidR="003802DA" w:rsidRPr="00F90CFE">
        <w:rPr>
          <w:lang w:val="en-AU"/>
        </w:rPr>
        <w:t>identify</w:t>
      </w:r>
      <w:r w:rsidRPr="00F90CFE">
        <w:rPr>
          <w:lang w:val="en-AU"/>
        </w:rPr>
        <w:t xml:space="preserve"> key questions, organised under the evaluation objectives, to assess </w:t>
      </w:r>
      <w:r w:rsidRPr="00F90CFE">
        <w:rPr>
          <w:b/>
          <w:bCs/>
          <w:lang w:val="en-AU"/>
        </w:rPr>
        <w:t xml:space="preserve">relevance, effectiveness, efficiency, sustainability, and future direction for </w:t>
      </w:r>
      <w:r w:rsidR="00875D0A" w:rsidRPr="00F90CFE">
        <w:rPr>
          <w:b/>
          <w:bCs/>
          <w:lang w:val="en-AU"/>
        </w:rPr>
        <w:t>the program</w:t>
      </w:r>
      <w:r w:rsidRPr="00F90CFE">
        <w:rPr>
          <w:lang w:val="en-AU"/>
        </w:rPr>
        <w:t>. The first four of these serves the evaluation’s accountability purpose. The last is specifically to serve the evaluation’s improvement purpose.</w:t>
      </w:r>
    </w:p>
    <w:p w14:paraId="40FBA8C4" w14:textId="77777777" w:rsidR="00E259F4" w:rsidRPr="00F90CFE" w:rsidRDefault="00E259F4" w:rsidP="00594409">
      <w:pPr>
        <w:rPr>
          <w:lang w:val="en-AU"/>
        </w:rPr>
      </w:pPr>
      <w:r w:rsidRPr="00F90CFE">
        <w:rPr>
          <w:lang w:val="en-AU"/>
        </w:rPr>
        <w:t xml:space="preserve">Below is the summary of evaluation objectives, description, and main evaluation questions. </w:t>
      </w:r>
    </w:p>
    <w:tbl>
      <w:tblPr>
        <w:tblStyle w:val="TetraTech"/>
        <w:tblW w:w="5000" w:type="pct"/>
        <w:tblLook w:val="04A0" w:firstRow="1" w:lastRow="0" w:firstColumn="1" w:lastColumn="0" w:noHBand="0" w:noVBand="1"/>
      </w:tblPr>
      <w:tblGrid>
        <w:gridCol w:w="1701"/>
        <w:gridCol w:w="1985"/>
        <w:gridCol w:w="5952"/>
      </w:tblGrid>
      <w:tr w:rsidR="00E259F4" w:rsidRPr="00F90CFE" w14:paraId="64077394" w14:textId="77777777" w:rsidTr="00973680">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882" w:type="pct"/>
            <w:shd w:val="clear" w:color="auto" w:fill="auto"/>
          </w:tcPr>
          <w:p w14:paraId="11864AF0" w14:textId="77777777" w:rsidR="00E259F4" w:rsidRPr="00973680" w:rsidRDefault="00E259F4" w:rsidP="00BF676C">
            <w:pPr>
              <w:pStyle w:val="BodyText"/>
              <w:spacing w:before="80" w:after="80"/>
              <w:rPr>
                <w:rFonts w:asciiTheme="majorHAnsi" w:hAnsiTheme="majorHAnsi" w:cstheme="majorHAnsi"/>
                <w:noProof w:val="0"/>
                <w:color w:val="003478" w:themeColor="text2"/>
              </w:rPr>
            </w:pPr>
            <w:r w:rsidRPr="00973680">
              <w:rPr>
                <w:rFonts w:asciiTheme="majorHAnsi" w:hAnsiTheme="majorHAnsi" w:cstheme="majorHAnsi"/>
                <w:noProof w:val="0"/>
                <w:color w:val="003478" w:themeColor="text2"/>
              </w:rPr>
              <w:t xml:space="preserve">Objective </w:t>
            </w:r>
          </w:p>
        </w:tc>
        <w:tc>
          <w:tcPr>
            <w:tcW w:w="1030" w:type="pct"/>
            <w:shd w:val="clear" w:color="auto" w:fill="auto"/>
          </w:tcPr>
          <w:p w14:paraId="67F58398" w14:textId="77777777" w:rsidR="00E259F4" w:rsidRPr="00973680" w:rsidRDefault="00E259F4" w:rsidP="00BF676C">
            <w:pPr>
              <w:pStyle w:val="BodyText"/>
              <w:spacing w:before="80" w:after="8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rPr>
            </w:pPr>
            <w:r w:rsidRPr="00973680">
              <w:rPr>
                <w:rFonts w:asciiTheme="majorHAnsi" w:hAnsiTheme="majorHAnsi" w:cstheme="majorHAnsi"/>
                <w:noProof w:val="0"/>
                <w:color w:val="003478" w:themeColor="text2"/>
              </w:rPr>
              <w:t xml:space="preserve">Description </w:t>
            </w:r>
          </w:p>
        </w:tc>
        <w:tc>
          <w:tcPr>
            <w:tcW w:w="3088" w:type="pct"/>
            <w:shd w:val="clear" w:color="auto" w:fill="auto"/>
          </w:tcPr>
          <w:p w14:paraId="50C65714" w14:textId="77777777" w:rsidR="00E259F4" w:rsidRPr="00973680" w:rsidRDefault="00E259F4" w:rsidP="00BF676C">
            <w:pPr>
              <w:pStyle w:val="BodyText"/>
              <w:spacing w:before="80" w:after="8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rPr>
            </w:pPr>
            <w:r w:rsidRPr="00973680">
              <w:rPr>
                <w:rFonts w:asciiTheme="majorHAnsi" w:hAnsiTheme="majorHAnsi" w:cstheme="majorHAnsi"/>
                <w:noProof w:val="0"/>
                <w:color w:val="003478" w:themeColor="text2"/>
              </w:rPr>
              <w:t xml:space="preserve">Key evaluation questions </w:t>
            </w:r>
          </w:p>
        </w:tc>
      </w:tr>
      <w:tr w:rsidR="00E259F4" w:rsidRPr="00F90CFE" w14:paraId="77590DCC" w14:textId="77777777" w:rsidTr="6E6BB222">
        <w:trPr>
          <w:trHeight w:val="529"/>
        </w:trPr>
        <w:tc>
          <w:tcPr>
            <w:cnfStyle w:val="001000000000" w:firstRow="0" w:lastRow="0" w:firstColumn="1" w:lastColumn="0" w:oddVBand="0" w:evenVBand="0" w:oddHBand="0" w:evenHBand="0" w:firstRowFirstColumn="0" w:firstRowLastColumn="0" w:lastRowFirstColumn="0" w:lastRowLastColumn="0"/>
            <w:tcW w:w="882" w:type="pct"/>
          </w:tcPr>
          <w:p w14:paraId="0CE9E264" w14:textId="77777777" w:rsidR="00E259F4" w:rsidRPr="00F90CFE" w:rsidRDefault="00E259F4" w:rsidP="00BF676C">
            <w:pPr>
              <w:pStyle w:val="BodyText"/>
              <w:spacing w:before="80" w:after="80"/>
              <w:rPr>
                <w:rFonts w:asciiTheme="majorHAnsi" w:hAnsiTheme="majorHAnsi" w:cstheme="majorHAnsi"/>
                <w:b/>
                <w:bCs/>
                <w:noProof w:val="0"/>
              </w:rPr>
            </w:pPr>
            <w:r w:rsidRPr="00F90CFE">
              <w:rPr>
                <w:rFonts w:asciiTheme="majorHAnsi" w:hAnsiTheme="majorHAnsi" w:cstheme="majorHAnsi"/>
                <w:b/>
                <w:bCs/>
                <w:noProof w:val="0"/>
              </w:rPr>
              <w:t xml:space="preserve">Objective 1: Relevance </w:t>
            </w:r>
          </w:p>
        </w:tc>
        <w:tc>
          <w:tcPr>
            <w:tcW w:w="1030" w:type="pct"/>
          </w:tcPr>
          <w:p w14:paraId="039EBFD8" w14:textId="77777777" w:rsidR="00E259F4" w:rsidRPr="00F90CFE" w:rsidRDefault="00E259F4" w:rsidP="00BF676C">
            <w:pPr>
              <w:pStyle w:val="BodyText"/>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rPr>
            </w:pPr>
            <w:r w:rsidRPr="00F90CFE">
              <w:rPr>
                <w:rFonts w:asciiTheme="majorHAnsi" w:hAnsiTheme="majorHAnsi" w:cstheme="majorHAnsi"/>
                <w:noProof w:val="0"/>
              </w:rPr>
              <w:t>To examine the extent to which the program’s design remains relevant</w:t>
            </w:r>
          </w:p>
        </w:tc>
        <w:tc>
          <w:tcPr>
            <w:tcW w:w="3088" w:type="pct"/>
          </w:tcPr>
          <w:p w14:paraId="7C3266B4"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 xml:space="preserve">How well does the design of the program respond to and continue to remain relevant to the strategic objectives of Australia’s development assistance program and country strategies? </w:t>
            </w:r>
          </w:p>
          <w:p w14:paraId="349B1229"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To what extent are the program’s activities and outcomes aligned with the needs and priorities of partner organisations?</w:t>
            </w:r>
          </w:p>
          <w:p w14:paraId="3C1471A8" w14:textId="33B08905"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 xml:space="preserve">Is the program’s logic ‘fit for purpose’ and being used to inform </w:t>
            </w:r>
            <w:r w:rsidR="00724F8D" w:rsidRPr="00F90CFE">
              <w:rPr>
                <w:noProof w:val="0"/>
                <w:lang w:val="en-AU"/>
              </w:rPr>
              <w:t>Australian Volunteers International</w:t>
            </w:r>
            <w:r w:rsidRPr="00F90CFE">
              <w:rPr>
                <w:noProof w:val="0"/>
                <w:lang w:val="en-AU"/>
              </w:rPr>
              <w:t>’s management of the program?</w:t>
            </w:r>
          </w:p>
        </w:tc>
      </w:tr>
      <w:tr w:rsidR="00E259F4" w:rsidRPr="00F90CFE" w14:paraId="550B81AA" w14:textId="77777777" w:rsidTr="6E6BB222">
        <w:trPr>
          <w:trHeight w:val="551"/>
        </w:trPr>
        <w:tc>
          <w:tcPr>
            <w:cnfStyle w:val="001000000000" w:firstRow="0" w:lastRow="0" w:firstColumn="1" w:lastColumn="0" w:oddVBand="0" w:evenVBand="0" w:oddHBand="0" w:evenHBand="0" w:firstRowFirstColumn="0" w:firstRowLastColumn="0" w:lastRowFirstColumn="0" w:lastRowLastColumn="0"/>
            <w:tcW w:w="882" w:type="pct"/>
          </w:tcPr>
          <w:p w14:paraId="2E734E29" w14:textId="77777777" w:rsidR="00E259F4" w:rsidRPr="00F90CFE" w:rsidRDefault="00E259F4" w:rsidP="00BF676C">
            <w:pPr>
              <w:pStyle w:val="BodyText"/>
              <w:spacing w:before="80" w:after="80"/>
              <w:rPr>
                <w:rFonts w:asciiTheme="majorHAnsi" w:hAnsiTheme="majorHAnsi" w:cstheme="majorHAnsi"/>
                <w:b/>
                <w:bCs/>
                <w:noProof w:val="0"/>
              </w:rPr>
            </w:pPr>
            <w:r w:rsidRPr="00F90CFE">
              <w:rPr>
                <w:rFonts w:asciiTheme="majorHAnsi" w:hAnsiTheme="majorHAnsi" w:cstheme="majorHAnsi"/>
                <w:b/>
                <w:bCs/>
                <w:noProof w:val="0"/>
              </w:rPr>
              <w:t>Objective 2: Effectiveness</w:t>
            </w:r>
          </w:p>
        </w:tc>
        <w:tc>
          <w:tcPr>
            <w:tcW w:w="1030" w:type="pct"/>
          </w:tcPr>
          <w:p w14:paraId="188A48E6" w14:textId="0A2C3E7A" w:rsidR="00E259F4" w:rsidRPr="00F90CFE" w:rsidRDefault="00E259F4" w:rsidP="00BF676C">
            <w:pPr>
              <w:pStyle w:val="BodyText"/>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rPr>
            </w:pPr>
            <w:r w:rsidRPr="00F90CFE">
              <w:rPr>
                <w:rFonts w:asciiTheme="majorHAnsi" w:hAnsiTheme="majorHAnsi" w:cstheme="majorHAnsi"/>
                <w:noProof w:val="0"/>
              </w:rPr>
              <w:t xml:space="preserve">To examine the extent to which the Volunteers Program is making progress towards its three </w:t>
            </w:r>
            <w:r w:rsidR="00724F8D" w:rsidRPr="00F90CFE">
              <w:rPr>
                <w:rFonts w:asciiTheme="majorHAnsi" w:hAnsiTheme="majorHAnsi" w:cstheme="majorHAnsi"/>
                <w:noProof w:val="0"/>
              </w:rPr>
              <w:t>End of Program Outcomes (</w:t>
            </w:r>
            <w:proofErr w:type="spellStart"/>
            <w:r w:rsidRPr="00F90CFE">
              <w:rPr>
                <w:rFonts w:asciiTheme="majorHAnsi" w:hAnsiTheme="majorHAnsi" w:cstheme="majorHAnsi"/>
                <w:noProof w:val="0"/>
              </w:rPr>
              <w:t>EoPOs</w:t>
            </w:r>
            <w:proofErr w:type="spellEnd"/>
            <w:r w:rsidR="00724F8D" w:rsidRPr="00F90CFE">
              <w:rPr>
                <w:rFonts w:asciiTheme="majorHAnsi" w:hAnsiTheme="majorHAnsi" w:cstheme="majorHAnsi"/>
                <w:noProof w:val="0"/>
              </w:rPr>
              <w:t>)</w:t>
            </w:r>
          </w:p>
        </w:tc>
        <w:tc>
          <w:tcPr>
            <w:tcW w:w="3088" w:type="pct"/>
          </w:tcPr>
          <w:p w14:paraId="0C1B5668"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Have partner organisations sustainably strengthened their capacity?</w:t>
            </w:r>
          </w:p>
          <w:p w14:paraId="0FCE85C3" w14:textId="65E38D3F" w:rsidR="00E259F4" w:rsidRPr="00F90CFE" w:rsidRDefault="3EFFED11"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To what extent d</w:t>
            </w:r>
            <w:r w:rsidR="00E259F4" w:rsidRPr="00F90CFE">
              <w:rPr>
                <w:noProof w:val="0"/>
                <w:lang w:val="en-AU"/>
              </w:rPr>
              <w:t>oes the Australian public better appreciate the value of international volunteering?</w:t>
            </w:r>
          </w:p>
          <w:p w14:paraId="00EE433D"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How have volunteers gained professionally and personally?</w:t>
            </w:r>
          </w:p>
          <w:p w14:paraId="4F9633E1"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Has the change to unified branding under the Australian Aid banner delivered greater recognition for the program?</w:t>
            </w:r>
          </w:p>
          <w:p w14:paraId="50512BD6"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What do stakeholders’ perceptions tell us about the program’s contribution to Australia’s soft power?</w:t>
            </w:r>
          </w:p>
        </w:tc>
      </w:tr>
      <w:tr w:rsidR="00E259F4" w:rsidRPr="00F90CFE" w14:paraId="5F504E6A" w14:textId="77777777" w:rsidTr="6E6BB222">
        <w:trPr>
          <w:trHeight w:val="551"/>
        </w:trPr>
        <w:tc>
          <w:tcPr>
            <w:cnfStyle w:val="001000000000" w:firstRow="0" w:lastRow="0" w:firstColumn="1" w:lastColumn="0" w:oddVBand="0" w:evenVBand="0" w:oddHBand="0" w:evenHBand="0" w:firstRowFirstColumn="0" w:firstRowLastColumn="0" w:lastRowFirstColumn="0" w:lastRowLastColumn="0"/>
            <w:tcW w:w="882" w:type="pct"/>
          </w:tcPr>
          <w:p w14:paraId="357A3731" w14:textId="77777777" w:rsidR="00E259F4" w:rsidRPr="00F90CFE" w:rsidRDefault="00E259F4" w:rsidP="00BF676C">
            <w:pPr>
              <w:pStyle w:val="BodyText"/>
              <w:spacing w:before="80" w:after="80"/>
              <w:rPr>
                <w:rFonts w:asciiTheme="majorHAnsi" w:hAnsiTheme="majorHAnsi" w:cstheme="majorHAnsi"/>
                <w:b/>
                <w:bCs/>
                <w:noProof w:val="0"/>
              </w:rPr>
            </w:pPr>
            <w:r w:rsidRPr="00F90CFE">
              <w:rPr>
                <w:rFonts w:asciiTheme="majorHAnsi" w:hAnsiTheme="majorHAnsi" w:cstheme="majorHAnsi"/>
                <w:b/>
                <w:bCs/>
                <w:noProof w:val="0"/>
              </w:rPr>
              <w:t xml:space="preserve">Objective 3: Efficiency </w:t>
            </w:r>
          </w:p>
        </w:tc>
        <w:tc>
          <w:tcPr>
            <w:tcW w:w="1030" w:type="pct"/>
          </w:tcPr>
          <w:p w14:paraId="2CA423E0" w14:textId="77777777" w:rsidR="00E259F4" w:rsidRPr="00F90CFE" w:rsidRDefault="00E259F4" w:rsidP="00BF676C">
            <w:pPr>
              <w:pStyle w:val="BodyText"/>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rPr>
            </w:pPr>
            <w:r w:rsidRPr="00F90CFE">
              <w:rPr>
                <w:rFonts w:asciiTheme="majorHAnsi" w:hAnsiTheme="majorHAnsi" w:cstheme="majorHAnsi"/>
                <w:noProof w:val="0"/>
              </w:rPr>
              <w:t>To review the efficiency of the governance model and program management arrangements.</w:t>
            </w:r>
          </w:p>
        </w:tc>
        <w:tc>
          <w:tcPr>
            <w:tcW w:w="3088" w:type="pct"/>
          </w:tcPr>
          <w:p w14:paraId="30011062"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To what extent does the program represent value for money?</w:t>
            </w:r>
          </w:p>
          <w:p w14:paraId="33DE486F"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 xml:space="preserve">How does the program’s costs compare to those of other donors? </w:t>
            </w:r>
          </w:p>
          <w:p w14:paraId="718D9314"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To what extent do corporate governance arrangements support efficient decision making and program management?</w:t>
            </w:r>
          </w:p>
        </w:tc>
      </w:tr>
      <w:tr w:rsidR="00E259F4" w:rsidRPr="00F90CFE" w14:paraId="46A9493E" w14:textId="77777777" w:rsidTr="6E6BB222">
        <w:trPr>
          <w:trHeight w:val="551"/>
        </w:trPr>
        <w:tc>
          <w:tcPr>
            <w:cnfStyle w:val="001000000000" w:firstRow="0" w:lastRow="0" w:firstColumn="1" w:lastColumn="0" w:oddVBand="0" w:evenVBand="0" w:oddHBand="0" w:evenHBand="0" w:firstRowFirstColumn="0" w:firstRowLastColumn="0" w:lastRowFirstColumn="0" w:lastRowLastColumn="0"/>
            <w:tcW w:w="882" w:type="pct"/>
          </w:tcPr>
          <w:p w14:paraId="26DD24EE" w14:textId="54470020" w:rsidR="00E259F4" w:rsidRPr="00F90CFE" w:rsidRDefault="00E259F4" w:rsidP="00BF676C">
            <w:pPr>
              <w:pStyle w:val="BodyText"/>
              <w:spacing w:before="80" w:after="80"/>
              <w:rPr>
                <w:rFonts w:asciiTheme="majorHAnsi" w:hAnsiTheme="majorHAnsi" w:cstheme="majorHAnsi"/>
                <w:b/>
                <w:bCs/>
                <w:noProof w:val="0"/>
              </w:rPr>
            </w:pPr>
            <w:r w:rsidRPr="00F90CFE">
              <w:rPr>
                <w:rFonts w:asciiTheme="majorHAnsi" w:hAnsiTheme="majorHAnsi" w:cstheme="majorHAnsi"/>
                <w:b/>
                <w:bCs/>
                <w:noProof w:val="0"/>
              </w:rPr>
              <w:t>Objective 4: Future direction</w:t>
            </w:r>
          </w:p>
        </w:tc>
        <w:tc>
          <w:tcPr>
            <w:tcW w:w="1030" w:type="pct"/>
          </w:tcPr>
          <w:p w14:paraId="0CDE91EF" w14:textId="77777777" w:rsidR="00E259F4" w:rsidRPr="00F90CFE" w:rsidRDefault="00E259F4" w:rsidP="00BF676C">
            <w:pPr>
              <w:pStyle w:val="BodyText"/>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rPr>
            </w:pPr>
            <w:r w:rsidRPr="00F90CFE">
              <w:rPr>
                <w:rFonts w:asciiTheme="majorHAnsi" w:hAnsiTheme="majorHAnsi" w:cstheme="majorHAnsi"/>
                <w:noProof w:val="0"/>
              </w:rPr>
              <w:t>To inform future directions of the program</w:t>
            </w:r>
          </w:p>
        </w:tc>
        <w:tc>
          <w:tcPr>
            <w:tcW w:w="3088" w:type="pct"/>
          </w:tcPr>
          <w:p w14:paraId="51913EA3"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 xml:space="preserve">To what extent has the program been affected by </w:t>
            </w:r>
            <w:r w:rsidR="00594409" w:rsidRPr="00F90CFE">
              <w:rPr>
                <w:noProof w:val="0"/>
                <w:lang w:val="en-AU"/>
              </w:rPr>
              <w:t>COVID</w:t>
            </w:r>
            <w:r w:rsidRPr="00F90CFE">
              <w:rPr>
                <w:noProof w:val="0"/>
                <w:lang w:val="en-AU"/>
              </w:rPr>
              <w:t>-19 and other issues?</w:t>
            </w:r>
          </w:p>
          <w:p w14:paraId="4C1CD1A0"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How is the program adapting to its changing external environment?</w:t>
            </w:r>
          </w:p>
          <w:p w14:paraId="08A2BBDF"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 xml:space="preserve">What do stakeholders perceive as the key challenges and risks facing the program in the future? </w:t>
            </w:r>
          </w:p>
          <w:p w14:paraId="660E1E32" w14:textId="77777777" w:rsidR="00E259F4" w:rsidRPr="00F90CFE" w:rsidRDefault="00E259F4" w:rsidP="00724F8D">
            <w:pPr>
              <w:pStyle w:val="TableBullet"/>
              <w:spacing w:line="252" w:lineRule="auto"/>
              <w:ind w:left="289" w:hanging="215"/>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What strategies, alternative modalities and approaches could be considered to strengthen the program’s resilience and sustainability into the future?</w:t>
            </w:r>
          </w:p>
        </w:tc>
      </w:tr>
    </w:tbl>
    <w:p w14:paraId="676BAAA2" w14:textId="3BB56B8E" w:rsidR="00E259F4" w:rsidRPr="00F90CFE" w:rsidRDefault="00E259F4" w:rsidP="00594409">
      <w:pPr>
        <w:rPr>
          <w:lang w:val="en-AU"/>
        </w:rPr>
      </w:pPr>
      <w:r w:rsidRPr="00F90CFE">
        <w:rPr>
          <w:lang w:val="en-AU"/>
        </w:rPr>
        <w:t xml:space="preserve">To ensure there is awareness of the evaluation and to obtain buy-in from DFAT stakeholders, the evaluation team conducted interviews with selected relevant stakeholders where we sought their feedback on the evaluation questions and explored their interests and stakes in the evaluation (the list of stakeholders interviewed is at Annex </w:t>
      </w:r>
      <w:r w:rsidR="00724F8D" w:rsidRPr="00F90CFE">
        <w:rPr>
          <w:lang w:val="en-AU"/>
        </w:rPr>
        <w:t>8</w:t>
      </w:r>
      <w:r w:rsidRPr="00F90CFE">
        <w:rPr>
          <w:lang w:val="en-AU"/>
        </w:rPr>
        <w:t xml:space="preserve">). Substantial insights were provided to assist the development of sub-questions, inform appropriate data collection </w:t>
      </w:r>
      <w:r w:rsidR="00F90CFE" w:rsidRPr="00F90CFE">
        <w:rPr>
          <w:lang w:val="en-AU"/>
        </w:rPr>
        <w:t>methods,</w:t>
      </w:r>
      <w:r w:rsidRPr="00F90CFE">
        <w:rPr>
          <w:lang w:val="en-AU"/>
        </w:rPr>
        <w:t xml:space="preserve"> and </w:t>
      </w:r>
      <w:r w:rsidR="008F18E2" w:rsidRPr="00F90CFE">
        <w:rPr>
          <w:lang w:val="en-AU"/>
        </w:rPr>
        <w:t xml:space="preserve">provide </w:t>
      </w:r>
      <w:r w:rsidRPr="00F90CFE">
        <w:rPr>
          <w:lang w:val="en-AU"/>
        </w:rPr>
        <w:t xml:space="preserve">various other contextual and operational advice. </w:t>
      </w:r>
    </w:p>
    <w:p w14:paraId="287E0443" w14:textId="1DBA508E" w:rsidR="00E259F4" w:rsidRPr="00F90CFE" w:rsidRDefault="00085D9D" w:rsidP="00594409">
      <w:pPr>
        <w:rPr>
          <w:lang w:val="en-AU"/>
        </w:rPr>
      </w:pPr>
      <w:r w:rsidRPr="00F90CFE">
        <w:rPr>
          <w:lang w:val="en-AU"/>
        </w:rPr>
        <w:t>M</w:t>
      </w:r>
      <w:r w:rsidR="00E259F4" w:rsidRPr="00F90CFE">
        <w:rPr>
          <w:lang w:val="en-AU"/>
        </w:rPr>
        <w:t xml:space="preserve">any stakeholders sought specific feedback to inform the future direction of </w:t>
      </w:r>
      <w:r w:rsidR="00875D0A" w:rsidRPr="00F90CFE">
        <w:rPr>
          <w:lang w:val="en-AU"/>
        </w:rPr>
        <w:t>the program</w:t>
      </w:r>
      <w:r w:rsidR="00E259F4" w:rsidRPr="00F90CFE">
        <w:rPr>
          <w:lang w:val="en-AU"/>
        </w:rPr>
        <w:t>.</w:t>
      </w:r>
      <w:r w:rsidR="007033CE" w:rsidRPr="00F90CFE">
        <w:rPr>
          <w:lang w:val="en-AU"/>
        </w:rPr>
        <w:t xml:space="preserve"> Stakeholders placed emphasis on</w:t>
      </w:r>
      <w:r w:rsidR="00176296" w:rsidRPr="00F90CFE">
        <w:rPr>
          <w:lang w:val="en-AU"/>
        </w:rPr>
        <w:t xml:space="preserve"> the need to </w:t>
      </w:r>
      <w:r w:rsidRPr="00F90CFE">
        <w:rPr>
          <w:lang w:val="en-AU"/>
        </w:rPr>
        <w:t>explor</w:t>
      </w:r>
      <w:r w:rsidR="00176296" w:rsidRPr="00F90CFE">
        <w:rPr>
          <w:lang w:val="en-AU"/>
        </w:rPr>
        <w:t>e</w:t>
      </w:r>
      <w:r w:rsidRPr="00F90CFE">
        <w:rPr>
          <w:lang w:val="en-AU"/>
        </w:rPr>
        <w:t xml:space="preserve"> sustainability mechanisms and effectiveness of the program from both volunteer and partner perspectives</w:t>
      </w:r>
      <w:r w:rsidR="00176296" w:rsidRPr="00F90CFE">
        <w:rPr>
          <w:lang w:val="en-AU"/>
        </w:rPr>
        <w:t>.</w:t>
      </w:r>
    </w:p>
    <w:p w14:paraId="0576380A" w14:textId="68215AB8" w:rsidR="00E259F4" w:rsidRPr="00F90CFE" w:rsidRDefault="00E259F4" w:rsidP="00594409">
      <w:pPr>
        <w:rPr>
          <w:lang w:val="en-AU"/>
        </w:rPr>
      </w:pPr>
      <w:r w:rsidRPr="00F90CFE">
        <w:rPr>
          <w:lang w:val="en-AU"/>
        </w:rPr>
        <w:t xml:space="preserve">This feedback informed the detailed Analytical Framework given </w:t>
      </w:r>
      <w:r w:rsidR="00594409" w:rsidRPr="00F90CFE">
        <w:rPr>
          <w:lang w:val="en-AU"/>
        </w:rPr>
        <w:t>below</w:t>
      </w:r>
      <w:r w:rsidR="00AB3B8C" w:rsidRPr="00F90CFE">
        <w:rPr>
          <w:lang w:val="en-AU"/>
        </w:rPr>
        <w:t>,</w:t>
      </w:r>
      <w:r w:rsidR="00594409" w:rsidRPr="00F90CFE">
        <w:rPr>
          <w:lang w:val="en-AU"/>
        </w:rPr>
        <w:t xml:space="preserve"> and</w:t>
      </w:r>
      <w:r w:rsidRPr="00F90CFE">
        <w:rPr>
          <w:lang w:val="en-AU"/>
        </w:rPr>
        <w:t xml:space="preserve"> the further development of the sub-questions and interview guide. </w:t>
      </w:r>
    </w:p>
    <w:p w14:paraId="235085DE" w14:textId="77777777" w:rsidR="00E259F4" w:rsidRPr="00F90CFE" w:rsidRDefault="00E259F4" w:rsidP="00E5639D">
      <w:pPr>
        <w:pStyle w:val="Heading1"/>
        <w:spacing w:before="120"/>
        <w:ind w:left="0" w:hanging="431"/>
        <w:rPr>
          <w:sz w:val="28"/>
          <w:szCs w:val="28"/>
          <w:lang w:val="en-AU"/>
        </w:rPr>
      </w:pPr>
      <w:bookmarkStart w:id="25" w:name="_Toc58334867"/>
      <w:r w:rsidRPr="00F90CFE">
        <w:rPr>
          <w:sz w:val="28"/>
          <w:szCs w:val="28"/>
          <w:lang w:val="en-AU"/>
        </w:rPr>
        <w:lastRenderedPageBreak/>
        <w:t>Limitations and risk mitigation</w:t>
      </w:r>
      <w:bookmarkEnd w:id="25"/>
    </w:p>
    <w:p w14:paraId="632C4BE5" w14:textId="7F0CDD4B" w:rsidR="00E259F4" w:rsidRPr="00F90CFE" w:rsidRDefault="00E259F4" w:rsidP="00594409">
      <w:pPr>
        <w:rPr>
          <w:lang w:val="en-AU"/>
        </w:rPr>
      </w:pPr>
      <w:r w:rsidRPr="00F90CFE">
        <w:rPr>
          <w:lang w:val="en-AU"/>
        </w:rPr>
        <w:t xml:space="preserve">The evaluation team faced </w:t>
      </w:r>
      <w:r w:rsidR="00594409" w:rsidRPr="00F90CFE">
        <w:rPr>
          <w:lang w:val="en-AU"/>
        </w:rPr>
        <w:t>several</w:t>
      </w:r>
      <w:r w:rsidRPr="00F90CFE">
        <w:rPr>
          <w:lang w:val="en-AU"/>
        </w:rPr>
        <w:t xml:space="preserve"> limitations in carrying out the evaluation. </w:t>
      </w:r>
      <w:r w:rsidR="0034290B" w:rsidRPr="00F90CFE">
        <w:rPr>
          <w:lang w:val="en-AU"/>
        </w:rPr>
        <w:t xml:space="preserve">We identified these in </w:t>
      </w:r>
      <w:r w:rsidRPr="00F90CFE">
        <w:rPr>
          <w:lang w:val="en-AU"/>
        </w:rPr>
        <w:t xml:space="preserve">advance (as per the Evaluation Plan) and </w:t>
      </w:r>
      <w:r w:rsidR="00AB3B8C" w:rsidRPr="00F90CFE">
        <w:rPr>
          <w:lang w:val="en-AU"/>
        </w:rPr>
        <w:t xml:space="preserve">the </w:t>
      </w:r>
      <w:r w:rsidRPr="00F90CFE">
        <w:rPr>
          <w:lang w:val="en-AU"/>
        </w:rPr>
        <w:t>mitigation strategies used meant these had limited impact on the final deliverables.</w:t>
      </w:r>
    </w:p>
    <w:tbl>
      <w:tblPr>
        <w:tblStyle w:val="TetraTech"/>
        <w:tblW w:w="5074" w:type="pct"/>
        <w:tblLook w:val="04A0" w:firstRow="1" w:lastRow="0" w:firstColumn="1" w:lastColumn="0" w:noHBand="0" w:noVBand="1"/>
      </w:tblPr>
      <w:tblGrid>
        <w:gridCol w:w="1727"/>
        <w:gridCol w:w="8054"/>
      </w:tblGrid>
      <w:tr w:rsidR="005414E1" w:rsidRPr="00F90CFE" w14:paraId="1E9340BB" w14:textId="77777777" w:rsidTr="00973680">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883" w:type="pct"/>
          </w:tcPr>
          <w:p w14:paraId="35687D83" w14:textId="77777777" w:rsidR="00E259F4" w:rsidRPr="00973680" w:rsidRDefault="00E259F4" w:rsidP="00BF676C">
            <w:pPr>
              <w:spacing w:before="60" w:after="60" w:line="252" w:lineRule="auto"/>
              <w:rPr>
                <w:rFonts w:asciiTheme="majorHAnsi" w:hAnsiTheme="majorHAnsi" w:cstheme="majorHAnsi"/>
                <w:b w:val="0"/>
                <w:bCs/>
                <w:color w:val="003478" w:themeColor="text2"/>
                <w:szCs w:val="20"/>
                <w:lang w:val="en-AU"/>
              </w:rPr>
            </w:pPr>
            <w:r w:rsidRPr="00973680">
              <w:rPr>
                <w:rFonts w:asciiTheme="majorHAnsi" w:hAnsiTheme="majorHAnsi" w:cstheme="majorHAnsi"/>
                <w:bCs/>
                <w:color w:val="003478" w:themeColor="text2"/>
                <w:szCs w:val="20"/>
                <w:lang w:val="en-AU"/>
              </w:rPr>
              <w:t>Limitation</w:t>
            </w:r>
          </w:p>
        </w:tc>
        <w:tc>
          <w:tcPr>
            <w:tcW w:w="4117" w:type="pct"/>
          </w:tcPr>
          <w:p w14:paraId="04A3E4F5" w14:textId="77777777" w:rsidR="00E259F4" w:rsidRPr="00973680" w:rsidRDefault="00E259F4" w:rsidP="00BF676C">
            <w:pPr>
              <w:spacing w:before="60" w:after="60" w:line="252"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003478" w:themeColor="text2"/>
                <w:szCs w:val="20"/>
                <w:lang w:val="en-AU"/>
              </w:rPr>
            </w:pPr>
            <w:r w:rsidRPr="00973680">
              <w:rPr>
                <w:rFonts w:asciiTheme="majorHAnsi" w:hAnsiTheme="majorHAnsi" w:cstheme="majorHAnsi"/>
                <w:bCs/>
                <w:color w:val="003478" w:themeColor="text2"/>
                <w:szCs w:val="20"/>
                <w:lang w:val="en-AU"/>
              </w:rPr>
              <w:t>Adaptive strategies</w:t>
            </w:r>
          </w:p>
        </w:tc>
      </w:tr>
      <w:tr w:rsidR="00E259F4" w:rsidRPr="00F90CFE" w14:paraId="30670B56" w14:textId="77777777" w:rsidTr="6E6BB222">
        <w:tc>
          <w:tcPr>
            <w:cnfStyle w:val="001000000000" w:firstRow="0" w:lastRow="0" w:firstColumn="1" w:lastColumn="0" w:oddVBand="0" w:evenVBand="0" w:oddHBand="0" w:evenHBand="0" w:firstRowFirstColumn="0" w:firstRowLastColumn="0" w:lastRowFirstColumn="0" w:lastRowLastColumn="0"/>
            <w:tcW w:w="883" w:type="pct"/>
          </w:tcPr>
          <w:p w14:paraId="1227027B" w14:textId="3967BA4C" w:rsidR="00E259F4" w:rsidRPr="00F90CFE" w:rsidRDefault="00E259F4" w:rsidP="00BF676C">
            <w:pPr>
              <w:spacing w:before="60" w:after="60" w:line="252" w:lineRule="auto"/>
              <w:rPr>
                <w:rFonts w:asciiTheme="majorHAnsi" w:hAnsiTheme="majorHAnsi" w:cstheme="majorHAnsi"/>
                <w:szCs w:val="20"/>
                <w:lang w:val="en-AU"/>
              </w:rPr>
            </w:pPr>
            <w:r w:rsidRPr="00F90CFE">
              <w:rPr>
                <w:rFonts w:asciiTheme="majorHAnsi" w:hAnsiTheme="majorHAnsi" w:cstheme="majorHAnsi"/>
                <w:szCs w:val="20"/>
                <w:lang w:val="en-AU"/>
              </w:rPr>
              <w:t xml:space="preserve">Limited </w:t>
            </w:r>
            <w:r w:rsidR="00CC5D2D" w:rsidRPr="00F90CFE">
              <w:rPr>
                <w:rFonts w:asciiTheme="majorHAnsi" w:hAnsiTheme="majorHAnsi" w:cstheme="majorHAnsi"/>
                <w:szCs w:val="20"/>
                <w:lang w:val="en-AU"/>
              </w:rPr>
              <w:br/>
            </w:r>
            <w:r w:rsidRPr="00F90CFE">
              <w:rPr>
                <w:rFonts w:asciiTheme="majorHAnsi" w:hAnsiTheme="majorHAnsi" w:cstheme="majorHAnsi"/>
                <w:szCs w:val="20"/>
                <w:lang w:val="en-AU"/>
              </w:rPr>
              <w:t xml:space="preserve">fieldwork </w:t>
            </w:r>
          </w:p>
        </w:tc>
        <w:tc>
          <w:tcPr>
            <w:tcW w:w="4117" w:type="pct"/>
          </w:tcPr>
          <w:p w14:paraId="1E2FF216" w14:textId="7AB50C67" w:rsidR="00E259F4" w:rsidRPr="00F90CFE" w:rsidRDefault="00FC2E39" w:rsidP="008F1E8C">
            <w:pPr>
              <w:spacing w:line="25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AU"/>
              </w:rPr>
            </w:pPr>
            <w:r w:rsidRPr="00F90CFE">
              <w:rPr>
                <w:rFonts w:asciiTheme="majorHAnsi" w:hAnsiTheme="majorHAnsi" w:cstheme="majorHAnsi"/>
                <w:lang w:val="en-AU"/>
              </w:rPr>
              <w:t>T</w:t>
            </w:r>
            <w:r w:rsidR="00E259F4" w:rsidRPr="00F90CFE">
              <w:rPr>
                <w:rFonts w:asciiTheme="majorHAnsi" w:hAnsiTheme="majorHAnsi" w:cstheme="majorHAnsi"/>
                <w:lang w:val="en-AU"/>
              </w:rPr>
              <w:t xml:space="preserve">ravel constraints </w:t>
            </w:r>
            <w:r w:rsidRPr="00F90CFE">
              <w:rPr>
                <w:rFonts w:asciiTheme="majorHAnsi" w:hAnsiTheme="majorHAnsi" w:cstheme="majorHAnsi"/>
                <w:lang w:val="en-AU"/>
              </w:rPr>
              <w:t xml:space="preserve">imposed by COVID-19 </w:t>
            </w:r>
            <w:r w:rsidR="00E259F4" w:rsidRPr="00F90CFE">
              <w:rPr>
                <w:rFonts w:asciiTheme="majorHAnsi" w:hAnsiTheme="majorHAnsi" w:cstheme="majorHAnsi"/>
                <w:lang w:val="en-AU"/>
              </w:rPr>
              <w:t xml:space="preserve">meant it was not possible for the Australia-based evaluation team to visit the countries selected for case studies. The inability to reach stakeholders in person may limit the depth and richness of the data collected in some instances. To mitigate this, the evaluation team conducted a thorough desktop review of program-related documentation and used evaluation team members in-country to meet with relevant stakeholders in Solomon Islands, Tanzania, Indonesia, </w:t>
            </w:r>
            <w:r w:rsidR="00594409" w:rsidRPr="00F90CFE">
              <w:rPr>
                <w:rFonts w:asciiTheme="majorHAnsi" w:hAnsiTheme="majorHAnsi" w:cstheme="majorHAnsi"/>
                <w:lang w:val="en-AU"/>
              </w:rPr>
              <w:t>Tonga</w:t>
            </w:r>
            <w:r w:rsidR="00594409" w:rsidRPr="00F90CFE">
              <w:rPr>
                <w:rFonts w:asciiTheme="majorHAnsi" w:hAnsiTheme="majorHAnsi" w:cstheme="majorHAnsi"/>
                <w:szCs w:val="20"/>
                <w:lang w:val="en-AU"/>
              </w:rPr>
              <w:t>,</w:t>
            </w:r>
            <w:r w:rsidR="00E259F4" w:rsidRPr="00F90CFE">
              <w:rPr>
                <w:rFonts w:asciiTheme="majorHAnsi" w:hAnsiTheme="majorHAnsi" w:cstheme="majorHAnsi"/>
                <w:lang w:val="en-AU"/>
              </w:rPr>
              <w:t xml:space="preserve"> and Timor-Leste. </w:t>
            </w:r>
          </w:p>
        </w:tc>
      </w:tr>
      <w:tr w:rsidR="00E259F4" w:rsidRPr="00F90CFE" w14:paraId="6B475452" w14:textId="77777777" w:rsidTr="6E6BB222">
        <w:tc>
          <w:tcPr>
            <w:cnfStyle w:val="001000000000" w:firstRow="0" w:lastRow="0" w:firstColumn="1" w:lastColumn="0" w:oddVBand="0" w:evenVBand="0" w:oddHBand="0" w:evenHBand="0" w:firstRowFirstColumn="0" w:firstRowLastColumn="0" w:lastRowFirstColumn="0" w:lastRowLastColumn="0"/>
            <w:tcW w:w="883" w:type="pct"/>
          </w:tcPr>
          <w:p w14:paraId="7C2AB7CF" w14:textId="77777777" w:rsidR="00E259F4" w:rsidRPr="00F90CFE" w:rsidRDefault="00E259F4" w:rsidP="00BF676C">
            <w:pPr>
              <w:spacing w:before="60" w:after="60" w:line="252" w:lineRule="auto"/>
              <w:rPr>
                <w:rFonts w:asciiTheme="majorHAnsi" w:hAnsiTheme="majorHAnsi" w:cstheme="majorHAnsi"/>
                <w:szCs w:val="20"/>
                <w:lang w:val="en-AU"/>
              </w:rPr>
            </w:pPr>
            <w:r w:rsidRPr="00F90CFE">
              <w:rPr>
                <w:rFonts w:asciiTheme="majorHAnsi" w:hAnsiTheme="majorHAnsi" w:cstheme="majorHAnsi"/>
                <w:szCs w:val="20"/>
                <w:lang w:val="en-AU"/>
              </w:rPr>
              <w:t xml:space="preserve">Remote interviews </w:t>
            </w:r>
          </w:p>
        </w:tc>
        <w:tc>
          <w:tcPr>
            <w:tcW w:w="4117" w:type="pct"/>
          </w:tcPr>
          <w:p w14:paraId="0DDA6AAD" w14:textId="1577409B" w:rsidR="00E259F4" w:rsidRPr="00F90CFE" w:rsidRDefault="00E259F4" w:rsidP="008A7220">
            <w:pPr>
              <w:spacing w:line="25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AU"/>
              </w:rPr>
            </w:pPr>
            <w:r w:rsidRPr="00F90CFE">
              <w:rPr>
                <w:rFonts w:asciiTheme="majorHAnsi" w:hAnsiTheme="majorHAnsi" w:cstheme="majorHAnsi"/>
                <w:lang w:val="en-AU"/>
              </w:rPr>
              <w:t xml:space="preserve">Remote interviews can be challenging to conduct due to the lack of face-to-face interaction, especially in cross-cultural contexts. Remote/virtual interviews take away the ability for the interviewer to read non-verbal cues, probe further and build the rapport with respondents which is necessary for a deeper conversation. </w:t>
            </w:r>
          </w:p>
          <w:p w14:paraId="0F3B26AC" w14:textId="4B84C5D2" w:rsidR="00E259F4" w:rsidRPr="00F90CFE" w:rsidRDefault="00E259F4" w:rsidP="008A7220">
            <w:pPr>
              <w:spacing w:line="25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AU"/>
              </w:rPr>
            </w:pPr>
            <w:r w:rsidRPr="00F90CFE">
              <w:rPr>
                <w:rFonts w:asciiTheme="majorHAnsi" w:hAnsiTheme="majorHAnsi" w:cstheme="majorHAnsi"/>
                <w:lang w:val="en-AU"/>
              </w:rPr>
              <w:t xml:space="preserve">The evaluation team tried as much as possible to build rapport with the respondent, starting with a very clear introduction of themselves and the evaluation, why the respondents </w:t>
            </w:r>
            <w:r w:rsidR="00773864" w:rsidRPr="00F90CFE">
              <w:rPr>
                <w:rFonts w:asciiTheme="majorHAnsi" w:hAnsiTheme="majorHAnsi" w:cstheme="majorHAnsi"/>
                <w:lang w:val="en-AU"/>
              </w:rPr>
              <w:t>had</w:t>
            </w:r>
            <w:r w:rsidRPr="00F90CFE">
              <w:rPr>
                <w:rFonts w:asciiTheme="majorHAnsi" w:hAnsiTheme="majorHAnsi" w:cstheme="majorHAnsi"/>
                <w:lang w:val="en-AU"/>
              </w:rPr>
              <w:t xml:space="preserve"> been chosen and seeking oral consent from them to continue. The interviews were informal and semi-structured to ensure the atmosphere and conversation </w:t>
            </w:r>
            <w:r w:rsidR="00CB0954" w:rsidRPr="00F90CFE">
              <w:rPr>
                <w:rFonts w:asciiTheme="majorHAnsi" w:hAnsiTheme="majorHAnsi" w:cstheme="majorHAnsi"/>
                <w:lang w:val="en-AU"/>
              </w:rPr>
              <w:t>were</w:t>
            </w:r>
            <w:r w:rsidRPr="00F90CFE">
              <w:rPr>
                <w:rFonts w:asciiTheme="majorHAnsi" w:hAnsiTheme="majorHAnsi" w:cstheme="majorHAnsi"/>
                <w:lang w:val="en-AU"/>
              </w:rPr>
              <w:t xml:space="preserve"> open and flowing. This allowed the interviewers to probe the respondents and seek further clarity on some of their perspectives. Where possible, in-country Evaluators met face-to-face with stakeholders. </w:t>
            </w:r>
          </w:p>
        </w:tc>
      </w:tr>
      <w:tr w:rsidR="00E259F4" w:rsidRPr="00F90CFE" w14:paraId="212B4250" w14:textId="77777777" w:rsidTr="6E6BB222">
        <w:tc>
          <w:tcPr>
            <w:cnfStyle w:val="001000000000" w:firstRow="0" w:lastRow="0" w:firstColumn="1" w:lastColumn="0" w:oddVBand="0" w:evenVBand="0" w:oddHBand="0" w:evenHBand="0" w:firstRowFirstColumn="0" w:firstRowLastColumn="0" w:lastRowFirstColumn="0" w:lastRowLastColumn="0"/>
            <w:tcW w:w="883" w:type="pct"/>
          </w:tcPr>
          <w:p w14:paraId="2A7AC4B4" w14:textId="5B62B60C" w:rsidR="00E259F4" w:rsidRPr="00F90CFE" w:rsidRDefault="00E259F4" w:rsidP="00BF676C">
            <w:pPr>
              <w:spacing w:before="60" w:after="60" w:line="252" w:lineRule="auto"/>
              <w:rPr>
                <w:rFonts w:asciiTheme="majorHAnsi" w:hAnsiTheme="majorHAnsi" w:cstheme="majorHAnsi"/>
                <w:szCs w:val="20"/>
                <w:lang w:val="en-AU"/>
              </w:rPr>
            </w:pPr>
            <w:r w:rsidRPr="00F90CFE">
              <w:rPr>
                <w:rFonts w:asciiTheme="majorHAnsi" w:hAnsiTheme="majorHAnsi" w:cstheme="majorHAnsi"/>
                <w:szCs w:val="20"/>
                <w:lang w:val="en-AU"/>
              </w:rPr>
              <w:t xml:space="preserve">Language </w:t>
            </w:r>
            <w:r w:rsidR="00CC5D2D" w:rsidRPr="00F90CFE">
              <w:rPr>
                <w:rFonts w:asciiTheme="majorHAnsi" w:hAnsiTheme="majorHAnsi" w:cstheme="majorHAnsi"/>
                <w:szCs w:val="20"/>
                <w:lang w:val="en-AU"/>
              </w:rPr>
              <w:br/>
            </w:r>
            <w:r w:rsidRPr="00F90CFE">
              <w:rPr>
                <w:rFonts w:asciiTheme="majorHAnsi" w:hAnsiTheme="majorHAnsi" w:cstheme="majorHAnsi"/>
                <w:szCs w:val="20"/>
                <w:lang w:val="en-AU"/>
              </w:rPr>
              <w:t>barrier</w:t>
            </w:r>
          </w:p>
        </w:tc>
        <w:tc>
          <w:tcPr>
            <w:tcW w:w="4117" w:type="pct"/>
          </w:tcPr>
          <w:p w14:paraId="42D8EB0F" w14:textId="5FE84D88" w:rsidR="00E259F4" w:rsidRPr="00F90CFE" w:rsidRDefault="00E259F4" w:rsidP="008A7220">
            <w:pPr>
              <w:spacing w:line="25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AU"/>
              </w:rPr>
            </w:pPr>
            <w:r w:rsidRPr="00F90CFE">
              <w:rPr>
                <w:rFonts w:asciiTheme="majorHAnsi" w:hAnsiTheme="majorHAnsi" w:cstheme="majorHAnsi"/>
                <w:lang w:val="en-AU"/>
              </w:rPr>
              <w:t>The data collection tools and interviews were designed to be conducted in English. There was thus a potential language barrier especially during interviews with the</w:t>
            </w:r>
            <w:r w:rsidR="00594409" w:rsidRPr="00F90CFE">
              <w:rPr>
                <w:rFonts w:asciiTheme="majorHAnsi" w:hAnsiTheme="majorHAnsi" w:cstheme="majorHAnsi"/>
                <w:lang w:val="en-AU"/>
              </w:rPr>
              <w:t xml:space="preserve"> </w:t>
            </w:r>
            <w:r w:rsidR="00594409" w:rsidRPr="00F90CFE">
              <w:rPr>
                <w:rFonts w:asciiTheme="majorHAnsi" w:hAnsiTheme="majorHAnsi" w:cstheme="majorHAnsi"/>
                <w:szCs w:val="20"/>
                <w:lang w:val="en-AU"/>
              </w:rPr>
              <w:t>partner organisations</w:t>
            </w:r>
            <w:r w:rsidR="00594409" w:rsidRPr="00F90CFE">
              <w:rPr>
                <w:rFonts w:asciiTheme="majorHAnsi" w:hAnsiTheme="majorHAnsi" w:cstheme="majorHAnsi"/>
                <w:lang w:val="en-AU"/>
              </w:rPr>
              <w:t xml:space="preserve"> </w:t>
            </w:r>
            <w:r w:rsidRPr="00F90CFE">
              <w:rPr>
                <w:rFonts w:asciiTheme="majorHAnsi" w:hAnsiTheme="majorHAnsi" w:cstheme="majorHAnsi"/>
                <w:lang w:val="en-AU"/>
              </w:rPr>
              <w:t xml:space="preserve">and other in-country stakeholders. </w:t>
            </w:r>
          </w:p>
          <w:p w14:paraId="16BE64BC" w14:textId="71962271" w:rsidR="00E259F4" w:rsidRPr="00F90CFE" w:rsidRDefault="00E259F4" w:rsidP="008A7220">
            <w:pPr>
              <w:spacing w:line="25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AU"/>
              </w:rPr>
            </w:pPr>
            <w:r w:rsidRPr="00F90CFE">
              <w:rPr>
                <w:rFonts w:asciiTheme="majorHAnsi" w:hAnsiTheme="majorHAnsi" w:cstheme="majorHAnsi"/>
                <w:lang w:val="en-AU"/>
              </w:rPr>
              <w:t xml:space="preserve">In-country Evaluators translated into their local language as necessary for </w:t>
            </w:r>
            <w:r w:rsidR="00594409" w:rsidRPr="00F90CFE">
              <w:rPr>
                <w:rFonts w:asciiTheme="majorHAnsi" w:hAnsiTheme="majorHAnsi" w:cstheme="majorHAnsi"/>
                <w:lang w:val="en-AU"/>
              </w:rPr>
              <w:t>interviews and</w:t>
            </w:r>
            <w:r w:rsidRPr="00F90CFE">
              <w:rPr>
                <w:rFonts w:asciiTheme="majorHAnsi" w:hAnsiTheme="majorHAnsi" w:cstheme="majorHAnsi"/>
                <w:lang w:val="en-AU"/>
              </w:rPr>
              <w:t xml:space="preserve"> provided interview notes in English so they could be reviewed by the </w:t>
            </w:r>
            <w:r w:rsidR="008D6026" w:rsidRPr="00F90CFE">
              <w:rPr>
                <w:rFonts w:asciiTheme="majorHAnsi" w:hAnsiTheme="majorHAnsi" w:cstheme="majorHAnsi"/>
                <w:lang w:val="en-AU"/>
              </w:rPr>
              <w:t xml:space="preserve">rest of the </w:t>
            </w:r>
            <w:r w:rsidRPr="00F90CFE">
              <w:rPr>
                <w:rFonts w:asciiTheme="majorHAnsi" w:hAnsiTheme="majorHAnsi" w:cstheme="majorHAnsi"/>
                <w:lang w:val="en-AU"/>
              </w:rPr>
              <w:t xml:space="preserve">evaluation team. </w:t>
            </w:r>
          </w:p>
        </w:tc>
      </w:tr>
      <w:tr w:rsidR="00E259F4" w:rsidRPr="00F90CFE" w14:paraId="081172EF" w14:textId="77777777" w:rsidTr="6E6BB222">
        <w:tc>
          <w:tcPr>
            <w:cnfStyle w:val="001000000000" w:firstRow="0" w:lastRow="0" w:firstColumn="1" w:lastColumn="0" w:oddVBand="0" w:evenVBand="0" w:oddHBand="0" w:evenHBand="0" w:firstRowFirstColumn="0" w:firstRowLastColumn="0" w:lastRowFirstColumn="0" w:lastRowLastColumn="0"/>
            <w:tcW w:w="883" w:type="pct"/>
          </w:tcPr>
          <w:p w14:paraId="139BAB84" w14:textId="73DDBDB8" w:rsidR="00E259F4" w:rsidRPr="00F90CFE" w:rsidRDefault="00E259F4" w:rsidP="00BF676C">
            <w:pPr>
              <w:spacing w:before="60" w:after="60" w:line="252" w:lineRule="auto"/>
              <w:rPr>
                <w:rFonts w:asciiTheme="majorHAnsi" w:hAnsiTheme="majorHAnsi" w:cstheme="majorHAnsi"/>
                <w:szCs w:val="20"/>
                <w:lang w:val="en-AU"/>
              </w:rPr>
            </w:pPr>
            <w:r w:rsidRPr="00F90CFE">
              <w:rPr>
                <w:rFonts w:asciiTheme="majorHAnsi" w:hAnsiTheme="majorHAnsi" w:cstheme="majorHAnsi"/>
                <w:szCs w:val="20"/>
                <w:lang w:val="en-AU"/>
              </w:rPr>
              <w:t>Sample</w:t>
            </w:r>
            <w:r w:rsidR="00CC5D2D" w:rsidRPr="00F90CFE">
              <w:rPr>
                <w:rFonts w:asciiTheme="majorHAnsi" w:hAnsiTheme="majorHAnsi" w:cstheme="majorHAnsi"/>
                <w:szCs w:val="20"/>
                <w:lang w:val="en-AU"/>
              </w:rPr>
              <w:br/>
            </w:r>
            <w:r w:rsidRPr="00F90CFE">
              <w:rPr>
                <w:rFonts w:asciiTheme="majorHAnsi" w:hAnsiTheme="majorHAnsi" w:cstheme="majorHAnsi"/>
                <w:szCs w:val="20"/>
                <w:lang w:val="en-AU"/>
              </w:rPr>
              <w:t>size</w:t>
            </w:r>
          </w:p>
        </w:tc>
        <w:tc>
          <w:tcPr>
            <w:tcW w:w="4117" w:type="pct"/>
          </w:tcPr>
          <w:p w14:paraId="560FA01F" w14:textId="2D695A40" w:rsidR="00E259F4" w:rsidRPr="00F90CFE" w:rsidRDefault="00E259F4" w:rsidP="008A7220">
            <w:pPr>
              <w:spacing w:line="25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AU"/>
              </w:rPr>
            </w:pPr>
            <w:r w:rsidRPr="00F90CFE">
              <w:rPr>
                <w:rFonts w:asciiTheme="majorHAnsi" w:hAnsiTheme="majorHAnsi" w:cstheme="majorHAnsi"/>
                <w:lang w:val="en-AU"/>
              </w:rPr>
              <w:t xml:space="preserve">The Terms of Reference, and resources available, placed a limit on the number of countries that could be looked at </w:t>
            </w:r>
            <w:r w:rsidR="008D6026" w:rsidRPr="00F90CFE">
              <w:rPr>
                <w:rFonts w:asciiTheme="majorHAnsi" w:hAnsiTheme="majorHAnsi" w:cstheme="majorHAnsi"/>
                <w:lang w:val="en-AU"/>
              </w:rPr>
              <w:t>in-depth</w:t>
            </w:r>
            <w:r w:rsidRPr="00F90CFE">
              <w:rPr>
                <w:rFonts w:asciiTheme="majorHAnsi" w:hAnsiTheme="majorHAnsi" w:cstheme="majorHAnsi"/>
                <w:lang w:val="en-AU"/>
              </w:rPr>
              <w:t xml:space="preserve"> through the case studies. Given the global scope of the program across 22 countries it would not be possible to cover all countries. The original intent was to sample </w:t>
            </w:r>
            <w:r w:rsidR="00724F8D" w:rsidRPr="00F90CFE">
              <w:rPr>
                <w:rFonts w:asciiTheme="majorHAnsi" w:hAnsiTheme="majorHAnsi" w:cstheme="majorHAnsi"/>
                <w:lang w:val="en-AU"/>
              </w:rPr>
              <w:t>six</w:t>
            </w:r>
            <w:r w:rsidRPr="00F90CFE">
              <w:rPr>
                <w:rFonts w:asciiTheme="majorHAnsi" w:hAnsiTheme="majorHAnsi" w:cstheme="majorHAnsi"/>
                <w:lang w:val="en-AU"/>
              </w:rPr>
              <w:t xml:space="preserve"> countries but to due evaluation team constraints this was reduced to </w:t>
            </w:r>
            <w:r w:rsidR="00724F8D" w:rsidRPr="00F90CFE">
              <w:rPr>
                <w:rFonts w:asciiTheme="majorHAnsi" w:hAnsiTheme="majorHAnsi" w:cstheme="majorHAnsi"/>
                <w:lang w:val="en-AU"/>
              </w:rPr>
              <w:t>five</w:t>
            </w:r>
            <w:r w:rsidRPr="00F90CFE">
              <w:rPr>
                <w:rFonts w:asciiTheme="majorHAnsi" w:hAnsiTheme="majorHAnsi" w:cstheme="majorHAnsi"/>
                <w:lang w:val="en-AU"/>
              </w:rPr>
              <w:t xml:space="preserve">. </w:t>
            </w:r>
          </w:p>
          <w:p w14:paraId="307EB5CE" w14:textId="254EE3FA" w:rsidR="00E259F4" w:rsidRPr="00F90CFE" w:rsidRDefault="00E259F4" w:rsidP="008A7220">
            <w:pPr>
              <w:spacing w:line="25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AU"/>
              </w:rPr>
            </w:pPr>
            <w:r w:rsidRPr="00F90CFE">
              <w:rPr>
                <w:rFonts w:asciiTheme="majorHAnsi" w:hAnsiTheme="majorHAnsi" w:cstheme="majorHAnsi"/>
                <w:lang w:val="en-AU"/>
              </w:rPr>
              <w:t xml:space="preserve">While the sample of countries was necessarily limited, the selected countries did offer variability in terms of geographic spread and cultural and policy context. Country case studies were supplemented by data collection at the global level, including from the program’s </w:t>
            </w:r>
            <w:r w:rsidR="00724F8D" w:rsidRPr="00F90CFE">
              <w:rPr>
                <w:rFonts w:asciiTheme="majorHAnsi" w:hAnsiTheme="majorHAnsi" w:cstheme="majorHAnsi"/>
                <w:lang w:val="en-AU"/>
              </w:rPr>
              <w:t>management information system (</w:t>
            </w:r>
            <w:r w:rsidRPr="00F90CFE">
              <w:rPr>
                <w:rFonts w:asciiTheme="majorHAnsi" w:hAnsiTheme="majorHAnsi" w:cstheme="majorHAnsi"/>
                <w:lang w:val="en-AU"/>
              </w:rPr>
              <w:t>MIS</w:t>
            </w:r>
            <w:r w:rsidR="00724F8D" w:rsidRPr="00F90CFE">
              <w:rPr>
                <w:rFonts w:asciiTheme="majorHAnsi" w:hAnsiTheme="majorHAnsi" w:cstheme="majorHAnsi"/>
                <w:lang w:val="en-AU"/>
              </w:rPr>
              <w:t>)</w:t>
            </w:r>
            <w:r w:rsidRPr="00F90CFE">
              <w:rPr>
                <w:rFonts w:asciiTheme="majorHAnsi" w:hAnsiTheme="majorHAnsi" w:cstheme="majorHAnsi"/>
                <w:lang w:val="en-AU"/>
              </w:rPr>
              <w:t xml:space="preserve"> which provided data from a </w:t>
            </w:r>
            <w:r w:rsidR="00875D0A" w:rsidRPr="00F90CFE">
              <w:rPr>
                <w:rFonts w:asciiTheme="majorHAnsi" w:hAnsiTheme="majorHAnsi" w:cstheme="majorHAnsi"/>
                <w:lang w:val="en-AU"/>
              </w:rPr>
              <w:t xml:space="preserve">much </w:t>
            </w:r>
            <w:r w:rsidRPr="00F90CFE">
              <w:rPr>
                <w:rFonts w:asciiTheme="majorHAnsi" w:hAnsiTheme="majorHAnsi" w:cstheme="majorHAnsi"/>
                <w:lang w:val="en-AU"/>
              </w:rPr>
              <w:t xml:space="preserve">larger, global sample. </w:t>
            </w:r>
          </w:p>
        </w:tc>
      </w:tr>
      <w:tr w:rsidR="00E259F4" w:rsidRPr="00F90CFE" w14:paraId="2E2188E1" w14:textId="77777777" w:rsidTr="6E6BB222">
        <w:tc>
          <w:tcPr>
            <w:cnfStyle w:val="001000000000" w:firstRow="0" w:lastRow="0" w:firstColumn="1" w:lastColumn="0" w:oddVBand="0" w:evenVBand="0" w:oddHBand="0" w:evenHBand="0" w:firstRowFirstColumn="0" w:firstRowLastColumn="0" w:lastRowFirstColumn="0" w:lastRowLastColumn="0"/>
            <w:tcW w:w="883" w:type="pct"/>
          </w:tcPr>
          <w:p w14:paraId="2072FF29" w14:textId="08201C3C" w:rsidR="00E259F4" w:rsidRPr="00F90CFE" w:rsidRDefault="00E259F4" w:rsidP="00BF676C">
            <w:pPr>
              <w:spacing w:before="60" w:after="60" w:line="252" w:lineRule="auto"/>
              <w:rPr>
                <w:rFonts w:asciiTheme="majorHAnsi" w:hAnsiTheme="majorHAnsi" w:cstheme="majorHAnsi"/>
                <w:szCs w:val="20"/>
                <w:lang w:val="en-AU"/>
              </w:rPr>
            </w:pPr>
            <w:r w:rsidRPr="00F90CFE">
              <w:rPr>
                <w:rFonts w:asciiTheme="majorHAnsi" w:hAnsiTheme="majorHAnsi" w:cstheme="majorHAnsi"/>
                <w:szCs w:val="20"/>
                <w:lang w:val="en-AU"/>
              </w:rPr>
              <w:t>Time</w:t>
            </w:r>
            <w:r w:rsidR="00CC5D2D" w:rsidRPr="00F90CFE">
              <w:rPr>
                <w:rFonts w:asciiTheme="majorHAnsi" w:hAnsiTheme="majorHAnsi" w:cstheme="majorHAnsi"/>
                <w:szCs w:val="20"/>
                <w:lang w:val="en-AU"/>
              </w:rPr>
              <w:br/>
            </w:r>
            <w:r w:rsidRPr="00F90CFE">
              <w:rPr>
                <w:rFonts w:asciiTheme="majorHAnsi" w:hAnsiTheme="majorHAnsi" w:cstheme="majorHAnsi"/>
                <w:szCs w:val="20"/>
                <w:lang w:val="en-AU"/>
              </w:rPr>
              <w:t>constraints</w:t>
            </w:r>
          </w:p>
        </w:tc>
        <w:tc>
          <w:tcPr>
            <w:tcW w:w="4117" w:type="pct"/>
          </w:tcPr>
          <w:p w14:paraId="76B3948B" w14:textId="136D33D6" w:rsidR="00E259F4" w:rsidRPr="00F90CFE" w:rsidRDefault="00E259F4" w:rsidP="6E6BB222">
            <w:pPr>
              <w:spacing w:line="25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AU"/>
              </w:rPr>
            </w:pPr>
            <w:r w:rsidRPr="00F90CFE">
              <w:rPr>
                <w:rFonts w:asciiTheme="majorHAnsi" w:hAnsiTheme="majorHAnsi" w:cstheme="majorBidi"/>
                <w:lang w:val="en-AU"/>
              </w:rPr>
              <w:t xml:space="preserve">The evaluation was pressured for time, with a very large amount of data to collect, code and analyse. A slight delay in finalising the inception report, Christmas holidays in some countries impacting stakeholder availability, a slowed ability to organise some meetings and interviews due to </w:t>
            </w:r>
            <w:r w:rsidR="00594409" w:rsidRPr="00F90CFE">
              <w:rPr>
                <w:rFonts w:asciiTheme="majorHAnsi" w:hAnsiTheme="majorHAnsi" w:cstheme="majorBidi"/>
                <w:lang w:val="en-AU"/>
              </w:rPr>
              <w:t>COVID</w:t>
            </w:r>
            <w:r w:rsidRPr="00F90CFE">
              <w:rPr>
                <w:rFonts w:asciiTheme="majorHAnsi" w:hAnsiTheme="majorHAnsi" w:cstheme="majorBidi"/>
                <w:lang w:val="en-AU"/>
              </w:rPr>
              <w:t>-19 restrictions and remote working requirements, and a requirement to present findings at an early stage all reduced the time for in-depth analysis of the data collected.</w:t>
            </w:r>
          </w:p>
          <w:p w14:paraId="625691BA" w14:textId="35370144" w:rsidR="00E259F4" w:rsidRPr="00F90CFE" w:rsidRDefault="00E259F4" w:rsidP="008A7220">
            <w:pPr>
              <w:spacing w:line="25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AU"/>
              </w:rPr>
            </w:pPr>
            <w:r w:rsidRPr="00F90CFE">
              <w:rPr>
                <w:rFonts w:asciiTheme="majorHAnsi" w:hAnsiTheme="majorHAnsi" w:cstheme="majorHAnsi"/>
                <w:lang w:val="en-AU"/>
              </w:rPr>
              <w:t xml:space="preserve">Despite these constraints, the evaluation team </w:t>
            </w:r>
            <w:r w:rsidR="00A32C16" w:rsidRPr="00F90CFE">
              <w:rPr>
                <w:rFonts w:asciiTheme="majorHAnsi" w:hAnsiTheme="majorHAnsi" w:cstheme="majorHAnsi"/>
                <w:lang w:val="en-AU"/>
              </w:rPr>
              <w:t>conducted</w:t>
            </w:r>
            <w:r w:rsidRPr="00F90CFE">
              <w:rPr>
                <w:rFonts w:asciiTheme="majorHAnsi" w:hAnsiTheme="majorHAnsi" w:cstheme="majorHAnsi"/>
                <w:lang w:val="en-AU"/>
              </w:rPr>
              <w:t xml:space="preserve"> the evaluation as per the Evaluation Plan and deliver the final report to DFAT on time. </w:t>
            </w:r>
          </w:p>
        </w:tc>
      </w:tr>
    </w:tbl>
    <w:p w14:paraId="1EB647ED" w14:textId="77777777" w:rsidR="00AB01D7" w:rsidRDefault="00AB01D7" w:rsidP="00E5639D">
      <w:pPr>
        <w:pStyle w:val="Heading1"/>
        <w:spacing w:before="120"/>
        <w:ind w:left="0" w:hanging="431"/>
        <w:rPr>
          <w:sz w:val="28"/>
          <w:szCs w:val="28"/>
          <w:lang w:val="en-AU"/>
        </w:rPr>
      </w:pPr>
      <w:bookmarkStart w:id="26" w:name="_Toc54132883"/>
      <w:bookmarkStart w:id="27" w:name="_Toc54133690"/>
      <w:bookmarkStart w:id="28" w:name="_Toc54133952"/>
      <w:bookmarkStart w:id="29" w:name="_Toc54132884"/>
      <w:bookmarkStart w:id="30" w:name="_Toc54133691"/>
      <w:bookmarkStart w:id="31" w:name="_Toc54133953"/>
      <w:bookmarkStart w:id="32" w:name="_Toc54132885"/>
      <w:bookmarkStart w:id="33" w:name="_Toc54133692"/>
      <w:bookmarkStart w:id="34" w:name="_Toc54133954"/>
      <w:bookmarkStart w:id="35" w:name="_Toc58334868"/>
      <w:bookmarkEnd w:id="26"/>
      <w:bookmarkEnd w:id="27"/>
      <w:bookmarkEnd w:id="28"/>
      <w:bookmarkEnd w:id="29"/>
      <w:bookmarkEnd w:id="30"/>
      <w:bookmarkEnd w:id="31"/>
      <w:bookmarkEnd w:id="32"/>
      <w:bookmarkEnd w:id="33"/>
      <w:bookmarkEnd w:id="34"/>
    </w:p>
    <w:p w14:paraId="5286C005" w14:textId="7D50C584" w:rsidR="00E259F4" w:rsidRPr="00F90CFE" w:rsidRDefault="00E259F4" w:rsidP="00E5639D">
      <w:pPr>
        <w:pStyle w:val="Heading1"/>
        <w:spacing w:before="120"/>
        <w:ind w:left="0" w:hanging="431"/>
        <w:rPr>
          <w:sz w:val="28"/>
          <w:szCs w:val="28"/>
          <w:lang w:val="en-AU"/>
        </w:rPr>
      </w:pPr>
      <w:r w:rsidRPr="00F90CFE">
        <w:rPr>
          <w:sz w:val="28"/>
          <w:szCs w:val="28"/>
          <w:lang w:val="en-AU"/>
        </w:rPr>
        <w:lastRenderedPageBreak/>
        <w:t>Safety and ethical practice</w:t>
      </w:r>
      <w:bookmarkEnd w:id="35"/>
      <w:r w:rsidRPr="00F90CFE">
        <w:rPr>
          <w:sz w:val="28"/>
          <w:szCs w:val="28"/>
          <w:lang w:val="en-AU"/>
        </w:rPr>
        <w:t xml:space="preserve"> </w:t>
      </w:r>
    </w:p>
    <w:p w14:paraId="168160ED" w14:textId="3E0295E5" w:rsidR="00E259F4" w:rsidRPr="00F90CFE" w:rsidRDefault="00E25678" w:rsidP="008A7220">
      <w:pPr>
        <w:pStyle w:val="BodyText"/>
        <w:spacing w:before="100" w:after="100"/>
        <w:rPr>
          <w:rFonts w:asciiTheme="majorHAnsi" w:hAnsiTheme="majorHAnsi" w:cstheme="majorHAnsi"/>
          <w:noProof w:val="0"/>
        </w:rPr>
      </w:pPr>
      <w:r w:rsidRPr="00F90CFE">
        <w:rPr>
          <w:rFonts w:asciiTheme="majorHAnsi" w:hAnsiTheme="majorHAnsi" w:cstheme="majorHAnsi"/>
          <w:noProof w:val="0"/>
        </w:rPr>
        <w:t>A</w:t>
      </w:r>
      <w:r w:rsidR="00E259F4" w:rsidRPr="00F90CFE">
        <w:rPr>
          <w:rFonts w:asciiTheme="majorHAnsi" w:hAnsiTheme="majorHAnsi" w:cstheme="majorHAnsi"/>
          <w:noProof w:val="0"/>
        </w:rPr>
        <w:t xml:space="preserve"> Safety Plan </w:t>
      </w:r>
      <w:r w:rsidRPr="00F90CFE">
        <w:rPr>
          <w:rFonts w:asciiTheme="majorHAnsi" w:hAnsiTheme="majorHAnsi" w:cstheme="majorHAnsi"/>
          <w:noProof w:val="0"/>
        </w:rPr>
        <w:t xml:space="preserve">guided the evaluation </w:t>
      </w:r>
      <w:r w:rsidR="00E259F4" w:rsidRPr="00F90CFE">
        <w:rPr>
          <w:rFonts w:asciiTheme="majorHAnsi" w:hAnsiTheme="majorHAnsi" w:cstheme="majorHAnsi"/>
          <w:noProof w:val="0"/>
        </w:rPr>
        <w:t xml:space="preserve">(See Evaluation Plan, Annex C) to ensure the safety of the evaluation team </w:t>
      </w:r>
      <w:r w:rsidR="00330076" w:rsidRPr="00F90CFE">
        <w:rPr>
          <w:rFonts w:asciiTheme="majorHAnsi" w:hAnsiTheme="majorHAnsi" w:cstheme="majorHAnsi"/>
          <w:noProof w:val="0"/>
        </w:rPr>
        <w:t>and</w:t>
      </w:r>
      <w:r w:rsidR="00E259F4" w:rsidRPr="00F90CFE">
        <w:rPr>
          <w:rFonts w:asciiTheme="majorHAnsi" w:hAnsiTheme="majorHAnsi" w:cstheme="majorHAnsi"/>
          <w:noProof w:val="0"/>
        </w:rPr>
        <w:t xml:space="preserve"> meet the safety standards of DFAT </w:t>
      </w:r>
      <w:r w:rsidR="004A6B21" w:rsidRPr="00F90CFE">
        <w:rPr>
          <w:rFonts w:asciiTheme="majorHAnsi" w:hAnsiTheme="majorHAnsi" w:cstheme="majorHAnsi"/>
          <w:noProof w:val="0"/>
        </w:rPr>
        <w:t>and</w:t>
      </w:r>
      <w:r w:rsidR="00E259F4" w:rsidRPr="00F90CFE">
        <w:rPr>
          <w:rFonts w:asciiTheme="majorHAnsi" w:hAnsiTheme="majorHAnsi" w:cstheme="majorHAnsi"/>
          <w:noProof w:val="0"/>
        </w:rPr>
        <w:t xml:space="preserve"> </w:t>
      </w:r>
      <w:r w:rsidR="00875D0A" w:rsidRPr="00F90CFE">
        <w:rPr>
          <w:rFonts w:asciiTheme="majorHAnsi" w:hAnsiTheme="majorHAnsi" w:cstheme="majorHAnsi"/>
          <w:noProof w:val="0"/>
        </w:rPr>
        <w:t>Tetra Tech</w:t>
      </w:r>
      <w:r w:rsidR="00E259F4" w:rsidRPr="00F90CFE">
        <w:rPr>
          <w:rFonts w:asciiTheme="majorHAnsi" w:hAnsiTheme="majorHAnsi" w:cstheme="majorHAnsi"/>
          <w:noProof w:val="0"/>
        </w:rPr>
        <w:t>.</w:t>
      </w:r>
    </w:p>
    <w:p w14:paraId="7C702728" w14:textId="2B64A32C" w:rsidR="00E259F4" w:rsidRPr="00F90CFE" w:rsidRDefault="00E259F4" w:rsidP="008A7220">
      <w:pPr>
        <w:pStyle w:val="BodyText"/>
        <w:spacing w:before="100" w:after="100"/>
        <w:rPr>
          <w:rFonts w:asciiTheme="majorHAnsi" w:hAnsiTheme="majorHAnsi" w:cstheme="majorHAnsi"/>
          <w:noProof w:val="0"/>
        </w:rPr>
      </w:pPr>
      <w:r w:rsidRPr="00F90CFE">
        <w:rPr>
          <w:rFonts w:asciiTheme="majorHAnsi" w:hAnsiTheme="majorHAnsi" w:cstheme="majorHAnsi"/>
          <w:noProof w:val="0"/>
        </w:rPr>
        <w:t>In keeping with confidentiality and privacy requirements, the Team Leader was responsible for ensuring that data collection and analysis approaches protect participants’ privacy by establishing and following credible</w:t>
      </w:r>
      <w:r w:rsidR="000B1891" w:rsidRPr="00F90CFE">
        <w:rPr>
          <w:rFonts w:asciiTheme="majorHAnsi" w:hAnsiTheme="majorHAnsi" w:cstheme="majorHAnsi"/>
          <w:noProof w:val="0"/>
        </w:rPr>
        <w:t>,</w:t>
      </w:r>
      <w:r w:rsidRPr="00F90CFE">
        <w:rPr>
          <w:rFonts w:asciiTheme="majorHAnsi" w:hAnsiTheme="majorHAnsi" w:cstheme="majorHAnsi"/>
          <w:noProof w:val="0"/>
        </w:rPr>
        <w:t xml:space="preserve"> ethical evaluation principles. Ethical principles covered the following:</w:t>
      </w:r>
    </w:p>
    <w:p w14:paraId="24D10C80" w14:textId="77777777" w:rsidR="00AD5B3F" w:rsidRPr="00F90CFE" w:rsidRDefault="00E259F4" w:rsidP="00FA12E5">
      <w:pPr>
        <w:pStyle w:val="ListBullet"/>
        <w:spacing w:before="40" w:after="40"/>
        <w:contextualSpacing w:val="0"/>
        <w:rPr>
          <w:noProof w:val="0"/>
          <w:lang w:val="en-AU"/>
        </w:rPr>
      </w:pPr>
      <w:r w:rsidRPr="00F90CFE">
        <w:rPr>
          <w:noProof w:val="0"/>
          <w:lang w:val="en-AU"/>
        </w:rPr>
        <w:t>All participation in interviews will be voluntary, will not create harm to participants during or after the data gathering, and their anonymity and confidentiality will be protected</w:t>
      </w:r>
    </w:p>
    <w:p w14:paraId="3840ECC8" w14:textId="66C6B784" w:rsidR="00AD5B3F" w:rsidRPr="00F90CFE" w:rsidRDefault="00E259F4" w:rsidP="00FA12E5">
      <w:pPr>
        <w:pStyle w:val="ListBullet"/>
        <w:spacing w:before="40" w:after="40"/>
        <w:contextualSpacing w:val="0"/>
        <w:rPr>
          <w:noProof w:val="0"/>
          <w:lang w:val="en-AU"/>
        </w:rPr>
      </w:pPr>
      <w:r w:rsidRPr="00F90CFE">
        <w:rPr>
          <w:noProof w:val="0"/>
          <w:lang w:val="en-AU"/>
        </w:rPr>
        <w:t>Voluntary involvement will be assured by a verbal explanation of the evaluation being conducted and seeking the</w:t>
      </w:r>
      <w:r w:rsidR="009509D9" w:rsidRPr="00F90CFE">
        <w:rPr>
          <w:noProof w:val="0"/>
          <w:lang w:val="en-AU"/>
        </w:rPr>
        <w:t xml:space="preserve"> </w:t>
      </w:r>
      <w:r w:rsidR="001E7B61" w:rsidRPr="00F90CFE">
        <w:rPr>
          <w:noProof w:val="0"/>
          <w:lang w:val="en-AU"/>
        </w:rPr>
        <w:t>respondent’s</w:t>
      </w:r>
      <w:r w:rsidRPr="00F90CFE">
        <w:rPr>
          <w:noProof w:val="0"/>
          <w:lang w:val="en-AU"/>
        </w:rPr>
        <w:t xml:space="preserve"> written consent to take part in the interview</w:t>
      </w:r>
    </w:p>
    <w:p w14:paraId="15BA9870" w14:textId="77777777" w:rsidR="00AD5B3F" w:rsidRPr="00F90CFE" w:rsidRDefault="00E259F4" w:rsidP="00FA12E5">
      <w:pPr>
        <w:pStyle w:val="ListBullet"/>
        <w:spacing w:before="40" w:after="40"/>
        <w:contextualSpacing w:val="0"/>
        <w:rPr>
          <w:noProof w:val="0"/>
          <w:lang w:val="en-AU"/>
        </w:rPr>
      </w:pPr>
      <w:r w:rsidRPr="00F90CFE">
        <w:rPr>
          <w:noProof w:val="0"/>
          <w:lang w:val="en-AU"/>
        </w:rPr>
        <w:t>The interviewer will inform respondents that they may choose to not respond to certain questions and may end the interview at any time</w:t>
      </w:r>
      <w:bookmarkStart w:id="36" w:name="_Toc38292042"/>
    </w:p>
    <w:p w14:paraId="43471475" w14:textId="77777777" w:rsidR="00AD5B3F" w:rsidRPr="00F90CFE" w:rsidRDefault="00E259F4" w:rsidP="00FA12E5">
      <w:pPr>
        <w:pStyle w:val="ListBullet"/>
        <w:spacing w:before="40" w:after="40"/>
        <w:contextualSpacing w:val="0"/>
        <w:rPr>
          <w:noProof w:val="0"/>
          <w:lang w:val="en-AU"/>
        </w:rPr>
      </w:pPr>
      <w:r w:rsidRPr="00F90CFE">
        <w:rPr>
          <w:noProof w:val="0"/>
          <w:lang w:val="en-AU"/>
        </w:rPr>
        <w:t>We will de-identify data relating to specific individuals</w:t>
      </w:r>
    </w:p>
    <w:p w14:paraId="24F56098" w14:textId="77777777" w:rsidR="00AD5B3F" w:rsidRPr="00F90CFE" w:rsidRDefault="00E259F4" w:rsidP="00FA12E5">
      <w:pPr>
        <w:pStyle w:val="ListBullet"/>
        <w:spacing w:before="40" w:after="40"/>
        <w:contextualSpacing w:val="0"/>
        <w:rPr>
          <w:noProof w:val="0"/>
          <w:lang w:val="en-AU"/>
        </w:rPr>
      </w:pPr>
      <w:r w:rsidRPr="00F90CFE">
        <w:rPr>
          <w:noProof w:val="0"/>
          <w:lang w:val="en-AU"/>
        </w:rPr>
        <w:t>Individual evaluation participant data will be stored securely and presented in a de-identified manner in all external materials</w:t>
      </w:r>
    </w:p>
    <w:p w14:paraId="13F28AA1" w14:textId="77777777" w:rsidR="00AD5B3F" w:rsidRPr="00F90CFE" w:rsidRDefault="00E259F4" w:rsidP="00FA12E5">
      <w:pPr>
        <w:pStyle w:val="ListBullet"/>
        <w:spacing w:before="40" w:after="40"/>
        <w:contextualSpacing w:val="0"/>
        <w:rPr>
          <w:noProof w:val="0"/>
          <w:lang w:val="en-AU"/>
        </w:rPr>
      </w:pPr>
      <w:r w:rsidRPr="00F90CFE">
        <w:rPr>
          <w:noProof w:val="0"/>
          <w:lang w:val="en-AU"/>
        </w:rPr>
        <w:t>Individuals will only be identified in reporting if this is desirable for conveying important findings, and if informed consent is given by the person prior to the written material being circulated</w:t>
      </w:r>
    </w:p>
    <w:p w14:paraId="116C1718" w14:textId="7ABEA851" w:rsidR="00AD5B3F" w:rsidRPr="00F90CFE" w:rsidRDefault="00E259F4" w:rsidP="00FA12E5">
      <w:pPr>
        <w:pStyle w:val="ListBullet"/>
        <w:spacing w:before="40" w:after="40"/>
        <w:contextualSpacing w:val="0"/>
        <w:rPr>
          <w:noProof w:val="0"/>
          <w:lang w:val="en-AU"/>
        </w:rPr>
      </w:pPr>
      <w:r w:rsidRPr="00F90CFE">
        <w:rPr>
          <w:noProof w:val="0"/>
          <w:lang w:val="en-AU"/>
        </w:rPr>
        <w:t>Interviews and focus groups may be recorded subject to the agreement of participants. This will assist in accurately capturing responses and nuances in perspectives</w:t>
      </w:r>
    </w:p>
    <w:p w14:paraId="759B192C" w14:textId="1E969202" w:rsidR="00E259F4" w:rsidRPr="00F90CFE" w:rsidRDefault="00E259F4" w:rsidP="00FA12E5">
      <w:pPr>
        <w:pStyle w:val="ListBullet"/>
        <w:spacing w:before="40" w:after="40"/>
        <w:contextualSpacing w:val="0"/>
        <w:rPr>
          <w:noProof w:val="0"/>
          <w:lang w:val="en-AU"/>
        </w:rPr>
      </w:pPr>
      <w:r w:rsidRPr="00F90CFE">
        <w:rPr>
          <w:noProof w:val="0"/>
          <w:lang w:val="en-AU"/>
        </w:rPr>
        <w:t xml:space="preserve">Recordings will be used only for this purpose and destroyed immediately after interviews and focus groups have been written up. </w:t>
      </w:r>
    </w:p>
    <w:bookmarkEnd w:id="36"/>
    <w:p w14:paraId="56F87376" w14:textId="5A1D2596" w:rsidR="00E259F4" w:rsidRPr="00F90CFE" w:rsidRDefault="00E259F4" w:rsidP="008A7220">
      <w:pPr>
        <w:pStyle w:val="BodyText"/>
        <w:spacing w:before="100" w:after="100"/>
        <w:rPr>
          <w:rFonts w:asciiTheme="majorHAnsi" w:hAnsiTheme="majorHAnsi" w:cstheme="majorHAnsi"/>
          <w:noProof w:val="0"/>
        </w:rPr>
      </w:pPr>
      <w:r w:rsidRPr="00F90CFE">
        <w:rPr>
          <w:rFonts w:asciiTheme="majorHAnsi" w:hAnsiTheme="majorHAnsi" w:cstheme="majorHAnsi"/>
          <w:noProof w:val="0"/>
        </w:rPr>
        <w:t xml:space="preserve">The evaluation team conducting interviews summarised the interview discussion points to the respondents and sought their agreement that it was a true reflection of their feedback and reflections. </w:t>
      </w:r>
    </w:p>
    <w:p w14:paraId="1472631E" w14:textId="77777777" w:rsidR="00E259F4" w:rsidRPr="00F90CFE" w:rsidRDefault="00E259F4" w:rsidP="00CF609D">
      <w:pPr>
        <w:pStyle w:val="Heading1"/>
        <w:numPr>
          <w:ilvl w:val="0"/>
          <w:numId w:val="14"/>
        </w:numPr>
        <w:spacing w:before="120"/>
        <w:ind w:left="0"/>
        <w:rPr>
          <w:sz w:val="28"/>
          <w:szCs w:val="28"/>
          <w:lang w:val="en-AU"/>
        </w:rPr>
      </w:pPr>
      <w:bookmarkStart w:id="37" w:name="_Toc54132887"/>
      <w:bookmarkStart w:id="38" w:name="_Toc54133694"/>
      <w:bookmarkStart w:id="39" w:name="_Toc54133956"/>
      <w:bookmarkStart w:id="40" w:name="_Toc58334869"/>
      <w:bookmarkEnd w:id="37"/>
      <w:bookmarkEnd w:id="38"/>
      <w:bookmarkEnd w:id="39"/>
      <w:r w:rsidRPr="00F90CFE">
        <w:rPr>
          <w:sz w:val="28"/>
          <w:szCs w:val="28"/>
          <w:lang w:val="en-AU"/>
        </w:rPr>
        <w:t>Approach</w:t>
      </w:r>
      <w:bookmarkEnd w:id="40"/>
      <w:r w:rsidRPr="00F90CFE">
        <w:rPr>
          <w:sz w:val="28"/>
          <w:szCs w:val="28"/>
          <w:lang w:val="en-AU"/>
        </w:rPr>
        <w:t xml:space="preserve"> </w:t>
      </w:r>
    </w:p>
    <w:p w14:paraId="035122EF" w14:textId="5D2A17A1" w:rsidR="00E259F4" w:rsidRPr="00F90CFE" w:rsidRDefault="00E259F4" w:rsidP="008A7220">
      <w:pPr>
        <w:pStyle w:val="BodyText"/>
        <w:spacing w:before="100" w:after="100"/>
        <w:rPr>
          <w:rFonts w:asciiTheme="majorHAnsi" w:hAnsiTheme="majorHAnsi" w:cstheme="majorHAnsi"/>
          <w:noProof w:val="0"/>
        </w:rPr>
      </w:pPr>
      <w:r w:rsidRPr="00F90CFE">
        <w:rPr>
          <w:rFonts w:asciiTheme="majorHAnsi" w:hAnsiTheme="majorHAnsi" w:cstheme="majorHAnsi"/>
          <w:noProof w:val="0"/>
        </w:rPr>
        <w:t xml:space="preserve">This section describes how information was collected and analysed to answer the evaluation questions. It covers the methodological approach underpinning the evaluation, identifies the main types of data and their sources, presents a summary of the analytical framework used to develop findings, and describes how </w:t>
      </w:r>
      <w:r w:rsidR="00AD0458" w:rsidRPr="00F90CFE">
        <w:rPr>
          <w:rFonts w:asciiTheme="majorHAnsi" w:hAnsiTheme="majorHAnsi" w:cstheme="majorHAnsi"/>
          <w:noProof w:val="0"/>
        </w:rPr>
        <w:t xml:space="preserve">the </w:t>
      </w:r>
      <w:r w:rsidRPr="00F90CFE">
        <w:rPr>
          <w:rFonts w:asciiTheme="majorHAnsi" w:hAnsiTheme="majorHAnsi" w:cstheme="majorHAnsi"/>
          <w:noProof w:val="0"/>
        </w:rPr>
        <w:t xml:space="preserve">analysis was done. </w:t>
      </w:r>
    </w:p>
    <w:p w14:paraId="5AB5E4AB" w14:textId="77777777" w:rsidR="00E259F4" w:rsidRPr="00F90CFE" w:rsidRDefault="00E259F4" w:rsidP="005F376A">
      <w:pPr>
        <w:pStyle w:val="Heading2"/>
        <w:rPr>
          <w:sz w:val="22"/>
          <w:szCs w:val="22"/>
        </w:rPr>
      </w:pPr>
      <w:bookmarkStart w:id="41" w:name="_Toc58334870"/>
      <w:r w:rsidRPr="00F90CFE">
        <w:rPr>
          <w:sz w:val="22"/>
          <w:szCs w:val="22"/>
        </w:rPr>
        <w:t>Methodological approach</w:t>
      </w:r>
      <w:bookmarkEnd w:id="41"/>
      <w:r w:rsidRPr="00F90CFE">
        <w:rPr>
          <w:sz w:val="22"/>
          <w:szCs w:val="22"/>
        </w:rPr>
        <w:t xml:space="preserve"> </w:t>
      </w:r>
    </w:p>
    <w:p w14:paraId="0F1256A8" w14:textId="77777777" w:rsidR="00E259F4" w:rsidRPr="00F90CFE" w:rsidRDefault="00E259F4" w:rsidP="00CC5D2D">
      <w:pPr>
        <w:pStyle w:val="BodyText"/>
        <w:spacing w:before="100" w:after="60" w:line="257" w:lineRule="auto"/>
        <w:rPr>
          <w:rFonts w:asciiTheme="majorHAnsi" w:hAnsiTheme="majorHAnsi" w:cstheme="majorHAnsi"/>
          <w:noProof w:val="0"/>
        </w:rPr>
      </w:pPr>
      <w:r w:rsidRPr="00F90CFE">
        <w:rPr>
          <w:rFonts w:asciiTheme="majorHAnsi" w:hAnsiTheme="majorHAnsi" w:cstheme="majorHAnsi"/>
          <w:noProof w:val="0"/>
        </w:rPr>
        <w:t>As set out in detail in the Evaluation Plan, the evaluation aimed to:</w:t>
      </w:r>
    </w:p>
    <w:p w14:paraId="4D93300A" w14:textId="7E8E1E2F" w:rsidR="00E259F4" w:rsidRPr="00F90CFE" w:rsidRDefault="00E259F4" w:rsidP="00AD0458">
      <w:pPr>
        <w:pStyle w:val="ListBullet"/>
        <w:spacing w:beforeLines="40" w:before="96" w:after="40" w:line="259" w:lineRule="auto"/>
        <w:contextualSpacing w:val="0"/>
        <w:rPr>
          <w:noProof w:val="0"/>
          <w:lang w:val="en-AU"/>
        </w:rPr>
      </w:pPr>
      <w:r w:rsidRPr="00F90CFE">
        <w:rPr>
          <w:noProof w:val="0"/>
          <w:lang w:val="en-AU"/>
        </w:rPr>
        <w:t xml:space="preserve">Adopt a </w:t>
      </w:r>
      <w:r w:rsidRPr="00F90CFE">
        <w:rPr>
          <w:b/>
          <w:bCs/>
          <w:noProof w:val="0"/>
          <w:lang w:val="en-AU"/>
        </w:rPr>
        <w:t>mixed-methods approach</w:t>
      </w:r>
      <w:r w:rsidRPr="00F90CFE">
        <w:rPr>
          <w:noProof w:val="0"/>
          <w:lang w:val="en-AU"/>
        </w:rPr>
        <w:t xml:space="preserve"> combining different forms of data collection in a phased approach. The evaluation collected both </w:t>
      </w:r>
      <w:r w:rsidRPr="00F90CFE">
        <w:rPr>
          <w:b/>
          <w:bCs/>
          <w:noProof w:val="0"/>
          <w:lang w:val="en-AU"/>
        </w:rPr>
        <w:t>qualitative and quantitative data</w:t>
      </w:r>
      <w:r w:rsidRPr="00F90CFE">
        <w:rPr>
          <w:noProof w:val="0"/>
          <w:lang w:val="en-AU"/>
        </w:rPr>
        <w:t xml:space="preserve"> and integrated them into analysis and synthesis. Examples include participation rates and outputs (quantitative), interviews, focus groups and case studies (qualitative). This gives a more comprehensive picture and enables us to triangulate findings and provide robust evidence on the </w:t>
      </w:r>
      <w:r w:rsidRPr="00F90CFE">
        <w:rPr>
          <w:rFonts w:eastAsia="Times New Roman"/>
          <w:noProof w:val="0"/>
          <w:lang w:val="en-AU"/>
        </w:rPr>
        <w:t xml:space="preserve">outcomes achieved by </w:t>
      </w:r>
      <w:r w:rsidR="00875D0A" w:rsidRPr="00F90CFE">
        <w:rPr>
          <w:rFonts w:eastAsia="Times New Roman"/>
          <w:noProof w:val="0"/>
          <w:lang w:val="en-AU"/>
        </w:rPr>
        <w:t>the program</w:t>
      </w:r>
      <w:r w:rsidRPr="00F90CFE">
        <w:rPr>
          <w:noProof w:val="0"/>
          <w:lang w:val="en-AU"/>
        </w:rPr>
        <w:t>.</w:t>
      </w:r>
    </w:p>
    <w:p w14:paraId="22A6D4A3" w14:textId="457E929B" w:rsidR="00E259F4" w:rsidRPr="00F90CFE" w:rsidRDefault="00594409" w:rsidP="00AD0458">
      <w:pPr>
        <w:pStyle w:val="ListBullet"/>
        <w:spacing w:beforeLines="40" w:before="96" w:after="40" w:line="259" w:lineRule="auto"/>
        <w:contextualSpacing w:val="0"/>
        <w:rPr>
          <w:noProof w:val="0"/>
          <w:lang w:val="en-AU"/>
        </w:rPr>
      </w:pPr>
      <w:r w:rsidRPr="00F90CFE">
        <w:rPr>
          <w:noProof w:val="0"/>
          <w:lang w:val="en-AU"/>
        </w:rPr>
        <w:t>To</w:t>
      </w:r>
      <w:r w:rsidR="00E259F4" w:rsidRPr="00F90CFE">
        <w:rPr>
          <w:noProof w:val="0"/>
          <w:lang w:val="en-AU"/>
        </w:rPr>
        <w:t xml:space="preserve"> extensively review the process and outcomes of </w:t>
      </w:r>
      <w:r w:rsidR="00875D0A" w:rsidRPr="00F90CFE">
        <w:rPr>
          <w:noProof w:val="0"/>
          <w:lang w:val="en-AU"/>
        </w:rPr>
        <w:t>the program</w:t>
      </w:r>
      <w:r w:rsidR="00E259F4" w:rsidRPr="00F90CFE">
        <w:rPr>
          <w:noProof w:val="0"/>
          <w:lang w:val="en-AU"/>
        </w:rPr>
        <w:t xml:space="preserve">, the evaluation was anchored in </w:t>
      </w:r>
      <w:r w:rsidR="00E259F4" w:rsidRPr="00F90CFE">
        <w:rPr>
          <w:b/>
          <w:bCs/>
          <w:noProof w:val="0"/>
          <w:lang w:val="en-AU"/>
        </w:rPr>
        <w:t>program theory</w:t>
      </w:r>
      <w:r w:rsidR="00E259F4" w:rsidRPr="00F90CFE">
        <w:rPr>
          <w:noProof w:val="0"/>
          <w:lang w:val="en-AU"/>
        </w:rPr>
        <w:t xml:space="preserve">, articulated in the form of simple visual and/or written articulations of how different types of activity and volunteering modalities work. The basis of this was </w:t>
      </w:r>
      <w:r w:rsidR="00875D0A" w:rsidRPr="00F90CFE">
        <w:rPr>
          <w:noProof w:val="0"/>
          <w:lang w:val="en-AU"/>
        </w:rPr>
        <w:t>the Program</w:t>
      </w:r>
      <w:r w:rsidR="00E259F4" w:rsidRPr="00F90CFE">
        <w:rPr>
          <w:noProof w:val="0"/>
          <w:lang w:val="en-AU"/>
        </w:rPr>
        <w:t xml:space="preserve"> Logic from the Program Monitoring, Evaluation and Learning Framework (MELF) 2020. </w:t>
      </w:r>
    </w:p>
    <w:p w14:paraId="7538455B" w14:textId="7DD6F553" w:rsidR="00E259F4" w:rsidRPr="00F90CFE" w:rsidRDefault="00E259F4" w:rsidP="00AD0458">
      <w:pPr>
        <w:pStyle w:val="ListBullet"/>
        <w:spacing w:beforeLines="40" w:before="96" w:after="40" w:line="259" w:lineRule="auto"/>
        <w:contextualSpacing w:val="0"/>
        <w:rPr>
          <w:noProof w:val="0"/>
          <w:lang w:val="en-AU"/>
        </w:rPr>
      </w:pPr>
      <w:r w:rsidRPr="00F90CFE">
        <w:rPr>
          <w:noProof w:val="0"/>
          <w:lang w:val="en-AU"/>
        </w:rPr>
        <w:t xml:space="preserve">Primarily, the evaluation looked at how </w:t>
      </w:r>
      <w:r w:rsidR="00875D0A" w:rsidRPr="00F90CFE">
        <w:rPr>
          <w:noProof w:val="0"/>
          <w:lang w:val="en-AU"/>
        </w:rPr>
        <w:t>the program</w:t>
      </w:r>
      <w:r w:rsidRPr="00F90CFE">
        <w:rPr>
          <w:noProof w:val="0"/>
          <w:lang w:val="en-AU"/>
        </w:rPr>
        <w:t xml:space="preserve"> </w:t>
      </w:r>
      <w:r w:rsidRPr="00F90CFE">
        <w:rPr>
          <w:b/>
          <w:bCs/>
          <w:noProof w:val="0"/>
          <w:lang w:val="en-AU"/>
        </w:rPr>
        <w:t>contributes to outcomes</w:t>
      </w:r>
      <w:r w:rsidRPr="00F90CFE">
        <w:rPr>
          <w:noProof w:val="0"/>
          <w:lang w:val="en-AU"/>
        </w:rPr>
        <w:t xml:space="preserve">, rather than seeking to attribute specific outcomes to </w:t>
      </w:r>
      <w:r w:rsidR="00875D0A" w:rsidRPr="00F90CFE">
        <w:rPr>
          <w:noProof w:val="0"/>
          <w:lang w:val="en-AU"/>
        </w:rPr>
        <w:t>the program</w:t>
      </w:r>
      <w:r w:rsidRPr="00F90CFE">
        <w:rPr>
          <w:noProof w:val="0"/>
          <w:lang w:val="en-AU"/>
        </w:rPr>
        <w:t xml:space="preserve"> alone. This enables us to deal realistically with complexity, and for DFAT to understand how its efforts fit within a wider perspective. </w:t>
      </w:r>
    </w:p>
    <w:p w14:paraId="0AC9B397" w14:textId="77777777" w:rsidR="00E259F4" w:rsidRPr="00F90CFE" w:rsidRDefault="00E259F4" w:rsidP="005F376A">
      <w:pPr>
        <w:pStyle w:val="Heading2"/>
        <w:rPr>
          <w:sz w:val="22"/>
          <w:szCs w:val="22"/>
        </w:rPr>
      </w:pPr>
      <w:bookmarkStart w:id="42" w:name="_Toc58334885"/>
      <w:r w:rsidRPr="00F90CFE">
        <w:rPr>
          <w:sz w:val="22"/>
          <w:szCs w:val="22"/>
        </w:rPr>
        <w:t>Sampling strategy</w:t>
      </w:r>
      <w:bookmarkEnd w:id="42"/>
      <w:r w:rsidRPr="00F90CFE">
        <w:rPr>
          <w:sz w:val="22"/>
          <w:szCs w:val="22"/>
        </w:rPr>
        <w:t xml:space="preserve"> </w:t>
      </w:r>
    </w:p>
    <w:p w14:paraId="76FB6153" w14:textId="4AAD044D" w:rsidR="00E259F4" w:rsidRPr="00F90CFE" w:rsidRDefault="00E259F4" w:rsidP="008A7220">
      <w:pPr>
        <w:pStyle w:val="BodyText"/>
        <w:spacing w:before="100" w:after="100"/>
        <w:rPr>
          <w:rFonts w:asciiTheme="majorHAnsi" w:hAnsiTheme="majorHAnsi" w:cstheme="majorHAnsi"/>
          <w:noProof w:val="0"/>
        </w:rPr>
      </w:pPr>
      <w:r w:rsidRPr="00F90CFE">
        <w:rPr>
          <w:rFonts w:asciiTheme="majorHAnsi" w:hAnsiTheme="majorHAnsi" w:cstheme="majorHAnsi"/>
          <w:noProof w:val="0"/>
        </w:rPr>
        <w:t xml:space="preserve">The evaluation took a stratified purposive approach to selecting stakeholders for interviews and focus group discussions, ensuring that a diverse cross-section of views is represented. The aim was to provide the Evaluation Team with a meaningful overview of </w:t>
      </w:r>
      <w:r w:rsidR="00875D0A" w:rsidRPr="00F90CFE">
        <w:rPr>
          <w:rFonts w:asciiTheme="majorHAnsi" w:hAnsiTheme="majorHAnsi" w:cstheme="majorHAnsi"/>
          <w:noProof w:val="0"/>
        </w:rPr>
        <w:t>the program</w:t>
      </w:r>
      <w:r w:rsidRPr="00F90CFE">
        <w:rPr>
          <w:rFonts w:asciiTheme="majorHAnsi" w:hAnsiTheme="majorHAnsi" w:cstheme="majorHAnsi"/>
          <w:noProof w:val="0"/>
        </w:rPr>
        <w:t xml:space="preserve"> within the time/resource constraints of the fieldwork. The purposive sampling of interviewees </w:t>
      </w:r>
      <w:r w:rsidR="00CC5D2D" w:rsidRPr="00F90CFE">
        <w:rPr>
          <w:rFonts w:asciiTheme="majorHAnsi" w:hAnsiTheme="majorHAnsi" w:cstheme="majorHAnsi"/>
          <w:noProof w:val="0"/>
        </w:rPr>
        <w:t>considered</w:t>
      </w:r>
      <w:r w:rsidRPr="00F90CFE">
        <w:rPr>
          <w:rFonts w:asciiTheme="majorHAnsi" w:hAnsiTheme="majorHAnsi" w:cstheme="majorHAnsi"/>
          <w:noProof w:val="0"/>
        </w:rPr>
        <w:t xml:space="preserve"> logistical constraints and the importance/relevance of stakeholder perspectives to the evaluation questions. </w:t>
      </w:r>
    </w:p>
    <w:p w14:paraId="24D19335" w14:textId="77777777" w:rsidR="00E259F4" w:rsidRPr="00F90CFE" w:rsidRDefault="00E259F4" w:rsidP="008A7220">
      <w:pPr>
        <w:pStyle w:val="BodyText"/>
        <w:spacing w:before="100" w:after="100"/>
        <w:rPr>
          <w:rFonts w:asciiTheme="majorHAnsi" w:hAnsiTheme="majorHAnsi" w:cstheme="majorHAnsi"/>
          <w:noProof w:val="0"/>
        </w:rPr>
      </w:pPr>
      <w:r w:rsidRPr="00F90CFE">
        <w:rPr>
          <w:rFonts w:asciiTheme="majorHAnsi" w:hAnsiTheme="majorHAnsi" w:cstheme="majorHAnsi"/>
          <w:noProof w:val="0"/>
        </w:rPr>
        <w:t>Details as to sampling used for specific tools and processes are provided below.</w:t>
      </w:r>
    </w:p>
    <w:p w14:paraId="17091B05" w14:textId="3B347D4E" w:rsidR="00E259F4" w:rsidRPr="00F90CFE" w:rsidRDefault="00E259F4" w:rsidP="008A7220">
      <w:pPr>
        <w:pStyle w:val="BodyText"/>
        <w:spacing w:before="100" w:after="100"/>
        <w:rPr>
          <w:rFonts w:asciiTheme="majorHAnsi" w:hAnsiTheme="majorHAnsi" w:cstheme="majorHAnsi"/>
          <w:noProof w:val="0"/>
        </w:rPr>
      </w:pPr>
      <w:r w:rsidRPr="00F90CFE">
        <w:rPr>
          <w:rFonts w:asciiTheme="majorHAnsi" w:hAnsiTheme="majorHAnsi" w:cstheme="majorHAnsi"/>
          <w:noProof w:val="0"/>
        </w:rPr>
        <w:lastRenderedPageBreak/>
        <w:t xml:space="preserve">Key ethical considerations in the sampling related to ensuring a gender responsive approach—ensuring meaningful consultations with all genders and planning these consultations for appropriate times and places. There was also a wider ethical issue to manage—reducing (as much as possible) the tendency for evaluations of this kind to be purely extractive exercises. </w:t>
      </w:r>
      <w:r w:rsidR="001434EE" w:rsidRPr="00F90CFE">
        <w:rPr>
          <w:rFonts w:asciiTheme="majorHAnsi" w:hAnsiTheme="majorHAnsi" w:cstheme="majorHAnsi"/>
          <w:noProof w:val="0"/>
        </w:rPr>
        <w:t>W</w:t>
      </w:r>
      <w:r w:rsidRPr="00F90CFE">
        <w:rPr>
          <w:rFonts w:asciiTheme="majorHAnsi" w:hAnsiTheme="majorHAnsi" w:cstheme="majorHAnsi"/>
          <w:noProof w:val="0"/>
        </w:rPr>
        <w:t>here possible</w:t>
      </w:r>
      <w:r w:rsidR="001434EE" w:rsidRPr="00F90CFE">
        <w:rPr>
          <w:rFonts w:asciiTheme="majorHAnsi" w:hAnsiTheme="majorHAnsi" w:cstheme="majorHAnsi"/>
          <w:noProof w:val="0"/>
        </w:rPr>
        <w:t>,</w:t>
      </w:r>
      <w:r w:rsidRPr="00F90CFE">
        <w:rPr>
          <w:rFonts w:asciiTheme="majorHAnsi" w:hAnsiTheme="majorHAnsi" w:cstheme="majorHAnsi"/>
          <w:noProof w:val="0"/>
        </w:rPr>
        <w:t xml:space="preserve"> feedback was provided to stakeholders after each meeting. </w:t>
      </w:r>
    </w:p>
    <w:p w14:paraId="535E3C39" w14:textId="77777777" w:rsidR="00E259F4" w:rsidRPr="00F90CFE" w:rsidRDefault="00E259F4" w:rsidP="005F376A">
      <w:pPr>
        <w:pStyle w:val="Heading2"/>
        <w:rPr>
          <w:sz w:val="22"/>
          <w:szCs w:val="22"/>
        </w:rPr>
      </w:pPr>
      <w:bookmarkStart w:id="43" w:name="_Toc58334872"/>
      <w:r w:rsidRPr="00F90CFE">
        <w:rPr>
          <w:sz w:val="22"/>
          <w:szCs w:val="22"/>
        </w:rPr>
        <w:t>Summary analytical framework</w:t>
      </w:r>
      <w:bookmarkEnd w:id="43"/>
    </w:p>
    <w:p w14:paraId="162DF9EC" w14:textId="77777777" w:rsidR="00635564" w:rsidRDefault="00E259F4" w:rsidP="00CC5D2D">
      <w:pPr>
        <w:pStyle w:val="BodyText"/>
        <w:spacing w:line="257" w:lineRule="auto"/>
        <w:rPr>
          <w:rFonts w:asciiTheme="majorHAnsi" w:hAnsiTheme="majorHAnsi" w:cstheme="majorHAnsi"/>
          <w:noProof w:val="0"/>
        </w:rPr>
      </w:pPr>
      <w:r w:rsidRPr="00F90CFE">
        <w:rPr>
          <w:rFonts w:asciiTheme="majorHAnsi" w:hAnsiTheme="majorHAnsi" w:cstheme="majorHAnsi"/>
          <w:noProof w:val="0"/>
        </w:rPr>
        <w:t xml:space="preserve">The analytical framework describes how data collection and analysis were used to answer the evaluation questions. The analytical framework for this evaluation was guided by and conducted along the </w:t>
      </w:r>
      <w:r w:rsidR="00B63F11" w:rsidRPr="00F90CFE">
        <w:rPr>
          <w:rFonts w:asciiTheme="majorHAnsi" w:hAnsiTheme="majorHAnsi" w:cstheme="majorHAnsi"/>
          <w:noProof w:val="0"/>
        </w:rPr>
        <w:t>Organisation for Economic Co-operation and Development’s Development Assistance Committee (</w:t>
      </w:r>
      <w:r w:rsidRPr="00F90CFE">
        <w:rPr>
          <w:rFonts w:asciiTheme="majorHAnsi" w:hAnsiTheme="majorHAnsi" w:cstheme="majorHAnsi"/>
          <w:noProof w:val="0"/>
        </w:rPr>
        <w:t>DAC</w:t>
      </w:r>
      <w:r w:rsidR="00B63F11" w:rsidRPr="00F90CFE">
        <w:rPr>
          <w:rFonts w:asciiTheme="majorHAnsi" w:hAnsiTheme="majorHAnsi" w:cstheme="majorHAnsi"/>
          <w:noProof w:val="0"/>
        </w:rPr>
        <w:t>)</w:t>
      </w:r>
      <w:r w:rsidRPr="00F90CFE">
        <w:rPr>
          <w:rFonts w:asciiTheme="majorHAnsi" w:hAnsiTheme="majorHAnsi" w:cstheme="majorHAnsi"/>
          <w:noProof w:val="0"/>
        </w:rPr>
        <w:t xml:space="preserve"> criteria assessing relevance, coherence, effectiveness, efficiency and sustainability of </w:t>
      </w:r>
      <w:r w:rsidR="00875D0A" w:rsidRPr="00F90CFE">
        <w:rPr>
          <w:rFonts w:asciiTheme="majorHAnsi" w:hAnsiTheme="majorHAnsi" w:cstheme="majorHAnsi"/>
          <w:noProof w:val="0"/>
        </w:rPr>
        <w:t>the program</w:t>
      </w:r>
      <w:r w:rsidRPr="00F90CFE">
        <w:rPr>
          <w:rFonts w:asciiTheme="majorHAnsi" w:hAnsiTheme="majorHAnsi" w:cstheme="majorHAnsi"/>
          <w:noProof w:val="0"/>
        </w:rPr>
        <w:t>, and the evaluation questions associated with each of these criteria.</w:t>
      </w:r>
    </w:p>
    <w:p w14:paraId="0B0E1360" w14:textId="706EB02B" w:rsidR="00635564" w:rsidRPr="00F90CFE" w:rsidRDefault="00635564" w:rsidP="00635564">
      <w:pPr>
        <w:rPr>
          <w:lang w:val="en-AU"/>
        </w:rPr>
      </w:pPr>
      <w:r>
        <w:rPr>
          <w:lang w:val="en-AU"/>
        </w:rPr>
        <w:t>The table below</w:t>
      </w:r>
      <w:r w:rsidRPr="00F90CFE">
        <w:rPr>
          <w:lang w:val="en-AU"/>
        </w:rPr>
        <w:t xml:space="preserve"> is a summary of the analytical framework that shows key evaluation questions (aligned to the DAC criteria) and sub-questions under each, assessment criteria and the data sources. The analytical framework is anchored in program theory therefore, testing the theory will be done across the criteria and analysis. The analysis adopted both process and outcome evaluation approaches. By process evaluation, the analysis determined whether the program activities have been implemented as intended (the process) and whether these activities have resulted in certain tangible results (outputs). Through the outcome’s evaluation process, the analysis determined the program’s effectiveness by exploring whether the program has resulted in the expected outcomes. </w:t>
      </w:r>
    </w:p>
    <w:p w14:paraId="360A0F8F" w14:textId="77777777" w:rsidR="00635564" w:rsidRPr="00F90CFE" w:rsidRDefault="00635564" w:rsidP="00635564">
      <w:pPr>
        <w:rPr>
          <w:lang w:val="en-AU"/>
        </w:rPr>
      </w:pPr>
      <w:r w:rsidRPr="00F90CFE">
        <w:rPr>
          <w:lang w:val="en-AU"/>
        </w:rPr>
        <w:t>This analytical framework was also used as basis of the coding framework where data sources were coded along the criteria and analysed.</w:t>
      </w:r>
    </w:p>
    <w:p w14:paraId="4209BFC0" w14:textId="77777777" w:rsidR="00635564" w:rsidRDefault="00635564" w:rsidP="00CC5D2D">
      <w:pPr>
        <w:pStyle w:val="BodyText"/>
        <w:spacing w:line="257" w:lineRule="auto"/>
        <w:rPr>
          <w:rFonts w:asciiTheme="majorHAnsi" w:hAnsiTheme="majorHAnsi" w:cstheme="majorHAnsi"/>
          <w:noProof w:val="0"/>
        </w:rPr>
      </w:pPr>
    </w:p>
    <w:p w14:paraId="61393364" w14:textId="7CD993D8" w:rsidR="00E259F4" w:rsidRPr="00F90CFE" w:rsidRDefault="00E259F4" w:rsidP="00CC5D2D">
      <w:pPr>
        <w:pStyle w:val="BodyText"/>
        <w:spacing w:line="257" w:lineRule="auto"/>
        <w:rPr>
          <w:rFonts w:asciiTheme="majorHAnsi" w:hAnsiTheme="majorHAnsi" w:cstheme="majorHAnsi"/>
          <w:noProof w:val="0"/>
        </w:rPr>
        <w:sectPr w:rsidR="00E259F4" w:rsidRPr="00F90CFE" w:rsidSect="00BF676C">
          <w:footerReference w:type="default" r:id="rId8"/>
          <w:footerReference w:type="first" r:id="rId9"/>
          <w:pgSz w:w="11906" w:h="16838" w:code="9"/>
          <w:pgMar w:top="1276" w:right="1134" w:bottom="1134" w:left="1134" w:header="737" w:footer="567" w:gutter="0"/>
          <w:pgNumType w:start="1"/>
          <w:cols w:space="720"/>
          <w:docGrid w:linePitch="360"/>
        </w:sectPr>
      </w:pPr>
      <w:r w:rsidRPr="00F90CFE">
        <w:rPr>
          <w:rFonts w:asciiTheme="majorHAnsi" w:hAnsiTheme="majorHAnsi" w:cstheme="majorHAnsi"/>
          <w:noProof w:val="0"/>
        </w:rPr>
        <w:t xml:space="preserve"> </w:t>
      </w:r>
    </w:p>
    <w:p w14:paraId="7AF07609" w14:textId="74796D2F" w:rsidR="00E259F4" w:rsidRPr="00F90CFE" w:rsidRDefault="00E259F4" w:rsidP="00E259F4">
      <w:pPr>
        <w:pStyle w:val="BodyText"/>
        <w:rPr>
          <w:rFonts w:asciiTheme="majorHAnsi" w:hAnsiTheme="majorHAnsi" w:cstheme="majorHAnsi"/>
          <w:b/>
          <w:bCs/>
          <w:noProof w:val="0"/>
        </w:rPr>
      </w:pPr>
      <w:r w:rsidRPr="00F90CFE">
        <w:rPr>
          <w:rFonts w:asciiTheme="majorHAnsi" w:hAnsiTheme="majorHAnsi" w:cstheme="majorHAnsi"/>
          <w:b/>
          <w:bCs/>
          <w:noProof w:val="0"/>
        </w:rPr>
        <w:lastRenderedPageBreak/>
        <w:t xml:space="preserve">Summary of the </w:t>
      </w:r>
      <w:r w:rsidR="00A26536">
        <w:rPr>
          <w:rFonts w:asciiTheme="majorHAnsi" w:hAnsiTheme="majorHAnsi" w:cstheme="majorHAnsi"/>
          <w:b/>
          <w:bCs/>
          <w:noProof w:val="0"/>
        </w:rPr>
        <w:t>a</w:t>
      </w:r>
      <w:r w:rsidRPr="00F90CFE">
        <w:rPr>
          <w:rFonts w:asciiTheme="majorHAnsi" w:hAnsiTheme="majorHAnsi" w:cstheme="majorHAnsi"/>
          <w:b/>
          <w:bCs/>
          <w:noProof w:val="0"/>
        </w:rPr>
        <w:t xml:space="preserve">nalytical </w:t>
      </w:r>
      <w:r w:rsidR="00A26536">
        <w:rPr>
          <w:rFonts w:asciiTheme="majorHAnsi" w:hAnsiTheme="majorHAnsi" w:cstheme="majorHAnsi"/>
          <w:b/>
          <w:bCs/>
          <w:noProof w:val="0"/>
        </w:rPr>
        <w:t>f</w:t>
      </w:r>
      <w:r w:rsidRPr="00F90CFE">
        <w:rPr>
          <w:rFonts w:asciiTheme="majorHAnsi" w:hAnsiTheme="majorHAnsi" w:cstheme="majorHAnsi"/>
          <w:b/>
          <w:bCs/>
          <w:noProof w:val="0"/>
        </w:rPr>
        <w:t>ramework</w:t>
      </w:r>
    </w:p>
    <w:p w14:paraId="6D113936" w14:textId="77777777" w:rsidR="00852458" w:rsidRDefault="00852458" w:rsidP="00852458">
      <w:pPr>
        <w:rPr>
          <w:b/>
          <w:bCs/>
        </w:rPr>
      </w:pPr>
    </w:p>
    <w:p w14:paraId="70092726" w14:textId="6592C119" w:rsidR="00852458" w:rsidRPr="00400628" w:rsidRDefault="00852458" w:rsidP="00852458">
      <w:pPr>
        <w:rPr>
          <w:b/>
          <w:bCs/>
        </w:rPr>
      </w:pPr>
      <w:r w:rsidRPr="00400628">
        <w:rPr>
          <w:b/>
          <w:bCs/>
        </w:rPr>
        <w:t>Question area: relevance of the program design and the extent to which the Volunteer Program has efficiently and effectively made progress towards its E</w:t>
      </w:r>
      <w:r>
        <w:rPr>
          <w:b/>
          <w:bCs/>
        </w:rPr>
        <w:t xml:space="preserve">nd </w:t>
      </w:r>
      <w:r w:rsidRPr="00400628">
        <w:rPr>
          <w:b/>
          <w:bCs/>
        </w:rPr>
        <w:t>o</w:t>
      </w:r>
      <w:r>
        <w:rPr>
          <w:b/>
          <w:bCs/>
        </w:rPr>
        <w:t xml:space="preserve">f </w:t>
      </w:r>
      <w:r w:rsidRPr="00400628">
        <w:rPr>
          <w:b/>
          <w:bCs/>
        </w:rPr>
        <w:t>P</w:t>
      </w:r>
      <w:r>
        <w:rPr>
          <w:b/>
          <w:bCs/>
        </w:rPr>
        <w:t xml:space="preserve">rogram </w:t>
      </w:r>
      <w:r w:rsidRPr="00400628">
        <w:rPr>
          <w:b/>
          <w:bCs/>
        </w:rPr>
        <w:t>O</w:t>
      </w:r>
      <w:r>
        <w:rPr>
          <w:b/>
          <w:bCs/>
        </w:rPr>
        <w:t>utcome</w:t>
      </w:r>
      <w:r w:rsidRPr="00400628">
        <w:rPr>
          <w:b/>
          <w:bCs/>
        </w:rPr>
        <w:t xml:space="preserve">s </w:t>
      </w:r>
    </w:p>
    <w:p w14:paraId="2A2FDBBC" w14:textId="77777777" w:rsidR="00852458" w:rsidRDefault="00852458" w:rsidP="00852458">
      <w:r>
        <w:t>Key:</w:t>
      </w:r>
    </w:p>
    <w:p w14:paraId="090D89C0" w14:textId="77777777" w:rsidR="00852458" w:rsidRPr="00102831" w:rsidRDefault="00852458" w:rsidP="00852458">
      <w:r w:rsidRPr="00102831">
        <w:sym w:font="Wingdings 2" w:char="F050"/>
      </w:r>
      <w:r w:rsidRPr="00102831">
        <w:t xml:space="preserve"> Yes</w:t>
      </w:r>
    </w:p>
    <w:p w14:paraId="676A450B" w14:textId="77777777" w:rsidR="00852458" w:rsidRDefault="00852458" w:rsidP="00852458">
      <w:r w:rsidRPr="00102831">
        <w:sym w:font="Wingdings 2" w:char="F04F"/>
      </w:r>
      <w:r w:rsidRPr="00102831">
        <w:t xml:space="preserve"> No</w:t>
      </w:r>
    </w:p>
    <w:tbl>
      <w:tblPr>
        <w:tblStyle w:val="TetraTech"/>
        <w:tblW w:w="4424" w:type="pct"/>
        <w:tblLayout w:type="fixed"/>
        <w:tblCellMar>
          <w:left w:w="57" w:type="dxa"/>
          <w:right w:w="57" w:type="dxa"/>
        </w:tblCellMar>
        <w:tblLook w:val="04A0" w:firstRow="1" w:lastRow="0" w:firstColumn="1" w:lastColumn="0" w:noHBand="0" w:noVBand="1"/>
      </w:tblPr>
      <w:tblGrid>
        <w:gridCol w:w="2751"/>
        <w:gridCol w:w="683"/>
        <w:gridCol w:w="684"/>
        <w:gridCol w:w="689"/>
        <w:gridCol w:w="730"/>
        <w:gridCol w:w="728"/>
        <w:gridCol w:w="934"/>
        <w:gridCol w:w="692"/>
        <w:gridCol w:w="692"/>
        <w:gridCol w:w="692"/>
        <w:gridCol w:w="715"/>
        <w:gridCol w:w="692"/>
        <w:gridCol w:w="692"/>
        <w:gridCol w:w="700"/>
        <w:gridCol w:w="692"/>
      </w:tblGrid>
      <w:tr w:rsidR="00852458" w:rsidRPr="00F90CFE" w14:paraId="2C5D15CB" w14:textId="77777777" w:rsidTr="004578C4">
        <w:trPr>
          <w:cnfStyle w:val="100000000000" w:firstRow="1" w:lastRow="0" w:firstColumn="0" w:lastColumn="0" w:oddVBand="0" w:evenVBand="0" w:oddHBand="0" w:evenHBand="0" w:firstRowFirstColumn="0" w:firstRowLastColumn="0" w:lastRowFirstColumn="0" w:lastRowLastColumn="0"/>
          <w:trHeight w:val="1561"/>
          <w:tblHeader/>
        </w:trPr>
        <w:tc>
          <w:tcPr>
            <w:cnfStyle w:val="001000000000" w:firstRow="0" w:lastRow="0" w:firstColumn="1" w:lastColumn="0" w:oddVBand="0" w:evenVBand="0" w:oddHBand="0" w:evenHBand="0" w:firstRowFirstColumn="0" w:firstRowLastColumn="0" w:lastRowFirstColumn="0" w:lastRowLastColumn="0"/>
            <w:tcW w:w="1077" w:type="pct"/>
            <w:shd w:val="clear" w:color="auto" w:fill="F2F2F2" w:themeFill="background2" w:themeFillShade="F2"/>
          </w:tcPr>
          <w:p w14:paraId="72E79CF9" w14:textId="77777777" w:rsidR="00852458" w:rsidRPr="00F90CFE" w:rsidRDefault="00852458" w:rsidP="004578C4">
            <w:pPr>
              <w:pStyle w:val="BodyText"/>
              <w:spacing w:before="0" w:after="0" w:line="240" w:lineRule="auto"/>
              <w:ind w:left="113" w:right="113"/>
              <w:rPr>
                <w:rFonts w:asciiTheme="majorHAnsi" w:hAnsiTheme="majorHAnsi" w:cstheme="majorHAnsi"/>
                <w:noProof w:val="0"/>
                <w:sz w:val="18"/>
                <w:szCs w:val="18"/>
              </w:rPr>
            </w:pPr>
            <w:r w:rsidRPr="00973680">
              <w:rPr>
                <w:rFonts w:asciiTheme="majorHAnsi" w:hAnsiTheme="majorHAnsi" w:cstheme="majorHAnsi"/>
                <w:bCs/>
                <w:noProof w:val="0"/>
                <w:color w:val="003478" w:themeColor="text2"/>
                <w:sz w:val="18"/>
                <w:szCs w:val="18"/>
              </w:rPr>
              <w:t>Components</w:t>
            </w:r>
          </w:p>
        </w:tc>
        <w:tc>
          <w:tcPr>
            <w:tcW w:w="267" w:type="pct"/>
            <w:textDirection w:val="btLr"/>
          </w:tcPr>
          <w:p w14:paraId="3A7DDE77"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White and grey literature</w:t>
            </w:r>
          </w:p>
        </w:tc>
        <w:tc>
          <w:tcPr>
            <w:tcW w:w="268" w:type="pct"/>
            <w:textDirection w:val="btLr"/>
          </w:tcPr>
          <w:p w14:paraId="09CC4530"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Program Documents</w:t>
            </w:r>
          </w:p>
        </w:tc>
        <w:tc>
          <w:tcPr>
            <w:tcW w:w="270" w:type="pct"/>
            <w:textDirection w:val="btLr"/>
          </w:tcPr>
          <w:p w14:paraId="7C8700A0"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Contextual analysis</w:t>
            </w:r>
          </w:p>
        </w:tc>
        <w:tc>
          <w:tcPr>
            <w:tcW w:w="286" w:type="pct"/>
            <w:textDirection w:val="btLr"/>
          </w:tcPr>
          <w:p w14:paraId="622FF12F"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DFAT Staff perspectives</w:t>
            </w:r>
          </w:p>
        </w:tc>
        <w:tc>
          <w:tcPr>
            <w:tcW w:w="285" w:type="pct"/>
            <w:textDirection w:val="btLr"/>
          </w:tcPr>
          <w:p w14:paraId="64448A0A"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Government perspectives</w:t>
            </w:r>
          </w:p>
        </w:tc>
        <w:tc>
          <w:tcPr>
            <w:tcW w:w="366" w:type="pct"/>
            <w:textDirection w:val="btLr"/>
          </w:tcPr>
          <w:p w14:paraId="3470860A"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Partner organisation perspectives</w:t>
            </w:r>
          </w:p>
        </w:tc>
        <w:tc>
          <w:tcPr>
            <w:tcW w:w="271" w:type="pct"/>
            <w:textDirection w:val="btLr"/>
          </w:tcPr>
          <w:p w14:paraId="5BD2F064"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Volunteer perspectives</w:t>
            </w:r>
          </w:p>
        </w:tc>
        <w:tc>
          <w:tcPr>
            <w:tcW w:w="271" w:type="pct"/>
            <w:textDirection w:val="btLr"/>
          </w:tcPr>
          <w:p w14:paraId="465D2676"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Other Partners perspective</w:t>
            </w:r>
          </w:p>
        </w:tc>
        <w:tc>
          <w:tcPr>
            <w:tcW w:w="271" w:type="pct"/>
            <w:textDirection w:val="btLr"/>
          </w:tcPr>
          <w:p w14:paraId="7E99598D"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Expenditure Data</w:t>
            </w:r>
          </w:p>
        </w:tc>
        <w:tc>
          <w:tcPr>
            <w:tcW w:w="280" w:type="pct"/>
            <w:textDirection w:val="btLr"/>
          </w:tcPr>
          <w:p w14:paraId="5C0D6A83"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Results reporting</w:t>
            </w:r>
          </w:p>
        </w:tc>
        <w:tc>
          <w:tcPr>
            <w:tcW w:w="271" w:type="pct"/>
            <w:shd w:val="clear" w:color="auto" w:fill="F2F2F2" w:themeFill="background2" w:themeFillShade="F2"/>
            <w:textDirection w:val="btLr"/>
          </w:tcPr>
          <w:p w14:paraId="09BBF9D6"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Quantitative analysis</w:t>
            </w:r>
          </w:p>
        </w:tc>
        <w:tc>
          <w:tcPr>
            <w:tcW w:w="271" w:type="pct"/>
            <w:shd w:val="clear" w:color="auto" w:fill="F2F2F2" w:themeFill="background2" w:themeFillShade="F2"/>
            <w:textDirection w:val="btLr"/>
          </w:tcPr>
          <w:p w14:paraId="0B6C3CD8"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Map of policy priorities</w:t>
            </w:r>
          </w:p>
        </w:tc>
        <w:tc>
          <w:tcPr>
            <w:tcW w:w="274" w:type="pct"/>
            <w:shd w:val="clear" w:color="auto" w:fill="F2F2F2" w:themeFill="background2" w:themeFillShade="F2"/>
            <w:textDirection w:val="btLr"/>
          </w:tcPr>
          <w:p w14:paraId="5266E37D"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 xml:space="preserve">Program Theory </w:t>
            </w:r>
          </w:p>
        </w:tc>
        <w:tc>
          <w:tcPr>
            <w:tcW w:w="271" w:type="pct"/>
            <w:shd w:val="clear" w:color="auto" w:fill="F2F2F2" w:themeFill="background2" w:themeFillShade="F2"/>
            <w:textDirection w:val="btLr"/>
          </w:tcPr>
          <w:p w14:paraId="50321504"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Case Studies</w:t>
            </w:r>
          </w:p>
        </w:tc>
      </w:tr>
      <w:tr w:rsidR="00852458" w:rsidRPr="006D212E" w14:paraId="4FB5BFB1"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0A19D056"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Pr>
                <w:rFonts w:asciiTheme="majorHAnsi" w:hAnsiTheme="majorHAnsi" w:cstheme="majorHAnsi"/>
                <w:noProof w:val="0"/>
                <w:sz w:val="18"/>
                <w:szCs w:val="18"/>
              </w:rPr>
              <w:t>Assignment level</w:t>
            </w:r>
          </w:p>
        </w:tc>
        <w:tc>
          <w:tcPr>
            <w:tcW w:w="267" w:type="pct"/>
          </w:tcPr>
          <w:p w14:paraId="1B5A209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68" w:type="pct"/>
          </w:tcPr>
          <w:p w14:paraId="6BA07D1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70" w:type="pct"/>
          </w:tcPr>
          <w:p w14:paraId="06ECE05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86" w:type="pct"/>
          </w:tcPr>
          <w:p w14:paraId="48660CA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85" w:type="pct"/>
          </w:tcPr>
          <w:p w14:paraId="0DFFD68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366" w:type="pct"/>
          </w:tcPr>
          <w:p w14:paraId="2AD5E8E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71" w:type="pct"/>
          </w:tcPr>
          <w:p w14:paraId="6B5513C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71" w:type="pct"/>
          </w:tcPr>
          <w:p w14:paraId="39E3962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71" w:type="pct"/>
          </w:tcPr>
          <w:p w14:paraId="6B0505B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3AB89D9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71" w:type="pct"/>
          </w:tcPr>
          <w:p w14:paraId="578168C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71" w:type="pct"/>
          </w:tcPr>
          <w:p w14:paraId="1A9CFDA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74" w:type="pct"/>
          </w:tcPr>
          <w:p w14:paraId="13BC7A7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c>
          <w:tcPr>
            <w:tcW w:w="271" w:type="pct"/>
          </w:tcPr>
          <w:p w14:paraId="40B3E06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43BBD57A"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0A87BA14"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Country level</w:t>
            </w:r>
          </w:p>
        </w:tc>
        <w:tc>
          <w:tcPr>
            <w:tcW w:w="267" w:type="pct"/>
          </w:tcPr>
          <w:p w14:paraId="13FA3D6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68" w:type="pct"/>
          </w:tcPr>
          <w:p w14:paraId="02124B6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0" w:type="pct"/>
          </w:tcPr>
          <w:p w14:paraId="12E242C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0D284F7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5E7C84A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69F9FC5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36538C1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3E326EC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2FD09E0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714AAB2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894339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488BBB4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339BD4E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7C437A6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25B93153"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17F9802A"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Program goal</w:t>
            </w:r>
          </w:p>
        </w:tc>
        <w:tc>
          <w:tcPr>
            <w:tcW w:w="267" w:type="pct"/>
          </w:tcPr>
          <w:p w14:paraId="59B692B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68" w:type="pct"/>
          </w:tcPr>
          <w:p w14:paraId="4C28417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0" w:type="pct"/>
          </w:tcPr>
          <w:p w14:paraId="3F634B4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5F4C3B6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0A9009B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52D1211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3BEE91D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4A5DF14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10FEC4A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18CC196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68F78E9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7C25E83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554B142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3C51B5D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6B2BF418"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4CA6168B"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Program outcomes</w:t>
            </w:r>
          </w:p>
        </w:tc>
        <w:tc>
          <w:tcPr>
            <w:tcW w:w="267" w:type="pct"/>
          </w:tcPr>
          <w:p w14:paraId="1ABBA0B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68" w:type="pct"/>
          </w:tcPr>
          <w:p w14:paraId="2B11A4F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0" w:type="pct"/>
          </w:tcPr>
          <w:p w14:paraId="5EF23D5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0E2839D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384034B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1233262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4F4A64B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7406276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2B2193D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4231BCF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092BB82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6D44C19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01C4207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C1D4D5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10004594"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10401B22"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DFAT policy priorities</w:t>
            </w:r>
          </w:p>
        </w:tc>
        <w:tc>
          <w:tcPr>
            <w:tcW w:w="267" w:type="pct"/>
          </w:tcPr>
          <w:p w14:paraId="065D95B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68" w:type="pct"/>
          </w:tcPr>
          <w:p w14:paraId="4F46117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0" w:type="pct"/>
          </w:tcPr>
          <w:p w14:paraId="4E1980C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436D93F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5DD1CCA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54A635A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07645C7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303B5E0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71" w:type="pct"/>
          </w:tcPr>
          <w:p w14:paraId="7092F97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517A7DD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633B638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7865D62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75D5AB7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212127C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1EDAD9AA"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757A0665"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Development outcomes</w:t>
            </w:r>
          </w:p>
        </w:tc>
        <w:tc>
          <w:tcPr>
            <w:tcW w:w="267" w:type="pct"/>
          </w:tcPr>
          <w:p w14:paraId="6554436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68" w:type="pct"/>
          </w:tcPr>
          <w:p w14:paraId="6CAACA3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0" w:type="pct"/>
          </w:tcPr>
          <w:p w14:paraId="6F1C8D3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3562BD9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28111E4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33C284D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4870300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12EEA42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681B52F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7B49AFE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4EF292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7609D7F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72AE032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18BCD24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1BA1AD78"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4CDCFE43"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Capacity outcomes</w:t>
            </w:r>
          </w:p>
        </w:tc>
        <w:tc>
          <w:tcPr>
            <w:tcW w:w="267" w:type="pct"/>
          </w:tcPr>
          <w:p w14:paraId="5513305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68" w:type="pct"/>
          </w:tcPr>
          <w:p w14:paraId="5C31ADC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0" w:type="pct"/>
          </w:tcPr>
          <w:p w14:paraId="78E48C0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86" w:type="pct"/>
          </w:tcPr>
          <w:p w14:paraId="72DCAF1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17373CA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3D1EF7B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6812C70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336B432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34FCB5B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5DD4194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2CDB876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7CE71C0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4" w:type="pct"/>
          </w:tcPr>
          <w:p w14:paraId="492AA0D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036A2F3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3343E6FB"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24888453"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Soft power</w:t>
            </w:r>
          </w:p>
        </w:tc>
        <w:tc>
          <w:tcPr>
            <w:tcW w:w="267" w:type="pct"/>
          </w:tcPr>
          <w:p w14:paraId="244932A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68" w:type="pct"/>
          </w:tcPr>
          <w:p w14:paraId="2729FE7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0" w:type="pct"/>
          </w:tcPr>
          <w:p w14:paraId="111449D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86" w:type="pct"/>
          </w:tcPr>
          <w:p w14:paraId="526092F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5DF2145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2B036A4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3D111EB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4D4A5D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7CEB85B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7274CDE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060C522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21B8EC1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4" w:type="pct"/>
          </w:tcPr>
          <w:p w14:paraId="4E4668E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7E3430D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60C7010C"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4F00EA59"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 xml:space="preserve">Impact areas (3) </w:t>
            </w:r>
          </w:p>
        </w:tc>
        <w:tc>
          <w:tcPr>
            <w:tcW w:w="267" w:type="pct"/>
          </w:tcPr>
          <w:p w14:paraId="712B36E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68" w:type="pct"/>
          </w:tcPr>
          <w:p w14:paraId="21E5AB8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0" w:type="pct"/>
          </w:tcPr>
          <w:p w14:paraId="02F17C9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6" w:type="pct"/>
          </w:tcPr>
          <w:p w14:paraId="0546331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712362C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7590960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46D8EC0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0AE2AB4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34D145C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5B6F3A6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520BAC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63AABFC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288B504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0394066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55D4366B"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4D8022D1"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 xml:space="preserve">Un / intended </w:t>
            </w:r>
          </w:p>
        </w:tc>
        <w:tc>
          <w:tcPr>
            <w:tcW w:w="267" w:type="pct"/>
          </w:tcPr>
          <w:p w14:paraId="47C496A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68" w:type="pct"/>
          </w:tcPr>
          <w:p w14:paraId="5BD344C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0" w:type="pct"/>
          </w:tcPr>
          <w:p w14:paraId="5302592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1C23760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1774A9B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71A0896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36C43B2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211D9E5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084FFCF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7FA7902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A510F0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72B9DBC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5F322F0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2342D43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67BD2702"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49388B0D"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Gender and inclusion</w:t>
            </w:r>
          </w:p>
        </w:tc>
        <w:tc>
          <w:tcPr>
            <w:tcW w:w="267" w:type="pct"/>
          </w:tcPr>
          <w:p w14:paraId="193B45F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68" w:type="pct"/>
          </w:tcPr>
          <w:p w14:paraId="11F70EB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0" w:type="pct"/>
          </w:tcPr>
          <w:p w14:paraId="4DFB2B2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37B2B63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5E04D69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7AA90F5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42BE1DB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sidRPr="00CB2C57">
              <w:rPr>
                <w:color w:val="003478" w:themeColor="text2"/>
                <w:sz w:val="28"/>
                <w:szCs w:val="28"/>
              </w:rPr>
              <w:sym w:font="Wingdings 2" w:char="F050"/>
            </w:r>
          </w:p>
        </w:tc>
        <w:tc>
          <w:tcPr>
            <w:tcW w:w="271" w:type="pct"/>
          </w:tcPr>
          <w:p w14:paraId="1287272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65F536E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0B47A61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6BC85D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19678B1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34506A4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0C099C4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334BEA31"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5E8E620C"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Governance and management</w:t>
            </w:r>
          </w:p>
        </w:tc>
        <w:tc>
          <w:tcPr>
            <w:tcW w:w="267" w:type="pct"/>
          </w:tcPr>
          <w:p w14:paraId="17545CE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68" w:type="pct"/>
          </w:tcPr>
          <w:p w14:paraId="1A7CA4A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70" w:type="pct"/>
          </w:tcPr>
          <w:p w14:paraId="3AC6080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5A2F524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647373A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3C28F16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09C1386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49CE42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71" w:type="pct"/>
          </w:tcPr>
          <w:p w14:paraId="21E8F91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0" w:type="pct"/>
          </w:tcPr>
          <w:p w14:paraId="01A7DFA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203C321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71" w:type="pct"/>
          </w:tcPr>
          <w:p w14:paraId="405B1C3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74" w:type="pct"/>
          </w:tcPr>
          <w:p w14:paraId="02571AC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71" w:type="pct"/>
          </w:tcPr>
          <w:p w14:paraId="62AA1DF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r>
      <w:tr w:rsidR="00852458" w:rsidRPr="006D212E" w14:paraId="169234D7"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02642E66"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Partnering &amp; influence</w:t>
            </w:r>
          </w:p>
        </w:tc>
        <w:tc>
          <w:tcPr>
            <w:tcW w:w="267" w:type="pct"/>
          </w:tcPr>
          <w:p w14:paraId="5854B54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68" w:type="pct"/>
          </w:tcPr>
          <w:p w14:paraId="44BC384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70" w:type="pct"/>
          </w:tcPr>
          <w:p w14:paraId="03C8869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3EE1080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59FEE4D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229CF6B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7AB1038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73E104F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71" w:type="pct"/>
          </w:tcPr>
          <w:p w14:paraId="1A8971E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80" w:type="pct"/>
          </w:tcPr>
          <w:p w14:paraId="25E32E2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176DEDA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6F42D99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72A238F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471388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r w:rsidR="00852458" w:rsidRPr="006D212E" w14:paraId="0302ACF5"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0201CC83"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Volunteering assignment types</w:t>
            </w:r>
          </w:p>
        </w:tc>
        <w:tc>
          <w:tcPr>
            <w:tcW w:w="267" w:type="pct"/>
          </w:tcPr>
          <w:p w14:paraId="1A0F7E1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68" w:type="pct"/>
          </w:tcPr>
          <w:p w14:paraId="5F65945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0" w:type="pct"/>
          </w:tcPr>
          <w:p w14:paraId="56F8F03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6" w:type="pct"/>
          </w:tcPr>
          <w:p w14:paraId="2723B48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5" w:type="pct"/>
          </w:tcPr>
          <w:p w14:paraId="1FD0D33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366" w:type="pct"/>
          </w:tcPr>
          <w:p w14:paraId="2943C5B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2804C41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9E277B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rFonts w:asciiTheme="majorHAnsi" w:hAnsiTheme="majorHAnsi" w:cstheme="majorHAnsi"/>
                <w:noProof w:val="0"/>
                <w:color w:val="003478" w:themeColor="text2"/>
                <w:sz w:val="28"/>
                <w:szCs w:val="28"/>
              </w:rPr>
              <w:sym w:font="Wingdings 2" w:char="F04F"/>
            </w:r>
          </w:p>
        </w:tc>
        <w:tc>
          <w:tcPr>
            <w:tcW w:w="271" w:type="pct"/>
          </w:tcPr>
          <w:p w14:paraId="6016D85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80" w:type="pct"/>
          </w:tcPr>
          <w:p w14:paraId="6776FC1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5AB1E0C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750A58F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4" w:type="pct"/>
          </w:tcPr>
          <w:p w14:paraId="2903C78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sidRPr="00CB2C57">
              <w:rPr>
                <w:color w:val="003478" w:themeColor="text2"/>
                <w:sz w:val="28"/>
                <w:szCs w:val="28"/>
              </w:rPr>
              <w:sym w:font="Wingdings 2" w:char="F050"/>
            </w:r>
          </w:p>
        </w:tc>
        <w:tc>
          <w:tcPr>
            <w:tcW w:w="271" w:type="pct"/>
          </w:tcPr>
          <w:p w14:paraId="110B8BE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sidRPr="00CB2C57">
              <w:rPr>
                <w:color w:val="003478" w:themeColor="text2"/>
                <w:sz w:val="28"/>
                <w:szCs w:val="28"/>
              </w:rPr>
              <w:sym w:font="Wingdings 2" w:char="F050"/>
            </w:r>
          </w:p>
        </w:tc>
      </w:tr>
    </w:tbl>
    <w:p w14:paraId="18B1E189" w14:textId="77777777" w:rsidR="00852458" w:rsidRDefault="00852458" w:rsidP="00852458"/>
    <w:p w14:paraId="7B2616E4" w14:textId="77777777" w:rsidR="00852458" w:rsidRDefault="00852458" w:rsidP="00852458"/>
    <w:p w14:paraId="7F491CAA" w14:textId="2C7FB251" w:rsidR="00852458" w:rsidRDefault="00852458" w:rsidP="00852458"/>
    <w:p w14:paraId="39E8A744" w14:textId="77777777" w:rsidR="00852458" w:rsidRDefault="00852458" w:rsidP="00852458"/>
    <w:p w14:paraId="32DD9F11" w14:textId="77777777" w:rsidR="00852458" w:rsidRPr="00400628" w:rsidRDefault="00852458" w:rsidP="00852458">
      <w:pPr>
        <w:rPr>
          <w:b/>
          <w:bCs/>
        </w:rPr>
      </w:pPr>
      <w:r w:rsidRPr="00400628">
        <w:rPr>
          <w:b/>
          <w:bCs/>
        </w:rPr>
        <w:t>Question area: inform future program directions</w:t>
      </w:r>
    </w:p>
    <w:p w14:paraId="7B2C2C02" w14:textId="77777777" w:rsidR="00852458" w:rsidRDefault="00852458" w:rsidP="00852458">
      <w:r>
        <w:t>Key:</w:t>
      </w:r>
    </w:p>
    <w:p w14:paraId="68A14AF3" w14:textId="77777777" w:rsidR="00852458" w:rsidRPr="00102831" w:rsidRDefault="00852458" w:rsidP="00852458">
      <w:r w:rsidRPr="00102831">
        <w:sym w:font="Wingdings 2" w:char="F050"/>
      </w:r>
      <w:r w:rsidRPr="00102831">
        <w:t xml:space="preserve"> Yes</w:t>
      </w:r>
    </w:p>
    <w:p w14:paraId="0EC540CB" w14:textId="77777777" w:rsidR="00852458" w:rsidRDefault="00852458" w:rsidP="00852458">
      <w:r w:rsidRPr="00102831">
        <w:sym w:font="Wingdings 2" w:char="F04F"/>
      </w:r>
      <w:r w:rsidRPr="00102831">
        <w:t xml:space="preserve"> No</w:t>
      </w:r>
    </w:p>
    <w:tbl>
      <w:tblPr>
        <w:tblStyle w:val="TetraTech"/>
        <w:tblW w:w="4424" w:type="pct"/>
        <w:tblLayout w:type="fixed"/>
        <w:tblCellMar>
          <w:left w:w="57" w:type="dxa"/>
          <w:right w:w="57" w:type="dxa"/>
        </w:tblCellMar>
        <w:tblLook w:val="04A0" w:firstRow="1" w:lastRow="0" w:firstColumn="1" w:lastColumn="0" w:noHBand="0" w:noVBand="1"/>
      </w:tblPr>
      <w:tblGrid>
        <w:gridCol w:w="2751"/>
        <w:gridCol w:w="683"/>
        <w:gridCol w:w="684"/>
        <w:gridCol w:w="689"/>
        <w:gridCol w:w="730"/>
        <w:gridCol w:w="728"/>
        <w:gridCol w:w="934"/>
        <w:gridCol w:w="692"/>
        <w:gridCol w:w="692"/>
        <w:gridCol w:w="692"/>
        <w:gridCol w:w="715"/>
        <w:gridCol w:w="692"/>
        <w:gridCol w:w="692"/>
        <w:gridCol w:w="700"/>
        <w:gridCol w:w="692"/>
      </w:tblGrid>
      <w:tr w:rsidR="00852458" w:rsidRPr="00F90CFE" w14:paraId="3FB28F14" w14:textId="77777777" w:rsidTr="004578C4">
        <w:trPr>
          <w:cnfStyle w:val="100000000000" w:firstRow="1" w:lastRow="0" w:firstColumn="0" w:lastColumn="0" w:oddVBand="0" w:evenVBand="0" w:oddHBand="0" w:evenHBand="0" w:firstRowFirstColumn="0" w:firstRowLastColumn="0" w:lastRowFirstColumn="0" w:lastRowLastColumn="0"/>
          <w:trHeight w:val="1561"/>
          <w:tblHeader/>
        </w:trPr>
        <w:tc>
          <w:tcPr>
            <w:cnfStyle w:val="001000000000" w:firstRow="0" w:lastRow="0" w:firstColumn="1" w:lastColumn="0" w:oddVBand="0" w:evenVBand="0" w:oddHBand="0" w:evenHBand="0" w:firstRowFirstColumn="0" w:firstRowLastColumn="0" w:lastRowFirstColumn="0" w:lastRowLastColumn="0"/>
            <w:tcW w:w="1077" w:type="pct"/>
            <w:shd w:val="clear" w:color="auto" w:fill="F2F2F2" w:themeFill="background2" w:themeFillShade="F2"/>
          </w:tcPr>
          <w:p w14:paraId="40537088" w14:textId="77777777" w:rsidR="00852458" w:rsidRPr="00F90CFE" w:rsidRDefault="00852458" w:rsidP="004578C4">
            <w:pPr>
              <w:pStyle w:val="BodyText"/>
              <w:spacing w:before="0" w:after="0" w:line="240" w:lineRule="auto"/>
              <w:ind w:left="113" w:right="113"/>
              <w:rPr>
                <w:rFonts w:asciiTheme="majorHAnsi" w:hAnsiTheme="majorHAnsi" w:cstheme="majorHAnsi"/>
                <w:noProof w:val="0"/>
                <w:sz w:val="18"/>
                <w:szCs w:val="18"/>
              </w:rPr>
            </w:pPr>
            <w:r w:rsidRPr="00973680">
              <w:rPr>
                <w:rFonts w:asciiTheme="majorHAnsi" w:hAnsiTheme="majorHAnsi" w:cstheme="majorHAnsi"/>
                <w:bCs/>
                <w:noProof w:val="0"/>
                <w:color w:val="003478" w:themeColor="text2"/>
                <w:sz w:val="18"/>
                <w:szCs w:val="18"/>
              </w:rPr>
              <w:t>Components</w:t>
            </w:r>
          </w:p>
        </w:tc>
        <w:tc>
          <w:tcPr>
            <w:tcW w:w="267" w:type="pct"/>
            <w:textDirection w:val="btLr"/>
          </w:tcPr>
          <w:p w14:paraId="5C10E181"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White and grey literature</w:t>
            </w:r>
          </w:p>
        </w:tc>
        <w:tc>
          <w:tcPr>
            <w:tcW w:w="268" w:type="pct"/>
            <w:textDirection w:val="btLr"/>
          </w:tcPr>
          <w:p w14:paraId="0EA7F260"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Program Documents</w:t>
            </w:r>
          </w:p>
        </w:tc>
        <w:tc>
          <w:tcPr>
            <w:tcW w:w="270" w:type="pct"/>
            <w:textDirection w:val="btLr"/>
          </w:tcPr>
          <w:p w14:paraId="5C09FE8D"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Contextual analysis</w:t>
            </w:r>
          </w:p>
        </w:tc>
        <w:tc>
          <w:tcPr>
            <w:tcW w:w="286" w:type="pct"/>
            <w:textDirection w:val="btLr"/>
          </w:tcPr>
          <w:p w14:paraId="0677517A"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DFAT Staff perspectives</w:t>
            </w:r>
          </w:p>
        </w:tc>
        <w:tc>
          <w:tcPr>
            <w:tcW w:w="285" w:type="pct"/>
            <w:textDirection w:val="btLr"/>
          </w:tcPr>
          <w:p w14:paraId="2A7D582A"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Government perspectives</w:t>
            </w:r>
          </w:p>
        </w:tc>
        <w:tc>
          <w:tcPr>
            <w:tcW w:w="366" w:type="pct"/>
            <w:textDirection w:val="btLr"/>
          </w:tcPr>
          <w:p w14:paraId="25AC087E"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Partner organisation perspectives</w:t>
            </w:r>
          </w:p>
        </w:tc>
        <w:tc>
          <w:tcPr>
            <w:tcW w:w="271" w:type="pct"/>
            <w:textDirection w:val="btLr"/>
          </w:tcPr>
          <w:p w14:paraId="53CE9D51"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Volunteer perspectives</w:t>
            </w:r>
          </w:p>
        </w:tc>
        <w:tc>
          <w:tcPr>
            <w:tcW w:w="271" w:type="pct"/>
            <w:textDirection w:val="btLr"/>
          </w:tcPr>
          <w:p w14:paraId="38761A92"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Other Partners perspective</w:t>
            </w:r>
          </w:p>
        </w:tc>
        <w:tc>
          <w:tcPr>
            <w:tcW w:w="271" w:type="pct"/>
            <w:textDirection w:val="btLr"/>
          </w:tcPr>
          <w:p w14:paraId="25E62D54"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Expenditure Data</w:t>
            </w:r>
          </w:p>
        </w:tc>
        <w:tc>
          <w:tcPr>
            <w:tcW w:w="280" w:type="pct"/>
            <w:textDirection w:val="btLr"/>
          </w:tcPr>
          <w:p w14:paraId="0A65C4A3"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Results reporting</w:t>
            </w:r>
          </w:p>
        </w:tc>
        <w:tc>
          <w:tcPr>
            <w:tcW w:w="271" w:type="pct"/>
            <w:shd w:val="clear" w:color="auto" w:fill="F2F2F2" w:themeFill="background2" w:themeFillShade="F2"/>
            <w:textDirection w:val="btLr"/>
          </w:tcPr>
          <w:p w14:paraId="7D3561E0"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Quantitative analysis</w:t>
            </w:r>
          </w:p>
        </w:tc>
        <w:tc>
          <w:tcPr>
            <w:tcW w:w="271" w:type="pct"/>
            <w:shd w:val="clear" w:color="auto" w:fill="F2F2F2" w:themeFill="background2" w:themeFillShade="F2"/>
            <w:textDirection w:val="btLr"/>
          </w:tcPr>
          <w:p w14:paraId="03F8C537"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Map of policy priorities</w:t>
            </w:r>
          </w:p>
        </w:tc>
        <w:tc>
          <w:tcPr>
            <w:tcW w:w="274" w:type="pct"/>
            <w:shd w:val="clear" w:color="auto" w:fill="F2F2F2" w:themeFill="background2" w:themeFillShade="F2"/>
            <w:textDirection w:val="btLr"/>
          </w:tcPr>
          <w:p w14:paraId="79B285C0"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 xml:space="preserve">Program Theory </w:t>
            </w:r>
          </w:p>
        </w:tc>
        <w:tc>
          <w:tcPr>
            <w:tcW w:w="271" w:type="pct"/>
            <w:shd w:val="clear" w:color="auto" w:fill="F2F2F2" w:themeFill="background2" w:themeFillShade="F2"/>
            <w:textDirection w:val="btLr"/>
          </w:tcPr>
          <w:p w14:paraId="50C20E7C" w14:textId="77777777" w:rsidR="00852458" w:rsidRPr="00F90CFE" w:rsidRDefault="00852458" w:rsidP="004578C4">
            <w:pPr>
              <w:pStyle w:val="BodyText"/>
              <w:spacing w:before="0"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val="0"/>
                <w:sz w:val="18"/>
                <w:szCs w:val="18"/>
              </w:rPr>
            </w:pPr>
            <w:r w:rsidRPr="00F90CFE">
              <w:rPr>
                <w:rFonts w:asciiTheme="majorHAnsi" w:hAnsiTheme="majorHAnsi" w:cstheme="majorHAnsi"/>
                <w:noProof w:val="0"/>
                <w:sz w:val="18"/>
                <w:szCs w:val="18"/>
              </w:rPr>
              <w:t>Case Studies</w:t>
            </w:r>
          </w:p>
        </w:tc>
      </w:tr>
      <w:tr w:rsidR="00852458" w:rsidRPr="006D212E" w14:paraId="40D6BED4"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4027B88C"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Sustained &amp; resilient</w:t>
            </w:r>
          </w:p>
        </w:tc>
        <w:tc>
          <w:tcPr>
            <w:tcW w:w="267" w:type="pct"/>
          </w:tcPr>
          <w:p w14:paraId="4EDFBB3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68" w:type="pct"/>
          </w:tcPr>
          <w:p w14:paraId="781EC79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0" w:type="pct"/>
            <w:vAlign w:val="top"/>
          </w:tcPr>
          <w:p w14:paraId="4FDC8B3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t xml:space="preserve"> </w:t>
            </w:r>
            <w:r>
              <w:rPr>
                <w:color w:val="003478" w:themeColor="text2"/>
                <w:sz w:val="28"/>
                <w:szCs w:val="28"/>
              </w:rPr>
              <w:sym w:font="Wingdings 2" w:char="F050"/>
            </w:r>
          </w:p>
        </w:tc>
        <w:tc>
          <w:tcPr>
            <w:tcW w:w="286" w:type="pct"/>
            <w:vAlign w:val="top"/>
          </w:tcPr>
          <w:p w14:paraId="5AD53A8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5" w:type="pct"/>
            <w:vAlign w:val="top"/>
          </w:tcPr>
          <w:p w14:paraId="4132674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366" w:type="pct"/>
            <w:vAlign w:val="top"/>
          </w:tcPr>
          <w:p w14:paraId="45B1687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420143E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color w:val="003478" w:themeColor="text2"/>
                <w:sz w:val="28"/>
                <w:szCs w:val="28"/>
              </w:rPr>
              <w:sym w:font="Wingdings 2" w:char="F050"/>
            </w:r>
          </w:p>
        </w:tc>
        <w:tc>
          <w:tcPr>
            <w:tcW w:w="271" w:type="pct"/>
            <w:vAlign w:val="top"/>
          </w:tcPr>
          <w:p w14:paraId="4596778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3874D0A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0" w:type="pct"/>
          </w:tcPr>
          <w:p w14:paraId="7476A47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vAlign w:val="top"/>
          </w:tcPr>
          <w:p w14:paraId="0690295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tcPr>
          <w:p w14:paraId="638FE79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4" w:type="pct"/>
            <w:vAlign w:val="top"/>
          </w:tcPr>
          <w:p w14:paraId="22B39F8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5FFB256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Pr>
                <w:color w:val="003478" w:themeColor="text2"/>
                <w:sz w:val="28"/>
                <w:szCs w:val="28"/>
              </w:rPr>
              <w:sym w:font="Wingdings 2" w:char="F050"/>
            </w:r>
          </w:p>
        </w:tc>
      </w:tr>
      <w:tr w:rsidR="00852458" w:rsidRPr="006D212E" w14:paraId="464C366D"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09639FC3"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Quality aid</w:t>
            </w:r>
          </w:p>
        </w:tc>
        <w:tc>
          <w:tcPr>
            <w:tcW w:w="267" w:type="pct"/>
          </w:tcPr>
          <w:p w14:paraId="4DF4C00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68" w:type="pct"/>
          </w:tcPr>
          <w:p w14:paraId="41778B4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0" w:type="pct"/>
            <w:vAlign w:val="top"/>
          </w:tcPr>
          <w:p w14:paraId="22263E17" w14:textId="77777777" w:rsidR="00852458" w:rsidRPr="00CB2C57" w:rsidRDefault="00852458" w:rsidP="004578C4">
            <w:pPr>
              <w:pStyle w:val="BodyText"/>
              <w:tabs>
                <w:tab w:val="center" w:pos="226"/>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t xml:space="preserve">  </w:t>
            </w:r>
            <w:r>
              <w:rPr>
                <w:color w:val="003478" w:themeColor="text2"/>
                <w:sz w:val="28"/>
                <w:szCs w:val="28"/>
              </w:rPr>
              <w:sym w:font="Wingdings 2" w:char="F050"/>
            </w:r>
          </w:p>
        </w:tc>
        <w:tc>
          <w:tcPr>
            <w:tcW w:w="286" w:type="pct"/>
            <w:vAlign w:val="top"/>
          </w:tcPr>
          <w:p w14:paraId="3028CD6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5" w:type="pct"/>
            <w:vAlign w:val="top"/>
          </w:tcPr>
          <w:p w14:paraId="285CA21D" w14:textId="77777777" w:rsidR="00852458" w:rsidRPr="00CB2C57" w:rsidRDefault="00852458" w:rsidP="004578C4">
            <w:pPr>
              <w:pStyle w:val="BodyText"/>
              <w:tabs>
                <w:tab w:val="center" w:pos="24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tab/>
            </w:r>
            <w:r>
              <w:rPr>
                <w:color w:val="003478" w:themeColor="text2"/>
                <w:sz w:val="28"/>
                <w:szCs w:val="28"/>
              </w:rPr>
              <w:sym w:font="Wingdings 2" w:char="F050"/>
            </w:r>
          </w:p>
        </w:tc>
        <w:tc>
          <w:tcPr>
            <w:tcW w:w="366" w:type="pct"/>
            <w:vAlign w:val="top"/>
          </w:tcPr>
          <w:p w14:paraId="04C40722" w14:textId="77777777" w:rsidR="00852458" w:rsidRPr="00CB2C57" w:rsidRDefault="00852458" w:rsidP="004578C4">
            <w:pPr>
              <w:pStyle w:val="BodyText"/>
              <w:tabs>
                <w:tab w:val="left" w:pos="280"/>
                <w:tab w:val="center" w:pos="34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tab/>
            </w:r>
            <w:r>
              <w:rPr>
                <w:color w:val="003478" w:themeColor="text2"/>
                <w:sz w:val="28"/>
                <w:szCs w:val="28"/>
              </w:rPr>
              <w:tab/>
            </w:r>
            <w:r>
              <w:rPr>
                <w:color w:val="003478" w:themeColor="text2"/>
                <w:sz w:val="28"/>
                <w:szCs w:val="28"/>
              </w:rPr>
              <w:sym w:font="Wingdings 2" w:char="F050"/>
            </w:r>
          </w:p>
        </w:tc>
        <w:tc>
          <w:tcPr>
            <w:tcW w:w="271" w:type="pct"/>
            <w:vAlign w:val="top"/>
          </w:tcPr>
          <w:p w14:paraId="6F52599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color w:val="003478" w:themeColor="text2"/>
                <w:sz w:val="28"/>
                <w:szCs w:val="28"/>
              </w:rPr>
              <w:sym w:font="Wingdings 2" w:char="F050"/>
            </w:r>
          </w:p>
        </w:tc>
        <w:tc>
          <w:tcPr>
            <w:tcW w:w="271" w:type="pct"/>
            <w:vAlign w:val="top"/>
          </w:tcPr>
          <w:p w14:paraId="45442FE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tcPr>
          <w:p w14:paraId="63EE8B5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80" w:type="pct"/>
          </w:tcPr>
          <w:p w14:paraId="5165051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2B82085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3686030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4" w:type="pct"/>
          </w:tcPr>
          <w:p w14:paraId="4E2E600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vAlign w:val="top"/>
          </w:tcPr>
          <w:p w14:paraId="6426F9D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Pr>
                <w:color w:val="003478" w:themeColor="text2"/>
                <w:sz w:val="28"/>
                <w:szCs w:val="28"/>
              </w:rPr>
              <w:sym w:font="Wingdings 2" w:char="F050"/>
            </w:r>
          </w:p>
        </w:tc>
      </w:tr>
      <w:tr w:rsidR="00852458" w:rsidRPr="006D212E" w14:paraId="6DE22E28"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74D0D4B4"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 xml:space="preserve">Adaptability </w:t>
            </w:r>
          </w:p>
        </w:tc>
        <w:tc>
          <w:tcPr>
            <w:tcW w:w="267" w:type="pct"/>
          </w:tcPr>
          <w:p w14:paraId="0A7CE6D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68" w:type="pct"/>
          </w:tcPr>
          <w:p w14:paraId="74AFA94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0" w:type="pct"/>
            <w:vAlign w:val="top"/>
          </w:tcPr>
          <w:p w14:paraId="11FE025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6" w:type="pct"/>
            <w:vAlign w:val="top"/>
          </w:tcPr>
          <w:p w14:paraId="58AC1BF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5" w:type="pct"/>
            <w:vAlign w:val="top"/>
          </w:tcPr>
          <w:p w14:paraId="5DB9CF8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366" w:type="pct"/>
            <w:vAlign w:val="top"/>
          </w:tcPr>
          <w:p w14:paraId="3C5C925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4666007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color w:val="003478" w:themeColor="text2"/>
                <w:sz w:val="28"/>
                <w:szCs w:val="28"/>
              </w:rPr>
              <w:sym w:font="Wingdings 2" w:char="F050"/>
            </w:r>
          </w:p>
        </w:tc>
        <w:tc>
          <w:tcPr>
            <w:tcW w:w="271" w:type="pct"/>
          </w:tcPr>
          <w:p w14:paraId="522BF92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tcPr>
          <w:p w14:paraId="7C01D13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80" w:type="pct"/>
          </w:tcPr>
          <w:p w14:paraId="6CC3FD7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tcPr>
          <w:p w14:paraId="35E00AB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vAlign w:val="top"/>
          </w:tcPr>
          <w:p w14:paraId="6F07B66A" w14:textId="77777777" w:rsidR="00852458" w:rsidRPr="00CB2C57" w:rsidRDefault="00852458" w:rsidP="004578C4">
            <w:pPr>
              <w:pStyle w:val="BodyText"/>
              <w:tabs>
                <w:tab w:val="center" w:pos="226"/>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tab/>
            </w:r>
            <w:r>
              <w:rPr>
                <w:color w:val="003478" w:themeColor="text2"/>
                <w:sz w:val="28"/>
                <w:szCs w:val="28"/>
              </w:rPr>
              <w:sym w:font="Wingdings 2" w:char="F050"/>
            </w:r>
          </w:p>
        </w:tc>
        <w:tc>
          <w:tcPr>
            <w:tcW w:w="274" w:type="pct"/>
          </w:tcPr>
          <w:p w14:paraId="15EDF99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vAlign w:val="top"/>
          </w:tcPr>
          <w:p w14:paraId="658D041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Pr>
                <w:color w:val="003478" w:themeColor="text2"/>
                <w:sz w:val="28"/>
                <w:szCs w:val="28"/>
              </w:rPr>
              <w:sym w:font="Wingdings 2" w:char="F050"/>
            </w:r>
          </w:p>
        </w:tc>
      </w:tr>
      <w:tr w:rsidR="00852458" w:rsidRPr="006D212E" w14:paraId="058A1C02"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1911ABE5"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Modalities</w:t>
            </w:r>
          </w:p>
        </w:tc>
        <w:tc>
          <w:tcPr>
            <w:tcW w:w="267" w:type="pct"/>
          </w:tcPr>
          <w:p w14:paraId="55FC314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68" w:type="pct"/>
          </w:tcPr>
          <w:p w14:paraId="46FC514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0" w:type="pct"/>
            <w:vAlign w:val="top"/>
          </w:tcPr>
          <w:p w14:paraId="58C6153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6" w:type="pct"/>
            <w:vAlign w:val="top"/>
          </w:tcPr>
          <w:p w14:paraId="42298AD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5" w:type="pct"/>
            <w:vAlign w:val="top"/>
          </w:tcPr>
          <w:p w14:paraId="4EC0577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366" w:type="pct"/>
            <w:vAlign w:val="top"/>
          </w:tcPr>
          <w:p w14:paraId="43E81F4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3B05100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tcPr>
          <w:p w14:paraId="4C45CF7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tcPr>
          <w:p w14:paraId="2D33DA2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0" w:type="pct"/>
          </w:tcPr>
          <w:p w14:paraId="3945A5B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tcPr>
          <w:p w14:paraId="3FF2841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tcPr>
          <w:p w14:paraId="55C24BC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4" w:type="pct"/>
          </w:tcPr>
          <w:p w14:paraId="19E31BC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38ADFB2F"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Pr>
                <w:color w:val="003478" w:themeColor="text2"/>
                <w:sz w:val="28"/>
                <w:szCs w:val="28"/>
              </w:rPr>
              <w:sym w:font="Wingdings 2" w:char="F050"/>
            </w:r>
          </w:p>
        </w:tc>
      </w:tr>
      <w:tr w:rsidR="00852458" w:rsidRPr="006D212E" w14:paraId="66754E6C"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1E613BB7"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Barriers / enablers</w:t>
            </w:r>
          </w:p>
        </w:tc>
        <w:tc>
          <w:tcPr>
            <w:tcW w:w="267" w:type="pct"/>
          </w:tcPr>
          <w:p w14:paraId="133C9DC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68" w:type="pct"/>
          </w:tcPr>
          <w:p w14:paraId="177E451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0" w:type="pct"/>
            <w:vAlign w:val="top"/>
          </w:tcPr>
          <w:p w14:paraId="622C929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6" w:type="pct"/>
            <w:vAlign w:val="top"/>
          </w:tcPr>
          <w:p w14:paraId="6300768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5" w:type="pct"/>
            <w:vAlign w:val="top"/>
          </w:tcPr>
          <w:p w14:paraId="23D02AC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366" w:type="pct"/>
            <w:vAlign w:val="top"/>
          </w:tcPr>
          <w:p w14:paraId="0405F94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7439ACC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63A54147"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tcPr>
          <w:p w14:paraId="55C620A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80" w:type="pct"/>
          </w:tcPr>
          <w:p w14:paraId="2CDE802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1" w:type="pct"/>
            <w:vAlign w:val="top"/>
          </w:tcPr>
          <w:p w14:paraId="6EE8275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tcPr>
          <w:p w14:paraId="5B3960F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74" w:type="pct"/>
          </w:tcPr>
          <w:p w14:paraId="434A887A"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1D627D8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Pr>
                <w:color w:val="003478" w:themeColor="text2"/>
                <w:sz w:val="28"/>
                <w:szCs w:val="28"/>
              </w:rPr>
              <w:sym w:font="Wingdings 2" w:char="F050"/>
            </w:r>
          </w:p>
        </w:tc>
      </w:tr>
      <w:tr w:rsidR="00852458" w:rsidRPr="006D212E" w14:paraId="34AC4EBD"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3D4E648B"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Lessons learned</w:t>
            </w:r>
          </w:p>
        </w:tc>
        <w:tc>
          <w:tcPr>
            <w:tcW w:w="267" w:type="pct"/>
          </w:tcPr>
          <w:p w14:paraId="03740423"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68" w:type="pct"/>
          </w:tcPr>
          <w:p w14:paraId="14CF6BD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rFonts w:asciiTheme="majorHAnsi" w:hAnsiTheme="majorHAnsi" w:cstheme="majorHAnsi"/>
                <w:noProof w:val="0"/>
                <w:color w:val="003478" w:themeColor="text2"/>
                <w:sz w:val="28"/>
                <w:szCs w:val="28"/>
              </w:rPr>
              <w:sym w:font="Wingdings 2" w:char="F04F"/>
            </w:r>
          </w:p>
        </w:tc>
        <w:tc>
          <w:tcPr>
            <w:tcW w:w="270" w:type="pct"/>
            <w:vAlign w:val="top"/>
          </w:tcPr>
          <w:p w14:paraId="7467CDC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color w:val="003478" w:themeColor="text2"/>
                <w:sz w:val="28"/>
                <w:szCs w:val="28"/>
              </w:rPr>
              <w:sym w:font="Wingdings 2" w:char="F050"/>
            </w:r>
          </w:p>
        </w:tc>
        <w:tc>
          <w:tcPr>
            <w:tcW w:w="286" w:type="pct"/>
            <w:vAlign w:val="top"/>
          </w:tcPr>
          <w:p w14:paraId="4D4DFC2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5" w:type="pct"/>
            <w:vAlign w:val="top"/>
          </w:tcPr>
          <w:p w14:paraId="43CF01C4" w14:textId="77777777" w:rsidR="00852458" w:rsidRPr="00CB2C57" w:rsidRDefault="00852458" w:rsidP="004578C4">
            <w:pPr>
              <w:pStyle w:val="BodyText"/>
              <w:tabs>
                <w:tab w:val="left" w:pos="180"/>
                <w:tab w:val="center" w:pos="24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tab/>
            </w:r>
            <w:r>
              <w:rPr>
                <w:color w:val="003478" w:themeColor="text2"/>
                <w:sz w:val="28"/>
                <w:szCs w:val="28"/>
              </w:rPr>
              <w:tab/>
            </w:r>
            <w:r>
              <w:rPr>
                <w:color w:val="003478" w:themeColor="text2"/>
                <w:sz w:val="28"/>
                <w:szCs w:val="28"/>
              </w:rPr>
              <w:sym w:font="Wingdings 2" w:char="F050"/>
            </w:r>
          </w:p>
        </w:tc>
        <w:tc>
          <w:tcPr>
            <w:tcW w:w="366" w:type="pct"/>
            <w:vAlign w:val="top"/>
          </w:tcPr>
          <w:p w14:paraId="77838C6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0CAD265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69A51EB0"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tcPr>
          <w:p w14:paraId="7E973786"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80" w:type="pct"/>
          </w:tcPr>
          <w:p w14:paraId="0A3A1DF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rFonts w:asciiTheme="majorHAnsi" w:hAnsiTheme="majorHAnsi" w:cstheme="majorHAnsi"/>
                <w:noProof w:val="0"/>
                <w:color w:val="003478" w:themeColor="text2"/>
                <w:sz w:val="28"/>
                <w:szCs w:val="28"/>
              </w:rPr>
              <w:sym w:font="Wingdings 2" w:char="F04F"/>
            </w:r>
          </w:p>
        </w:tc>
        <w:tc>
          <w:tcPr>
            <w:tcW w:w="271" w:type="pct"/>
            <w:vAlign w:val="top"/>
          </w:tcPr>
          <w:p w14:paraId="729C8A8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color w:val="003478" w:themeColor="text2"/>
                <w:sz w:val="28"/>
                <w:szCs w:val="28"/>
              </w:rPr>
              <w:sym w:font="Wingdings 2" w:char="F050"/>
            </w:r>
          </w:p>
        </w:tc>
        <w:tc>
          <w:tcPr>
            <w:tcW w:w="271" w:type="pct"/>
          </w:tcPr>
          <w:p w14:paraId="7A7B82A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rFonts w:asciiTheme="majorHAnsi" w:hAnsiTheme="majorHAnsi" w:cstheme="majorHAnsi"/>
                <w:noProof w:val="0"/>
                <w:color w:val="003478" w:themeColor="text2"/>
                <w:sz w:val="28"/>
                <w:szCs w:val="28"/>
              </w:rPr>
              <w:sym w:font="Wingdings 2" w:char="F04F"/>
            </w:r>
          </w:p>
        </w:tc>
        <w:tc>
          <w:tcPr>
            <w:tcW w:w="274" w:type="pct"/>
          </w:tcPr>
          <w:p w14:paraId="6F4F6B2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rFonts w:asciiTheme="majorHAnsi" w:hAnsiTheme="majorHAnsi" w:cstheme="majorHAnsi"/>
                <w:noProof w:val="0"/>
                <w:color w:val="003478" w:themeColor="text2"/>
                <w:sz w:val="28"/>
                <w:szCs w:val="28"/>
              </w:rPr>
              <w:sym w:font="Wingdings 2" w:char="F04F"/>
            </w:r>
          </w:p>
        </w:tc>
        <w:tc>
          <w:tcPr>
            <w:tcW w:w="271" w:type="pct"/>
            <w:vAlign w:val="top"/>
          </w:tcPr>
          <w:p w14:paraId="54CF6D9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Pr>
                <w:color w:val="003478" w:themeColor="text2"/>
                <w:sz w:val="28"/>
                <w:szCs w:val="28"/>
              </w:rPr>
              <w:sym w:font="Wingdings 2" w:char="F050"/>
            </w:r>
          </w:p>
        </w:tc>
      </w:tr>
      <w:tr w:rsidR="00852458" w:rsidRPr="006D212E" w14:paraId="63CCBD65" w14:textId="77777777" w:rsidTr="004578C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077" w:type="pct"/>
          </w:tcPr>
          <w:p w14:paraId="51557F6D" w14:textId="77777777" w:rsidR="00852458" w:rsidRPr="00F90CFE" w:rsidRDefault="00852458" w:rsidP="004578C4">
            <w:pPr>
              <w:pStyle w:val="BodyText"/>
              <w:spacing w:before="0" w:after="0" w:line="240" w:lineRule="auto"/>
              <w:rPr>
                <w:rFonts w:asciiTheme="majorHAnsi" w:hAnsiTheme="majorHAnsi" w:cstheme="majorHAnsi"/>
                <w:noProof w:val="0"/>
                <w:sz w:val="18"/>
                <w:szCs w:val="18"/>
              </w:rPr>
            </w:pPr>
            <w:r w:rsidRPr="00F90CFE">
              <w:rPr>
                <w:rFonts w:asciiTheme="majorHAnsi" w:hAnsiTheme="majorHAnsi" w:cstheme="majorHAnsi"/>
                <w:noProof w:val="0"/>
                <w:sz w:val="18"/>
                <w:szCs w:val="18"/>
              </w:rPr>
              <w:t>Improvements</w:t>
            </w:r>
          </w:p>
        </w:tc>
        <w:tc>
          <w:tcPr>
            <w:tcW w:w="267" w:type="pct"/>
          </w:tcPr>
          <w:p w14:paraId="58065F7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68" w:type="pct"/>
          </w:tcPr>
          <w:p w14:paraId="07898DDC"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rFonts w:asciiTheme="majorHAnsi" w:hAnsiTheme="majorHAnsi" w:cstheme="majorHAnsi"/>
                <w:noProof w:val="0"/>
                <w:color w:val="003478" w:themeColor="text2"/>
                <w:sz w:val="28"/>
                <w:szCs w:val="28"/>
              </w:rPr>
              <w:sym w:font="Wingdings 2" w:char="F04F"/>
            </w:r>
          </w:p>
        </w:tc>
        <w:tc>
          <w:tcPr>
            <w:tcW w:w="270" w:type="pct"/>
            <w:vAlign w:val="top"/>
          </w:tcPr>
          <w:p w14:paraId="4313EFC9"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color w:val="003478" w:themeColor="text2"/>
                <w:sz w:val="28"/>
                <w:szCs w:val="28"/>
              </w:rPr>
              <w:sym w:font="Wingdings 2" w:char="F050"/>
            </w:r>
          </w:p>
        </w:tc>
        <w:tc>
          <w:tcPr>
            <w:tcW w:w="286" w:type="pct"/>
            <w:vAlign w:val="top"/>
          </w:tcPr>
          <w:p w14:paraId="6EE2DB11"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85" w:type="pct"/>
            <w:vAlign w:val="top"/>
          </w:tcPr>
          <w:p w14:paraId="0FFB0E58"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366" w:type="pct"/>
            <w:vAlign w:val="top"/>
          </w:tcPr>
          <w:p w14:paraId="2D62007D"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23B98FEE"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vAlign w:val="top"/>
          </w:tcPr>
          <w:p w14:paraId="20D3731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color w:val="003478" w:themeColor="text2"/>
                <w:sz w:val="28"/>
                <w:szCs w:val="28"/>
              </w:rPr>
              <w:sym w:font="Wingdings 2" w:char="F050"/>
            </w:r>
          </w:p>
        </w:tc>
        <w:tc>
          <w:tcPr>
            <w:tcW w:w="271" w:type="pct"/>
          </w:tcPr>
          <w:p w14:paraId="6AF39DE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rPr>
            </w:pPr>
            <w:r>
              <w:rPr>
                <w:rFonts w:asciiTheme="majorHAnsi" w:hAnsiTheme="majorHAnsi" w:cstheme="majorHAnsi"/>
                <w:noProof w:val="0"/>
                <w:color w:val="003478" w:themeColor="text2"/>
                <w:sz w:val="28"/>
                <w:szCs w:val="28"/>
              </w:rPr>
              <w:sym w:font="Wingdings 2" w:char="F04F"/>
            </w:r>
          </w:p>
        </w:tc>
        <w:tc>
          <w:tcPr>
            <w:tcW w:w="280" w:type="pct"/>
          </w:tcPr>
          <w:p w14:paraId="1EFCE775"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rFonts w:asciiTheme="majorHAnsi" w:hAnsiTheme="majorHAnsi" w:cstheme="majorHAnsi"/>
                <w:noProof w:val="0"/>
                <w:color w:val="003478" w:themeColor="text2"/>
                <w:sz w:val="28"/>
                <w:szCs w:val="28"/>
              </w:rPr>
              <w:sym w:font="Wingdings 2" w:char="F04F"/>
            </w:r>
          </w:p>
        </w:tc>
        <w:tc>
          <w:tcPr>
            <w:tcW w:w="271" w:type="pct"/>
            <w:vAlign w:val="top"/>
          </w:tcPr>
          <w:p w14:paraId="67482CD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color w:val="003478" w:themeColor="text2"/>
                <w:sz w:val="28"/>
                <w:szCs w:val="28"/>
              </w:rPr>
              <w:sym w:font="Wingdings 2" w:char="F050"/>
            </w:r>
          </w:p>
        </w:tc>
        <w:tc>
          <w:tcPr>
            <w:tcW w:w="271" w:type="pct"/>
          </w:tcPr>
          <w:p w14:paraId="56EC72C4"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color w:val="003478" w:themeColor="text2"/>
                <w:sz w:val="28"/>
                <w:szCs w:val="28"/>
              </w:rPr>
              <w:sym w:font="Wingdings 2" w:char="F050"/>
            </w:r>
          </w:p>
        </w:tc>
        <w:tc>
          <w:tcPr>
            <w:tcW w:w="274" w:type="pct"/>
          </w:tcPr>
          <w:p w14:paraId="47FBBA6B"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color w:val="003478" w:themeColor="text2"/>
                <w:sz w:val="28"/>
                <w:szCs w:val="28"/>
                <w:lang w:eastAsia="en-NZ"/>
              </w:rPr>
            </w:pPr>
            <w:r>
              <w:rPr>
                <w:color w:val="003478" w:themeColor="text2"/>
                <w:sz w:val="28"/>
                <w:szCs w:val="28"/>
              </w:rPr>
              <w:sym w:font="Wingdings 2" w:char="F050"/>
            </w:r>
          </w:p>
        </w:tc>
        <w:tc>
          <w:tcPr>
            <w:tcW w:w="271" w:type="pct"/>
            <w:vAlign w:val="top"/>
          </w:tcPr>
          <w:p w14:paraId="1F2B8652" w14:textId="77777777" w:rsidR="00852458" w:rsidRPr="00CB2C57" w:rsidRDefault="00852458" w:rsidP="004578C4">
            <w:pPr>
              <w:pStyle w:val="BodyText"/>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3478" w:themeColor="text2"/>
                <w:sz w:val="28"/>
                <w:szCs w:val="28"/>
              </w:rPr>
            </w:pPr>
            <w:r>
              <w:rPr>
                <w:color w:val="003478" w:themeColor="text2"/>
                <w:sz w:val="28"/>
                <w:szCs w:val="28"/>
              </w:rPr>
              <w:sym w:font="Wingdings 2" w:char="F050"/>
            </w:r>
          </w:p>
        </w:tc>
      </w:tr>
    </w:tbl>
    <w:p w14:paraId="119ED510" w14:textId="77777777" w:rsidR="00E259F4" w:rsidRPr="00F90CFE" w:rsidRDefault="00E259F4" w:rsidP="00E259F4">
      <w:pPr>
        <w:pStyle w:val="BodyText"/>
        <w:rPr>
          <w:rFonts w:asciiTheme="majorHAnsi" w:hAnsiTheme="majorHAnsi" w:cstheme="majorHAnsi"/>
          <w:noProof w:val="0"/>
        </w:rPr>
      </w:pPr>
    </w:p>
    <w:p w14:paraId="15608874" w14:textId="77777777" w:rsidR="00E259F4" w:rsidRPr="00F90CFE" w:rsidRDefault="00E259F4" w:rsidP="00E259F4">
      <w:pPr>
        <w:spacing w:line="240" w:lineRule="auto"/>
        <w:rPr>
          <w:rFonts w:asciiTheme="majorHAnsi" w:hAnsiTheme="majorHAnsi" w:cstheme="majorHAnsi"/>
          <w:lang w:val="en-AU"/>
        </w:rPr>
        <w:sectPr w:rsidR="00E259F4" w:rsidRPr="00F90CFE" w:rsidSect="00BF676C">
          <w:pgSz w:w="16838" w:h="11906" w:orient="landscape" w:code="9"/>
          <w:pgMar w:top="1134" w:right="1276" w:bottom="1134" w:left="1134" w:header="737" w:footer="567" w:gutter="0"/>
          <w:cols w:space="720"/>
          <w:docGrid w:linePitch="360"/>
        </w:sectPr>
      </w:pPr>
    </w:p>
    <w:p w14:paraId="720F604F" w14:textId="77777777" w:rsidR="00E259F4" w:rsidRPr="00F90CFE" w:rsidRDefault="00E259F4" w:rsidP="005F376A">
      <w:pPr>
        <w:pStyle w:val="Heading2"/>
        <w:rPr>
          <w:sz w:val="22"/>
          <w:szCs w:val="22"/>
        </w:rPr>
      </w:pPr>
      <w:bookmarkStart w:id="45" w:name="_Toc54967201"/>
      <w:bookmarkStart w:id="46" w:name="_Toc54967202"/>
      <w:bookmarkEnd w:id="45"/>
      <w:bookmarkEnd w:id="46"/>
      <w:r w:rsidRPr="00F90CFE">
        <w:rPr>
          <w:sz w:val="22"/>
          <w:szCs w:val="22"/>
        </w:rPr>
        <w:lastRenderedPageBreak/>
        <w:t>Data collection</w:t>
      </w:r>
    </w:p>
    <w:p w14:paraId="284AEBEE" w14:textId="066D617E" w:rsidR="00E259F4" w:rsidRPr="00F90CFE" w:rsidRDefault="00E259F4" w:rsidP="00875D0A">
      <w:pPr>
        <w:rPr>
          <w:lang w:val="en-AU"/>
        </w:rPr>
      </w:pPr>
      <w:r w:rsidRPr="00F90CFE">
        <w:rPr>
          <w:lang w:val="en-AU"/>
        </w:rPr>
        <w:t xml:space="preserve">This section describes in more detail the specific methods used for data collection and analysis. These tools were used both with Australia-based stakeholders and those in the five case study countries. </w:t>
      </w:r>
    </w:p>
    <w:p w14:paraId="5D49C8B3" w14:textId="77777777" w:rsidR="00E259F4" w:rsidRPr="00F90CFE" w:rsidRDefault="00E259F4" w:rsidP="00E259F4">
      <w:pPr>
        <w:pStyle w:val="BodyText"/>
        <w:rPr>
          <w:rFonts w:asciiTheme="majorHAnsi" w:hAnsiTheme="majorHAnsi" w:cstheme="majorHAnsi"/>
          <w:b/>
          <w:bCs/>
          <w:noProof w:val="0"/>
        </w:rPr>
      </w:pPr>
      <w:r w:rsidRPr="00F90CFE">
        <w:rPr>
          <w:rFonts w:asciiTheme="majorHAnsi" w:hAnsiTheme="majorHAnsi" w:cstheme="majorHAnsi"/>
          <w:b/>
          <w:bCs/>
          <w:noProof w:val="0"/>
        </w:rPr>
        <w:t xml:space="preserve">Summary of data collection tools </w:t>
      </w:r>
    </w:p>
    <w:tbl>
      <w:tblPr>
        <w:tblStyle w:val="TetraTech"/>
        <w:tblW w:w="0" w:type="auto"/>
        <w:tblCellMar>
          <w:left w:w="57" w:type="dxa"/>
          <w:right w:w="57" w:type="dxa"/>
        </w:tblCellMar>
        <w:tblLook w:val="04A0" w:firstRow="1" w:lastRow="0" w:firstColumn="1" w:lastColumn="0" w:noHBand="0" w:noVBand="1"/>
      </w:tblPr>
      <w:tblGrid>
        <w:gridCol w:w="1415"/>
        <w:gridCol w:w="3899"/>
        <w:gridCol w:w="4432"/>
      </w:tblGrid>
      <w:tr w:rsidR="002D0AA9" w:rsidRPr="00F90CFE" w14:paraId="1B35F350" w14:textId="77777777" w:rsidTr="009736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top"/>
          </w:tcPr>
          <w:p w14:paraId="72A5608D" w14:textId="77777777" w:rsidR="00E259F4" w:rsidRPr="00973680" w:rsidRDefault="00E259F4" w:rsidP="00996BD5">
            <w:pPr>
              <w:spacing w:line="252" w:lineRule="auto"/>
              <w:rPr>
                <w:rFonts w:asciiTheme="majorHAnsi" w:hAnsiTheme="majorHAnsi" w:cstheme="majorHAnsi"/>
                <w:b w:val="0"/>
                <w:bCs/>
                <w:color w:val="003478" w:themeColor="text2"/>
                <w:szCs w:val="20"/>
                <w:lang w:val="en-AU"/>
              </w:rPr>
            </w:pPr>
            <w:bookmarkStart w:id="47" w:name="_Hlk53792074"/>
            <w:r w:rsidRPr="00973680">
              <w:rPr>
                <w:rFonts w:asciiTheme="majorHAnsi" w:hAnsiTheme="majorHAnsi" w:cstheme="majorHAnsi"/>
                <w:bCs/>
                <w:color w:val="003478" w:themeColor="text2"/>
                <w:szCs w:val="20"/>
                <w:lang w:val="en-AU"/>
              </w:rPr>
              <w:t>Method / tool</w:t>
            </w:r>
          </w:p>
        </w:tc>
        <w:tc>
          <w:tcPr>
            <w:tcW w:w="0" w:type="auto"/>
            <w:vAlign w:val="top"/>
          </w:tcPr>
          <w:p w14:paraId="4D760625" w14:textId="77777777" w:rsidR="00E259F4" w:rsidRPr="00973680" w:rsidRDefault="00E259F4" w:rsidP="00996BD5">
            <w:pPr>
              <w:spacing w:line="252"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003478" w:themeColor="text2"/>
                <w:szCs w:val="20"/>
                <w:lang w:val="en-AU"/>
              </w:rPr>
            </w:pPr>
            <w:r w:rsidRPr="00973680">
              <w:rPr>
                <w:rFonts w:asciiTheme="majorHAnsi" w:hAnsiTheme="majorHAnsi" w:cstheme="majorHAnsi"/>
                <w:bCs/>
                <w:color w:val="003478" w:themeColor="text2"/>
                <w:szCs w:val="20"/>
                <w:lang w:val="en-AU"/>
              </w:rPr>
              <w:t>Description</w:t>
            </w:r>
          </w:p>
        </w:tc>
        <w:tc>
          <w:tcPr>
            <w:tcW w:w="0" w:type="auto"/>
            <w:vAlign w:val="top"/>
          </w:tcPr>
          <w:p w14:paraId="43D69C46" w14:textId="0E321C51" w:rsidR="00E259F4" w:rsidRPr="00973680" w:rsidRDefault="00E259F4" w:rsidP="00996BD5">
            <w:pPr>
              <w:tabs>
                <w:tab w:val="center" w:pos="2005"/>
              </w:tabs>
              <w:spacing w:line="252"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003478" w:themeColor="text2"/>
                <w:szCs w:val="20"/>
                <w:lang w:val="en-AU"/>
              </w:rPr>
            </w:pPr>
            <w:r w:rsidRPr="00973680">
              <w:rPr>
                <w:rFonts w:asciiTheme="majorHAnsi" w:hAnsiTheme="majorHAnsi" w:cstheme="majorHAnsi"/>
                <w:bCs/>
                <w:color w:val="003478" w:themeColor="text2"/>
                <w:szCs w:val="20"/>
                <w:lang w:val="en-AU"/>
              </w:rPr>
              <w:t>Outputs</w:t>
            </w:r>
          </w:p>
        </w:tc>
      </w:tr>
      <w:tr w:rsidR="00E259F4" w:rsidRPr="00F90CFE" w14:paraId="7BD5DC71" w14:textId="77777777" w:rsidTr="00996BD5">
        <w:tc>
          <w:tcPr>
            <w:cnfStyle w:val="001000000000" w:firstRow="0" w:lastRow="0" w:firstColumn="1" w:lastColumn="0" w:oddVBand="0" w:evenVBand="0" w:oddHBand="0" w:evenHBand="0" w:firstRowFirstColumn="0" w:firstRowLastColumn="0" w:lastRowFirstColumn="0" w:lastRowLastColumn="0"/>
            <w:tcW w:w="0" w:type="auto"/>
            <w:vAlign w:val="top"/>
          </w:tcPr>
          <w:p w14:paraId="1C8BF457" w14:textId="45337DD6" w:rsidR="00E259F4" w:rsidRPr="00996BD5" w:rsidRDefault="00E259F4" w:rsidP="00996BD5">
            <w:pPr>
              <w:spacing w:line="252" w:lineRule="auto"/>
              <w:rPr>
                <w:rFonts w:asciiTheme="majorHAnsi" w:hAnsiTheme="majorHAnsi" w:cstheme="majorHAnsi"/>
                <w:b/>
                <w:bCs/>
                <w:szCs w:val="20"/>
                <w:lang w:val="en-AU"/>
              </w:rPr>
            </w:pPr>
            <w:r w:rsidRPr="00996BD5">
              <w:rPr>
                <w:rFonts w:asciiTheme="majorHAnsi" w:hAnsiTheme="majorHAnsi" w:cstheme="majorHAnsi"/>
                <w:b/>
                <w:bCs/>
                <w:szCs w:val="20"/>
                <w:lang w:val="en-AU"/>
              </w:rPr>
              <w:t xml:space="preserve">Document review </w:t>
            </w:r>
          </w:p>
        </w:tc>
        <w:tc>
          <w:tcPr>
            <w:tcW w:w="0" w:type="auto"/>
            <w:vAlign w:val="top"/>
          </w:tcPr>
          <w:p w14:paraId="402978C2" w14:textId="1DF3925C" w:rsidR="00E259F4" w:rsidRPr="00F90CFE" w:rsidRDefault="00E259F4" w:rsidP="00996BD5">
            <w:pPr>
              <w:cnfStyle w:val="000000000000" w:firstRow="0" w:lastRow="0" w:firstColumn="0" w:lastColumn="0" w:oddVBand="0" w:evenVBand="0" w:oddHBand="0" w:evenHBand="0" w:firstRowFirstColumn="0" w:firstRowLastColumn="0" w:lastRowFirstColumn="0" w:lastRowLastColumn="0"/>
              <w:rPr>
                <w:lang w:val="en-AU"/>
              </w:rPr>
            </w:pPr>
            <w:r w:rsidRPr="00F90CFE">
              <w:rPr>
                <w:lang w:val="en-AU"/>
              </w:rPr>
              <w:t xml:space="preserve">A desktop review of both operational and reporting data for </w:t>
            </w:r>
            <w:r w:rsidR="00875D0A" w:rsidRPr="00F90CFE">
              <w:rPr>
                <w:lang w:val="en-AU"/>
              </w:rPr>
              <w:t>the program</w:t>
            </w:r>
            <w:r w:rsidRPr="00F90CFE">
              <w:rPr>
                <w:lang w:val="en-AU"/>
              </w:rPr>
              <w:t xml:space="preserve"> was carried out. The document review process also included a light-touch literature scan to capture learning by other partners about how to support development of the volunteering program, as well as what an effective program of support looks like. </w:t>
            </w:r>
          </w:p>
        </w:tc>
        <w:tc>
          <w:tcPr>
            <w:tcW w:w="0" w:type="auto"/>
            <w:vAlign w:val="top"/>
          </w:tcPr>
          <w:p w14:paraId="7D568915" w14:textId="2159C915" w:rsidR="00E259F4" w:rsidRPr="00F90CFE" w:rsidRDefault="00836AB7" w:rsidP="00B911EF">
            <w:pPr>
              <w:pStyle w:val="BodyText"/>
              <w:spacing w:before="120" w:after="120" w:line="21"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noProof w:val="0"/>
              </w:rPr>
            </w:pPr>
            <w:r w:rsidRPr="00F90CFE">
              <w:rPr>
                <w:rFonts w:asciiTheme="majorHAnsi" w:hAnsiTheme="majorHAnsi" w:cstheme="majorHAnsi"/>
                <w:noProof w:val="0"/>
              </w:rPr>
              <w:t xml:space="preserve">The evaluation team reviewed </w:t>
            </w:r>
            <w:r w:rsidR="00E259F4" w:rsidRPr="00F90CFE">
              <w:rPr>
                <w:rFonts w:asciiTheme="majorHAnsi" w:hAnsiTheme="majorHAnsi" w:cstheme="majorHAnsi"/>
                <w:noProof w:val="0"/>
              </w:rPr>
              <w:t>220 documents covering a range of topics including the global program strategy, annual and country plans, performance reports, contractual requirements, and financial statements</w:t>
            </w:r>
            <w:r w:rsidR="00996BD5">
              <w:rPr>
                <w:rFonts w:asciiTheme="majorHAnsi" w:hAnsiTheme="majorHAnsi" w:cstheme="majorHAnsi"/>
                <w:noProof w:val="0"/>
              </w:rPr>
              <w:t>.</w:t>
            </w:r>
            <w:r w:rsidR="00B911EF">
              <w:rPr>
                <w:rFonts w:asciiTheme="majorHAnsi" w:hAnsiTheme="majorHAnsi" w:cstheme="majorHAnsi"/>
                <w:noProof w:val="0"/>
              </w:rPr>
              <w:t xml:space="preserve"> </w:t>
            </w:r>
            <w:r w:rsidRPr="00F90CFE">
              <w:rPr>
                <w:rFonts w:asciiTheme="majorHAnsi" w:hAnsiTheme="majorHAnsi" w:cstheme="majorHAnsi"/>
                <w:noProof w:val="0"/>
              </w:rPr>
              <w:t xml:space="preserve">We used </w:t>
            </w:r>
            <w:r w:rsidR="00E259F4" w:rsidRPr="00F90CFE">
              <w:rPr>
                <w:rFonts w:asciiTheme="majorHAnsi" w:hAnsiTheme="majorHAnsi" w:cstheme="majorHAnsi"/>
                <w:noProof w:val="0"/>
              </w:rPr>
              <w:t xml:space="preserve">NVivo software to structure the analysis based on the </w:t>
            </w:r>
            <w:r w:rsidR="00996BD5" w:rsidRPr="00F90CFE">
              <w:rPr>
                <w:rFonts w:asciiTheme="majorHAnsi" w:hAnsiTheme="majorHAnsi" w:cstheme="majorHAnsi"/>
                <w:noProof w:val="0"/>
              </w:rPr>
              <w:t>evaluation</w:t>
            </w:r>
            <w:r w:rsidR="00E259F4" w:rsidRPr="00F90CFE">
              <w:rPr>
                <w:rFonts w:asciiTheme="majorHAnsi" w:hAnsiTheme="majorHAnsi" w:cstheme="majorHAnsi"/>
                <w:noProof w:val="0"/>
              </w:rPr>
              <w:t xml:space="preserve"> questions and code data. </w:t>
            </w:r>
            <w:r w:rsidR="00E259F4" w:rsidRPr="00F90CFE">
              <w:rPr>
                <w:rFonts w:asciiTheme="majorHAnsi" w:hAnsiTheme="majorHAnsi" w:cstheme="majorBidi"/>
                <w:noProof w:val="0"/>
              </w:rPr>
              <w:t>The document review also fed directly into the comparative an</w:t>
            </w:r>
            <w:r w:rsidR="68A163EE" w:rsidRPr="00F90CFE">
              <w:rPr>
                <w:rFonts w:asciiTheme="majorHAnsi" w:hAnsiTheme="majorHAnsi" w:cstheme="majorBidi"/>
                <w:noProof w:val="0"/>
              </w:rPr>
              <w:t>a</w:t>
            </w:r>
            <w:r w:rsidR="00E259F4" w:rsidRPr="00F90CFE">
              <w:rPr>
                <w:rFonts w:asciiTheme="majorHAnsi" w:hAnsiTheme="majorHAnsi" w:cstheme="majorBidi"/>
                <w:noProof w:val="0"/>
              </w:rPr>
              <w:t>lysis (see below)</w:t>
            </w:r>
            <w:r w:rsidR="7303A1FD" w:rsidRPr="00F90CFE">
              <w:rPr>
                <w:rFonts w:asciiTheme="majorHAnsi" w:hAnsiTheme="majorHAnsi" w:cstheme="majorBidi"/>
                <w:noProof w:val="0"/>
              </w:rPr>
              <w:t>.</w:t>
            </w:r>
          </w:p>
        </w:tc>
      </w:tr>
      <w:tr w:rsidR="00E259F4" w:rsidRPr="00F90CFE" w14:paraId="0185ECD8" w14:textId="77777777" w:rsidTr="00996BD5">
        <w:tc>
          <w:tcPr>
            <w:cnfStyle w:val="001000000000" w:firstRow="0" w:lastRow="0" w:firstColumn="1" w:lastColumn="0" w:oddVBand="0" w:evenVBand="0" w:oddHBand="0" w:evenHBand="0" w:firstRowFirstColumn="0" w:firstRowLastColumn="0" w:lastRowFirstColumn="0" w:lastRowLastColumn="0"/>
            <w:tcW w:w="0" w:type="auto"/>
            <w:vAlign w:val="top"/>
          </w:tcPr>
          <w:p w14:paraId="5676D7F5" w14:textId="77777777" w:rsidR="00E259F4" w:rsidRPr="00996BD5" w:rsidRDefault="00E259F4" w:rsidP="00996BD5">
            <w:pPr>
              <w:spacing w:line="252" w:lineRule="auto"/>
              <w:rPr>
                <w:rFonts w:asciiTheme="majorHAnsi" w:hAnsiTheme="majorHAnsi" w:cstheme="majorHAnsi"/>
                <w:b/>
                <w:bCs/>
                <w:szCs w:val="20"/>
                <w:lang w:val="en-AU"/>
              </w:rPr>
            </w:pPr>
            <w:r w:rsidRPr="00996BD5">
              <w:rPr>
                <w:rFonts w:asciiTheme="majorHAnsi" w:hAnsiTheme="majorHAnsi" w:cstheme="majorHAnsi"/>
                <w:b/>
                <w:bCs/>
                <w:szCs w:val="20"/>
                <w:lang w:val="en-AU"/>
              </w:rPr>
              <w:t>Program data</w:t>
            </w:r>
          </w:p>
        </w:tc>
        <w:tc>
          <w:tcPr>
            <w:tcW w:w="0" w:type="auto"/>
            <w:vAlign w:val="top"/>
          </w:tcPr>
          <w:p w14:paraId="2847A40D" w14:textId="3BCB26B0" w:rsidR="00E259F4" w:rsidRPr="00F90CFE" w:rsidRDefault="00836AB7" w:rsidP="00996BD5">
            <w:pPr>
              <w:cnfStyle w:val="000000000000" w:firstRow="0" w:lastRow="0" w:firstColumn="0" w:lastColumn="0" w:oddVBand="0" w:evenVBand="0" w:oddHBand="0" w:evenHBand="0" w:firstRowFirstColumn="0" w:firstRowLastColumn="0" w:lastRowFirstColumn="0" w:lastRowLastColumn="0"/>
              <w:rPr>
                <w:lang w:val="en-AU"/>
              </w:rPr>
            </w:pPr>
            <w:r w:rsidRPr="00F90CFE">
              <w:rPr>
                <w:lang w:val="en-AU"/>
              </w:rPr>
              <w:t>The program provided d</w:t>
            </w:r>
            <w:r w:rsidR="00E259F4" w:rsidRPr="00F90CFE">
              <w:rPr>
                <w:lang w:val="en-AU"/>
              </w:rPr>
              <w:t xml:space="preserve">ata on output and intermediate outcome level indicators was provided for </w:t>
            </w:r>
            <w:r w:rsidRPr="00F90CFE">
              <w:rPr>
                <w:lang w:val="en-AU"/>
              </w:rPr>
              <w:t>the</w:t>
            </w:r>
            <w:r w:rsidR="00E259F4" w:rsidRPr="00F90CFE">
              <w:rPr>
                <w:lang w:val="en-AU"/>
              </w:rPr>
              <w:t xml:space="preserve"> period covering January 2018 to December 2020. Program monitoring data is drawn primarily from assignment-level monitoring tools completed by volunteers and partner organisations. </w:t>
            </w:r>
          </w:p>
        </w:tc>
        <w:tc>
          <w:tcPr>
            <w:tcW w:w="0" w:type="auto"/>
            <w:vAlign w:val="top"/>
          </w:tcPr>
          <w:p w14:paraId="5F6D5C97" w14:textId="591B5715" w:rsidR="00E259F4" w:rsidRPr="00F90CFE" w:rsidRDefault="00836AB7" w:rsidP="00996BD5">
            <w:pPr>
              <w:pStyle w:val="BodyText"/>
              <w:spacing w:before="120" w:after="120" w:line="21"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rPr>
            </w:pPr>
            <w:r w:rsidRPr="00F90CFE">
              <w:rPr>
                <w:rFonts w:asciiTheme="majorHAnsi" w:hAnsiTheme="majorHAnsi" w:cstheme="majorHAnsi"/>
                <w:noProof w:val="0"/>
              </w:rPr>
              <w:t>The evaluation team used p</w:t>
            </w:r>
            <w:r w:rsidR="00E259F4" w:rsidRPr="00F90CFE">
              <w:rPr>
                <w:rFonts w:asciiTheme="majorHAnsi" w:hAnsiTheme="majorHAnsi" w:cstheme="majorHAnsi"/>
                <w:noProof w:val="0"/>
              </w:rPr>
              <w:t>rogram data at the country level for the five country case studies as well as informing the analysis in the global ev</w:t>
            </w:r>
            <w:r w:rsidRPr="00F90CFE">
              <w:rPr>
                <w:rFonts w:asciiTheme="majorHAnsi" w:hAnsiTheme="majorHAnsi" w:cstheme="majorHAnsi"/>
                <w:noProof w:val="0"/>
              </w:rPr>
              <w:t>a</w:t>
            </w:r>
            <w:r w:rsidR="00E259F4" w:rsidRPr="00F90CFE">
              <w:rPr>
                <w:rFonts w:asciiTheme="majorHAnsi" w:hAnsiTheme="majorHAnsi" w:cstheme="majorHAnsi"/>
                <w:noProof w:val="0"/>
              </w:rPr>
              <w:t>l</w:t>
            </w:r>
            <w:r w:rsidRPr="00F90CFE">
              <w:rPr>
                <w:rFonts w:asciiTheme="majorHAnsi" w:hAnsiTheme="majorHAnsi" w:cstheme="majorHAnsi"/>
                <w:noProof w:val="0"/>
              </w:rPr>
              <w:t>ua</w:t>
            </w:r>
            <w:r w:rsidR="00E259F4" w:rsidRPr="00F90CFE">
              <w:rPr>
                <w:rFonts w:asciiTheme="majorHAnsi" w:hAnsiTheme="majorHAnsi" w:cstheme="majorHAnsi"/>
                <w:noProof w:val="0"/>
              </w:rPr>
              <w:t xml:space="preserve">tion report. </w:t>
            </w:r>
          </w:p>
        </w:tc>
      </w:tr>
      <w:tr w:rsidR="00E259F4" w:rsidRPr="00F90CFE" w14:paraId="1271C09A" w14:textId="77777777" w:rsidTr="00996BD5">
        <w:tc>
          <w:tcPr>
            <w:cnfStyle w:val="001000000000" w:firstRow="0" w:lastRow="0" w:firstColumn="1" w:lastColumn="0" w:oddVBand="0" w:evenVBand="0" w:oddHBand="0" w:evenHBand="0" w:firstRowFirstColumn="0" w:firstRowLastColumn="0" w:lastRowFirstColumn="0" w:lastRowLastColumn="0"/>
            <w:tcW w:w="0" w:type="auto"/>
            <w:vAlign w:val="top"/>
          </w:tcPr>
          <w:p w14:paraId="09DBC1BC" w14:textId="77777777" w:rsidR="00E259F4" w:rsidRPr="00F90CFE" w:rsidRDefault="00E259F4" w:rsidP="00996BD5">
            <w:pPr>
              <w:spacing w:line="252" w:lineRule="auto"/>
              <w:rPr>
                <w:rFonts w:asciiTheme="majorHAnsi" w:hAnsiTheme="majorHAnsi" w:cstheme="majorHAnsi"/>
                <w:b/>
                <w:bCs/>
                <w:szCs w:val="20"/>
                <w:highlight w:val="yellow"/>
                <w:lang w:val="en-AU"/>
              </w:rPr>
            </w:pPr>
            <w:r w:rsidRPr="00F90CFE">
              <w:rPr>
                <w:rFonts w:asciiTheme="majorHAnsi" w:hAnsiTheme="majorHAnsi" w:cstheme="majorHAnsi"/>
                <w:b/>
                <w:bCs/>
                <w:szCs w:val="20"/>
                <w:lang w:val="en-AU"/>
              </w:rPr>
              <w:t>Interviews</w:t>
            </w:r>
          </w:p>
        </w:tc>
        <w:tc>
          <w:tcPr>
            <w:tcW w:w="0" w:type="auto"/>
            <w:vAlign w:val="top"/>
          </w:tcPr>
          <w:p w14:paraId="4EA403AB" w14:textId="35A11483" w:rsidR="00E259F4" w:rsidRPr="00F90CFE" w:rsidRDefault="00845D38" w:rsidP="00996BD5">
            <w:pPr>
              <w:cnfStyle w:val="000000000000" w:firstRow="0" w:lastRow="0" w:firstColumn="0" w:lastColumn="0" w:oddVBand="0" w:evenVBand="0" w:oddHBand="0" w:evenHBand="0" w:firstRowFirstColumn="0" w:firstRowLastColumn="0" w:lastRowFirstColumn="0" w:lastRowLastColumn="0"/>
              <w:rPr>
                <w:highlight w:val="yellow"/>
                <w:lang w:val="en-AU"/>
              </w:rPr>
            </w:pPr>
            <w:r w:rsidRPr="00F90CFE">
              <w:rPr>
                <w:lang w:val="en-AU"/>
              </w:rPr>
              <w:t>The evaluation involved se</w:t>
            </w:r>
            <w:r w:rsidR="00E259F4" w:rsidRPr="00F90CFE">
              <w:rPr>
                <w:lang w:val="en-AU"/>
              </w:rPr>
              <w:t xml:space="preserve">mi-structured interviews </w:t>
            </w:r>
            <w:r w:rsidRPr="00F90CFE">
              <w:rPr>
                <w:lang w:val="en-AU"/>
              </w:rPr>
              <w:t>wi</w:t>
            </w:r>
            <w:r w:rsidR="00E259F4" w:rsidRPr="00F90CFE">
              <w:rPr>
                <w:lang w:val="en-AU"/>
              </w:rPr>
              <w:t xml:space="preserve">th a wide range of stakeholders. </w:t>
            </w:r>
            <w:r w:rsidRPr="00F90CFE">
              <w:rPr>
                <w:lang w:val="en-AU"/>
              </w:rPr>
              <w:t>The evaluation team conducted i</w:t>
            </w:r>
            <w:r w:rsidR="00E259F4" w:rsidRPr="00F90CFE">
              <w:rPr>
                <w:lang w:val="en-AU"/>
              </w:rPr>
              <w:t>nterviews following the ethical principles outlined above. Most interviews were conducted online.</w:t>
            </w:r>
            <w:r w:rsidR="00594409" w:rsidRPr="00F90CFE">
              <w:rPr>
                <w:lang w:val="en-AU"/>
              </w:rPr>
              <w:t xml:space="preserve"> </w:t>
            </w:r>
          </w:p>
        </w:tc>
        <w:tc>
          <w:tcPr>
            <w:tcW w:w="0" w:type="auto"/>
            <w:vAlign w:val="top"/>
          </w:tcPr>
          <w:p w14:paraId="052D8935" w14:textId="4D1BF638" w:rsidR="00E259F4" w:rsidRPr="00F90CFE" w:rsidRDefault="004E209D" w:rsidP="00996BD5">
            <w:pPr>
              <w:pStyle w:val="BodyText"/>
              <w:spacing w:before="120" w:after="120" w:line="21"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noProof w:val="0"/>
              </w:rPr>
            </w:pPr>
            <w:r w:rsidRPr="00F90CFE">
              <w:rPr>
                <w:rFonts w:asciiTheme="majorHAnsi" w:hAnsiTheme="majorHAnsi" w:cstheme="majorBidi"/>
                <w:noProof w:val="0"/>
              </w:rPr>
              <w:t>The evaluation team interviewed s</w:t>
            </w:r>
            <w:r w:rsidR="00F039F3" w:rsidRPr="00F90CFE">
              <w:rPr>
                <w:rFonts w:asciiTheme="majorHAnsi" w:hAnsiTheme="majorHAnsi" w:cstheme="majorBidi"/>
                <w:noProof w:val="0"/>
              </w:rPr>
              <w:t>ixty-nine</w:t>
            </w:r>
            <w:r w:rsidR="00E259F4" w:rsidRPr="00F90CFE">
              <w:rPr>
                <w:rFonts w:asciiTheme="majorHAnsi" w:hAnsiTheme="majorHAnsi" w:cstheme="majorBidi"/>
                <w:noProof w:val="0"/>
              </w:rPr>
              <w:t xml:space="preserve"> individuals for the evaluation, from </w:t>
            </w:r>
            <w:r w:rsidR="00594409" w:rsidRPr="00F90CFE">
              <w:rPr>
                <w:rFonts w:asciiTheme="majorHAnsi" w:hAnsiTheme="majorHAnsi" w:cstheme="majorBidi"/>
                <w:noProof w:val="0"/>
              </w:rPr>
              <w:t>several</w:t>
            </w:r>
            <w:r w:rsidR="00E259F4" w:rsidRPr="00F90CFE">
              <w:rPr>
                <w:rFonts w:asciiTheme="majorHAnsi" w:hAnsiTheme="majorHAnsi" w:cstheme="majorBidi"/>
                <w:noProof w:val="0"/>
              </w:rPr>
              <w:t xml:space="preserve"> different stakeholder groups:</w:t>
            </w:r>
          </w:p>
          <w:p w14:paraId="3EF57C63" w14:textId="77777777" w:rsidR="00E259F4" w:rsidRPr="00F90CFE" w:rsidRDefault="00E259F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Volunteers (10)</w:t>
            </w:r>
          </w:p>
          <w:p w14:paraId="6AB1BC67" w14:textId="07FB0603" w:rsidR="00E259F4" w:rsidRPr="00F90CFE" w:rsidRDefault="2D9A7C4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DFAT</w:t>
            </w:r>
            <w:r w:rsidR="00E259F4" w:rsidRPr="00F90CFE">
              <w:rPr>
                <w:noProof w:val="0"/>
                <w:lang w:val="en-AU"/>
              </w:rPr>
              <w:t xml:space="preserve"> staff in Canberra and at post (</w:t>
            </w:r>
            <w:r w:rsidR="76807DC2" w:rsidRPr="00F90CFE">
              <w:rPr>
                <w:noProof w:val="0"/>
                <w:lang w:val="en-AU"/>
              </w:rPr>
              <w:t>1</w:t>
            </w:r>
            <w:r w:rsidR="6A8A5FBE" w:rsidRPr="00F90CFE">
              <w:rPr>
                <w:noProof w:val="0"/>
                <w:lang w:val="en-AU"/>
              </w:rPr>
              <w:t>2</w:t>
            </w:r>
            <w:r w:rsidR="00E259F4" w:rsidRPr="00F90CFE">
              <w:rPr>
                <w:noProof w:val="0"/>
                <w:lang w:val="en-AU"/>
              </w:rPr>
              <w:t>)</w:t>
            </w:r>
          </w:p>
          <w:p w14:paraId="3F959E79" w14:textId="378A1F71" w:rsidR="00E259F4" w:rsidRPr="00F90CFE" w:rsidRDefault="00E259F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Staff from the program in Australia and overseas (</w:t>
            </w:r>
            <w:r w:rsidR="14302D19" w:rsidRPr="00F90CFE">
              <w:rPr>
                <w:noProof w:val="0"/>
                <w:lang w:val="en-AU"/>
              </w:rPr>
              <w:t>19</w:t>
            </w:r>
            <w:r w:rsidRPr="00F90CFE">
              <w:rPr>
                <w:noProof w:val="0"/>
                <w:lang w:val="en-AU"/>
              </w:rPr>
              <w:t>)</w:t>
            </w:r>
          </w:p>
          <w:p w14:paraId="69ED66BD" w14:textId="1B22518D" w:rsidR="00E259F4" w:rsidRPr="00F90CFE" w:rsidRDefault="00E259F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Partner organisations overseas (</w:t>
            </w:r>
            <w:r w:rsidR="008D7DA7" w:rsidRPr="00F90CFE">
              <w:rPr>
                <w:noProof w:val="0"/>
                <w:lang w:val="en-AU"/>
              </w:rPr>
              <w:t>18</w:t>
            </w:r>
            <w:r w:rsidRPr="00F90CFE">
              <w:rPr>
                <w:noProof w:val="0"/>
                <w:lang w:val="en-AU"/>
              </w:rPr>
              <w:t>)</w:t>
            </w:r>
          </w:p>
          <w:p w14:paraId="538B583F" w14:textId="77777777" w:rsidR="00E259F4" w:rsidRPr="00F90CFE" w:rsidRDefault="00E259F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Australian-based partner organisations (4)</w:t>
            </w:r>
          </w:p>
          <w:p w14:paraId="610831F7" w14:textId="20A42ED8" w:rsidR="00E259F4" w:rsidRPr="00F90CFE" w:rsidRDefault="00E259F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Staff from overseas partner governments (</w:t>
            </w:r>
            <w:r w:rsidR="50E0871F" w:rsidRPr="00F90CFE">
              <w:rPr>
                <w:noProof w:val="0"/>
                <w:lang w:val="en-AU"/>
              </w:rPr>
              <w:t>6</w:t>
            </w:r>
            <w:r w:rsidRPr="00F90CFE">
              <w:rPr>
                <w:noProof w:val="0"/>
                <w:lang w:val="en-AU"/>
              </w:rPr>
              <w:t xml:space="preserve">) </w:t>
            </w:r>
          </w:p>
        </w:tc>
      </w:tr>
      <w:tr w:rsidR="00E259F4" w:rsidRPr="00F90CFE" w14:paraId="71FC8EFB" w14:textId="77777777" w:rsidTr="00996BD5">
        <w:tc>
          <w:tcPr>
            <w:cnfStyle w:val="001000000000" w:firstRow="0" w:lastRow="0" w:firstColumn="1" w:lastColumn="0" w:oddVBand="0" w:evenVBand="0" w:oddHBand="0" w:evenHBand="0" w:firstRowFirstColumn="0" w:firstRowLastColumn="0" w:lastRowFirstColumn="0" w:lastRowLastColumn="0"/>
            <w:tcW w:w="0" w:type="auto"/>
            <w:vAlign w:val="top"/>
          </w:tcPr>
          <w:p w14:paraId="30F68EB1" w14:textId="77777777" w:rsidR="00E259F4" w:rsidRPr="00F90CFE" w:rsidRDefault="00E259F4" w:rsidP="00996BD5">
            <w:pPr>
              <w:spacing w:line="252" w:lineRule="auto"/>
              <w:rPr>
                <w:rFonts w:asciiTheme="majorHAnsi" w:hAnsiTheme="majorHAnsi" w:cstheme="majorHAnsi"/>
                <w:b/>
                <w:bCs/>
                <w:szCs w:val="20"/>
                <w:lang w:val="en-AU"/>
              </w:rPr>
            </w:pPr>
            <w:r w:rsidRPr="00F90CFE">
              <w:rPr>
                <w:rFonts w:asciiTheme="majorHAnsi" w:hAnsiTheme="majorHAnsi" w:cstheme="majorHAnsi"/>
                <w:b/>
                <w:bCs/>
                <w:szCs w:val="20"/>
                <w:lang w:val="en-AU"/>
              </w:rPr>
              <w:t>Focus Group Discussions</w:t>
            </w:r>
          </w:p>
        </w:tc>
        <w:tc>
          <w:tcPr>
            <w:tcW w:w="0" w:type="auto"/>
            <w:vAlign w:val="top"/>
          </w:tcPr>
          <w:p w14:paraId="7DCCDF5C" w14:textId="1B1C145E" w:rsidR="00E259F4" w:rsidRPr="00F90CFE" w:rsidRDefault="18C6E56F" w:rsidP="00996BD5">
            <w:pPr>
              <w:cnfStyle w:val="000000000000" w:firstRow="0" w:lastRow="0" w:firstColumn="0" w:lastColumn="0" w:oddVBand="0" w:evenVBand="0" w:oddHBand="0" w:evenHBand="0" w:firstRowFirstColumn="0" w:firstRowLastColumn="0" w:lastRowFirstColumn="0" w:lastRowLastColumn="0"/>
              <w:rPr>
                <w:highlight w:val="yellow"/>
                <w:lang w:val="en-AU"/>
              </w:rPr>
            </w:pPr>
            <w:r w:rsidRPr="00F90CFE">
              <w:rPr>
                <w:lang w:val="en-AU"/>
              </w:rPr>
              <w:t>G</w:t>
            </w:r>
            <w:r w:rsidR="00E259F4" w:rsidRPr="00F90CFE">
              <w:rPr>
                <w:lang w:val="en-AU"/>
              </w:rPr>
              <w:t xml:space="preserve">roup discussions </w:t>
            </w:r>
            <w:r w:rsidR="54174A4C" w:rsidRPr="00F90CFE">
              <w:rPr>
                <w:lang w:val="en-AU"/>
              </w:rPr>
              <w:t xml:space="preserve">(with two or more people together) </w:t>
            </w:r>
            <w:r w:rsidR="00E259F4" w:rsidRPr="00F90CFE">
              <w:rPr>
                <w:lang w:val="en-AU"/>
              </w:rPr>
              <w:t xml:space="preserve">were carried out with a range of stakeholders. Focus groups were conducted online. </w:t>
            </w:r>
          </w:p>
        </w:tc>
        <w:tc>
          <w:tcPr>
            <w:tcW w:w="0" w:type="auto"/>
            <w:vAlign w:val="top"/>
          </w:tcPr>
          <w:p w14:paraId="37A1BC11" w14:textId="5715A9F4" w:rsidR="00E259F4" w:rsidRPr="00F90CFE" w:rsidRDefault="00E259F4" w:rsidP="00996BD5">
            <w:pPr>
              <w:pStyle w:val="BodyText"/>
              <w:spacing w:before="120" w:after="120" w:line="21"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noProof w:val="0"/>
              </w:rPr>
            </w:pPr>
            <w:r w:rsidRPr="00F90CFE">
              <w:rPr>
                <w:rFonts w:asciiTheme="majorHAnsi" w:hAnsiTheme="majorHAnsi" w:cstheme="majorBidi"/>
                <w:noProof w:val="0"/>
              </w:rPr>
              <w:t>A total of 6</w:t>
            </w:r>
            <w:r w:rsidR="7407BB4F" w:rsidRPr="00F90CFE">
              <w:rPr>
                <w:rFonts w:asciiTheme="majorHAnsi" w:hAnsiTheme="majorHAnsi" w:cstheme="majorBidi"/>
                <w:noProof w:val="0"/>
              </w:rPr>
              <w:t>9</w:t>
            </w:r>
            <w:r w:rsidRPr="00F90CFE">
              <w:rPr>
                <w:rFonts w:asciiTheme="majorHAnsi" w:hAnsiTheme="majorHAnsi" w:cstheme="majorBidi"/>
                <w:noProof w:val="0"/>
              </w:rPr>
              <w:t xml:space="preserve"> indiv</w:t>
            </w:r>
            <w:r w:rsidR="00401046" w:rsidRPr="00F90CFE">
              <w:rPr>
                <w:rFonts w:asciiTheme="majorHAnsi" w:hAnsiTheme="majorHAnsi" w:cstheme="majorBidi"/>
                <w:noProof w:val="0"/>
              </w:rPr>
              <w:t>id</w:t>
            </w:r>
            <w:r w:rsidRPr="00F90CFE">
              <w:rPr>
                <w:rFonts w:asciiTheme="majorHAnsi" w:hAnsiTheme="majorHAnsi" w:cstheme="majorBidi"/>
                <w:noProof w:val="0"/>
              </w:rPr>
              <w:t xml:space="preserve">uals </w:t>
            </w:r>
            <w:proofErr w:type="spellStart"/>
            <w:r w:rsidRPr="00F90CFE">
              <w:rPr>
                <w:rFonts w:asciiTheme="majorHAnsi" w:hAnsiTheme="majorHAnsi" w:cstheme="majorBidi"/>
                <w:noProof w:val="0"/>
              </w:rPr>
              <w:t>particpated</w:t>
            </w:r>
            <w:proofErr w:type="spellEnd"/>
            <w:r w:rsidRPr="00F90CFE">
              <w:rPr>
                <w:rFonts w:asciiTheme="majorHAnsi" w:hAnsiTheme="majorHAnsi" w:cstheme="majorBidi"/>
                <w:noProof w:val="0"/>
              </w:rPr>
              <w:t xml:space="preserve"> in 1</w:t>
            </w:r>
            <w:r w:rsidR="3FFA0DDB" w:rsidRPr="00F90CFE">
              <w:rPr>
                <w:rFonts w:asciiTheme="majorHAnsi" w:hAnsiTheme="majorHAnsi" w:cstheme="majorBidi"/>
                <w:noProof w:val="0"/>
              </w:rPr>
              <w:t>8</w:t>
            </w:r>
            <w:r w:rsidRPr="00F90CFE">
              <w:rPr>
                <w:rFonts w:asciiTheme="majorHAnsi" w:hAnsiTheme="majorHAnsi" w:cstheme="majorBidi"/>
                <w:noProof w:val="0"/>
              </w:rPr>
              <w:t xml:space="preserve"> focus group discussions, covering the following stakeholder groups (total number of people in each is provided in brackets):</w:t>
            </w:r>
          </w:p>
          <w:p w14:paraId="52B8A487" w14:textId="50E76E2D" w:rsidR="00E259F4" w:rsidRPr="00F90CFE" w:rsidRDefault="00E259F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 xml:space="preserve">DFAT </w:t>
            </w:r>
            <w:r w:rsidR="7489CE97" w:rsidRPr="00F90CFE">
              <w:rPr>
                <w:noProof w:val="0"/>
                <w:lang w:val="en-AU"/>
              </w:rPr>
              <w:t xml:space="preserve">staff in </w:t>
            </w:r>
            <w:r w:rsidRPr="00F90CFE">
              <w:rPr>
                <w:noProof w:val="0"/>
                <w:lang w:val="en-AU"/>
              </w:rPr>
              <w:t xml:space="preserve">Canberra </w:t>
            </w:r>
            <w:r w:rsidR="71BB908A" w:rsidRPr="00F90CFE">
              <w:rPr>
                <w:noProof w:val="0"/>
                <w:lang w:val="en-AU"/>
              </w:rPr>
              <w:t>and at post</w:t>
            </w:r>
            <w:r w:rsidRPr="00F90CFE">
              <w:rPr>
                <w:noProof w:val="0"/>
                <w:lang w:val="en-AU"/>
              </w:rPr>
              <w:t xml:space="preserve"> (</w:t>
            </w:r>
            <w:r w:rsidR="50FA89DD" w:rsidRPr="00F90CFE">
              <w:rPr>
                <w:noProof w:val="0"/>
                <w:lang w:val="en-AU"/>
              </w:rPr>
              <w:t>10</w:t>
            </w:r>
            <w:r w:rsidRPr="00F90CFE">
              <w:rPr>
                <w:noProof w:val="0"/>
                <w:lang w:val="en-AU"/>
              </w:rPr>
              <w:t>)</w:t>
            </w:r>
          </w:p>
          <w:p w14:paraId="108CAC68" w14:textId="42EBA44A" w:rsidR="00E259F4" w:rsidRPr="00F90CFE" w:rsidRDefault="00E259F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Partner organisations (</w:t>
            </w:r>
            <w:r w:rsidR="64F26344" w:rsidRPr="00F90CFE">
              <w:rPr>
                <w:noProof w:val="0"/>
                <w:lang w:val="en-AU"/>
              </w:rPr>
              <w:t>17</w:t>
            </w:r>
            <w:r w:rsidRPr="00F90CFE">
              <w:rPr>
                <w:noProof w:val="0"/>
                <w:lang w:val="en-AU"/>
              </w:rPr>
              <w:t>)</w:t>
            </w:r>
          </w:p>
          <w:p w14:paraId="7FBED1B1" w14:textId="3149240A" w:rsidR="00E259F4" w:rsidRPr="00F90CFE" w:rsidRDefault="00E259F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Program staff (</w:t>
            </w:r>
            <w:r w:rsidR="343E7182" w:rsidRPr="00F90CFE">
              <w:rPr>
                <w:noProof w:val="0"/>
                <w:lang w:val="en-AU"/>
              </w:rPr>
              <w:t>9</w:t>
            </w:r>
            <w:r w:rsidRPr="00F90CFE">
              <w:rPr>
                <w:noProof w:val="0"/>
                <w:lang w:val="en-AU"/>
              </w:rPr>
              <w:t>)</w:t>
            </w:r>
          </w:p>
          <w:p w14:paraId="567F712E" w14:textId="0A207494" w:rsidR="00E259F4" w:rsidRPr="00F90CFE" w:rsidRDefault="00E259F4" w:rsidP="00996BD5">
            <w:pPr>
              <w:pStyle w:val="TableBullet"/>
              <w:spacing w:line="21" w:lineRule="atLeast"/>
              <w:cnfStyle w:val="000000000000" w:firstRow="0" w:lastRow="0" w:firstColumn="0" w:lastColumn="0" w:oddVBand="0" w:evenVBand="0" w:oddHBand="0" w:evenHBand="0" w:firstRowFirstColumn="0" w:firstRowLastColumn="0" w:lastRowFirstColumn="0" w:lastRowLastColumn="0"/>
              <w:rPr>
                <w:noProof w:val="0"/>
                <w:lang w:val="en-AU"/>
              </w:rPr>
            </w:pPr>
            <w:r w:rsidRPr="00F90CFE">
              <w:rPr>
                <w:noProof w:val="0"/>
                <w:lang w:val="en-AU"/>
              </w:rPr>
              <w:t>Volunteers (3</w:t>
            </w:r>
            <w:r w:rsidR="278F30B4" w:rsidRPr="00F90CFE">
              <w:rPr>
                <w:noProof w:val="0"/>
                <w:lang w:val="en-AU"/>
              </w:rPr>
              <w:t>3</w:t>
            </w:r>
            <w:r w:rsidRPr="00F90CFE">
              <w:rPr>
                <w:noProof w:val="0"/>
                <w:lang w:val="en-AU"/>
              </w:rPr>
              <w:t xml:space="preserve">) </w:t>
            </w:r>
          </w:p>
          <w:p w14:paraId="7225D18B" w14:textId="6000BD94" w:rsidR="00E259F4" w:rsidRPr="00F90CFE" w:rsidRDefault="00E259F4" w:rsidP="00996BD5">
            <w:pPr>
              <w:pStyle w:val="BodyText"/>
              <w:spacing w:before="120" w:after="120" w:line="21"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noProof w:val="0"/>
              </w:rPr>
            </w:pPr>
            <w:r w:rsidRPr="00F90CFE">
              <w:rPr>
                <w:rFonts w:asciiTheme="majorHAnsi" w:hAnsiTheme="majorHAnsi" w:cstheme="majorBidi"/>
                <w:noProof w:val="0"/>
              </w:rPr>
              <w:t xml:space="preserve">Of the volunteers involved in </w:t>
            </w:r>
            <w:r w:rsidR="0817C533" w:rsidRPr="00F90CFE">
              <w:rPr>
                <w:rFonts w:asciiTheme="majorHAnsi" w:hAnsiTheme="majorHAnsi" w:cstheme="majorBidi"/>
                <w:noProof w:val="0"/>
              </w:rPr>
              <w:t>focus group discussions (</w:t>
            </w:r>
            <w:r w:rsidRPr="00F90CFE">
              <w:rPr>
                <w:rFonts w:asciiTheme="majorHAnsi" w:hAnsiTheme="majorHAnsi" w:cstheme="majorBidi"/>
                <w:noProof w:val="0"/>
              </w:rPr>
              <w:t>FGDs</w:t>
            </w:r>
            <w:r w:rsidR="0817C533" w:rsidRPr="00F90CFE">
              <w:rPr>
                <w:rFonts w:asciiTheme="majorHAnsi" w:hAnsiTheme="majorHAnsi" w:cstheme="majorBidi"/>
                <w:noProof w:val="0"/>
              </w:rPr>
              <w:t>)</w:t>
            </w:r>
            <w:r w:rsidRPr="00F90CFE">
              <w:rPr>
                <w:rFonts w:asciiTheme="majorHAnsi" w:hAnsiTheme="majorHAnsi" w:cstheme="majorBidi"/>
                <w:noProof w:val="0"/>
              </w:rPr>
              <w:t>, 2</w:t>
            </w:r>
            <w:r w:rsidR="5DAAF1F1" w:rsidRPr="00F90CFE">
              <w:rPr>
                <w:rFonts w:asciiTheme="majorHAnsi" w:hAnsiTheme="majorHAnsi" w:cstheme="majorBidi"/>
                <w:noProof w:val="0"/>
              </w:rPr>
              <w:t>7</w:t>
            </w:r>
            <w:r w:rsidRPr="00F90CFE">
              <w:rPr>
                <w:rFonts w:asciiTheme="majorHAnsi" w:hAnsiTheme="majorHAnsi" w:cstheme="majorBidi"/>
                <w:noProof w:val="0"/>
              </w:rPr>
              <w:t xml:space="preserve"> were in discussions led by the evaluation team in Australia. Partic</w:t>
            </w:r>
            <w:r w:rsidR="48984FF2" w:rsidRPr="00F90CFE">
              <w:rPr>
                <w:rFonts w:asciiTheme="majorHAnsi" w:hAnsiTheme="majorHAnsi" w:cstheme="majorBidi"/>
                <w:noProof w:val="0"/>
              </w:rPr>
              <w:t>i</w:t>
            </w:r>
            <w:r w:rsidRPr="00F90CFE">
              <w:rPr>
                <w:rFonts w:asciiTheme="majorHAnsi" w:hAnsiTheme="majorHAnsi" w:cstheme="majorBidi"/>
                <w:noProof w:val="0"/>
              </w:rPr>
              <w:t>pants for these groups self-selected from an email invitation that was sent to all current and former volunteers. Groups were oversubs</w:t>
            </w:r>
            <w:r w:rsidR="48984FF2" w:rsidRPr="00F90CFE">
              <w:rPr>
                <w:rFonts w:asciiTheme="majorHAnsi" w:hAnsiTheme="majorHAnsi" w:cstheme="majorBidi"/>
                <w:noProof w:val="0"/>
              </w:rPr>
              <w:t>c</w:t>
            </w:r>
            <w:r w:rsidRPr="00F90CFE">
              <w:rPr>
                <w:rFonts w:asciiTheme="majorHAnsi" w:hAnsiTheme="majorHAnsi" w:cstheme="majorBidi"/>
                <w:noProof w:val="0"/>
              </w:rPr>
              <w:t>ribed so purposively sampled to maximise variation in age, gender, country of assi</w:t>
            </w:r>
            <w:r w:rsidR="48984FF2" w:rsidRPr="00F90CFE">
              <w:rPr>
                <w:rFonts w:asciiTheme="majorHAnsi" w:hAnsiTheme="majorHAnsi" w:cstheme="majorBidi"/>
                <w:noProof w:val="0"/>
              </w:rPr>
              <w:t>gn</w:t>
            </w:r>
            <w:r w:rsidRPr="00F90CFE">
              <w:rPr>
                <w:rFonts w:asciiTheme="majorHAnsi" w:hAnsiTheme="majorHAnsi" w:cstheme="majorBidi"/>
                <w:noProof w:val="0"/>
              </w:rPr>
              <w:t xml:space="preserve">ment and </w:t>
            </w:r>
            <w:r w:rsidR="00B911EF" w:rsidRPr="00F90CFE">
              <w:rPr>
                <w:rFonts w:asciiTheme="majorHAnsi" w:hAnsiTheme="majorHAnsi" w:cstheme="majorBidi"/>
                <w:noProof w:val="0"/>
              </w:rPr>
              <w:t>whether</w:t>
            </w:r>
            <w:r w:rsidRPr="00F90CFE">
              <w:rPr>
                <w:rFonts w:asciiTheme="majorHAnsi" w:hAnsiTheme="majorHAnsi" w:cstheme="majorBidi"/>
                <w:noProof w:val="0"/>
              </w:rPr>
              <w:t xml:space="preserve"> the volunteer was an early return (for reasons within the prog</w:t>
            </w:r>
            <w:r w:rsidR="48984FF2" w:rsidRPr="00F90CFE">
              <w:rPr>
                <w:rFonts w:asciiTheme="majorHAnsi" w:hAnsiTheme="majorHAnsi" w:cstheme="majorBidi"/>
                <w:noProof w:val="0"/>
              </w:rPr>
              <w:t>r</w:t>
            </w:r>
            <w:r w:rsidRPr="00F90CFE">
              <w:rPr>
                <w:rFonts w:asciiTheme="majorHAnsi" w:hAnsiTheme="majorHAnsi" w:cstheme="majorBidi"/>
                <w:noProof w:val="0"/>
              </w:rPr>
              <w:t xml:space="preserve">am’s control). Four FGDs were convened with the following groups: Volunteers </w:t>
            </w:r>
            <w:r w:rsidRPr="00F90CFE">
              <w:rPr>
                <w:rFonts w:asciiTheme="majorHAnsi" w:hAnsiTheme="majorHAnsi" w:cstheme="majorBidi"/>
                <w:noProof w:val="0"/>
              </w:rPr>
              <w:lastRenderedPageBreak/>
              <w:t>who were under 30 at the time of their assi</w:t>
            </w:r>
            <w:r w:rsidR="48984FF2" w:rsidRPr="00F90CFE">
              <w:rPr>
                <w:rFonts w:asciiTheme="majorHAnsi" w:hAnsiTheme="majorHAnsi" w:cstheme="majorBidi"/>
                <w:noProof w:val="0"/>
              </w:rPr>
              <w:t>gn</w:t>
            </w:r>
            <w:r w:rsidRPr="00F90CFE">
              <w:rPr>
                <w:rFonts w:asciiTheme="majorHAnsi" w:hAnsiTheme="majorHAnsi" w:cstheme="majorBidi"/>
                <w:noProof w:val="0"/>
              </w:rPr>
              <w:t>ment; who had been on an assi</w:t>
            </w:r>
            <w:r w:rsidR="48984FF2" w:rsidRPr="00F90CFE">
              <w:rPr>
                <w:rFonts w:asciiTheme="majorHAnsi" w:hAnsiTheme="majorHAnsi" w:cstheme="majorBidi"/>
                <w:noProof w:val="0"/>
              </w:rPr>
              <w:t>gn</w:t>
            </w:r>
            <w:r w:rsidRPr="00F90CFE">
              <w:rPr>
                <w:rFonts w:asciiTheme="majorHAnsi" w:hAnsiTheme="majorHAnsi" w:cstheme="majorBidi"/>
                <w:noProof w:val="0"/>
              </w:rPr>
              <w:t xml:space="preserve">ment with a </w:t>
            </w:r>
            <w:r w:rsidR="00F039F3" w:rsidRPr="00F90CFE">
              <w:rPr>
                <w:rFonts w:asciiTheme="majorHAnsi" w:hAnsiTheme="majorHAnsi" w:cstheme="majorBidi"/>
                <w:noProof w:val="0"/>
              </w:rPr>
              <w:t>gender equality, disability and social inclusion</w:t>
            </w:r>
            <w:r w:rsidRPr="00F90CFE">
              <w:rPr>
                <w:rFonts w:asciiTheme="majorHAnsi" w:hAnsiTheme="majorHAnsi" w:cstheme="majorBidi"/>
                <w:noProof w:val="0"/>
              </w:rPr>
              <w:t xml:space="preserve"> focus; who had </w:t>
            </w:r>
            <w:r w:rsidR="48984FF2" w:rsidRPr="00F90CFE">
              <w:rPr>
                <w:rFonts w:asciiTheme="majorHAnsi" w:hAnsiTheme="majorHAnsi" w:cstheme="majorBidi"/>
                <w:noProof w:val="0"/>
              </w:rPr>
              <w:t>experience</w:t>
            </w:r>
            <w:r w:rsidRPr="00F90CFE">
              <w:rPr>
                <w:rFonts w:asciiTheme="majorHAnsi" w:hAnsiTheme="majorHAnsi" w:cstheme="majorBidi"/>
                <w:noProof w:val="0"/>
              </w:rPr>
              <w:t xml:space="preserve"> of both in-country and </w:t>
            </w:r>
            <w:r w:rsidR="48984FF2" w:rsidRPr="00F90CFE">
              <w:rPr>
                <w:rFonts w:asciiTheme="majorHAnsi" w:hAnsiTheme="majorHAnsi" w:cstheme="majorBidi"/>
                <w:noProof w:val="0"/>
              </w:rPr>
              <w:t>remote</w:t>
            </w:r>
            <w:r w:rsidRPr="00F90CFE">
              <w:rPr>
                <w:rFonts w:asciiTheme="majorHAnsi" w:hAnsiTheme="majorHAnsi" w:cstheme="majorBidi"/>
                <w:noProof w:val="0"/>
              </w:rPr>
              <w:t xml:space="preserve"> volunteering; and who had exper</w:t>
            </w:r>
            <w:r w:rsidR="4D7268D0" w:rsidRPr="00F90CFE">
              <w:rPr>
                <w:rFonts w:asciiTheme="majorHAnsi" w:hAnsiTheme="majorHAnsi" w:cstheme="majorBidi"/>
                <w:noProof w:val="0"/>
              </w:rPr>
              <w:t>ie</w:t>
            </w:r>
            <w:r w:rsidRPr="00F90CFE">
              <w:rPr>
                <w:rFonts w:asciiTheme="majorHAnsi" w:hAnsiTheme="majorHAnsi" w:cstheme="majorBidi"/>
                <w:noProof w:val="0"/>
              </w:rPr>
              <w:t xml:space="preserve">nce both under the current </w:t>
            </w:r>
            <w:r w:rsidR="48984FF2" w:rsidRPr="00F90CFE">
              <w:rPr>
                <w:rFonts w:asciiTheme="majorHAnsi" w:hAnsiTheme="majorHAnsi" w:cstheme="majorBidi"/>
                <w:noProof w:val="0"/>
              </w:rPr>
              <w:t>program</w:t>
            </w:r>
            <w:r w:rsidRPr="00F90CFE">
              <w:rPr>
                <w:rFonts w:asciiTheme="majorHAnsi" w:hAnsiTheme="majorHAnsi" w:cstheme="majorBidi"/>
                <w:noProof w:val="0"/>
              </w:rPr>
              <w:t xml:space="preserve"> and a former iteration of it (i.e. </w:t>
            </w:r>
            <w:r w:rsidR="00F039F3" w:rsidRPr="00F90CFE">
              <w:rPr>
                <w:rFonts w:asciiTheme="majorHAnsi" w:hAnsiTheme="majorHAnsi" w:cstheme="majorBidi"/>
                <w:noProof w:val="0"/>
              </w:rPr>
              <w:t>Australian Volunteers for International Development</w:t>
            </w:r>
            <w:r w:rsidRPr="00F90CFE">
              <w:rPr>
                <w:rFonts w:asciiTheme="majorHAnsi" w:hAnsiTheme="majorHAnsi" w:cstheme="majorBidi"/>
                <w:noProof w:val="0"/>
              </w:rPr>
              <w:t xml:space="preserve">). In </w:t>
            </w:r>
            <w:r w:rsidR="00996BD5" w:rsidRPr="00F90CFE">
              <w:rPr>
                <w:rFonts w:asciiTheme="majorHAnsi" w:hAnsiTheme="majorHAnsi" w:cstheme="majorBidi"/>
                <w:noProof w:val="0"/>
              </w:rPr>
              <w:t>addition</w:t>
            </w:r>
            <w:r w:rsidRPr="00F90CFE">
              <w:rPr>
                <w:rFonts w:asciiTheme="majorHAnsi" w:hAnsiTheme="majorHAnsi" w:cstheme="majorBidi"/>
                <w:noProof w:val="0"/>
              </w:rPr>
              <w:t xml:space="preserve">, an FGD was </w:t>
            </w:r>
            <w:r w:rsidR="48984FF2" w:rsidRPr="00F90CFE">
              <w:rPr>
                <w:rFonts w:asciiTheme="majorHAnsi" w:hAnsiTheme="majorHAnsi" w:cstheme="majorBidi"/>
                <w:noProof w:val="0"/>
              </w:rPr>
              <w:t>organised</w:t>
            </w:r>
            <w:r w:rsidRPr="00F90CFE">
              <w:rPr>
                <w:rFonts w:asciiTheme="majorHAnsi" w:hAnsiTheme="majorHAnsi" w:cstheme="majorBidi"/>
                <w:noProof w:val="0"/>
              </w:rPr>
              <w:t xml:space="preserve"> with </w:t>
            </w:r>
            <w:r w:rsidR="79F5B813" w:rsidRPr="00F90CFE">
              <w:rPr>
                <w:rFonts w:asciiTheme="majorHAnsi" w:hAnsiTheme="majorHAnsi" w:cstheme="majorBidi"/>
                <w:noProof w:val="0"/>
              </w:rPr>
              <w:t>Returned Australian Volunteers Network</w:t>
            </w:r>
            <w:r w:rsidRPr="00F90CFE">
              <w:rPr>
                <w:rFonts w:asciiTheme="majorHAnsi" w:hAnsiTheme="majorHAnsi" w:cstheme="majorBidi"/>
                <w:noProof w:val="0"/>
              </w:rPr>
              <w:t xml:space="preserve"> State </w:t>
            </w:r>
            <w:r w:rsidR="0817C533" w:rsidRPr="00F90CFE">
              <w:rPr>
                <w:rFonts w:asciiTheme="majorHAnsi" w:hAnsiTheme="majorHAnsi" w:cstheme="majorBidi"/>
                <w:noProof w:val="0"/>
              </w:rPr>
              <w:t>Representatives</w:t>
            </w:r>
            <w:r w:rsidRPr="00F90CFE">
              <w:rPr>
                <w:rFonts w:asciiTheme="majorHAnsi" w:hAnsiTheme="majorHAnsi" w:cstheme="majorBidi"/>
                <w:noProof w:val="0"/>
              </w:rPr>
              <w:t>.</w:t>
            </w:r>
          </w:p>
          <w:p w14:paraId="2FE4A78D" w14:textId="41680E87" w:rsidR="00E259F4" w:rsidRPr="00F90CFE" w:rsidRDefault="00E259F4" w:rsidP="00996BD5">
            <w:pPr>
              <w:pStyle w:val="BodyText"/>
              <w:spacing w:before="120" w:after="120" w:line="21"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noProof w:val="0"/>
                <w:highlight w:val="yellow"/>
              </w:rPr>
            </w:pPr>
            <w:r w:rsidRPr="00F90CFE">
              <w:rPr>
                <w:rFonts w:asciiTheme="majorHAnsi" w:hAnsiTheme="majorHAnsi" w:cstheme="majorBidi"/>
                <w:noProof w:val="0"/>
              </w:rPr>
              <w:t xml:space="preserve">The </w:t>
            </w:r>
            <w:r w:rsidR="5446C74C" w:rsidRPr="00F90CFE">
              <w:rPr>
                <w:rFonts w:asciiTheme="majorHAnsi" w:hAnsiTheme="majorHAnsi" w:cstheme="majorBidi"/>
                <w:noProof w:val="0"/>
              </w:rPr>
              <w:t xml:space="preserve">other six </w:t>
            </w:r>
            <w:r w:rsidRPr="00F90CFE">
              <w:rPr>
                <w:rFonts w:asciiTheme="majorHAnsi" w:hAnsiTheme="majorHAnsi" w:cstheme="majorBidi"/>
                <w:noProof w:val="0"/>
              </w:rPr>
              <w:t xml:space="preserve">volunteers involved in FGDs were sampled as part of the country case studies (see below). </w:t>
            </w:r>
          </w:p>
        </w:tc>
      </w:tr>
      <w:tr w:rsidR="00E259F4" w:rsidRPr="00F90CFE" w14:paraId="0372135C" w14:textId="77777777" w:rsidTr="00996BD5">
        <w:tc>
          <w:tcPr>
            <w:cnfStyle w:val="001000000000" w:firstRow="0" w:lastRow="0" w:firstColumn="1" w:lastColumn="0" w:oddVBand="0" w:evenVBand="0" w:oddHBand="0" w:evenHBand="0" w:firstRowFirstColumn="0" w:firstRowLastColumn="0" w:lastRowFirstColumn="0" w:lastRowLastColumn="0"/>
            <w:tcW w:w="0" w:type="auto"/>
            <w:vAlign w:val="top"/>
          </w:tcPr>
          <w:p w14:paraId="01062D52" w14:textId="77777777" w:rsidR="00E259F4" w:rsidRPr="00F90CFE" w:rsidRDefault="00E259F4" w:rsidP="00996BD5">
            <w:pPr>
              <w:spacing w:line="252" w:lineRule="auto"/>
              <w:rPr>
                <w:rFonts w:asciiTheme="majorHAnsi" w:hAnsiTheme="majorHAnsi" w:cstheme="majorHAnsi"/>
                <w:b/>
                <w:bCs/>
                <w:szCs w:val="20"/>
                <w:lang w:val="en-AU"/>
              </w:rPr>
            </w:pPr>
            <w:r w:rsidRPr="00F90CFE">
              <w:rPr>
                <w:rFonts w:asciiTheme="majorHAnsi" w:hAnsiTheme="majorHAnsi" w:cstheme="majorHAnsi"/>
                <w:b/>
                <w:bCs/>
                <w:szCs w:val="20"/>
                <w:lang w:val="en-AU"/>
              </w:rPr>
              <w:lastRenderedPageBreak/>
              <w:t>Volunteer Survey</w:t>
            </w:r>
          </w:p>
        </w:tc>
        <w:tc>
          <w:tcPr>
            <w:tcW w:w="0" w:type="auto"/>
            <w:vAlign w:val="top"/>
          </w:tcPr>
          <w:p w14:paraId="65055943" w14:textId="7D9137B3" w:rsidR="00E259F4" w:rsidRPr="00F90CFE" w:rsidRDefault="00E259F4" w:rsidP="00996BD5">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val="0"/>
                <w:highlight w:val="yellow"/>
              </w:rPr>
            </w:pPr>
            <w:r w:rsidRPr="00F90CFE">
              <w:rPr>
                <w:rFonts w:asciiTheme="majorHAnsi" w:hAnsiTheme="majorHAnsi" w:cstheme="majorHAnsi"/>
                <w:noProof w:val="0"/>
              </w:rPr>
              <w:t xml:space="preserve">A </w:t>
            </w:r>
            <w:r w:rsidR="00996BD5" w:rsidRPr="00F90CFE">
              <w:rPr>
                <w:rFonts w:asciiTheme="majorHAnsi" w:hAnsiTheme="majorHAnsi" w:cstheme="majorHAnsi"/>
                <w:noProof w:val="0"/>
              </w:rPr>
              <w:t>short-targeted</w:t>
            </w:r>
            <w:r w:rsidRPr="00F90CFE">
              <w:rPr>
                <w:rFonts w:asciiTheme="majorHAnsi" w:hAnsiTheme="majorHAnsi" w:cstheme="majorHAnsi"/>
                <w:noProof w:val="0"/>
              </w:rPr>
              <w:t xml:space="preserve"> survey was developed and sent out to all volunteers who had been on an assi</w:t>
            </w:r>
            <w:r w:rsidR="00707452" w:rsidRPr="00F90CFE">
              <w:rPr>
                <w:rFonts w:asciiTheme="majorHAnsi" w:hAnsiTheme="majorHAnsi" w:cstheme="majorHAnsi"/>
                <w:noProof w:val="0"/>
              </w:rPr>
              <w:t>gn</w:t>
            </w:r>
            <w:r w:rsidRPr="00F90CFE">
              <w:rPr>
                <w:rFonts w:asciiTheme="majorHAnsi" w:hAnsiTheme="majorHAnsi" w:cstheme="majorHAnsi"/>
                <w:noProof w:val="0"/>
              </w:rPr>
              <w:t xml:space="preserve">ment with </w:t>
            </w:r>
            <w:r w:rsidR="00875D0A" w:rsidRPr="00F90CFE">
              <w:rPr>
                <w:rFonts w:asciiTheme="majorHAnsi" w:hAnsiTheme="majorHAnsi" w:cstheme="majorHAnsi"/>
                <w:noProof w:val="0"/>
              </w:rPr>
              <w:t>the program</w:t>
            </w:r>
            <w:r w:rsidRPr="00F90CFE">
              <w:rPr>
                <w:rFonts w:asciiTheme="majorHAnsi" w:hAnsiTheme="majorHAnsi" w:cstheme="majorHAnsi"/>
                <w:noProof w:val="0"/>
              </w:rPr>
              <w:t xml:space="preserve"> from January 2018 to December 2020. </w:t>
            </w:r>
          </w:p>
        </w:tc>
        <w:tc>
          <w:tcPr>
            <w:tcW w:w="0" w:type="auto"/>
            <w:vAlign w:val="top"/>
          </w:tcPr>
          <w:p w14:paraId="193E3B35" w14:textId="37D528C5" w:rsidR="00E259F4" w:rsidRPr="00F90CFE" w:rsidRDefault="00E259F4" w:rsidP="00996BD5">
            <w:pPr>
              <w:spacing w:line="21"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lang w:val="en-AU"/>
              </w:rPr>
            </w:pPr>
            <w:r w:rsidRPr="00F90CFE">
              <w:rPr>
                <w:rFonts w:asciiTheme="majorHAnsi" w:hAnsiTheme="majorHAnsi" w:cstheme="majorHAnsi"/>
                <w:lang w:val="en-AU"/>
              </w:rPr>
              <w:t xml:space="preserve">422 current or former volunteers completed the online survey. The survey went out to all volunteers who had volunteered with the program since 2018 for whom the program had up to date email addresses, were still alive, and hadn’t opted out of all communications from the program. This was to 1240 people in total. The survey received 422 responses, or 34% of those who were invited to respond, and 30% of the 1410 volunteers who have been on the program since January 2018. Survey responses were </w:t>
            </w:r>
            <w:r w:rsidR="00594409" w:rsidRPr="00F90CFE">
              <w:rPr>
                <w:rFonts w:asciiTheme="majorHAnsi" w:hAnsiTheme="majorHAnsi" w:cstheme="majorHAnsi"/>
                <w:szCs w:val="20"/>
                <w:lang w:val="en-AU"/>
              </w:rPr>
              <w:t>analysed</w:t>
            </w:r>
            <w:r w:rsidRPr="00F90CFE">
              <w:rPr>
                <w:rFonts w:asciiTheme="majorHAnsi" w:hAnsiTheme="majorHAnsi" w:cstheme="majorHAnsi"/>
                <w:lang w:val="en-AU"/>
              </w:rPr>
              <w:t xml:space="preserve"> in comparison to the available three-year data set from the program’s MIS as that covers </w:t>
            </w:r>
            <w:r w:rsidR="00594409" w:rsidRPr="00F90CFE">
              <w:rPr>
                <w:rFonts w:asciiTheme="majorHAnsi" w:hAnsiTheme="majorHAnsi" w:cstheme="majorHAnsi"/>
                <w:lang w:val="en-AU"/>
              </w:rPr>
              <w:t>all</w:t>
            </w:r>
            <w:r w:rsidRPr="00F90CFE">
              <w:rPr>
                <w:rFonts w:asciiTheme="majorHAnsi" w:hAnsiTheme="majorHAnsi" w:cstheme="majorHAnsi"/>
                <w:lang w:val="en-AU"/>
              </w:rPr>
              <w:t xml:space="preserve"> the same volunteer group. The demographic profile of survey respondents was broadly in line with the survey </w:t>
            </w:r>
            <w:r w:rsidR="00594409" w:rsidRPr="00F90CFE">
              <w:rPr>
                <w:rFonts w:asciiTheme="majorHAnsi" w:hAnsiTheme="majorHAnsi" w:cstheme="majorHAnsi"/>
                <w:lang w:val="en-AU"/>
              </w:rPr>
              <w:t>population</w:t>
            </w:r>
            <w:r w:rsidRPr="00F90CFE">
              <w:rPr>
                <w:rFonts w:asciiTheme="majorHAnsi" w:hAnsiTheme="majorHAnsi" w:cstheme="majorHAnsi"/>
                <w:szCs w:val="20"/>
                <w:lang w:val="en-AU"/>
              </w:rPr>
              <w:t>.</w:t>
            </w:r>
            <w:r w:rsidRPr="00F90CFE">
              <w:rPr>
                <w:rFonts w:asciiTheme="majorHAnsi" w:hAnsiTheme="majorHAnsi" w:cstheme="majorHAnsi"/>
                <w:lang w:val="en-AU"/>
              </w:rPr>
              <w:t xml:space="preserve"> </w:t>
            </w:r>
          </w:p>
        </w:tc>
      </w:tr>
    </w:tbl>
    <w:p w14:paraId="7B1C083E" w14:textId="51AA4501" w:rsidR="00E259F4" w:rsidRPr="00F90CFE" w:rsidRDefault="00E259F4" w:rsidP="00875D0A">
      <w:pPr>
        <w:rPr>
          <w:lang w:val="en-AU"/>
        </w:rPr>
      </w:pPr>
      <w:bookmarkStart w:id="48" w:name="_Toc58334875"/>
      <w:bookmarkEnd w:id="47"/>
      <w:r w:rsidRPr="00F90CFE">
        <w:rPr>
          <w:lang w:val="en-AU"/>
        </w:rPr>
        <w:t xml:space="preserve">Data collected through these tools was </w:t>
      </w:r>
      <w:r w:rsidR="00594409" w:rsidRPr="00F90CFE">
        <w:rPr>
          <w:lang w:val="en-AU"/>
        </w:rPr>
        <w:t>analysed</w:t>
      </w:r>
      <w:r w:rsidRPr="00F90CFE">
        <w:rPr>
          <w:lang w:val="en-AU"/>
        </w:rPr>
        <w:t xml:space="preserve"> in line with the methodology and analytical framework described above. In addition to informing the main evaluation report, data collected also fed into two additional components of the evaluation. </w:t>
      </w:r>
    </w:p>
    <w:p w14:paraId="7D75253C" w14:textId="4E8FE28A" w:rsidR="00E259F4" w:rsidRPr="00F90CFE" w:rsidRDefault="00E259F4" w:rsidP="00875D0A">
      <w:pPr>
        <w:rPr>
          <w:lang w:val="en-AU"/>
        </w:rPr>
      </w:pPr>
      <w:r w:rsidRPr="00F90CFE">
        <w:rPr>
          <w:lang w:val="en-AU"/>
        </w:rPr>
        <w:t xml:space="preserve">A </w:t>
      </w:r>
      <w:r w:rsidRPr="00F90CFE">
        <w:rPr>
          <w:b/>
          <w:lang w:val="en-AU"/>
        </w:rPr>
        <w:t>comparative analysis</w:t>
      </w:r>
      <w:r w:rsidRPr="00F90CFE">
        <w:rPr>
          <w:lang w:val="en-AU"/>
        </w:rPr>
        <w:t xml:space="preserve"> was produced (see Annex </w:t>
      </w:r>
      <w:r w:rsidR="00B63F11" w:rsidRPr="00F90CFE">
        <w:rPr>
          <w:lang w:val="en-AU"/>
        </w:rPr>
        <w:t>1</w:t>
      </w:r>
      <w:r w:rsidRPr="00F90CFE">
        <w:rPr>
          <w:lang w:val="en-AU"/>
        </w:rPr>
        <w:t xml:space="preserve">), based on the literature scan and interviews with staff from other donor countries. This cross-country analysis was based upon a review of the international literature plus interviews with government staff from volunteer programs in Canada, New Zealand, Norway, and the United Kingdom (the following separate report was also prepared for the evaluation: </w:t>
      </w:r>
      <w:r w:rsidR="00B911EF">
        <w:rPr>
          <w:lang w:val="en-AU"/>
        </w:rPr>
        <w:t>‘</w:t>
      </w:r>
      <w:r w:rsidRPr="00F90CFE">
        <w:rPr>
          <w:lang w:val="en-AU"/>
        </w:rPr>
        <w:t>International volunteer programs in Australia, Canada, New Zealand, Norway and United Kingdom: Comparative analysis and future directions</w:t>
      </w:r>
      <w:r w:rsidR="00B911EF">
        <w:rPr>
          <w:lang w:val="en-AU"/>
        </w:rPr>
        <w:t>’</w:t>
      </w:r>
      <w:r w:rsidRPr="00F90CFE">
        <w:rPr>
          <w:lang w:val="en-AU"/>
        </w:rPr>
        <w:t>)</w:t>
      </w:r>
      <w:r w:rsidR="00EC25F1" w:rsidRPr="00F90CFE">
        <w:rPr>
          <w:lang w:val="en-AU"/>
        </w:rPr>
        <w:t>.</w:t>
      </w:r>
      <w:r w:rsidRPr="00F90CFE">
        <w:rPr>
          <w:lang w:val="en-AU"/>
        </w:rPr>
        <w:t xml:space="preserve"> A targeted component of the literature scan was undertaken to inform a comparative analysis of volunteering modalities, expenditure where possible, emerging issues and responses by other donors and in other contexts together with the identification of international trends and promising practice to be consider for application in future programming. </w:t>
      </w:r>
    </w:p>
    <w:p w14:paraId="12227299" w14:textId="7116A592" w:rsidR="00E259F4" w:rsidRPr="00F90CFE" w:rsidRDefault="00E259F4" w:rsidP="00875D0A">
      <w:pPr>
        <w:rPr>
          <w:lang w:val="en-AU"/>
        </w:rPr>
      </w:pPr>
      <w:r w:rsidRPr="00F90CFE">
        <w:rPr>
          <w:lang w:val="en-AU"/>
        </w:rPr>
        <w:t>Five</w:t>
      </w:r>
      <w:r w:rsidRPr="00F90CFE">
        <w:rPr>
          <w:b/>
          <w:lang w:val="en-AU"/>
        </w:rPr>
        <w:t xml:space="preserve"> country case studies</w:t>
      </w:r>
      <w:r w:rsidRPr="00F90CFE">
        <w:rPr>
          <w:lang w:val="en-AU"/>
        </w:rPr>
        <w:t xml:space="preserve"> were also produced (see Annexes </w:t>
      </w:r>
      <w:r w:rsidR="00F039F3" w:rsidRPr="00F90CFE">
        <w:rPr>
          <w:lang w:val="en-AU"/>
        </w:rPr>
        <w:t>2</w:t>
      </w:r>
      <w:r w:rsidRPr="00F90CFE">
        <w:rPr>
          <w:lang w:val="en-AU"/>
        </w:rPr>
        <w:t xml:space="preserve"> to </w:t>
      </w:r>
      <w:r w:rsidR="00F039F3" w:rsidRPr="00F90CFE">
        <w:rPr>
          <w:lang w:val="en-AU"/>
        </w:rPr>
        <w:t>6</w:t>
      </w:r>
      <w:r w:rsidRPr="00F90CFE">
        <w:rPr>
          <w:lang w:val="en-AU"/>
        </w:rPr>
        <w:t xml:space="preserve">). Case studies were undertaken of the program’s operation in Indonesia, Solomon Islands, Tanzania, Timor-Leste, and Tonga. The purpose of the country case studies was to investigate and compare assignments, </w:t>
      </w:r>
      <w:r w:rsidR="00594409" w:rsidRPr="00F90CFE">
        <w:rPr>
          <w:lang w:val="en-AU"/>
        </w:rPr>
        <w:t>capacity,</w:t>
      </w:r>
      <w:r w:rsidRPr="00F90CFE">
        <w:rPr>
          <w:lang w:val="en-AU"/>
        </w:rPr>
        <w:t xml:space="preserve"> and delivery in countries/regions, to test program theory, and to evidence outcomes. The sample of countries was suggested by DFAT. In each country, the country evaluator carried out </w:t>
      </w:r>
      <w:r w:rsidR="00594409" w:rsidRPr="00F90CFE">
        <w:rPr>
          <w:lang w:val="en-AU"/>
        </w:rPr>
        <w:t>several</w:t>
      </w:r>
      <w:r w:rsidRPr="00F90CFE">
        <w:rPr>
          <w:lang w:val="en-AU"/>
        </w:rPr>
        <w:t xml:space="preserve"> interviews and focus group discussions, with the following stakeholders:</w:t>
      </w:r>
    </w:p>
    <w:p w14:paraId="4E931E8A" w14:textId="77777777" w:rsidR="00E259F4" w:rsidRPr="00F90CFE" w:rsidRDefault="00E259F4" w:rsidP="00B76569">
      <w:pPr>
        <w:pStyle w:val="ListBullet"/>
        <w:rPr>
          <w:noProof w:val="0"/>
          <w:lang w:val="en-AU"/>
        </w:rPr>
      </w:pPr>
      <w:r w:rsidRPr="00F90CFE">
        <w:rPr>
          <w:noProof w:val="0"/>
          <w:lang w:val="en-AU"/>
        </w:rPr>
        <w:t>DFAT Post staff</w:t>
      </w:r>
    </w:p>
    <w:p w14:paraId="7D076E7E" w14:textId="77777777" w:rsidR="00E259F4" w:rsidRPr="00F90CFE" w:rsidRDefault="00E259F4" w:rsidP="00B76569">
      <w:pPr>
        <w:pStyle w:val="ListBullet"/>
        <w:rPr>
          <w:noProof w:val="0"/>
          <w:lang w:val="en-AU"/>
        </w:rPr>
      </w:pPr>
      <w:r w:rsidRPr="00F90CFE">
        <w:rPr>
          <w:noProof w:val="0"/>
          <w:lang w:val="en-AU"/>
        </w:rPr>
        <w:t>Partner Government staff</w:t>
      </w:r>
    </w:p>
    <w:p w14:paraId="2126DA3A" w14:textId="77777777" w:rsidR="00E259F4" w:rsidRPr="00F90CFE" w:rsidRDefault="00E259F4" w:rsidP="00B76569">
      <w:pPr>
        <w:pStyle w:val="ListBullet"/>
        <w:rPr>
          <w:noProof w:val="0"/>
          <w:lang w:val="en-AU"/>
        </w:rPr>
      </w:pPr>
      <w:r w:rsidRPr="00F90CFE">
        <w:rPr>
          <w:noProof w:val="0"/>
          <w:lang w:val="en-AU"/>
        </w:rPr>
        <w:t>Program staff</w:t>
      </w:r>
    </w:p>
    <w:p w14:paraId="6A8E9FAF" w14:textId="06860A65" w:rsidR="00E259F4" w:rsidRPr="00F90CFE" w:rsidRDefault="00E259F4" w:rsidP="00B76569">
      <w:pPr>
        <w:pStyle w:val="ListBullet"/>
        <w:rPr>
          <w:noProof w:val="0"/>
          <w:lang w:val="en-AU"/>
        </w:rPr>
      </w:pPr>
      <w:r w:rsidRPr="00F90CFE">
        <w:rPr>
          <w:noProof w:val="0"/>
          <w:lang w:val="en-AU"/>
        </w:rPr>
        <w:t>P</w:t>
      </w:r>
      <w:r w:rsidR="00875D0A" w:rsidRPr="00F90CFE">
        <w:rPr>
          <w:noProof w:val="0"/>
          <w:lang w:val="en-AU"/>
        </w:rPr>
        <w:t>artner organisation</w:t>
      </w:r>
      <w:r w:rsidRPr="00F90CFE">
        <w:rPr>
          <w:noProof w:val="0"/>
          <w:lang w:val="en-AU"/>
        </w:rPr>
        <w:t xml:space="preserve"> representatives (from four</w:t>
      </w:r>
      <w:r w:rsidR="00875D0A" w:rsidRPr="00F90CFE">
        <w:rPr>
          <w:noProof w:val="0"/>
          <w:lang w:val="en-AU"/>
        </w:rPr>
        <w:t xml:space="preserve"> partner organisations</w:t>
      </w:r>
      <w:r w:rsidRPr="00F90CFE">
        <w:rPr>
          <w:noProof w:val="0"/>
          <w:lang w:val="en-AU"/>
        </w:rPr>
        <w:t>)</w:t>
      </w:r>
    </w:p>
    <w:p w14:paraId="7C90FAC0" w14:textId="4299C7B4" w:rsidR="00E259F4" w:rsidRPr="00F90CFE" w:rsidRDefault="00E259F4" w:rsidP="00B76569">
      <w:pPr>
        <w:pStyle w:val="ListBullet"/>
        <w:rPr>
          <w:noProof w:val="0"/>
          <w:lang w:val="en-AU"/>
        </w:rPr>
      </w:pPr>
      <w:r w:rsidRPr="00F90CFE">
        <w:rPr>
          <w:noProof w:val="0"/>
          <w:lang w:val="en-AU"/>
        </w:rPr>
        <w:lastRenderedPageBreak/>
        <w:t>Volunteers who had been on assignment with some of the selected</w:t>
      </w:r>
      <w:r w:rsidR="00875D0A" w:rsidRPr="00F90CFE">
        <w:rPr>
          <w:noProof w:val="0"/>
          <w:lang w:val="en-AU"/>
        </w:rPr>
        <w:t xml:space="preserve"> partner organisations</w:t>
      </w:r>
    </w:p>
    <w:p w14:paraId="60F09374" w14:textId="30E558BC" w:rsidR="00E259F4" w:rsidRPr="00F90CFE" w:rsidRDefault="00E259F4" w:rsidP="00875D0A">
      <w:pPr>
        <w:rPr>
          <w:lang w:val="en-AU"/>
        </w:rPr>
      </w:pPr>
      <w:r w:rsidRPr="00F90CFE">
        <w:rPr>
          <w:lang w:val="en-AU"/>
        </w:rPr>
        <w:t xml:space="preserve">The </w:t>
      </w:r>
      <w:r w:rsidR="00F039F3" w:rsidRPr="00F90CFE">
        <w:rPr>
          <w:lang w:val="en-AU"/>
        </w:rPr>
        <w:t>p</w:t>
      </w:r>
      <w:r w:rsidRPr="00F90CFE">
        <w:rPr>
          <w:lang w:val="en-AU"/>
        </w:rPr>
        <w:t xml:space="preserve">artner </w:t>
      </w:r>
      <w:r w:rsidR="00F039F3" w:rsidRPr="00F90CFE">
        <w:rPr>
          <w:lang w:val="en-AU"/>
        </w:rPr>
        <w:t>o</w:t>
      </w:r>
      <w:r w:rsidRPr="00F90CFE">
        <w:rPr>
          <w:lang w:val="en-AU"/>
        </w:rPr>
        <w:t xml:space="preserve">rganisations were sampled on the following basis. The aim of the sampling approach was to capture evidence of ‘typical’ cases from which analysis of effectiveness can be drawn, while also exploring interesting cases to illustrate different aspects of the program. </w:t>
      </w:r>
    </w:p>
    <w:p w14:paraId="0855C527" w14:textId="6E812758" w:rsidR="00E259F4" w:rsidRPr="00F90CFE" w:rsidRDefault="00EC25F1" w:rsidP="00875D0A">
      <w:pPr>
        <w:rPr>
          <w:lang w:val="en-AU"/>
        </w:rPr>
      </w:pPr>
      <w:r w:rsidRPr="00F90CFE">
        <w:rPr>
          <w:lang w:val="en-AU"/>
        </w:rPr>
        <w:t>The evaluation team used a</w:t>
      </w:r>
      <w:r w:rsidR="00E259F4" w:rsidRPr="00F90CFE">
        <w:rPr>
          <w:lang w:val="en-AU"/>
        </w:rPr>
        <w:t xml:space="preserve"> multi-stage sampling process to select </w:t>
      </w:r>
      <w:r w:rsidR="00875D0A" w:rsidRPr="00F90CFE">
        <w:rPr>
          <w:lang w:val="en-AU"/>
        </w:rPr>
        <w:t>p</w:t>
      </w:r>
      <w:r w:rsidR="00E259F4" w:rsidRPr="00F90CFE">
        <w:rPr>
          <w:lang w:val="en-AU"/>
        </w:rPr>
        <w:t xml:space="preserve">artner </w:t>
      </w:r>
      <w:r w:rsidR="00875D0A" w:rsidRPr="00F90CFE">
        <w:rPr>
          <w:lang w:val="en-AU"/>
        </w:rPr>
        <w:t>o</w:t>
      </w:r>
      <w:r w:rsidR="00E259F4" w:rsidRPr="00F90CFE">
        <w:rPr>
          <w:lang w:val="en-AU"/>
        </w:rPr>
        <w:t xml:space="preserve">rganisations in each of the case study countries. </w:t>
      </w:r>
    </w:p>
    <w:p w14:paraId="5D790DE2" w14:textId="41A7BCAB" w:rsidR="00E259F4" w:rsidRPr="00F90CFE" w:rsidRDefault="00E259F4" w:rsidP="00875D0A">
      <w:pPr>
        <w:rPr>
          <w:lang w:val="en-AU"/>
        </w:rPr>
      </w:pPr>
      <w:r w:rsidRPr="00F90CFE">
        <w:rPr>
          <w:lang w:val="en-AU"/>
        </w:rPr>
        <w:t>In the first stage, a list of all</w:t>
      </w:r>
      <w:r w:rsidR="00594409" w:rsidRPr="00F90CFE">
        <w:rPr>
          <w:lang w:val="en-AU"/>
        </w:rPr>
        <w:t xml:space="preserve"> partner organisations </w:t>
      </w:r>
      <w:r w:rsidRPr="00F90CFE">
        <w:rPr>
          <w:lang w:val="en-AU"/>
        </w:rPr>
        <w:t>(with related assignments) was taken from the program’s MIS (inclusive of all</w:t>
      </w:r>
      <w:r w:rsidR="00594409" w:rsidRPr="00F90CFE">
        <w:rPr>
          <w:lang w:val="en-AU"/>
        </w:rPr>
        <w:t xml:space="preserve"> partner organisations </w:t>
      </w:r>
      <w:r w:rsidRPr="00F90CFE">
        <w:rPr>
          <w:lang w:val="en-AU"/>
        </w:rPr>
        <w:t xml:space="preserve">supported from start of the program in 2018 to the present). Program managers were then asked to identify </w:t>
      </w:r>
      <w:r w:rsidRPr="00F90CFE">
        <w:rPr>
          <w:iCs/>
          <w:lang w:val="en-AU"/>
        </w:rPr>
        <w:t>seven</w:t>
      </w:r>
      <w:r w:rsidR="00594409" w:rsidRPr="00F90CFE">
        <w:rPr>
          <w:lang w:val="en-AU"/>
        </w:rPr>
        <w:t xml:space="preserve"> partner organisations </w:t>
      </w:r>
      <w:r w:rsidRPr="00F90CFE">
        <w:rPr>
          <w:lang w:val="en-AU"/>
        </w:rPr>
        <w:t xml:space="preserve">that meet the following selection criteria: </w:t>
      </w:r>
    </w:p>
    <w:p w14:paraId="08167118" w14:textId="0BE50306" w:rsidR="00E259F4" w:rsidRPr="00F90CFE" w:rsidRDefault="00E259F4" w:rsidP="00B76569">
      <w:pPr>
        <w:pStyle w:val="ListBullet"/>
        <w:rPr>
          <w:noProof w:val="0"/>
          <w:lang w:val="en-AU"/>
        </w:rPr>
      </w:pPr>
      <w:r w:rsidRPr="00F90CFE">
        <w:rPr>
          <w:noProof w:val="0"/>
          <w:lang w:val="en-AU"/>
        </w:rPr>
        <w:t>Identify</w:t>
      </w:r>
      <w:r w:rsidR="00594409" w:rsidRPr="00F90CFE">
        <w:rPr>
          <w:noProof w:val="0"/>
          <w:lang w:val="en-AU"/>
        </w:rPr>
        <w:t xml:space="preserve"> partner organisations </w:t>
      </w:r>
      <w:r w:rsidRPr="00F90CFE">
        <w:rPr>
          <w:noProof w:val="0"/>
          <w:lang w:val="en-AU"/>
        </w:rPr>
        <w:t xml:space="preserve">from each of the following categories: 2 X </w:t>
      </w:r>
      <w:r w:rsidR="00416C5C" w:rsidRPr="00F90CFE">
        <w:rPr>
          <w:noProof w:val="0"/>
          <w:lang w:val="en-AU"/>
        </w:rPr>
        <w:t>non-governmental organisations (</w:t>
      </w:r>
      <w:r w:rsidRPr="00F90CFE">
        <w:rPr>
          <w:noProof w:val="0"/>
          <w:lang w:val="en-AU"/>
        </w:rPr>
        <w:t>NGOs</w:t>
      </w:r>
      <w:r w:rsidR="00416C5C" w:rsidRPr="00F90CFE">
        <w:rPr>
          <w:noProof w:val="0"/>
          <w:lang w:val="en-AU"/>
        </w:rPr>
        <w:t>)</w:t>
      </w:r>
      <w:r w:rsidRPr="00F90CFE">
        <w:rPr>
          <w:noProof w:val="0"/>
          <w:lang w:val="en-AU"/>
        </w:rPr>
        <w:t xml:space="preserve">; 2 X government; 1 X academic/research institution; 1 X </w:t>
      </w:r>
      <w:r w:rsidR="00416C5C" w:rsidRPr="00F90CFE">
        <w:rPr>
          <w:noProof w:val="0"/>
          <w:lang w:val="en-AU"/>
        </w:rPr>
        <w:t xml:space="preserve">international </w:t>
      </w:r>
      <w:r w:rsidRPr="00F90CFE">
        <w:rPr>
          <w:noProof w:val="0"/>
          <w:lang w:val="en-AU"/>
        </w:rPr>
        <w:t>NGO and 1 X private sector = 7. Some variability was required as not all countries had partner organisations in each of these categories</w:t>
      </w:r>
    </w:p>
    <w:p w14:paraId="5FFD5EF6" w14:textId="7729C7C8" w:rsidR="00E259F4" w:rsidRPr="00F90CFE" w:rsidRDefault="00E259F4" w:rsidP="00B76569">
      <w:pPr>
        <w:pStyle w:val="ListBullet"/>
        <w:rPr>
          <w:noProof w:val="0"/>
          <w:lang w:val="en-AU"/>
        </w:rPr>
      </w:pPr>
      <w:r w:rsidRPr="00F90CFE">
        <w:rPr>
          <w:noProof w:val="0"/>
          <w:lang w:val="en-AU"/>
        </w:rPr>
        <w:t>The selected</w:t>
      </w:r>
      <w:r w:rsidR="00594409" w:rsidRPr="00F90CFE">
        <w:rPr>
          <w:noProof w:val="0"/>
          <w:lang w:val="en-AU"/>
        </w:rPr>
        <w:t xml:space="preserve"> partner organisations </w:t>
      </w:r>
      <w:r w:rsidRPr="00F90CFE">
        <w:rPr>
          <w:noProof w:val="0"/>
          <w:lang w:val="en-AU"/>
        </w:rPr>
        <w:t>should also meet the following additional criteria:</w:t>
      </w:r>
    </w:p>
    <w:p w14:paraId="1630FAE1" w14:textId="760914D0" w:rsidR="00E259F4" w:rsidRPr="00F90CFE" w:rsidRDefault="00EC25F1" w:rsidP="00B76569">
      <w:pPr>
        <w:pStyle w:val="Level2bullet"/>
        <w:rPr>
          <w:noProof w:val="0"/>
        </w:rPr>
      </w:pPr>
      <w:r w:rsidRPr="00F90CFE">
        <w:rPr>
          <w:noProof w:val="0"/>
        </w:rPr>
        <w:t>A</w:t>
      </w:r>
      <w:r w:rsidR="00E259F4" w:rsidRPr="00F90CFE">
        <w:rPr>
          <w:noProof w:val="0"/>
        </w:rPr>
        <w:t xml:space="preserve"> ‘typical’ number of assignments since the start of the program in 2018</w:t>
      </w:r>
    </w:p>
    <w:p w14:paraId="701558B6" w14:textId="52F2E12D" w:rsidR="00E259F4" w:rsidRPr="00F90CFE" w:rsidRDefault="00EC25F1" w:rsidP="00B76569">
      <w:pPr>
        <w:pStyle w:val="Level2bullet"/>
        <w:rPr>
          <w:noProof w:val="0"/>
        </w:rPr>
      </w:pPr>
      <w:r w:rsidRPr="00F90CFE">
        <w:rPr>
          <w:noProof w:val="0"/>
        </w:rPr>
        <w:t>A</w:t>
      </w:r>
      <w:r w:rsidR="00E259F4" w:rsidRPr="00F90CFE">
        <w:rPr>
          <w:noProof w:val="0"/>
        </w:rPr>
        <w:t>ssignments of a ‘typical’ duration</w:t>
      </w:r>
    </w:p>
    <w:p w14:paraId="7DF92930" w14:textId="01E59887" w:rsidR="00E259F4" w:rsidRPr="00F90CFE" w:rsidRDefault="00EC25F1" w:rsidP="00B76569">
      <w:pPr>
        <w:pStyle w:val="Level2bullet"/>
        <w:rPr>
          <w:noProof w:val="0"/>
        </w:rPr>
      </w:pPr>
      <w:r w:rsidRPr="00F90CFE">
        <w:rPr>
          <w:noProof w:val="0"/>
        </w:rPr>
        <w:t>W</w:t>
      </w:r>
      <w:r w:rsidR="00E259F4" w:rsidRPr="00F90CFE">
        <w:rPr>
          <w:noProof w:val="0"/>
        </w:rPr>
        <w:t>orking in one or more of the following sectors: government and civil society; education; social infrastructure and services; agriculture and environment; health</w:t>
      </w:r>
    </w:p>
    <w:p w14:paraId="5AAE0601" w14:textId="7947C797" w:rsidR="00E259F4" w:rsidRPr="00F90CFE" w:rsidRDefault="00875D0A" w:rsidP="00B76569">
      <w:pPr>
        <w:pStyle w:val="Level2bullet"/>
        <w:rPr>
          <w:noProof w:val="0"/>
        </w:rPr>
      </w:pPr>
      <w:r w:rsidRPr="00F90CFE">
        <w:rPr>
          <w:noProof w:val="0"/>
        </w:rPr>
        <w:t>Partner organisations</w:t>
      </w:r>
      <w:r w:rsidR="00E259F4" w:rsidRPr="00F90CFE">
        <w:rPr>
          <w:noProof w:val="0"/>
        </w:rPr>
        <w:t xml:space="preserve"> that have had ‘typically’ effective assignments (as judged by program </w:t>
      </w:r>
      <w:r w:rsidR="00B911EF" w:rsidRPr="00F90CFE">
        <w:rPr>
          <w:noProof w:val="0"/>
        </w:rPr>
        <w:t>manager but</w:t>
      </w:r>
      <w:r w:rsidR="00E259F4" w:rsidRPr="00F90CFE">
        <w:rPr>
          <w:noProof w:val="0"/>
        </w:rPr>
        <w:t xml:space="preserve"> verified by monitoring data)</w:t>
      </w:r>
      <w:r w:rsidR="00EC25F1" w:rsidRPr="00F90CFE">
        <w:rPr>
          <w:noProof w:val="0"/>
        </w:rPr>
        <w:t>.</w:t>
      </w:r>
    </w:p>
    <w:p w14:paraId="61294009" w14:textId="514C6318" w:rsidR="00E259F4" w:rsidRPr="00F90CFE" w:rsidRDefault="00E259F4" w:rsidP="00B76569">
      <w:pPr>
        <w:pStyle w:val="ListBullet"/>
        <w:rPr>
          <w:noProof w:val="0"/>
          <w:lang w:val="en-AU"/>
        </w:rPr>
      </w:pPr>
      <w:r w:rsidRPr="00F90CFE">
        <w:rPr>
          <w:noProof w:val="0"/>
          <w:lang w:val="en-AU"/>
        </w:rPr>
        <w:t xml:space="preserve">A </w:t>
      </w:r>
      <w:r w:rsidR="00B911EF" w:rsidRPr="00F90CFE">
        <w:rPr>
          <w:noProof w:val="0"/>
          <w:lang w:val="en-AU"/>
        </w:rPr>
        <w:t>criterion</w:t>
      </w:r>
      <w:r w:rsidRPr="00F90CFE">
        <w:rPr>
          <w:noProof w:val="0"/>
          <w:lang w:val="en-AU"/>
        </w:rPr>
        <w:t xml:space="preserve"> for exclusion was of</w:t>
      </w:r>
      <w:r w:rsidR="00594409" w:rsidRPr="00F90CFE">
        <w:rPr>
          <w:noProof w:val="0"/>
          <w:lang w:val="en-AU"/>
        </w:rPr>
        <w:t xml:space="preserve"> partner organisations </w:t>
      </w:r>
      <w:r w:rsidRPr="00F90CFE">
        <w:rPr>
          <w:noProof w:val="0"/>
          <w:lang w:val="en-AU"/>
        </w:rPr>
        <w:t>that are known to be unavailable or if the</w:t>
      </w:r>
      <w:r w:rsidR="00594409" w:rsidRPr="00F90CFE">
        <w:rPr>
          <w:noProof w:val="0"/>
          <w:lang w:val="en-AU"/>
        </w:rPr>
        <w:t xml:space="preserve"> partner organisation </w:t>
      </w:r>
      <w:r w:rsidRPr="00F90CFE">
        <w:rPr>
          <w:noProof w:val="0"/>
          <w:lang w:val="en-AU"/>
        </w:rPr>
        <w:t>had been recently sampled for other research (to avoid research fatigue/duplication).</w:t>
      </w:r>
    </w:p>
    <w:p w14:paraId="068A73C9" w14:textId="79715519" w:rsidR="00E259F4" w:rsidRPr="00F90CFE" w:rsidRDefault="00E259F4" w:rsidP="00E259F4">
      <w:pPr>
        <w:spacing w:after="0"/>
        <w:rPr>
          <w:rFonts w:asciiTheme="majorHAnsi" w:hAnsiTheme="majorHAnsi" w:cstheme="majorHAnsi"/>
          <w:lang w:val="en-AU"/>
        </w:rPr>
      </w:pPr>
      <w:r w:rsidRPr="00F90CFE">
        <w:rPr>
          <w:rFonts w:asciiTheme="majorHAnsi" w:hAnsiTheme="majorHAnsi" w:cstheme="majorHAnsi"/>
          <w:lang w:val="en-AU"/>
        </w:rPr>
        <w:t xml:space="preserve">From the shortlist provided by the program for each country, the evaluation team then randomly selected three organisations per country. From the three, two organisations were purposively sampled to capture maximum variation at the global level to ensure a </w:t>
      </w:r>
      <w:r w:rsidR="00B911EF" w:rsidRPr="00F90CFE">
        <w:rPr>
          <w:rFonts w:asciiTheme="majorHAnsi" w:hAnsiTheme="majorHAnsi" w:cstheme="majorHAnsi"/>
          <w:lang w:val="en-AU"/>
        </w:rPr>
        <w:t>widespread</w:t>
      </w:r>
      <w:r w:rsidRPr="00F90CFE">
        <w:rPr>
          <w:rFonts w:asciiTheme="majorHAnsi" w:hAnsiTheme="majorHAnsi" w:cstheme="majorHAnsi"/>
          <w:lang w:val="en-AU"/>
        </w:rPr>
        <w:t xml:space="preserve"> in the ‘type’ of</w:t>
      </w:r>
      <w:r w:rsidR="00594409" w:rsidRPr="00F90CFE">
        <w:rPr>
          <w:rFonts w:asciiTheme="majorHAnsi" w:hAnsiTheme="majorHAnsi" w:cstheme="majorHAnsi"/>
          <w:lang w:val="en-AU"/>
        </w:rPr>
        <w:t xml:space="preserve"> partner organisations </w:t>
      </w:r>
      <w:r w:rsidRPr="00F90CFE">
        <w:rPr>
          <w:rFonts w:asciiTheme="majorHAnsi" w:hAnsiTheme="majorHAnsi" w:cstheme="majorHAnsi"/>
          <w:lang w:val="en-AU"/>
        </w:rPr>
        <w:t>selected, based on:</w:t>
      </w:r>
    </w:p>
    <w:p w14:paraId="0888A9AF" w14:textId="77777777" w:rsidR="00E259F4" w:rsidRPr="00F90CFE" w:rsidRDefault="00E259F4" w:rsidP="00B76569">
      <w:pPr>
        <w:pStyle w:val="ListBullet"/>
        <w:rPr>
          <w:noProof w:val="0"/>
          <w:lang w:val="en-AU"/>
        </w:rPr>
      </w:pPr>
      <w:r w:rsidRPr="00F90CFE">
        <w:rPr>
          <w:noProof w:val="0"/>
          <w:lang w:val="en-AU"/>
        </w:rPr>
        <w:t>Thematic areas (the three impact areas plus health, education, etc.)</w:t>
      </w:r>
    </w:p>
    <w:p w14:paraId="7DE252DF" w14:textId="3CF93363" w:rsidR="00E259F4" w:rsidRPr="00F90CFE" w:rsidRDefault="00E259F4" w:rsidP="00B76569">
      <w:pPr>
        <w:pStyle w:val="ListBullet"/>
        <w:rPr>
          <w:noProof w:val="0"/>
          <w:lang w:val="en-AU"/>
        </w:rPr>
      </w:pPr>
      <w:r w:rsidRPr="00F90CFE">
        <w:rPr>
          <w:noProof w:val="0"/>
          <w:lang w:val="en-AU"/>
        </w:rPr>
        <w:t>A</w:t>
      </w:r>
      <w:r w:rsidR="00594409" w:rsidRPr="00F90CFE">
        <w:rPr>
          <w:noProof w:val="0"/>
          <w:lang w:val="en-AU"/>
        </w:rPr>
        <w:t xml:space="preserve"> partner organisation </w:t>
      </w:r>
      <w:r w:rsidRPr="00F90CFE">
        <w:rPr>
          <w:noProof w:val="0"/>
          <w:lang w:val="en-AU"/>
        </w:rPr>
        <w:t xml:space="preserve">working in a cross-cutting theme relating to gender equality, diversity, and social inclusion </w:t>
      </w:r>
    </w:p>
    <w:p w14:paraId="6E922CF8" w14:textId="78B7E0AB" w:rsidR="00E259F4" w:rsidRPr="00F90CFE" w:rsidRDefault="00E259F4" w:rsidP="00B76569">
      <w:pPr>
        <w:pStyle w:val="ListBullet"/>
        <w:rPr>
          <w:noProof w:val="0"/>
          <w:lang w:val="en-AU"/>
        </w:rPr>
      </w:pPr>
      <w:r w:rsidRPr="00F90CFE">
        <w:rPr>
          <w:noProof w:val="0"/>
          <w:lang w:val="en-AU"/>
        </w:rPr>
        <w:t>Types of</w:t>
      </w:r>
      <w:r w:rsidR="00594409" w:rsidRPr="00F90CFE">
        <w:rPr>
          <w:noProof w:val="0"/>
          <w:lang w:val="en-AU"/>
        </w:rPr>
        <w:t xml:space="preserve"> partner organisation </w:t>
      </w:r>
      <w:r w:rsidRPr="00F90CFE">
        <w:rPr>
          <w:noProof w:val="0"/>
          <w:lang w:val="en-AU"/>
        </w:rPr>
        <w:t>(government; international agency; national/local NGO; etc.)</w:t>
      </w:r>
    </w:p>
    <w:p w14:paraId="78D41EF3" w14:textId="59B7C351" w:rsidR="00E259F4" w:rsidRPr="00F90CFE" w:rsidRDefault="00E259F4" w:rsidP="00B76569">
      <w:pPr>
        <w:pStyle w:val="ListBullet"/>
        <w:rPr>
          <w:noProof w:val="0"/>
          <w:lang w:val="en-AU"/>
        </w:rPr>
      </w:pPr>
      <w:r w:rsidRPr="00F90CFE">
        <w:rPr>
          <w:noProof w:val="0"/>
          <w:lang w:val="en-AU"/>
        </w:rPr>
        <w:t>A</w:t>
      </w:r>
      <w:r w:rsidR="00594409" w:rsidRPr="00F90CFE">
        <w:rPr>
          <w:noProof w:val="0"/>
          <w:lang w:val="en-AU"/>
        </w:rPr>
        <w:t xml:space="preserve"> partner organisation </w:t>
      </w:r>
      <w:r w:rsidRPr="00F90CFE">
        <w:rPr>
          <w:noProof w:val="0"/>
          <w:lang w:val="en-AU"/>
        </w:rPr>
        <w:t>with a strategic relationship with an Australian Organisation</w:t>
      </w:r>
    </w:p>
    <w:p w14:paraId="2C6F1135" w14:textId="217C200A" w:rsidR="00E259F4" w:rsidRPr="00F90CFE" w:rsidRDefault="00E259F4" w:rsidP="00B76569">
      <w:pPr>
        <w:pStyle w:val="ListBullet"/>
        <w:rPr>
          <w:noProof w:val="0"/>
          <w:lang w:val="en-AU"/>
        </w:rPr>
      </w:pPr>
      <w:r w:rsidRPr="00F90CFE">
        <w:rPr>
          <w:noProof w:val="0"/>
          <w:lang w:val="en-AU"/>
        </w:rPr>
        <w:t>A</w:t>
      </w:r>
      <w:r w:rsidR="00594409" w:rsidRPr="00F90CFE">
        <w:rPr>
          <w:noProof w:val="0"/>
          <w:lang w:val="en-AU"/>
        </w:rPr>
        <w:t xml:space="preserve"> partner organisation </w:t>
      </w:r>
      <w:r w:rsidRPr="00F90CFE">
        <w:rPr>
          <w:noProof w:val="0"/>
          <w:lang w:val="en-AU"/>
        </w:rPr>
        <w:t>that has had a remote volunteer.</w:t>
      </w:r>
    </w:p>
    <w:p w14:paraId="1A992DFF" w14:textId="343D37C2" w:rsidR="00E259F4" w:rsidRPr="00F90CFE" w:rsidRDefault="00E259F4" w:rsidP="002D0AA9">
      <w:pPr>
        <w:spacing w:before="0" w:after="0" w:line="256" w:lineRule="auto"/>
        <w:rPr>
          <w:rFonts w:asciiTheme="majorHAnsi" w:hAnsiTheme="majorHAnsi" w:cstheme="majorHAnsi"/>
          <w:lang w:val="en-AU"/>
        </w:rPr>
      </w:pPr>
      <w:r w:rsidRPr="00F90CFE">
        <w:rPr>
          <w:rFonts w:asciiTheme="majorHAnsi" w:hAnsiTheme="majorHAnsi" w:cstheme="majorHAnsi"/>
          <w:lang w:val="en-AU"/>
        </w:rPr>
        <w:t xml:space="preserve">The two partner organisations per country selected through this approach were then the focus of in-depth interviews and the detailed case studies as presented in Annexes </w:t>
      </w:r>
      <w:r w:rsidR="00F039F3" w:rsidRPr="00F90CFE">
        <w:rPr>
          <w:rFonts w:asciiTheme="majorHAnsi" w:hAnsiTheme="majorHAnsi" w:cstheme="majorHAnsi"/>
          <w:lang w:val="en-AU"/>
        </w:rPr>
        <w:t>2</w:t>
      </w:r>
      <w:r w:rsidRPr="00F90CFE">
        <w:rPr>
          <w:rFonts w:asciiTheme="majorHAnsi" w:hAnsiTheme="majorHAnsi" w:cstheme="majorHAnsi"/>
          <w:lang w:val="en-AU"/>
        </w:rPr>
        <w:t xml:space="preserve"> to </w:t>
      </w:r>
      <w:r w:rsidR="00F039F3" w:rsidRPr="00F90CFE">
        <w:rPr>
          <w:rFonts w:asciiTheme="majorHAnsi" w:hAnsiTheme="majorHAnsi" w:cstheme="majorHAnsi"/>
          <w:lang w:val="en-AU"/>
        </w:rPr>
        <w:t>6</w:t>
      </w:r>
      <w:r w:rsidRPr="00F90CFE">
        <w:rPr>
          <w:rFonts w:asciiTheme="majorHAnsi" w:hAnsiTheme="majorHAnsi" w:cstheme="majorHAnsi"/>
          <w:lang w:val="en-AU"/>
        </w:rPr>
        <w:t xml:space="preserve">. The remaining five </w:t>
      </w:r>
      <w:r w:rsidR="00594409" w:rsidRPr="00F90CFE">
        <w:rPr>
          <w:rFonts w:asciiTheme="majorHAnsi" w:hAnsiTheme="majorHAnsi" w:cstheme="majorHAnsi"/>
          <w:lang w:val="en-AU"/>
        </w:rPr>
        <w:t>organisation</w:t>
      </w:r>
      <w:r w:rsidRPr="00F90CFE">
        <w:rPr>
          <w:rFonts w:asciiTheme="majorHAnsi" w:hAnsiTheme="majorHAnsi" w:cstheme="majorHAnsi"/>
          <w:lang w:val="en-AU"/>
        </w:rPr>
        <w:t>s that had been identified in the previous stage sampling were all invited to a focus group discussion. FGDs with these organisations were based around the evaluation questions and used to inform the broader stakeholder analysis.</w:t>
      </w:r>
      <w:r w:rsidR="001D71C7" w:rsidRPr="00F90CFE">
        <w:rPr>
          <w:rFonts w:asciiTheme="majorHAnsi" w:hAnsiTheme="majorHAnsi" w:cstheme="majorHAnsi"/>
          <w:lang w:val="en-AU"/>
        </w:rPr>
        <w:t xml:space="preserve"> In total, 31 partner organisations were involved in interviews and FGDs.</w:t>
      </w:r>
      <w:r w:rsidRPr="00F90CFE">
        <w:rPr>
          <w:rFonts w:asciiTheme="majorHAnsi" w:hAnsiTheme="majorHAnsi" w:cstheme="majorHAnsi"/>
          <w:lang w:val="en-AU"/>
        </w:rPr>
        <w:t xml:space="preserve"> </w:t>
      </w:r>
    </w:p>
    <w:bookmarkEnd w:id="48"/>
    <w:p w14:paraId="01866103" w14:textId="77777777" w:rsidR="00E259F4" w:rsidRPr="00F90CFE" w:rsidRDefault="00E259F4" w:rsidP="005F376A">
      <w:pPr>
        <w:pStyle w:val="Heading2"/>
        <w:rPr>
          <w:sz w:val="22"/>
          <w:szCs w:val="22"/>
        </w:rPr>
      </w:pPr>
      <w:r w:rsidRPr="00F90CFE">
        <w:rPr>
          <w:sz w:val="22"/>
          <w:szCs w:val="22"/>
        </w:rPr>
        <w:t>Data analysis</w:t>
      </w:r>
    </w:p>
    <w:p w14:paraId="1B446D9C" w14:textId="1D3571D0" w:rsidR="00E259F4" w:rsidRPr="00F90CFE" w:rsidRDefault="00E259F4" w:rsidP="00875D0A">
      <w:pPr>
        <w:rPr>
          <w:rFonts w:eastAsia="Times New Roman"/>
          <w:lang w:val="en-AU"/>
        </w:rPr>
      </w:pPr>
      <w:r w:rsidRPr="00F90CFE">
        <w:rPr>
          <w:lang w:val="en-AU"/>
        </w:rPr>
        <w:t xml:space="preserve">This evaluation primarily involved rapid qualitative methods of inquiry and used DFAT’s own standards coupled with the judgement of the evaluators to interpret stakeholder perspectives. </w:t>
      </w:r>
      <w:r w:rsidRPr="00F90CFE">
        <w:rPr>
          <w:rFonts w:eastAsia="Times New Roman"/>
          <w:lang w:val="en-AU"/>
        </w:rPr>
        <w:t>The evaluators made professional judgements based on the evidence gathered and the criteria and standards expressly applied.</w:t>
      </w:r>
      <w:r w:rsidR="00594409" w:rsidRPr="00F90CFE">
        <w:rPr>
          <w:rFonts w:eastAsia="Times New Roman"/>
          <w:lang w:val="en-AU"/>
        </w:rPr>
        <w:t xml:space="preserve"> </w:t>
      </w:r>
      <w:r w:rsidRPr="00F90CFE">
        <w:rPr>
          <w:rFonts w:eastAsia="Times New Roman"/>
          <w:lang w:val="en-AU"/>
        </w:rPr>
        <w:t xml:space="preserve">The evaluation team </w:t>
      </w:r>
      <w:r w:rsidR="00875D0A" w:rsidRPr="00F90CFE">
        <w:rPr>
          <w:rFonts w:eastAsia="Times New Roman"/>
          <w:lang w:val="en-AU"/>
        </w:rPr>
        <w:t>can</w:t>
      </w:r>
      <w:r w:rsidRPr="00F90CFE">
        <w:rPr>
          <w:rFonts w:eastAsia="Times New Roman"/>
          <w:lang w:val="en-AU"/>
        </w:rPr>
        <w:t xml:space="preserve"> substantiate all judgements, i.e. to articulate a clear line of connection from evidence to finding to recommendations.</w:t>
      </w:r>
    </w:p>
    <w:p w14:paraId="327F34FF" w14:textId="7F566015" w:rsidR="00E259F4" w:rsidRPr="00F90CFE" w:rsidRDefault="00E259F4" w:rsidP="6E6BB222">
      <w:pPr>
        <w:rPr>
          <w:lang w:val="en-AU"/>
        </w:rPr>
      </w:pPr>
      <w:r w:rsidRPr="00F90CFE">
        <w:rPr>
          <w:rFonts w:eastAsia="Times New Roman"/>
          <w:lang w:val="en-AU"/>
        </w:rPr>
        <w:t xml:space="preserve">The </w:t>
      </w:r>
      <w:r w:rsidR="00F039F3" w:rsidRPr="00F90CFE">
        <w:rPr>
          <w:rFonts w:eastAsia="Times New Roman"/>
          <w:lang w:val="en-AU"/>
        </w:rPr>
        <w:t>analysis</w:t>
      </w:r>
      <w:r w:rsidRPr="00F90CFE">
        <w:rPr>
          <w:rFonts w:eastAsia="Times New Roman"/>
          <w:lang w:val="en-AU"/>
        </w:rPr>
        <w:t xml:space="preserve"> was supported by using NVivo, a qualitative data </w:t>
      </w:r>
      <w:r w:rsidR="00F039F3" w:rsidRPr="00F90CFE">
        <w:rPr>
          <w:rFonts w:eastAsia="Times New Roman"/>
          <w:lang w:val="en-AU"/>
        </w:rPr>
        <w:t>analysis</w:t>
      </w:r>
      <w:r w:rsidRPr="00F90CFE">
        <w:rPr>
          <w:rFonts w:eastAsia="Times New Roman"/>
          <w:lang w:val="en-AU"/>
        </w:rPr>
        <w:t xml:space="preserve"> tool. Notes from all interviews, group </w:t>
      </w:r>
      <w:r w:rsidR="00F039F3" w:rsidRPr="00F90CFE">
        <w:rPr>
          <w:rFonts w:eastAsia="Times New Roman"/>
          <w:lang w:val="en-AU"/>
        </w:rPr>
        <w:t>discussions</w:t>
      </w:r>
      <w:r w:rsidRPr="00F90CFE">
        <w:rPr>
          <w:rFonts w:eastAsia="Times New Roman"/>
          <w:lang w:val="en-AU"/>
        </w:rPr>
        <w:t xml:space="preserve"> and documents reviewed were coded in NVivo based on the key evaluation questions. </w:t>
      </w:r>
      <w:r w:rsidR="27FADD6F" w:rsidRPr="00F90CFE">
        <w:rPr>
          <w:rFonts w:eastAsia="Times New Roman"/>
          <w:lang w:val="en-AU"/>
        </w:rPr>
        <w:t>The NVIVO data was then</w:t>
      </w:r>
      <w:r w:rsidR="4A30BE10" w:rsidRPr="00F90CFE">
        <w:rPr>
          <w:rFonts w:eastAsia="Times New Roman"/>
          <w:lang w:val="en-AU"/>
        </w:rPr>
        <w:t xml:space="preserve"> </w:t>
      </w:r>
      <w:r w:rsidR="7AF61C47" w:rsidRPr="00F90CFE">
        <w:rPr>
          <w:rFonts w:eastAsia="Times New Roman"/>
          <w:lang w:val="en-AU"/>
        </w:rPr>
        <w:t xml:space="preserve">synthesised and </w:t>
      </w:r>
      <w:r w:rsidR="27FADD6F" w:rsidRPr="00F90CFE">
        <w:rPr>
          <w:rFonts w:eastAsia="Times New Roman"/>
          <w:lang w:val="en-AU"/>
        </w:rPr>
        <w:t>key themes</w:t>
      </w:r>
      <w:r w:rsidR="203FD4E4" w:rsidRPr="00F90CFE">
        <w:rPr>
          <w:rFonts w:eastAsia="Times New Roman"/>
          <w:lang w:val="en-AU"/>
        </w:rPr>
        <w:t xml:space="preserve"> identified</w:t>
      </w:r>
      <w:r w:rsidR="034A49E5" w:rsidRPr="00F90CFE">
        <w:rPr>
          <w:rFonts w:eastAsia="Times New Roman"/>
          <w:lang w:val="en-AU"/>
        </w:rPr>
        <w:t>.</w:t>
      </w:r>
    </w:p>
    <w:p w14:paraId="647AACC0" w14:textId="02834BFE" w:rsidR="00E259F4" w:rsidRPr="00F90CFE" w:rsidRDefault="5E75F16B" w:rsidP="00B911EF">
      <w:pPr>
        <w:pStyle w:val="BodyText"/>
      </w:pPr>
      <w:r w:rsidRPr="00B911EF">
        <w:rPr>
          <w:b/>
          <w:bCs/>
        </w:rPr>
        <w:t>Aide Memoire and Findings workshop</w:t>
      </w:r>
      <w:r w:rsidR="00B911EF" w:rsidRPr="00B911EF">
        <w:rPr>
          <w:b/>
          <w:bCs/>
          <w:sz w:val="22"/>
          <w:szCs w:val="22"/>
        </w:rPr>
        <w:t xml:space="preserve">. </w:t>
      </w:r>
      <w:r w:rsidRPr="00F90CFE">
        <w:t>The evaluation team developed an Aide Memoire which outlined preliminary findings and recommendations.</w:t>
      </w:r>
      <w:r w:rsidR="5559256A" w:rsidRPr="00F90CFE">
        <w:t xml:space="preserve"> These were presented at a </w:t>
      </w:r>
      <w:r w:rsidR="2657B3AA" w:rsidRPr="00F90CFE">
        <w:t xml:space="preserve">Findings </w:t>
      </w:r>
      <w:r w:rsidR="00E259F4" w:rsidRPr="00F90CFE">
        <w:t xml:space="preserve">workshop </w:t>
      </w:r>
      <w:r w:rsidR="2EF77DE7" w:rsidRPr="00F90CFE">
        <w:t>on 9 March</w:t>
      </w:r>
      <w:r w:rsidR="00B911EF">
        <w:t xml:space="preserve"> </w:t>
      </w:r>
      <w:r w:rsidR="00B32A8D">
        <w:t>2020</w:t>
      </w:r>
      <w:r w:rsidR="2EF77DE7" w:rsidRPr="00F90CFE">
        <w:t xml:space="preserve"> </w:t>
      </w:r>
      <w:r w:rsidR="11C4D6C3" w:rsidRPr="00F90CFE">
        <w:lastRenderedPageBreak/>
        <w:t>which involved over 40 participants, inclu</w:t>
      </w:r>
      <w:r w:rsidR="0241745E" w:rsidRPr="00F90CFE">
        <w:t>d</w:t>
      </w:r>
      <w:r w:rsidR="11C4D6C3" w:rsidRPr="00F90CFE">
        <w:t xml:space="preserve">ing </w:t>
      </w:r>
      <w:r w:rsidR="3981D0CD" w:rsidRPr="00F90CFE">
        <w:t xml:space="preserve">senior and post </w:t>
      </w:r>
      <w:r w:rsidR="00E259F4" w:rsidRPr="00F90CFE">
        <w:t>DFAT</w:t>
      </w:r>
      <w:r w:rsidR="22EF01C5" w:rsidRPr="00F90CFE">
        <w:t xml:space="preserve"> </w:t>
      </w:r>
      <w:r w:rsidR="6DDCE19C" w:rsidRPr="00F90CFE">
        <w:t xml:space="preserve">staff, </w:t>
      </w:r>
      <w:r w:rsidR="0071152C" w:rsidRPr="00F90CFE">
        <w:t xml:space="preserve">program </w:t>
      </w:r>
      <w:r w:rsidR="519A4981" w:rsidRPr="00F90CFE">
        <w:t>managers</w:t>
      </w:r>
      <w:r w:rsidR="00E259F4" w:rsidRPr="00F90CFE">
        <w:t xml:space="preserve">, the Evaluation </w:t>
      </w:r>
      <w:r w:rsidR="2B301899" w:rsidRPr="00F90CFE">
        <w:t>Advisory</w:t>
      </w:r>
      <w:r w:rsidR="00E259F4" w:rsidRPr="00F90CFE">
        <w:t xml:space="preserve"> Group</w:t>
      </w:r>
      <w:r w:rsidR="0AA92784" w:rsidRPr="00F90CFE">
        <w:t xml:space="preserve">. This workshop with stakeholders </w:t>
      </w:r>
      <w:r w:rsidR="00E259F4" w:rsidRPr="00F90CFE">
        <w:t xml:space="preserve">in the analysis phase </w:t>
      </w:r>
      <w:r w:rsidR="4BD6DFF7" w:rsidRPr="00F90CFE">
        <w:t>helped</w:t>
      </w:r>
      <w:r w:rsidR="00E259F4" w:rsidRPr="00F90CFE">
        <w:t xml:space="preserve"> facilitate the sharing and interpretation of the evaluation’s initial findings.</w:t>
      </w:r>
    </w:p>
    <w:p w14:paraId="514228BD" w14:textId="77777777" w:rsidR="00E259F4" w:rsidRPr="00F90CFE" w:rsidRDefault="00E259F4" w:rsidP="00E5639D">
      <w:pPr>
        <w:pStyle w:val="Heading1"/>
        <w:spacing w:before="120"/>
        <w:ind w:left="0" w:hanging="431"/>
        <w:rPr>
          <w:sz w:val="28"/>
          <w:szCs w:val="28"/>
          <w:lang w:val="en-AU"/>
        </w:rPr>
      </w:pPr>
      <w:r w:rsidRPr="00F90CFE">
        <w:rPr>
          <w:sz w:val="28"/>
          <w:szCs w:val="28"/>
          <w:lang w:val="en-AU"/>
        </w:rPr>
        <w:t xml:space="preserve">Evaluation Team </w:t>
      </w:r>
    </w:p>
    <w:p w14:paraId="1D6EEE28" w14:textId="79546164" w:rsidR="00E259F4" w:rsidRPr="00F90CFE" w:rsidRDefault="00E259F4" w:rsidP="00B32A8D">
      <w:pPr>
        <w:rPr>
          <w:rFonts w:asciiTheme="majorHAnsi" w:hAnsiTheme="majorHAnsi" w:cstheme="majorHAnsi"/>
          <w:lang w:val="en-AU"/>
        </w:rPr>
      </w:pPr>
      <w:r w:rsidRPr="00F90CFE">
        <w:rPr>
          <w:lang w:val="en-AU"/>
        </w:rPr>
        <w:t xml:space="preserve">The core team consisted of </w:t>
      </w:r>
      <w:r w:rsidR="006A62A1" w:rsidRPr="00F90CFE">
        <w:rPr>
          <w:lang w:val="en-AU"/>
        </w:rPr>
        <w:t>four</w:t>
      </w:r>
      <w:r w:rsidRPr="00F90CFE">
        <w:rPr>
          <w:lang w:val="en-AU"/>
        </w:rPr>
        <w:t xml:space="preserve"> members plus consultants for the case studies. Team members’ roles are outlined below.</w:t>
      </w:r>
      <w:r w:rsidR="00B32A8D">
        <w:rPr>
          <w:lang w:val="en-AU"/>
        </w:rPr>
        <w:br/>
      </w:r>
      <w:r w:rsidRPr="00F90CFE">
        <w:rPr>
          <w:rFonts w:asciiTheme="majorHAnsi" w:hAnsiTheme="majorHAnsi" w:cstheme="majorHAnsi"/>
          <w:b/>
          <w:color w:val="000000" w:themeColor="text1"/>
          <w:lang w:val="en-AU"/>
        </w:rPr>
        <w:t>Table 1: Overview of roles and responsibilities</w:t>
      </w:r>
    </w:p>
    <w:tbl>
      <w:tblPr>
        <w:tblW w:w="0" w:type="auto"/>
        <w:tblBorders>
          <w:top w:val="single" w:sz="4" w:space="0" w:color="003478" w:themeColor="text2"/>
          <w:bottom w:val="single" w:sz="4" w:space="0" w:color="003478" w:themeColor="text2"/>
          <w:insideH w:val="single" w:sz="4" w:space="0" w:color="003478" w:themeColor="text2"/>
        </w:tblBorders>
        <w:tblCellMar>
          <w:top w:w="15" w:type="dxa"/>
          <w:left w:w="15" w:type="dxa"/>
          <w:bottom w:w="15" w:type="dxa"/>
          <w:right w:w="15" w:type="dxa"/>
        </w:tblCellMar>
        <w:tblLook w:val="04A0" w:firstRow="1" w:lastRow="0" w:firstColumn="1" w:lastColumn="0" w:noHBand="0" w:noVBand="1"/>
      </w:tblPr>
      <w:tblGrid>
        <w:gridCol w:w="1781"/>
        <w:gridCol w:w="1905"/>
        <w:gridCol w:w="6060"/>
      </w:tblGrid>
      <w:tr w:rsidR="00973680" w:rsidRPr="00F90CFE" w14:paraId="12022947" w14:textId="3262672A" w:rsidTr="004E4246">
        <w:trPr>
          <w:trHeight w:val="122"/>
          <w:tblHeader/>
        </w:trPr>
        <w:tc>
          <w:tcPr>
            <w:tcW w:w="0" w:type="auto"/>
            <w:tcBorders>
              <w:top w:val="nil"/>
            </w:tcBorders>
            <w:shd w:val="clear" w:color="auto" w:fill="auto"/>
            <w:tcMar>
              <w:top w:w="57" w:type="dxa"/>
              <w:left w:w="113" w:type="dxa"/>
              <w:bottom w:w="57" w:type="dxa"/>
              <w:right w:w="113" w:type="dxa"/>
            </w:tcMar>
            <w:vAlign w:val="center"/>
            <w:hideMark/>
          </w:tcPr>
          <w:p w14:paraId="43B34335" w14:textId="77777777" w:rsidR="00973680" w:rsidRPr="00973680" w:rsidRDefault="00973680" w:rsidP="00973680">
            <w:pPr>
              <w:pStyle w:val="NormalWeb"/>
              <w:spacing w:before="0" w:beforeAutospacing="0" w:after="0" w:afterAutospacing="0"/>
              <w:rPr>
                <w:rFonts w:asciiTheme="majorHAnsi" w:hAnsiTheme="majorHAnsi" w:cstheme="majorHAnsi"/>
                <w:color w:val="003478" w:themeColor="text2"/>
                <w:lang w:val="en-AU"/>
              </w:rPr>
            </w:pPr>
            <w:r w:rsidRPr="00973680">
              <w:rPr>
                <w:rFonts w:asciiTheme="majorHAnsi" w:hAnsiTheme="majorHAnsi" w:cstheme="majorHAnsi"/>
                <w:b/>
                <w:bCs/>
                <w:color w:val="003478" w:themeColor="text2"/>
                <w:lang w:val="en-AU"/>
              </w:rPr>
              <w:t>Name</w:t>
            </w:r>
          </w:p>
        </w:tc>
        <w:tc>
          <w:tcPr>
            <w:tcW w:w="1905" w:type="dxa"/>
            <w:tcBorders>
              <w:top w:val="nil"/>
            </w:tcBorders>
            <w:shd w:val="clear" w:color="auto" w:fill="auto"/>
            <w:tcMar>
              <w:top w:w="57" w:type="dxa"/>
              <w:left w:w="113" w:type="dxa"/>
              <w:bottom w:w="57" w:type="dxa"/>
              <w:right w:w="113" w:type="dxa"/>
            </w:tcMar>
            <w:vAlign w:val="center"/>
            <w:hideMark/>
          </w:tcPr>
          <w:p w14:paraId="4F261774" w14:textId="77777777" w:rsidR="00973680" w:rsidRPr="00973680" w:rsidRDefault="00973680" w:rsidP="00973680">
            <w:pPr>
              <w:pStyle w:val="NormalWeb"/>
              <w:spacing w:before="0" w:beforeAutospacing="0" w:after="0" w:afterAutospacing="0"/>
              <w:rPr>
                <w:rFonts w:asciiTheme="majorHAnsi" w:hAnsiTheme="majorHAnsi" w:cstheme="majorHAnsi"/>
                <w:color w:val="003478" w:themeColor="text2"/>
                <w:lang w:val="en-AU"/>
              </w:rPr>
            </w:pPr>
            <w:r w:rsidRPr="00973680">
              <w:rPr>
                <w:rFonts w:asciiTheme="majorHAnsi" w:hAnsiTheme="majorHAnsi" w:cstheme="majorHAnsi"/>
                <w:b/>
                <w:bCs/>
                <w:color w:val="003478" w:themeColor="text2"/>
                <w:lang w:val="en-AU"/>
              </w:rPr>
              <w:t>Role</w:t>
            </w:r>
          </w:p>
        </w:tc>
        <w:tc>
          <w:tcPr>
            <w:tcW w:w="6060" w:type="dxa"/>
            <w:tcBorders>
              <w:top w:val="nil"/>
            </w:tcBorders>
            <w:vAlign w:val="center"/>
          </w:tcPr>
          <w:p w14:paraId="5C9CB50C" w14:textId="6FA24E67" w:rsidR="00973680" w:rsidRPr="00973680" w:rsidRDefault="00973680" w:rsidP="00973680">
            <w:pPr>
              <w:pStyle w:val="NormalWeb"/>
              <w:spacing w:before="0" w:beforeAutospacing="0" w:after="0" w:afterAutospacing="0"/>
              <w:rPr>
                <w:rFonts w:asciiTheme="majorHAnsi" w:hAnsiTheme="majorHAnsi" w:cstheme="majorHAnsi"/>
                <w:b/>
                <w:bCs/>
                <w:color w:val="003478" w:themeColor="text2"/>
                <w:lang w:val="en-AU"/>
              </w:rPr>
            </w:pPr>
            <w:r w:rsidRPr="00973680">
              <w:rPr>
                <w:rFonts w:asciiTheme="majorHAnsi" w:hAnsiTheme="majorHAnsi" w:cstheme="majorHAnsi"/>
                <w:b/>
                <w:bCs/>
                <w:color w:val="003478" w:themeColor="text2"/>
                <w:lang w:val="en-AU"/>
              </w:rPr>
              <w:t>Responsibilities</w:t>
            </w:r>
          </w:p>
        </w:tc>
      </w:tr>
      <w:tr w:rsidR="00973680" w:rsidRPr="00F90CFE" w14:paraId="2AC60E40" w14:textId="33EEDCF9" w:rsidTr="004E4246">
        <w:trPr>
          <w:trHeight w:val="538"/>
        </w:trPr>
        <w:tc>
          <w:tcPr>
            <w:tcW w:w="0" w:type="auto"/>
            <w:tcMar>
              <w:top w:w="57" w:type="dxa"/>
              <w:left w:w="113" w:type="dxa"/>
              <w:bottom w:w="57" w:type="dxa"/>
              <w:right w:w="113" w:type="dxa"/>
            </w:tcMar>
            <w:vAlign w:val="center"/>
            <w:hideMark/>
          </w:tcPr>
          <w:p w14:paraId="77F655E4" w14:textId="77777777" w:rsidR="00973680" w:rsidRPr="00F90CFE" w:rsidRDefault="00973680" w:rsidP="00973680">
            <w:pPr>
              <w:pStyle w:val="NormalWeb"/>
              <w:rPr>
                <w:rFonts w:asciiTheme="majorHAnsi" w:hAnsiTheme="majorHAnsi" w:cstheme="majorHAnsi"/>
                <w:lang w:val="en-AU"/>
              </w:rPr>
            </w:pPr>
            <w:r w:rsidRPr="00F90CFE">
              <w:rPr>
                <w:rFonts w:asciiTheme="majorHAnsi" w:hAnsiTheme="majorHAnsi" w:cstheme="majorHAnsi"/>
                <w:b/>
                <w:bCs/>
                <w:color w:val="000000"/>
                <w:lang w:val="en-AU"/>
              </w:rPr>
              <w:t>Scott Bayley</w:t>
            </w:r>
          </w:p>
        </w:tc>
        <w:tc>
          <w:tcPr>
            <w:tcW w:w="1905" w:type="dxa"/>
            <w:tcMar>
              <w:top w:w="57" w:type="dxa"/>
              <w:left w:w="113" w:type="dxa"/>
              <w:bottom w:w="57" w:type="dxa"/>
              <w:right w:w="113" w:type="dxa"/>
            </w:tcMar>
            <w:vAlign w:val="center"/>
            <w:hideMark/>
          </w:tcPr>
          <w:p w14:paraId="404A0882" w14:textId="77777777" w:rsidR="00973680" w:rsidRPr="00F90CFE" w:rsidRDefault="00973680" w:rsidP="00973680">
            <w:pPr>
              <w:pStyle w:val="NormalWeb"/>
              <w:rPr>
                <w:rFonts w:asciiTheme="majorHAnsi" w:hAnsiTheme="majorHAnsi" w:cstheme="majorHAnsi"/>
                <w:lang w:val="en-AU"/>
              </w:rPr>
            </w:pPr>
            <w:r w:rsidRPr="00F90CFE">
              <w:rPr>
                <w:rFonts w:asciiTheme="majorHAnsi" w:hAnsiTheme="majorHAnsi" w:cstheme="majorHAnsi"/>
                <w:color w:val="000000"/>
                <w:lang w:val="en-AU"/>
              </w:rPr>
              <w:t>Team Leader</w:t>
            </w:r>
          </w:p>
        </w:tc>
        <w:tc>
          <w:tcPr>
            <w:tcW w:w="6060" w:type="dxa"/>
            <w:vAlign w:val="center"/>
          </w:tcPr>
          <w:p w14:paraId="40A6CB9D"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Lead team through research, consultation, analysis, and reporting</w:t>
            </w:r>
          </w:p>
          <w:p w14:paraId="59DE2C29"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Lead high level internal stakeholder engagement</w:t>
            </w:r>
          </w:p>
          <w:p w14:paraId="3B5110D7"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Oversee and quality assure research, analysis, synthesis, and reporting</w:t>
            </w:r>
          </w:p>
          <w:p w14:paraId="71E0A43C" w14:textId="77777777" w:rsidR="00973680" w:rsidRPr="00973680" w:rsidRDefault="00973680" w:rsidP="00973680">
            <w:pPr>
              <w:pStyle w:val="TableBullet"/>
              <w:spacing w:line="252" w:lineRule="auto"/>
              <w:ind w:left="289" w:hanging="215"/>
              <w:rPr>
                <w:rFonts w:asciiTheme="majorHAnsi" w:hAnsiTheme="majorHAnsi" w:cstheme="majorHAnsi"/>
                <w:color w:val="000000"/>
                <w:lang w:val="en-AU"/>
              </w:rPr>
            </w:pPr>
            <w:r w:rsidRPr="00F90CFE">
              <w:rPr>
                <w:noProof w:val="0"/>
                <w:lang w:val="en-AU"/>
              </w:rPr>
              <w:t>Lead primary and secondary research</w:t>
            </w:r>
          </w:p>
          <w:p w14:paraId="00683E12" w14:textId="1850E151" w:rsidR="00973680" w:rsidRPr="00F90CFE" w:rsidRDefault="00973680" w:rsidP="00973680">
            <w:pPr>
              <w:pStyle w:val="TableBullet"/>
              <w:spacing w:line="252" w:lineRule="auto"/>
              <w:ind w:left="289" w:hanging="215"/>
              <w:rPr>
                <w:rFonts w:asciiTheme="majorHAnsi" w:hAnsiTheme="majorHAnsi" w:cstheme="majorHAnsi"/>
                <w:color w:val="000000"/>
                <w:lang w:val="en-AU"/>
              </w:rPr>
            </w:pPr>
            <w:r w:rsidRPr="00F90CFE">
              <w:rPr>
                <w:noProof w:val="0"/>
                <w:lang w:val="en-AU"/>
              </w:rPr>
              <w:t>Oversee case studies</w:t>
            </w:r>
          </w:p>
        </w:tc>
      </w:tr>
      <w:tr w:rsidR="00973680" w:rsidRPr="00F90CFE" w14:paraId="47BACAAB" w14:textId="2144B53A" w:rsidTr="004E4246">
        <w:trPr>
          <w:trHeight w:val="118"/>
        </w:trPr>
        <w:tc>
          <w:tcPr>
            <w:tcW w:w="0" w:type="auto"/>
            <w:tcMar>
              <w:top w:w="57" w:type="dxa"/>
              <w:left w:w="113" w:type="dxa"/>
              <w:bottom w:w="57" w:type="dxa"/>
              <w:right w:w="113" w:type="dxa"/>
            </w:tcMar>
            <w:vAlign w:val="center"/>
            <w:hideMark/>
          </w:tcPr>
          <w:p w14:paraId="0B1D714A" w14:textId="77777777" w:rsidR="00973680" w:rsidRPr="00F90CFE" w:rsidRDefault="00973680" w:rsidP="00973680">
            <w:pPr>
              <w:pStyle w:val="NormalWeb"/>
              <w:rPr>
                <w:rFonts w:asciiTheme="majorHAnsi" w:hAnsiTheme="majorHAnsi" w:cstheme="majorHAnsi"/>
                <w:lang w:val="en-AU"/>
              </w:rPr>
            </w:pPr>
            <w:r w:rsidRPr="00F90CFE">
              <w:rPr>
                <w:rFonts w:asciiTheme="majorHAnsi" w:hAnsiTheme="majorHAnsi" w:cstheme="majorHAnsi"/>
                <w:b/>
                <w:bCs/>
                <w:color w:val="000000"/>
                <w:lang w:val="en-AU"/>
              </w:rPr>
              <w:t>Susan Hayes</w:t>
            </w:r>
          </w:p>
        </w:tc>
        <w:tc>
          <w:tcPr>
            <w:tcW w:w="1905" w:type="dxa"/>
            <w:tcMar>
              <w:top w:w="57" w:type="dxa"/>
              <w:left w:w="113" w:type="dxa"/>
              <w:bottom w:w="57" w:type="dxa"/>
              <w:right w:w="113" w:type="dxa"/>
            </w:tcMar>
            <w:vAlign w:val="center"/>
            <w:hideMark/>
          </w:tcPr>
          <w:p w14:paraId="038FD4AA" w14:textId="77777777" w:rsidR="00973680" w:rsidRPr="00F90CFE" w:rsidRDefault="00973680" w:rsidP="00973680">
            <w:pPr>
              <w:pStyle w:val="NormalWeb"/>
              <w:rPr>
                <w:rFonts w:asciiTheme="majorHAnsi" w:hAnsiTheme="majorHAnsi" w:cstheme="majorHAnsi"/>
                <w:lang w:val="en-AU"/>
              </w:rPr>
            </w:pPr>
            <w:r w:rsidRPr="00F90CFE">
              <w:rPr>
                <w:rFonts w:asciiTheme="majorHAnsi" w:hAnsiTheme="majorHAnsi" w:cstheme="majorHAnsi"/>
                <w:color w:val="000000"/>
                <w:lang w:val="en-AU"/>
              </w:rPr>
              <w:t>Organisational Development Adviser (Technical Specialist)</w:t>
            </w:r>
          </w:p>
        </w:tc>
        <w:tc>
          <w:tcPr>
            <w:tcW w:w="6060" w:type="dxa"/>
            <w:vAlign w:val="center"/>
          </w:tcPr>
          <w:p w14:paraId="08896D18"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Provide key input to inform stakeholder identification, engagement, and design of consultation strategy</w:t>
            </w:r>
          </w:p>
          <w:p w14:paraId="1B2AD40A"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Conduct primary and secondary research</w:t>
            </w:r>
          </w:p>
          <w:p w14:paraId="55155572"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Data analysis and synthesis</w:t>
            </w:r>
          </w:p>
          <w:p w14:paraId="5992EADE" w14:textId="77777777" w:rsidR="00973680" w:rsidRPr="00973680" w:rsidRDefault="00973680" w:rsidP="00973680">
            <w:pPr>
              <w:pStyle w:val="TableBullet"/>
              <w:spacing w:line="252" w:lineRule="auto"/>
              <w:ind w:left="289" w:hanging="215"/>
              <w:rPr>
                <w:rFonts w:asciiTheme="majorHAnsi" w:hAnsiTheme="majorHAnsi" w:cstheme="majorHAnsi"/>
                <w:color w:val="000000"/>
                <w:lang w:val="en-AU"/>
              </w:rPr>
            </w:pPr>
            <w:r w:rsidRPr="00F90CFE">
              <w:rPr>
                <w:noProof w:val="0"/>
                <w:lang w:val="en-AU"/>
              </w:rPr>
              <w:t xml:space="preserve">Contribute to quality assurance and reporting </w:t>
            </w:r>
          </w:p>
          <w:p w14:paraId="7B67FBF8" w14:textId="02DC5419" w:rsidR="00973680" w:rsidRPr="00F90CFE" w:rsidRDefault="00973680" w:rsidP="00973680">
            <w:pPr>
              <w:pStyle w:val="TableBullet"/>
              <w:spacing w:line="252" w:lineRule="auto"/>
              <w:ind w:left="289" w:hanging="215"/>
              <w:rPr>
                <w:rFonts w:asciiTheme="majorHAnsi" w:hAnsiTheme="majorHAnsi" w:cstheme="majorHAnsi"/>
                <w:color w:val="000000"/>
                <w:lang w:val="en-AU"/>
              </w:rPr>
            </w:pPr>
            <w:r w:rsidRPr="00F90CFE">
              <w:rPr>
                <w:noProof w:val="0"/>
                <w:lang w:val="en-AU"/>
              </w:rPr>
              <w:t>Oversee case studies</w:t>
            </w:r>
          </w:p>
        </w:tc>
      </w:tr>
      <w:tr w:rsidR="00973680" w:rsidRPr="00F90CFE" w14:paraId="381B41B3" w14:textId="3A033BCC" w:rsidTr="004E4246">
        <w:trPr>
          <w:trHeight w:val="20"/>
        </w:trPr>
        <w:tc>
          <w:tcPr>
            <w:tcW w:w="0" w:type="auto"/>
            <w:tcMar>
              <w:top w:w="57" w:type="dxa"/>
              <w:left w:w="113" w:type="dxa"/>
              <w:bottom w:w="57" w:type="dxa"/>
              <w:right w:w="113" w:type="dxa"/>
            </w:tcMar>
            <w:vAlign w:val="center"/>
            <w:hideMark/>
          </w:tcPr>
          <w:p w14:paraId="63FDEAB8" w14:textId="77777777" w:rsidR="00973680" w:rsidRPr="00F90CFE" w:rsidRDefault="00973680" w:rsidP="00973680">
            <w:pPr>
              <w:pStyle w:val="NormalWeb"/>
              <w:rPr>
                <w:rFonts w:asciiTheme="majorHAnsi" w:hAnsiTheme="majorHAnsi" w:cstheme="majorHAnsi"/>
                <w:lang w:val="en-AU"/>
              </w:rPr>
            </w:pPr>
            <w:r w:rsidRPr="00F90CFE">
              <w:rPr>
                <w:rFonts w:asciiTheme="majorHAnsi" w:hAnsiTheme="majorHAnsi" w:cstheme="majorHAnsi"/>
                <w:b/>
                <w:bCs/>
                <w:color w:val="000000"/>
                <w:lang w:val="en-AU"/>
              </w:rPr>
              <w:t>Jacqui Lord</w:t>
            </w:r>
          </w:p>
        </w:tc>
        <w:tc>
          <w:tcPr>
            <w:tcW w:w="1905" w:type="dxa"/>
            <w:tcMar>
              <w:top w:w="57" w:type="dxa"/>
              <w:left w:w="113" w:type="dxa"/>
              <w:bottom w:w="57" w:type="dxa"/>
              <w:right w:w="113" w:type="dxa"/>
            </w:tcMar>
            <w:vAlign w:val="center"/>
            <w:hideMark/>
          </w:tcPr>
          <w:p w14:paraId="1F228490" w14:textId="77777777" w:rsidR="00973680" w:rsidRPr="00F90CFE" w:rsidRDefault="00973680" w:rsidP="00973680">
            <w:pPr>
              <w:pStyle w:val="NormalWeb"/>
              <w:rPr>
                <w:rFonts w:asciiTheme="majorHAnsi" w:hAnsiTheme="majorHAnsi" w:cstheme="majorHAnsi"/>
                <w:lang w:val="en-AU"/>
              </w:rPr>
            </w:pPr>
            <w:r w:rsidRPr="00F90CFE">
              <w:rPr>
                <w:rFonts w:asciiTheme="majorHAnsi" w:hAnsiTheme="majorHAnsi" w:cstheme="majorHAnsi"/>
                <w:lang w:val="en-AU"/>
              </w:rPr>
              <w:t>Research support and DFAT liaison</w:t>
            </w:r>
          </w:p>
        </w:tc>
        <w:tc>
          <w:tcPr>
            <w:tcW w:w="6060" w:type="dxa"/>
            <w:vAlign w:val="center"/>
          </w:tcPr>
          <w:p w14:paraId="43D1E48B"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Conduct primary and secondary research</w:t>
            </w:r>
          </w:p>
          <w:p w14:paraId="66398328"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Data analysis and synthesis </w:t>
            </w:r>
          </w:p>
          <w:p w14:paraId="257BAD6F" w14:textId="77777777" w:rsidR="00973680" w:rsidRPr="00973680" w:rsidRDefault="00973680" w:rsidP="00973680">
            <w:pPr>
              <w:pStyle w:val="TableBullet"/>
              <w:spacing w:line="252" w:lineRule="auto"/>
              <w:ind w:left="289" w:hanging="215"/>
              <w:rPr>
                <w:rFonts w:asciiTheme="majorHAnsi" w:hAnsiTheme="majorHAnsi" w:cstheme="majorHAnsi"/>
                <w:lang w:val="en-AU"/>
              </w:rPr>
            </w:pPr>
            <w:r w:rsidRPr="00F90CFE">
              <w:rPr>
                <w:noProof w:val="0"/>
                <w:lang w:val="en-AU"/>
              </w:rPr>
              <w:t>Support case studies</w:t>
            </w:r>
          </w:p>
          <w:p w14:paraId="08FE2EE4" w14:textId="738A8E22" w:rsidR="00973680" w:rsidRPr="00F90CFE" w:rsidRDefault="00973680" w:rsidP="00973680">
            <w:pPr>
              <w:pStyle w:val="TableBullet"/>
              <w:spacing w:line="252" w:lineRule="auto"/>
              <w:ind w:left="289" w:hanging="215"/>
              <w:rPr>
                <w:rFonts w:asciiTheme="majorHAnsi" w:hAnsiTheme="majorHAnsi" w:cstheme="majorHAnsi"/>
                <w:lang w:val="en-AU"/>
              </w:rPr>
            </w:pPr>
            <w:r w:rsidRPr="00F90CFE">
              <w:rPr>
                <w:noProof w:val="0"/>
                <w:lang w:val="en-AU"/>
              </w:rPr>
              <w:t xml:space="preserve">Key liaison with Posts and other DFAT contacts </w:t>
            </w:r>
          </w:p>
        </w:tc>
      </w:tr>
      <w:tr w:rsidR="00973680" w:rsidRPr="00F90CFE" w14:paraId="489CD29F" w14:textId="18838073" w:rsidTr="004E4246">
        <w:trPr>
          <w:trHeight w:val="306"/>
        </w:trPr>
        <w:tc>
          <w:tcPr>
            <w:tcW w:w="0" w:type="auto"/>
            <w:tcMar>
              <w:top w:w="57" w:type="dxa"/>
              <w:left w:w="113" w:type="dxa"/>
              <w:bottom w:w="57" w:type="dxa"/>
              <w:right w:w="113" w:type="dxa"/>
            </w:tcMar>
            <w:vAlign w:val="center"/>
            <w:hideMark/>
          </w:tcPr>
          <w:p w14:paraId="08B43471" w14:textId="77777777" w:rsidR="00973680" w:rsidRPr="00F90CFE" w:rsidRDefault="00973680" w:rsidP="00973680">
            <w:pPr>
              <w:pStyle w:val="NormalWeb"/>
              <w:rPr>
                <w:rFonts w:asciiTheme="majorHAnsi" w:hAnsiTheme="majorHAnsi" w:cstheme="majorHAnsi"/>
                <w:lang w:val="en-AU"/>
              </w:rPr>
            </w:pPr>
            <w:r w:rsidRPr="00F90CFE">
              <w:rPr>
                <w:rFonts w:asciiTheme="majorHAnsi" w:hAnsiTheme="majorHAnsi" w:cstheme="majorHAnsi"/>
                <w:b/>
                <w:bCs/>
                <w:color w:val="000000"/>
                <w:lang w:val="en-AU"/>
              </w:rPr>
              <w:t>Jake Phelan</w:t>
            </w:r>
          </w:p>
        </w:tc>
        <w:tc>
          <w:tcPr>
            <w:tcW w:w="1905" w:type="dxa"/>
            <w:tcMar>
              <w:top w:w="57" w:type="dxa"/>
              <w:left w:w="113" w:type="dxa"/>
              <w:bottom w:w="57" w:type="dxa"/>
              <w:right w:w="113" w:type="dxa"/>
            </w:tcMar>
            <w:vAlign w:val="center"/>
            <w:hideMark/>
          </w:tcPr>
          <w:p w14:paraId="044C8050" w14:textId="77777777" w:rsidR="00973680" w:rsidRPr="00F90CFE" w:rsidRDefault="00973680" w:rsidP="00973680">
            <w:pPr>
              <w:pStyle w:val="NormalWeb"/>
              <w:rPr>
                <w:rFonts w:asciiTheme="majorHAnsi" w:hAnsiTheme="majorHAnsi" w:cstheme="majorHAnsi"/>
                <w:lang w:val="en-AU"/>
              </w:rPr>
            </w:pPr>
            <w:r w:rsidRPr="00F90CFE">
              <w:rPr>
                <w:rFonts w:asciiTheme="majorHAnsi" w:hAnsiTheme="majorHAnsi" w:cstheme="majorHAnsi"/>
                <w:color w:val="000000"/>
                <w:lang w:val="en-AU"/>
              </w:rPr>
              <w:t>Research Associate</w:t>
            </w:r>
          </w:p>
        </w:tc>
        <w:tc>
          <w:tcPr>
            <w:tcW w:w="6060" w:type="dxa"/>
            <w:vAlign w:val="center"/>
          </w:tcPr>
          <w:p w14:paraId="5C496982"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Conduct secondary research</w:t>
            </w:r>
          </w:p>
          <w:p w14:paraId="076191F9" w14:textId="77777777" w:rsidR="00973680" w:rsidRPr="00F90CFE" w:rsidRDefault="00973680" w:rsidP="00973680">
            <w:pPr>
              <w:pStyle w:val="TableBullet"/>
              <w:spacing w:line="252" w:lineRule="auto"/>
              <w:ind w:left="289" w:hanging="215"/>
              <w:rPr>
                <w:noProof w:val="0"/>
                <w:lang w:val="en-AU"/>
              </w:rPr>
            </w:pPr>
            <w:r w:rsidRPr="00F90CFE">
              <w:rPr>
                <w:noProof w:val="0"/>
                <w:lang w:val="en-AU"/>
              </w:rPr>
              <w:t xml:space="preserve">Data analysis and synthesis </w:t>
            </w:r>
          </w:p>
          <w:p w14:paraId="34EE1C04" w14:textId="77777777" w:rsidR="00973680" w:rsidRPr="00973680" w:rsidRDefault="00973680" w:rsidP="00973680">
            <w:pPr>
              <w:pStyle w:val="TableBullet"/>
              <w:spacing w:line="252" w:lineRule="auto"/>
              <w:ind w:left="289" w:hanging="215"/>
              <w:rPr>
                <w:rFonts w:asciiTheme="majorHAnsi" w:hAnsiTheme="majorHAnsi" w:cstheme="majorHAnsi"/>
                <w:color w:val="000000"/>
                <w:lang w:val="en-AU"/>
              </w:rPr>
            </w:pPr>
            <w:r w:rsidRPr="00F90CFE">
              <w:rPr>
                <w:noProof w:val="0"/>
                <w:lang w:val="en-AU"/>
              </w:rPr>
              <w:t>Support sampling of partner organisations for case studies</w:t>
            </w:r>
          </w:p>
          <w:p w14:paraId="7D4AC511" w14:textId="3B1F257E" w:rsidR="00973680" w:rsidRPr="00F90CFE" w:rsidRDefault="00973680" w:rsidP="00973680">
            <w:pPr>
              <w:pStyle w:val="TableBullet"/>
              <w:spacing w:line="252" w:lineRule="auto"/>
              <w:ind w:left="289" w:hanging="215"/>
              <w:rPr>
                <w:rFonts w:asciiTheme="majorHAnsi" w:hAnsiTheme="majorHAnsi" w:cstheme="majorHAnsi"/>
                <w:color w:val="000000"/>
                <w:lang w:val="en-AU"/>
              </w:rPr>
            </w:pPr>
            <w:r w:rsidRPr="00F90CFE">
              <w:rPr>
                <w:noProof w:val="0"/>
                <w:lang w:val="en-AU"/>
              </w:rPr>
              <w:t>Support sampling of volunteers</w:t>
            </w:r>
          </w:p>
        </w:tc>
      </w:tr>
      <w:tr w:rsidR="00973680" w:rsidRPr="00F90CFE" w14:paraId="5ED3B02D" w14:textId="0DCCC0F6" w:rsidTr="004E4246">
        <w:trPr>
          <w:trHeight w:val="306"/>
        </w:trPr>
        <w:tc>
          <w:tcPr>
            <w:tcW w:w="0" w:type="auto"/>
            <w:tcMar>
              <w:top w:w="57" w:type="dxa"/>
              <w:left w:w="113" w:type="dxa"/>
              <w:bottom w:w="57" w:type="dxa"/>
              <w:right w:w="113" w:type="dxa"/>
            </w:tcMar>
            <w:vAlign w:val="center"/>
          </w:tcPr>
          <w:p w14:paraId="0C7E5610" w14:textId="77777777" w:rsidR="00973680" w:rsidRPr="00F90CFE" w:rsidRDefault="00973680" w:rsidP="00973680">
            <w:pPr>
              <w:pStyle w:val="NormalWeb"/>
              <w:spacing w:before="60" w:beforeAutospacing="0" w:after="60" w:afterAutospacing="0" w:line="252" w:lineRule="auto"/>
              <w:rPr>
                <w:rFonts w:asciiTheme="majorHAnsi" w:hAnsiTheme="majorHAnsi" w:cstheme="majorBidi"/>
                <w:b/>
                <w:bCs/>
                <w:color w:val="000000" w:themeColor="text1"/>
                <w:lang w:val="en-AU"/>
              </w:rPr>
            </w:pPr>
            <w:r w:rsidRPr="00F90CFE">
              <w:rPr>
                <w:rFonts w:asciiTheme="majorHAnsi" w:hAnsiTheme="majorHAnsi" w:cstheme="majorBidi"/>
                <w:b/>
                <w:bCs/>
                <w:color w:val="000000" w:themeColor="text1"/>
                <w:lang w:val="en-AU"/>
              </w:rPr>
              <w:t xml:space="preserve">Devi </w:t>
            </w:r>
            <w:proofErr w:type="spellStart"/>
            <w:r w:rsidRPr="00F90CFE">
              <w:rPr>
                <w:rFonts w:asciiTheme="majorHAnsi" w:hAnsiTheme="majorHAnsi" w:cstheme="majorBidi"/>
                <w:b/>
                <w:bCs/>
                <w:color w:val="000000" w:themeColor="text1"/>
                <w:lang w:val="en-AU"/>
              </w:rPr>
              <w:t>Miarni</w:t>
            </w:r>
            <w:proofErr w:type="spellEnd"/>
            <w:r w:rsidRPr="00F90CFE">
              <w:rPr>
                <w:rFonts w:asciiTheme="majorHAnsi" w:hAnsiTheme="majorHAnsi" w:cstheme="majorBidi"/>
                <w:b/>
                <w:bCs/>
                <w:color w:val="000000" w:themeColor="text1"/>
                <w:lang w:val="en-AU"/>
              </w:rPr>
              <w:t xml:space="preserve"> Umar</w:t>
            </w:r>
          </w:p>
          <w:p w14:paraId="51D676BC" w14:textId="77777777" w:rsidR="00973680" w:rsidRPr="00F90CFE" w:rsidRDefault="00973680" w:rsidP="00973680">
            <w:pPr>
              <w:pStyle w:val="NormalWeb"/>
              <w:spacing w:before="60" w:beforeAutospacing="0" w:after="60" w:afterAutospacing="0" w:line="252" w:lineRule="auto"/>
              <w:rPr>
                <w:rFonts w:asciiTheme="majorHAnsi" w:hAnsiTheme="majorHAnsi" w:cstheme="majorBidi"/>
                <w:b/>
                <w:bCs/>
                <w:color w:val="000000" w:themeColor="text1"/>
                <w:lang w:val="en-AU"/>
              </w:rPr>
            </w:pPr>
            <w:r w:rsidRPr="00F90CFE">
              <w:rPr>
                <w:rFonts w:asciiTheme="majorHAnsi" w:hAnsiTheme="majorHAnsi" w:cstheme="majorBidi"/>
                <w:b/>
                <w:bCs/>
                <w:color w:val="000000" w:themeColor="text1"/>
                <w:lang w:val="en-AU"/>
              </w:rPr>
              <w:t xml:space="preserve">Elias </w:t>
            </w:r>
            <w:proofErr w:type="spellStart"/>
            <w:r w:rsidRPr="00F90CFE">
              <w:rPr>
                <w:rFonts w:asciiTheme="majorHAnsi" w:hAnsiTheme="majorHAnsi" w:cstheme="majorBidi"/>
                <w:b/>
                <w:bCs/>
                <w:color w:val="000000" w:themeColor="text1"/>
                <w:lang w:val="en-AU"/>
              </w:rPr>
              <w:t>Ponsiano</w:t>
            </w:r>
            <w:proofErr w:type="spellEnd"/>
          </w:p>
          <w:p w14:paraId="6F20F9F5" w14:textId="77777777" w:rsidR="00973680" w:rsidRPr="00F90CFE" w:rsidRDefault="00973680" w:rsidP="00973680">
            <w:pPr>
              <w:pStyle w:val="NormalWeb"/>
              <w:spacing w:before="60" w:beforeAutospacing="0" w:after="60" w:afterAutospacing="0" w:line="252" w:lineRule="auto"/>
              <w:rPr>
                <w:rFonts w:asciiTheme="majorHAnsi" w:hAnsiTheme="majorHAnsi" w:cstheme="majorBidi"/>
                <w:b/>
                <w:bCs/>
                <w:color w:val="000000" w:themeColor="text1"/>
                <w:lang w:val="en-AU"/>
              </w:rPr>
            </w:pPr>
            <w:r w:rsidRPr="00F90CFE">
              <w:rPr>
                <w:rFonts w:asciiTheme="majorHAnsi" w:hAnsiTheme="majorHAnsi" w:cstheme="majorBidi"/>
                <w:b/>
                <w:bCs/>
                <w:color w:val="000000" w:themeColor="text1"/>
                <w:lang w:val="en-AU"/>
              </w:rPr>
              <w:t xml:space="preserve">Hannah </w:t>
            </w:r>
            <w:proofErr w:type="spellStart"/>
            <w:r w:rsidRPr="00F90CFE">
              <w:rPr>
                <w:rFonts w:asciiTheme="majorHAnsi" w:hAnsiTheme="majorHAnsi" w:cstheme="majorBidi"/>
                <w:b/>
                <w:bCs/>
                <w:color w:val="000000" w:themeColor="text1"/>
                <w:lang w:val="en-AU"/>
              </w:rPr>
              <w:t>Paleka</w:t>
            </w:r>
            <w:proofErr w:type="spellEnd"/>
          </w:p>
          <w:p w14:paraId="7616FF26" w14:textId="77777777" w:rsidR="00973680" w:rsidRPr="00F90CFE" w:rsidRDefault="00973680" w:rsidP="00973680">
            <w:pPr>
              <w:pStyle w:val="NormalWeb"/>
              <w:spacing w:before="60" w:beforeAutospacing="0" w:after="60" w:afterAutospacing="0" w:line="252" w:lineRule="auto"/>
              <w:rPr>
                <w:rFonts w:asciiTheme="majorHAnsi" w:hAnsiTheme="majorHAnsi" w:cstheme="majorBidi"/>
                <w:b/>
                <w:bCs/>
                <w:color w:val="000000" w:themeColor="text1"/>
                <w:lang w:val="en-AU"/>
              </w:rPr>
            </w:pPr>
            <w:r w:rsidRPr="00F90CFE">
              <w:rPr>
                <w:rFonts w:asciiTheme="majorHAnsi" w:hAnsiTheme="majorHAnsi" w:cstheme="majorBidi"/>
                <w:b/>
                <w:bCs/>
                <w:color w:val="000000" w:themeColor="text1"/>
                <w:lang w:val="en-AU"/>
              </w:rPr>
              <w:t>Henrique Soares Ximenes</w:t>
            </w:r>
          </w:p>
          <w:p w14:paraId="4348F881" w14:textId="3D3D5C9E" w:rsidR="00973680" w:rsidRPr="00F90CFE" w:rsidRDefault="00973680" w:rsidP="00973680">
            <w:pPr>
              <w:pStyle w:val="NormalWeb"/>
              <w:spacing w:before="60" w:beforeAutospacing="0" w:after="60" w:afterAutospacing="0" w:line="252" w:lineRule="auto"/>
              <w:rPr>
                <w:rFonts w:asciiTheme="majorHAnsi" w:hAnsiTheme="majorHAnsi" w:cstheme="majorBidi"/>
                <w:b/>
                <w:bCs/>
                <w:color w:val="000000" w:themeColor="text1"/>
                <w:highlight w:val="yellow"/>
                <w:lang w:val="en-AU"/>
              </w:rPr>
            </w:pPr>
            <w:r w:rsidRPr="00F90CFE">
              <w:rPr>
                <w:rFonts w:asciiTheme="majorHAnsi" w:hAnsiTheme="majorHAnsi" w:cstheme="majorBidi"/>
                <w:b/>
                <w:bCs/>
                <w:color w:val="000000" w:themeColor="text1"/>
                <w:lang w:val="en-AU"/>
              </w:rPr>
              <w:t xml:space="preserve">Katrina </w:t>
            </w:r>
            <w:proofErr w:type="spellStart"/>
            <w:r w:rsidRPr="00F90CFE">
              <w:rPr>
                <w:rFonts w:asciiTheme="majorHAnsi" w:hAnsiTheme="majorHAnsi" w:cstheme="majorBidi"/>
                <w:b/>
                <w:bCs/>
                <w:color w:val="000000" w:themeColor="text1"/>
                <w:lang w:val="en-AU"/>
              </w:rPr>
              <w:t>M’Au</w:t>
            </w:r>
            <w:proofErr w:type="spellEnd"/>
          </w:p>
        </w:tc>
        <w:tc>
          <w:tcPr>
            <w:tcW w:w="1905" w:type="dxa"/>
            <w:tcMar>
              <w:top w:w="57" w:type="dxa"/>
              <w:left w:w="113" w:type="dxa"/>
              <w:bottom w:w="57" w:type="dxa"/>
              <w:right w:w="113" w:type="dxa"/>
            </w:tcMar>
            <w:vAlign w:val="center"/>
          </w:tcPr>
          <w:p w14:paraId="61723611" w14:textId="77777777" w:rsidR="00973680" w:rsidRPr="00F90CFE" w:rsidRDefault="00973680" w:rsidP="00973680">
            <w:pPr>
              <w:pStyle w:val="NormalWeb"/>
              <w:rPr>
                <w:rFonts w:asciiTheme="majorHAnsi" w:hAnsiTheme="majorHAnsi" w:cstheme="majorHAnsi"/>
                <w:color w:val="000000"/>
                <w:lang w:val="en-AU"/>
              </w:rPr>
            </w:pPr>
            <w:r w:rsidRPr="00F90CFE">
              <w:rPr>
                <w:rFonts w:asciiTheme="majorHAnsi" w:hAnsiTheme="majorHAnsi" w:cstheme="majorHAnsi"/>
                <w:color w:val="000000"/>
                <w:lang w:val="en-AU"/>
              </w:rPr>
              <w:t>Case studies</w:t>
            </w:r>
          </w:p>
        </w:tc>
        <w:tc>
          <w:tcPr>
            <w:tcW w:w="6060" w:type="dxa"/>
            <w:vAlign w:val="center"/>
          </w:tcPr>
          <w:p w14:paraId="4E893EE4" w14:textId="77777777" w:rsidR="00973680" w:rsidRPr="00973680" w:rsidRDefault="00973680" w:rsidP="00973680">
            <w:pPr>
              <w:pStyle w:val="TableBullet"/>
              <w:spacing w:line="252" w:lineRule="auto"/>
              <w:ind w:left="289" w:hanging="215"/>
              <w:rPr>
                <w:rFonts w:asciiTheme="majorHAnsi" w:hAnsiTheme="majorHAnsi" w:cstheme="majorHAnsi"/>
                <w:color w:val="000000"/>
                <w:lang w:val="en-AU"/>
              </w:rPr>
            </w:pPr>
            <w:r w:rsidRPr="00F90CFE">
              <w:rPr>
                <w:noProof w:val="0"/>
                <w:lang w:val="en-AU"/>
              </w:rPr>
              <w:t>Undertake case studies</w:t>
            </w:r>
          </w:p>
          <w:p w14:paraId="6C3B476B" w14:textId="4709658A" w:rsidR="00973680" w:rsidRPr="00F90CFE" w:rsidRDefault="00973680" w:rsidP="00973680">
            <w:pPr>
              <w:pStyle w:val="TableBullet"/>
              <w:spacing w:line="252" w:lineRule="auto"/>
              <w:ind w:left="289" w:hanging="215"/>
              <w:rPr>
                <w:rFonts w:asciiTheme="majorHAnsi" w:hAnsiTheme="majorHAnsi" w:cstheme="majorHAnsi"/>
                <w:color w:val="000000"/>
                <w:lang w:val="en-AU"/>
              </w:rPr>
            </w:pPr>
            <w:r w:rsidRPr="00F90CFE">
              <w:rPr>
                <w:noProof w:val="0"/>
                <w:lang w:val="en-AU"/>
              </w:rPr>
              <w:t>Interview partner organisations, volunteers, partner governments and DFAT staff</w:t>
            </w:r>
          </w:p>
        </w:tc>
      </w:tr>
    </w:tbl>
    <w:p w14:paraId="7C3FDDCF" w14:textId="77777777" w:rsidR="00E259F4" w:rsidRPr="00F90CFE" w:rsidRDefault="00E259F4" w:rsidP="005F376A">
      <w:pPr>
        <w:pStyle w:val="Heading2"/>
      </w:pPr>
      <w:bookmarkStart w:id="49" w:name="_Toc54967211"/>
      <w:bookmarkStart w:id="50" w:name="_Toc54967212"/>
      <w:bookmarkStart w:id="51" w:name="_Toc54967213"/>
      <w:bookmarkStart w:id="52" w:name="_Toc54967214"/>
      <w:bookmarkEnd w:id="49"/>
      <w:bookmarkEnd w:id="50"/>
      <w:bookmarkEnd w:id="51"/>
      <w:bookmarkEnd w:id="52"/>
      <w:r w:rsidRPr="00F90CFE">
        <w:t xml:space="preserve">Timeline </w:t>
      </w:r>
    </w:p>
    <w:p w14:paraId="392D487C" w14:textId="6DA64738" w:rsidR="00E259F4" w:rsidRPr="00F90CFE" w:rsidRDefault="00E259F4" w:rsidP="00875D0A">
      <w:pPr>
        <w:pStyle w:val="TtNormal"/>
        <w:rPr>
          <w:lang w:val="en-AU"/>
        </w:rPr>
      </w:pPr>
      <w:r w:rsidRPr="00F90CFE">
        <w:rPr>
          <w:lang w:val="en-AU"/>
        </w:rPr>
        <w:t>The evaluation was conducted in line with the phases and timelines set out in the Evalua</w:t>
      </w:r>
      <w:r w:rsidR="00875D0A" w:rsidRPr="00F90CFE">
        <w:rPr>
          <w:lang w:val="en-AU"/>
        </w:rPr>
        <w:t>t</w:t>
      </w:r>
      <w:r w:rsidRPr="00F90CFE">
        <w:rPr>
          <w:lang w:val="en-AU"/>
        </w:rPr>
        <w:t xml:space="preserve">ion Plan. </w:t>
      </w:r>
    </w:p>
    <w:p w14:paraId="1942814F" w14:textId="5F494996" w:rsidR="00E259F4" w:rsidRPr="00F90CFE" w:rsidRDefault="00E259F4" w:rsidP="00B76569">
      <w:pPr>
        <w:pStyle w:val="ListBullet"/>
        <w:rPr>
          <w:noProof w:val="0"/>
          <w:lang w:val="en-AU"/>
        </w:rPr>
      </w:pPr>
      <w:r w:rsidRPr="00F90CFE">
        <w:rPr>
          <w:noProof w:val="0"/>
          <w:lang w:val="en-AU"/>
        </w:rPr>
        <w:t>The inception phase began in mid-October 2020 and was completed with the delivery of the final Eval</w:t>
      </w:r>
      <w:r w:rsidR="006D5514" w:rsidRPr="00F90CFE">
        <w:rPr>
          <w:noProof w:val="0"/>
          <w:lang w:val="en-AU"/>
        </w:rPr>
        <w:t>ua</w:t>
      </w:r>
      <w:r w:rsidRPr="00F90CFE">
        <w:rPr>
          <w:noProof w:val="0"/>
          <w:lang w:val="en-AU"/>
        </w:rPr>
        <w:t>tion Plan on 10 December.</w:t>
      </w:r>
      <w:r w:rsidR="00594409" w:rsidRPr="00F90CFE">
        <w:rPr>
          <w:noProof w:val="0"/>
          <w:lang w:val="en-AU"/>
        </w:rPr>
        <w:t xml:space="preserve"> </w:t>
      </w:r>
    </w:p>
    <w:p w14:paraId="27677962" w14:textId="63D73E78" w:rsidR="00E259F4" w:rsidRPr="00F90CFE" w:rsidRDefault="00E259F4" w:rsidP="00B76569">
      <w:pPr>
        <w:pStyle w:val="ListBullet"/>
        <w:rPr>
          <w:noProof w:val="0"/>
          <w:lang w:val="en-AU"/>
        </w:rPr>
      </w:pPr>
      <w:r w:rsidRPr="00F90CFE">
        <w:rPr>
          <w:noProof w:val="0"/>
          <w:lang w:val="en-AU"/>
        </w:rPr>
        <w:t>Desktop research and anal</w:t>
      </w:r>
      <w:r w:rsidR="64F05026" w:rsidRPr="00F90CFE">
        <w:rPr>
          <w:noProof w:val="0"/>
          <w:lang w:val="en-AU"/>
        </w:rPr>
        <w:t>ys</w:t>
      </w:r>
      <w:r w:rsidRPr="00F90CFE">
        <w:rPr>
          <w:noProof w:val="0"/>
          <w:lang w:val="en-AU"/>
        </w:rPr>
        <w:t>is commenced in November, feeding into the final anal</w:t>
      </w:r>
      <w:r w:rsidR="006D5514" w:rsidRPr="00F90CFE">
        <w:rPr>
          <w:noProof w:val="0"/>
          <w:lang w:val="en-AU"/>
        </w:rPr>
        <w:t>ysis</w:t>
      </w:r>
      <w:r w:rsidRPr="00F90CFE">
        <w:rPr>
          <w:noProof w:val="0"/>
          <w:lang w:val="en-AU"/>
        </w:rPr>
        <w:t xml:space="preserve"> </w:t>
      </w:r>
      <w:proofErr w:type="gramStart"/>
      <w:r w:rsidRPr="00F90CFE">
        <w:rPr>
          <w:noProof w:val="0"/>
          <w:lang w:val="en-AU"/>
        </w:rPr>
        <w:t>and also</w:t>
      </w:r>
      <w:proofErr w:type="gramEnd"/>
      <w:r w:rsidRPr="00F90CFE">
        <w:rPr>
          <w:noProof w:val="0"/>
          <w:lang w:val="en-AU"/>
        </w:rPr>
        <w:t xml:space="preserve"> the specific deliverable, the comparative </w:t>
      </w:r>
      <w:r w:rsidR="006D5514" w:rsidRPr="00F90CFE">
        <w:rPr>
          <w:noProof w:val="0"/>
          <w:lang w:val="en-AU"/>
        </w:rPr>
        <w:t>analysis</w:t>
      </w:r>
      <w:r w:rsidRPr="00F90CFE">
        <w:rPr>
          <w:noProof w:val="0"/>
          <w:lang w:val="en-AU"/>
        </w:rPr>
        <w:t xml:space="preserve"> report, completed in February. </w:t>
      </w:r>
    </w:p>
    <w:p w14:paraId="47A87B98" w14:textId="77777777" w:rsidR="00E259F4" w:rsidRPr="00F90CFE" w:rsidRDefault="00E259F4" w:rsidP="00B76569">
      <w:pPr>
        <w:pStyle w:val="ListBullet"/>
        <w:rPr>
          <w:noProof w:val="0"/>
          <w:lang w:val="en-AU"/>
        </w:rPr>
      </w:pPr>
      <w:r w:rsidRPr="00F90CFE">
        <w:rPr>
          <w:noProof w:val="0"/>
          <w:lang w:val="en-AU"/>
        </w:rPr>
        <w:t>Interviews and focus group discussions began in December 2020 and carried on into January 2021.</w:t>
      </w:r>
    </w:p>
    <w:p w14:paraId="259A4BA4" w14:textId="57EF70A4" w:rsidR="00E259F4" w:rsidRPr="00F90CFE" w:rsidRDefault="00E259F4" w:rsidP="00B76569">
      <w:pPr>
        <w:pStyle w:val="ListBullet"/>
        <w:rPr>
          <w:noProof w:val="0"/>
          <w:lang w:val="en-AU"/>
        </w:rPr>
      </w:pPr>
      <w:r w:rsidRPr="00F90CFE">
        <w:rPr>
          <w:noProof w:val="0"/>
          <w:lang w:val="en-AU"/>
        </w:rPr>
        <w:t xml:space="preserve">The case studies followed by the same timeline, with drafts completed in </w:t>
      </w:r>
      <w:r w:rsidR="006D5514" w:rsidRPr="00F90CFE">
        <w:rPr>
          <w:noProof w:val="0"/>
          <w:lang w:val="en-AU"/>
        </w:rPr>
        <w:t>February</w:t>
      </w:r>
      <w:r w:rsidRPr="00F90CFE">
        <w:rPr>
          <w:noProof w:val="0"/>
          <w:lang w:val="en-AU"/>
        </w:rPr>
        <w:t xml:space="preserve"> 2021. </w:t>
      </w:r>
    </w:p>
    <w:p w14:paraId="67A88579" w14:textId="17C13B51" w:rsidR="007D1848" w:rsidRPr="00F90CFE" w:rsidRDefault="00E259F4" w:rsidP="007F75B4">
      <w:pPr>
        <w:pStyle w:val="ListBullet"/>
        <w:rPr>
          <w:noProof w:val="0"/>
          <w:lang w:val="en-AU"/>
        </w:rPr>
      </w:pPr>
      <w:r w:rsidRPr="00F90CFE">
        <w:rPr>
          <w:noProof w:val="0"/>
          <w:lang w:val="en-AU"/>
        </w:rPr>
        <w:lastRenderedPageBreak/>
        <w:t>The analysis, presentation and reporting phase began in February. An Aide Memoire was submitted to DFAT on the 5</w:t>
      </w:r>
      <w:r w:rsidRPr="00F90CFE">
        <w:rPr>
          <w:noProof w:val="0"/>
          <w:vertAlign w:val="superscript"/>
          <w:lang w:val="en-AU"/>
        </w:rPr>
        <w:t>th</w:t>
      </w:r>
      <w:r w:rsidRPr="00F90CFE">
        <w:rPr>
          <w:noProof w:val="0"/>
          <w:lang w:val="en-AU"/>
        </w:rPr>
        <w:t xml:space="preserve"> March and an initial findings workshop held on the 9</w:t>
      </w:r>
      <w:r w:rsidRPr="00F90CFE">
        <w:rPr>
          <w:noProof w:val="0"/>
          <w:vertAlign w:val="superscript"/>
          <w:lang w:val="en-AU"/>
        </w:rPr>
        <w:t>th</w:t>
      </w:r>
      <w:r w:rsidRPr="00F90CFE">
        <w:rPr>
          <w:noProof w:val="0"/>
          <w:lang w:val="en-AU"/>
        </w:rPr>
        <w:t xml:space="preserve"> March. A draft final report was submitted to DFAT on the 28 March. </w:t>
      </w:r>
    </w:p>
    <w:sectPr w:rsidR="007D1848" w:rsidRPr="00F90CFE" w:rsidSect="00EA2B4A">
      <w:pgSz w:w="11906" w:h="16838" w:code="9"/>
      <w:pgMar w:top="1440" w:right="1080" w:bottom="1440" w:left="1080" w:header="227" w:footer="34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B8840" w14:textId="77777777" w:rsidR="004578C4" w:rsidRDefault="004578C4" w:rsidP="00A15B44">
      <w:r>
        <w:separator/>
      </w:r>
    </w:p>
    <w:p w14:paraId="5D26D6D7" w14:textId="77777777" w:rsidR="004578C4" w:rsidRDefault="004578C4" w:rsidP="00A15B44"/>
  </w:endnote>
  <w:endnote w:type="continuationSeparator" w:id="0">
    <w:p w14:paraId="26839237" w14:textId="77777777" w:rsidR="004578C4" w:rsidRDefault="004578C4" w:rsidP="00A15B44">
      <w:r>
        <w:continuationSeparator/>
      </w:r>
    </w:p>
    <w:p w14:paraId="208D0AF8" w14:textId="77777777" w:rsidR="004578C4" w:rsidRDefault="004578C4" w:rsidP="00A15B44"/>
  </w:endnote>
  <w:endnote w:type="continuationNotice" w:id="1">
    <w:p w14:paraId="0A65FC1C" w14:textId="77777777" w:rsidR="004578C4" w:rsidRDefault="004578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Arial (TT)">
    <w:altName w:val="Arial"/>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4" w:name="_Hlk67750190" w:displacedByCustomXml="next"/>
  <w:sdt>
    <w:sdtPr>
      <w:id w:val="460470077"/>
      <w:docPartObj>
        <w:docPartGallery w:val="Page Numbers (Bottom of Page)"/>
        <w:docPartUnique/>
      </w:docPartObj>
    </w:sdtPr>
    <w:sdtEndPr>
      <w:rPr>
        <w:noProof/>
        <w:sz w:val="18"/>
        <w:szCs w:val="18"/>
      </w:rPr>
    </w:sdtEndPr>
    <w:sdtContent>
      <w:p w14:paraId="6BAEE473" w14:textId="161DDEB0" w:rsidR="004578C4" w:rsidRPr="00A03323" w:rsidRDefault="004578C4" w:rsidP="00A03323">
        <w:pPr>
          <w:pStyle w:val="Footer"/>
          <w:pBdr>
            <w:top w:val="none" w:sz="0" w:space="0" w:color="auto"/>
          </w:pBdr>
          <w:jc w:val="right"/>
          <w:rPr>
            <w:sz w:val="18"/>
            <w:szCs w:val="18"/>
          </w:rPr>
        </w:pPr>
        <w:r w:rsidRPr="00796225">
          <w:rPr>
            <w:bCs/>
            <w:sz w:val="18"/>
            <w:szCs w:val="18"/>
          </w:rPr>
          <w:t xml:space="preserve">Independent Evaluation of the Australian Volunteers Program: </w:t>
        </w:r>
        <w:r>
          <w:rPr>
            <w:bCs/>
            <w:sz w:val="18"/>
            <w:szCs w:val="18"/>
          </w:rPr>
          <w:t>Annex 7</w:t>
        </w:r>
        <w:r>
          <w:t xml:space="preserve"> |</w:t>
        </w:r>
        <w:bookmarkEnd w:id="44"/>
        <w:r>
          <w:t xml:space="preserve"> </w:t>
        </w: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Pr>
            <w:sz w:val="18"/>
            <w:szCs w:val="18"/>
          </w:rPr>
          <w:t>3</w:t>
        </w:r>
        <w:r w:rsidRPr="00511E02">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text" w:tblpXSpec="center" w:tblpY="1"/>
      <w:tblOverlap w:val="never"/>
      <w:tblW w:w="10512" w:type="dxa"/>
      <w:tblBorders>
        <w:top w:val="single" w:sz="8" w:space="0" w:color="005596"/>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4205"/>
      <w:gridCol w:w="2102"/>
      <w:gridCol w:w="4205"/>
    </w:tblGrid>
    <w:tr w:rsidR="004578C4" w14:paraId="17AC8F22" w14:textId="77777777" w:rsidTr="6E6BB222">
      <w:tc>
        <w:tcPr>
          <w:tcW w:w="4118" w:type="dxa"/>
        </w:tcPr>
        <w:p w14:paraId="23CB8BCD" w14:textId="77777777" w:rsidR="004578C4" w:rsidRDefault="004578C4" w:rsidP="00A15B44">
          <w:pPr>
            <w:pStyle w:val="Footer"/>
          </w:pPr>
          <w:r>
            <w:rPr>
              <w:noProof/>
              <w:lang w:val="en-CA" w:eastAsia="en-CA"/>
            </w:rPr>
            <w:drawing>
              <wp:anchor distT="0" distB="0" distL="114300" distR="114300" simplePos="0" relativeHeight="251658240" behindDoc="0" locked="0" layoutInCell="1" allowOverlap="1" wp14:anchorId="2978455F" wp14:editId="40748D8F">
                <wp:simplePos x="752475" y="8915400"/>
                <wp:positionH relativeFrom="margin">
                  <wp:align>left</wp:align>
                </wp:positionH>
                <wp:positionV relativeFrom="margin">
                  <wp:align>center</wp:align>
                </wp:positionV>
                <wp:extent cx="847725" cy="238125"/>
                <wp:effectExtent l="0" t="0" r="9525" b="9525"/>
                <wp:wrapSquare wrapText="bothSides"/>
                <wp:docPr id="450" name="Picture 4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7114" t="18751" r="7308" b="16145"/>
                        <a:stretch/>
                      </pic:blipFill>
                      <pic:spPr bwMode="auto">
                        <a:xfrm>
                          <a:off x="0" y="0"/>
                          <a:ext cx="84772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59" w:type="dxa"/>
          <w:vAlign w:val="center"/>
        </w:tcPr>
        <w:p w14:paraId="52BEF9C9" w14:textId="77777777" w:rsidR="004578C4" w:rsidRPr="001676C3" w:rsidRDefault="004578C4" w:rsidP="00A15B44">
          <w:pPr>
            <w:pStyle w:val="Footer"/>
          </w:pPr>
          <w:r w:rsidRPr="001676C3">
            <w:fldChar w:fldCharType="begin"/>
          </w:r>
          <w:r w:rsidRPr="001676C3">
            <w:instrText xml:space="preserve"> PAGE   \* MERGEFORMAT </w:instrText>
          </w:r>
          <w:r w:rsidRPr="001676C3">
            <w:fldChar w:fldCharType="separate"/>
          </w:r>
          <w:r>
            <w:rPr>
              <w:noProof/>
            </w:rPr>
            <w:t>i</w:t>
          </w:r>
          <w:r w:rsidRPr="001676C3">
            <w:fldChar w:fldCharType="end"/>
          </w:r>
        </w:p>
      </w:tc>
      <w:tc>
        <w:tcPr>
          <w:tcW w:w="4119" w:type="dxa"/>
          <w:vAlign w:val="center"/>
        </w:tcPr>
        <w:p w14:paraId="03816FD9" w14:textId="77777777" w:rsidR="004578C4" w:rsidRDefault="004578C4" w:rsidP="00A15B44">
          <w:pPr>
            <w:pStyle w:val="Footer"/>
          </w:pPr>
          <w:r>
            <w:t>Footer Information</w:t>
          </w:r>
        </w:p>
      </w:tc>
    </w:tr>
  </w:tbl>
  <w:p w14:paraId="51FBC0C6" w14:textId="77777777" w:rsidR="004578C4" w:rsidRDefault="004578C4" w:rsidP="00A15B44">
    <w:pPr>
      <w:pStyle w:val="Footer"/>
    </w:pPr>
  </w:p>
  <w:p w14:paraId="421F5953" w14:textId="77777777" w:rsidR="004578C4" w:rsidRPr="00203C5B" w:rsidRDefault="004578C4" w:rsidP="00A1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7163" w14:textId="77777777" w:rsidR="004578C4" w:rsidRDefault="004578C4" w:rsidP="00A15B44">
      <w:r>
        <w:separator/>
      </w:r>
    </w:p>
  </w:footnote>
  <w:footnote w:type="continuationSeparator" w:id="0">
    <w:p w14:paraId="7360DF5E" w14:textId="77777777" w:rsidR="004578C4" w:rsidRDefault="004578C4" w:rsidP="00A15B44">
      <w:r>
        <w:continuationSeparator/>
      </w:r>
    </w:p>
    <w:p w14:paraId="66660724" w14:textId="77777777" w:rsidR="004578C4" w:rsidRDefault="004578C4" w:rsidP="00A15B44"/>
  </w:footnote>
  <w:footnote w:type="continuationNotice" w:id="1">
    <w:p w14:paraId="1C05631C" w14:textId="77777777" w:rsidR="004578C4" w:rsidRDefault="004578C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158DD04"/>
    <w:lvl w:ilvl="0">
      <w:start w:val="1"/>
      <w:numFmt w:val="decimal"/>
      <w:pStyle w:val="ListNumber"/>
      <w:lvlText w:val="%1."/>
      <w:lvlJc w:val="left"/>
      <w:pPr>
        <w:tabs>
          <w:tab w:val="num" w:pos="360"/>
        </w:tabs>
        <w:ind w:left="360" w:hanging="360"/>
      </w:pPr>
    </w:lvl>
  </w:abstractNum>
  <w:abstractNum w:abstractNumId="1" w15:restartNumberingAfterBreak="0">
    <w:nsid w:val="00F2721C"/>
    <w:multiLevelType w:val="multilevel"/>
    <w:tmpl w:val="856ACDC0"/>
    <w:lvl w:ilvl="0">
      <w:start w:val="1"/>
      <w:numFmt w:val="bullet"/>
      <w:pStyle w:val="Table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A3415"/>
    <w:multiLevelType w:val="hybridMultilevel"/>
    <w:tmpl w:val="B574C018"/>
    <w:lvl w:ilvl="0" w:tplc="D3889B9E">
      <w:start w:val="1"/>
      <w:numFmt w:val="bullet"/>
      <w:lvlText w:val=""/>
      <w:lvlJc w:val="left"/>
      <w:pPr>
        <w:ind w:left="360" w:hanging="360"/>
      </w:pPr>
      <w:rPr>
        <w:rFonts w:ascii="Symbol" w:hAnsi="Symbol" w:hint="default"/>
        <w:color w:val="003478"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8719E"/>
    <w:multiLevelType w:val="multilevel"/>
    <w:tmpl w:val="DBA87A80"/>
    <w:styleLink w:val="Headings"/>
    <w:lvl w:ilvl="0">
      <w:start w:val="1"/>
      <w:numFmt w:val="decimal"/>
      <w:suff w:val="space"/>
      <w:lvlText w:val="%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5" w15:restartNumberingAfterBreak="0">
    <w:nsid w:val="1B6C36B6"/>
    <w:multiLevelType w:val="hybridMultilevel"/>
    <w:tmpl w:val="FDF2E08A"/>
    <w:lvl w:ilvl="0" w:tplc="89B8EF40">
      <w:start w:val="1"/>
      <w:numFmt w:val="bullet"/>
      <w:lvlText w:val=""/>
      <w:lvlJc w:val="left"/>
      <w:pPr>
        <w:ind w:left="720" w:hanging="360"/>
      </w:pPr>
      <w:rPr>
        <w:rFonts w:ascii="Symbol" w:hAnsi="Symbol" w:hint="default"/>
      </w:rPr>
    </w:lvl>
    <w:lvl w:ilvl="1" w:tplc="98487DBC">
      <w:start w:val="1"/>
      <w:numFmt w:val="bullet"/>
      <w:pStyle w:val="Level2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C664B"/>
    <w:multiLevelType w:val="hybridMultilevel"/>
    <w:tmpl w:val="F60002BA"/>
    <w:styleLink w:val="CoffeyBullets"/>
    <w:lvl w:ilvl="0" w:tplc="D12E8CF2">
      <w:start w:val="1"/>
      <w:numFmt w:val="bullet"/>
      <w:pStyle w:val="Buletsintable"/>
      <w:lvlText w:val=""/>
      <w:lvlJc w:val="left"/>
      <w:pPr>
        <w:tabs>
          <w:tab w:val="num" w:pos="357"/>
        </w:tabs>
        <w:ind w:left="360" w:hanging="360"/>
      </w:pPr>
      <w:rPr>
        <w:rFonts w:ascii="Symbol" w:hAnsi="Symbol" w:hint="default"/>
        <w:color w:val="auto"/>
      </w:rPr>
    </w:lvl>
    <w:lvl w:ilvl="1" w:tplc="982C3F26">
      <w:start w:val="1"/>
      <w:numFmt w:val="bullet"/>
      <w:lvlText w:val=""/>
      <w:lvlJc w:val="left"/>
      <w:pPr>
        <w:tabs>
          <w:tab w:val="num" w:pos="720"/>
        </w:tabs>
        <w:ind w:left="720" w:hanging="360"/>
      </w:pPr>
      <w:rPr>
        <w:rFonts w:ascii="Wingdings" w:hAnsi="Wingdings" w:hint="default"/>
        <w:color w:val="auto"/>
        <w:sz w:val="12"/>
      </w:rPr>
    </w:lvl>
    <w:lvl w:ilvl="2" w:tplc="FF8887EC">
      <w:start w:val="1"/>
      <w:numFmt w:val="bullet"/>
      <w:lvlText w:val=""/>
      <w:lvlJc w:val="left"/>
      <w:pPr>
        <w:tabs>
          <w:tab w:val="num" w:pos="1077"/>
        </w:tabs>
        <w:ind w:left="1080" w:hanging="360"/>
      </w:pPr>
      <w:rPr>
        <w:rFonts w:ascii="Symbol" w:hAnsi="Symbol" w:hint="default"/>
        <w:color w:val="auto"/>
      </w:rPr>
    </w:lvl>
    <w:lvl w:ilvl="3" w:tplc="0D74636E">
      <w:start w:val="1"/>
      <w:numFmt w:val="decimal"/>
      <w:lvlText w:val="(%4)"/>
      <w:lvlJc w:val="left"/>
      <w:pPr>
        <w:ind w:left="1440" w:hanging="360"/>
      </w:pPr>
      <w:rPr>
        <w:rFonts w:hint="default"/>
      </w:rPr>
    </w:lvl>
    <w:lvl w:ilvl="4" w:tplc="0F8E08DC">
      <w:start w:val="1"/>
      <w:numFmt w:val="lowerLetter"/>
      <w:lvlText w:val="(%5)"/>
      <w:lvlJc w:val="left"/>
      <w:pPr>
        <w:ind w:left="1800" w:hanging="360"/>
      </w:pPr>
      <w:rPr>
        <w:rFonts w:hint="default"/>
      </w:rPr>
    </w:lvl>
    <w:lvl w:ilvl="5" w:tplc="61B49722">
      <w:start w:val="1"/>
      <w:numFmt w:val="lowerRoman"/>
      <w:lvlText w:val="(%6)"/>
      <w:lvlJc w:val="left"/>
      <w:pPr>
        <w:ind w:left="2160" w:hanging="360"/>
      </w:pPr>
      <w:rPr>
        <w:rFonts w:hint="default"/>
      </w:rPr>
    </w:lvl>
    <w:lvl w:ilvl="6" w:tplc="715430F6">
      <w:start w:val="1"/>
      <w:numFmt w:val="decimal"/>
      <w:lvlText w:val="%7."/>
      <w:lvlJc w:val="left"/>
      <w:pPr>
        <w:ind w:left="2520" w:hanging="360"/>
      </w:pPr>
      <w:rPr>
        <w:rFonts w:hint="default"/>
      </w:rPr>
    </w:lvl>
    <w:lvl w:ilvl="7" w:tplc="95F67CE6">
      <w:start w:val="1"/>
      <w:numFmt w:val="lowerLetter"/>
      <w:lvlText w:val="%8."/>
      <w:lvlJc w:val="left"/>
      <w:pPr>
        <w:ind w:left="2880" w:hanging="360"/>
      </w:pPr>
      <w:rPr>
        <w:rFonts w:hint="default"/>
      </w:rPr>
    </w:lvl>
    <w:lvl w:ilvl="8" w:tplc="0A687EAA">
      <w:start w:val="1"/>
      <w:numFmt w:val="lowerRoman"/>
      <w:lvlText w:val="%9."/>
      <w:lvlJc w:val="left"/>
      <w:pPr>
        <w:ind w:left="3240" w:hanging="360"/>
      </w:pPr>
      <w:rPr>
        <w:rFonts w:hint="default"/>
      </w:rPr>
    </w:lvl>
  </w:abstractNum>
  <w:abstractNum w:abstractNumId="7" w15:restartNumberingAfterBreak="0">
    <w:nsid w:val="2F6E42CB"/>
    <w:multiLevelType w:val="multilevel"/>
    <w:tmpl w:val="2EDAD2F0"/>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86F71"/>
    <w:multiLevelType w:val="hybridMultilevel"/>
    <w:tmpl w:val="9A7AD986"/>
    <w:lvl w:ilvl="0" w:tplc="6FC65B44">
      <w:start w:val="1"/>
      <w:numFmt w:val="bullet"/>
      <w:pStyle w:val="Bodybulletsnew"/>
      <w:lvlText w:val=""/>
      <w:lvlJc w:val="left"/>
      <w:pPr>
        <w:ind w:left="360" w:hanging="360"/>
      </w:pPr>
      <w:rPr>
        <w:rFonts w:ascii="Symbol" w:hAnsi="Symbol" w:hint="default"/>
        <w:color w:val="5482A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0D0DC8"/>
    <w:multiLevelType w:val="multilevel"/>
    <w:tmpl w:val="09A0A67A"/>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7EB00090"/>
    <w:multiLevelType w:val="multilevel"/>
    <w:tmpl w:val="3C423C5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0357DF"/>
    <w:multiLevelType w:val="hybridMultilevel"/>
    <w:tmpl w:val="B00C6D1E"/>
    <w:lvl w:ilvl="0" w:tplc="91FA902C">
      <w:start w:val="1"/>
      <w:numFmt w:val="bullet"/>
      <w:pStyle w:val="ListBullet"/>
      <w:lvlText w:val=""/>
      <w:lvlJc w:val="left"/>
      <w:pPr>
        <w:ind w:left="720" w:hanging="360"/>
      </w:pPr>
      <w:rPr>
        <w:rFonts w:ascii="Symbol" w:hAnsi="Symbol" w:hint="default"/>
        <w:color w:val="003478"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1"/>
  </w:num>
  <w:num w:numId="5">
    <w:abstractNumId w:val="7"/>
  </w:num>
  <w:num w:numId="6">
    <w:abstractNumId w:val="3"/>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35"/>
    <w:rsid w:val="00011DC5"/>
    <w:rsid w:val="000124E9"/>
    <w:rsid w:val="0001395D"/>
    <w:rsid w:val="000177B0"/>
    <w:rsid w:val="000215D5"/>
    <w:rsid w:val="00023F96"/>
    <w:rsid w:val="00026FB0"/>
    <w:rsid w:val="000271FB"/>
    <w:rsid w:val="00027CF6"/>
    <w:rsid w:val="00027FD3"/>
    <w:rsid w:val="00040271"/>
    <w:rsid w:val="00046B2E"/>
    <w:rsid w:val="000470B7"/>
    <w:rsid w:val="00050F6D"/>
    <w:rsid w:val="000532E4"/>
    <w:rsid w:val="000603CF"/>
    <w:rsid w:val="00064DDB"/>
    <w:rsid w:val="00077180"/>
    <w:rsid w:val="00077498"/>
    <w:rsid w:val="0008122B"/>
    <w:rsid w:val="00081DEE"/>
    <w:rsid w:val="000840B6"/>
    <w:rsid w:val="00085D9D"/>
    <w:rsid w:val="00092E3C"/>
    <w:rsid w:val="000B1891"/>
    <w:rsid w:val="000B210E"/>
    <w:rsid w:val="000B5CD1"/>
    <w:rsid w:val="000B7D7A"/>
    <w:rsid w:val="000C5240"/>
    <w:rsid w:val="000C6A1B"/>
    <w:rsid w:val="000D1FC2"/>
    <w:rsid w:val="000D2CDF"/>
    <w:rsid w:val="000D3B6A"/>
    <w:rsid w:val="000E006B"/>
    <w:rsid w:val="000E1556"/>
    <w:rsid w:val="000E15BC"/>
    <w:rsid w:val="000E1EE1"/>
    <w:rsid w:val="000E2164"/>
    <w:rsid w:val="000E60CC"/>
    <w:rsid w:val="000F75A3"/>
    <w:rsid w:val="0010062F"/>
    <w:rsid w:val="0010177E"/>
    <w:rsid w:val="00102E5B"/>
    <w:rsid w:val="00105F72"/>
    <w:rsid w:val="0011183E"/>
    <w:rsid w:val="00111D71"/>
    <w:rsid w:val="00120223"/>
    <w:rsid w:val="00125D0E"/>
    <w:rsid w:val="00126ECC"/>
    <w:rsid w:val="00132E94"/>
    <w:rsid w:val="001423B8"/>
    <w:rsid w:val="00142DA9"/>
    <w:rsid w:val="00142E65"/>
    <w:rsid w:val="001434EE"/>
    <w:rsid w:val="00143E98"/>
    <w:rsid w:val="00144CA6"/>
    <w:rsid w:val="001540FF"/>
    <w:rsid w:val="00156C72"/>
    <w:rsid w:val="001625F8"/>
    <w:rsid w:val="00164765"/>
    <w:rsid w:val="001676C3"/>
    <w:rsid w:val="00167886"/>
    <w:rsid w:val="001708FB"/>
    <w:rsid w:val="0017091C"/>
    <w:rsid w:val="00174BD5"/>
    <w:rsid w:val="00176296"/>
    <w:rsid w:val="00182290"/>
    <w:rsid w:val="00183197"/>
    <w:rsid w:val="00186AAD"/>
    <w:rsid w:val="00186C25"/>
    <w:rsid w:val="00190662"/>
    <w:rsid w:val="0019145F"/>
    <w:rsid w:val="00191879"/>
    <w:rsid w:val="00197DE9"/>
    <w:rsid w:val="0019BBAE"/>
    <w:rsid w:val="001A240D"/>
    <w:rsid w:val="001A2D3A"/>
    <w:rsid w:val="001A31F0"/>
    <w:rsid w:val="001A5CD6"/>
    <w:rsid w:val="001B2E68"/>
    <w:rsid w:val="001B4397"/>
    <w:rsid w:val="001B5BAE"/>
    <w:rsid w:val="001C0A15"/>
    <w:rsid w:val="001C0EE9"/>
    <w:rsid w:val="001C36DA"/>
    <w:rsid w:val="001C5F5E"/>
    <w:rsid w:val="001C5F75"/>
    <w:rsid w:val="001C731F"/>
    <w:rsid w:val="001D1E52"/>
    <w:rsid w:val="001D2103"/>
    <w:rsid w:val="001D4ECA"/>
    <w:rsid w:val="001D71C7"/>
    <w:rsid w:val="001E1CD9"/>
    <w:rsid w:val="001E668A"/>
    <w:rsid w:val="001E7B61"/>
    <w:rsid w:val="001F3242"/>
    <w:rsid w:val="001F3371"/>
    <w:rsid w:val="001F5E53"/>
    <w:rsid w:val="001F7F47"/>
    <w:rsid w:val="00203C5B"/>
    <w:rsid w:val="002052CD"/>
    <w:rsid w:val="00214320"/>
    <w:rsid w:val="002175AF"/>
    <w:rsid w:val="00220E9D"/>
    <w:rsid w:val="00223920"/>
    <w:rsid w:val="00223C5E"/>
    <w:rsid w:val="00234665"/>
    <w:rsid w:val="00236637"/>
    <w:rsid w:val="0024107B"/>
    <w:rsid w:val="002417B3"/>
    <w:rsid w:val="002422C7"/>
    <w:rsid w:val="002437E0"/>
    <w:rsid w:val="00245F07"/>
    <w:rsid w:val="00251B6D"/>
    <w:rsid w:val="0025229C"/>
    <w:rsid w:val="00252406"/>
    <w:rsid w:val="00255B7D"/>
    <w:rsid w:val="00260F5C"/>
    <w:rsid w:val="002625DF"/>
    <w:rsid w:val="002632F4"/>
    <w:rsid w:val="002635B7"/>
    <w:rsid w:val="00263E69"/>
    <w:rsid w:val="002653A0"/>
    <w:rsid w:val="0026574B"/>
    <w:rsid w:val="002707ED"/>
    <w:rsid w:val="00277908"/>
    <w:rsid w:val="00280ADB"/>
    <w:rsid w:val="0028492E"/>
    <w:rsid w:val="0028595A"/>
    <w:rsid w:val="00290ACB"/>
    <w:rsid w:val="00295834"/>
    <w:rsid w:val="00295A44"/>
    <w:rsid w:val="002972C4"/>
    <w:rsid w:val="002A1C1F"/>
    <w:rsid w:val="002A58D3"/>
    <w:rsid w:val="002A590C"/>
    <w:rsid w:val="002A592C"/>
    <w:rsid w:val="002B03DD"/>
    <w:rsid w:val="002B4856"/>
    <w:rsid w:val="002C0C9F"/>
    <w:rsid w:val="002C1CC0"/>
    <w:rsid w:val="002C724F"/>
    <w:rsid w:val="002D0AA9"/>
    <w:rsid w:val="002D1964"/>
    <w:rsid w:val="002D25B2"/>
    <w:rsid w:val="002D2886"/>
    <w:rsid w:val="002D409E"/>
    <w:rsid w:val="002D4971"/>
    <w:rsid w:val="002D5F01"/>
    <w:rsid w:val="002D65BC"/>
    <w:rsid w:val="002E09A0"/>
    <w:rsid w:val="002E3D12"/>
    <w:rsid w:val="002F56EC"/>
    <w:rsid w:val="002F5EBC"/>
    <w:rsid w:val="002F6B72"/>
    <w:rsid w:val="002F6B88"/>
    <w:rsid w:val="00303113"/>
    <w:rsid w:val="00304A61"/>
    <w:rsid w:val="0030560E"/>
    <w:rsid w:val="003056FE"/>
    <w:rsid w:val="003079EE"/>
    <w:rsid w:val="00311315"/>
    <w:rsid w:val="00316461"/>
    <w:rsid w:val="00321335"/>
    <w:rsid w:val="00321554"/>
    <w:rsid w:val="003260E5"/>
    <w:rsid w:val="00330076"/>
    <w:rsid w:val="00333A09"/>
    <w:rsid w:val="00340882"/>
    <w:rsid w:val="0034290B"/>
    <w:rsid w:val="00345582"/>
    <w:rsid w:val="00345E64"/>
    <w:rsid w:val="00352367"/>
    <w:rsid w:val="00362A6A"/>
    <w:rsid w:val="003630F9"/>
    <w:rsid w:val="00372674"/>
    <w:rsid w:val="003802DA"/>
    <w:rsid w:val="003835C7"/>
    <w:rsid w:val="00385E31"/>
    <w:rsid w:val="00387BDB"/>
    <w:rsid w:val="00387E58"/>
    <w:rsid w:val="003909AE"/>
    <w:rsid w:val="003938E8"/>
    <w:rsid w:val="0039536F"/>
    <w:rsid w:val="003A2507"/>
    <w:rsid w:val="003A4C92"/>
    <w:rsid w:val="003B0CAB"/>
    <w:rsid w:val="003B3673"/>
    <w:rsid w:val="003B5CAB"/>
    <w:rsid w:val="003C1702"/>
    <w:rsid w:val="003C22EF"/>
    <w:rsid w:val="003C3955"/>
    <w:rsid w:val="003D11D0"/>
    <w:rsid w:val="003D3391"/>
    <w:rsid w:val="003D4D7B"/>
    <w:rsid w:val="003D6D8C"/>
    <w:rsid w:val="003E006C"/>
    <w:rsid w:val="003E1735"/>
    <w:rsid w:val="003E3EDC"/>
    <w:rsid w:val="003E3FA9"/>
    <w:rsid w:val="003E42A4"/>
    <w:rsid w:val="003E5A77"/>
    <w:rsid w:val="003E63D3"/>
    <w:rsid w:val="003F3355"/>
    <w:rsid w:val="00401046"/>
    <w:rsid w:val="00405700"/>
    <w:rsid w:val="00416C5C"/>
    <w:rsid w:val="004218D9"/>
    <w:rsid w:val="00421909"/>
    <w:rsid w:val="00425402"/>
    <w:rsid w:val="00427220"/>
    <w:rsid w:val="00430A31"/>
    <w:rsid w:val="00430AF2"/>
    <w:rsid w:val="00431F77"/>
    <w:rsid w:val="00433C37"/>
    <w:rsid w:val="00434C28"/>
    <w:rsid w:val="00435C2A"/>
    <w:rsid w:val="00442965"/>
    <w:rsid w:val="00444441"/>
    <w:rsid w:val="00450DDA"/>
    <w:rsid w:val="00452F9F"/>
    <w:rsid w:val="00455F95"/>
    <w:rsid w:val="004578C4"/>
    <w:rsid w:val="004600B9"/>
    <w:rsid w:val="00460B3D"/>
    <w:rsid w:val="00464372"/>
    <w:rsid w:val="004654D6"/>
    <w:rsid w:val="0046726E"/>
    <w:rsid w:val="0047032B"/>
    <w:rsid w:val="00472F12"/>
    <w:rsid w:val="00481B53"/>
    <w:rsid w:val="00483D9D"/>
    <w:rsid w:val="00484009"/>
    <w:rsid w:val="00485AE6"/>
    <w:rsid w:val="00485EB4"/>
    <w:rsid w:val="0048786E"/>
    <w:rsid w:val="00490CC2"/>
    <w:rsid w:val="004A0003"/>
    <w:rsid w:val="004A0E2E"/>
    <w:rsid w:val="004A6B21"/>
    <w:rsid w:val="004B6860"/>
    <w:rsid w:val="004D2117"/>
    <w:rsid w:val="004D34A8"/>
    <w:rsid w:val="004D46A9"/>
    <w:rsid w:val="004D65BE"/>
    <w:rsid w:val="004D7553"/>
    <w:rsid w:val="004E209D"/>
    <w:rsid w:val="004E4246"/>
    <w:rsid w:val="004E4DFE"/>
    <w:rsid w:val="004F184B"/>
    <w:rsid w:val="004F4E67"/>
    <w:rsid w:val="0050085B"/>
    <w:rsid w:val="00500A39"/>
    <w:rsid w:val="00504E2F"/>
    <w:rsid w:val="00506E38"/>
    <w:rsid w:val="00511329"/>
    <w:rsid w:val="00511517"/>
    <w:rsid w:val="00511E02"/>
    <w:rsid w:val="0051507D"/>
    <w:rsid w:val="00516529"/>
    <w:rsid w:val="00517D23"/>
    <w:rsid w:val="00532102"/>
    <w:rsid w:val="00534000"/>
    <w:rsid w:val="005414E1"/>
    <w:rsid w:val="00542765"/>
    <w:rsid w:val="00547B59"/>
    <w:rsid w:val="00550E2D"/>
    <w:rsid w:val="00550EBE"/>
    <w:rsid w:val="0056262F"/>
    <w:rsid w:val="00563E2A"/>
    <w:rsid w:val="005660BF"/>
    <w:rsid w:val="00574C27"/>
    <w:rsid w:val="005753EF"/>
    <w:rsid w:val="005758FB"/>
    <w:rsid w:val="00576BC9"/>
    <w:rsid w:val="0058230E"/>
    <w:rsid w:val="00594409"/>
    <w:rsid w:val="005960EA"/>
    <w:rsid w:val="005A1A84"/>
    <w:rsid w:val="005A2595"/>
    <w:rsid w:val="005B0A92"/>
    <w:rsid w:val="005B26A0"/>
    <w:rsid w:val="005B38ED"/>
    <w:rsid w:val="005B5308"/>
    <w:rsid w:val="005C2CBA"/>
    <w:rsid w:val="005C4852"/>
    <w:rsid w:val="005D0BFB"/>
    <w:rsid w:val="005D25A9"/>
    <w:rsid w:val="005D330C"/>
    <w:rsid w:val="005D5AD1"/>
    <w:rsid w:val="005E0376"/>
    <w:rsid w:val="005E30FF"/>
    <w:rsid w:val="005E3A68"/>
    <w:rsid w:val="005E603A"/>
    <w:rsid w:val="005E725F"/>
    <w:rsid w:val="005F376A"/>
    <w:rsid w:val="00603FC6"/>
    <w:rsid w:val="006045FC"/>
    <w:rsid w:val="0060558B"/>
    <w:rsid w:val="00614E6B"/>
    <w:rsid w:val="00614EF1"/>
    <w:rsid w:val="006167F5"/>
    <w:rsid w:val="006201D4"/>
    <w:rsid w:val="006257CA"/>
    <w:rsid w:val="00626816"/>
    <w:rsid w:val="006277CF"/>
    <w:rsid w:val="0063043F"/>
    <w:rsid w:val="00633963"/>
    <w:rsid w:val="00635376"/>
    <w:rsid w:val="00635564"/>
    <w:rsid w:val="00636636"/>
    <w:rsid w:val="00641C27"/>
    <w:rsid w:val="006430CD"/>
    <w:rsid w:val="00657CB5"/>
    <w:rsid w:val="0066571E"/>
    <w:rsid w:val="00666C98"/>
    <w:rsid w:val="00670CC8"/>
    <w:rsid w:val="0067235A"/>
    <w:rsid w:val="00674EBB"/>
    <w:rsid w:val="00680571"/>
    <w:rsid w:val="00684D26"/>
    <w:rsid w:val="006921C8"/>
    <w:rsid w:val="00693037"/>
    <w:rsid w:val="00696533"/>
    <w:rsid w:val="006A14D7"/>
    <w:rsid w:val="006A62A1"/>
    <w:rsid w:val="006B0A85"/>
    <w:rsid w:val="006B3A1C"/>
    <w:rsid w:val="006B40A2"/>
    <w:rsid w:val="006C01ED"/>
    <w:rsid w:val="006C58F6"/>
    <w:rsid w:val="006D0505"/>
    <w:rsid w:val="006D212E"/>
    <w:rsid w:val="006D5514"/>
    <w:rsid w:val="006D683D"/>
    <w:rsid w:val="006E11ED"/>
    <w:rsid w:val="006F62EF"/>
    <w:rsid w:val="007033CE"/>
    <w:rsid w:val="00704CC7"/>
    <w:rsid w:val="00704E92"/>
    <w:rsid w:val="00707452"/>
    <w:rsid w:val="0071152C"/>
    <w:rsid w:val="0071345A"/>
    <w:rsid w:val="007155C5"/>
    <w:rsid w:val="007232B6"/>
    <w:rsid w:val="00724F8D"/>
    <w:rsid w:val="00736820"/>
    <w:rsid w:val="00736E94"/>
    <w:rsid w:val="0074012A"/>
    <w:rsid w:val="007406EE"/>
    <w:rsid w:val="00743C45"/>
    <w:rsid w:val="007506C1"/>
    <w:rsid w:val="00765321"/>
    <w:rsid w:val="0076552D"/>
    <w:rsid w:val="00771438"/>
    <w:rsid w:val="00771DBF"/>
    <w:rsid w:val="00773864"/>
    <w:rsid w:val="007750B3"/>
    <w:rsid w:val="00792BBF"/>
    <w:rsid w:val="00796225"/>
    <w:rsid w:val="007A3057"/>
    <w:rsid w:val="007A5463"/>
    <w:rsid w:val="007A624D"/>
    <w:rsid w:val="007A70BC"/>
    <w:rsid w:val="007B0044"/>
    <w:rsid w:val="007B059B"/>
    <w:rsid w:val="007C224B"/>
    <w:rsid w:val="007C2B9B"/>
    <w:rsid w:val="007C3928"/>
    <w:rsid w:val="007C59B3"/>
    <w:rsid w:val="007C619C"/>
    <w:rsid w:val="007D1848"/>
    <w:rsid w:val="007E0D7D"/>
    <w:rsid w:val="007E1677"/>
    <w:rsid w:val="007E23B3"/>
    <w:rsid w:val="007E36E3"/>
    <w:rsid w:val="007E3F43"/>
    <w:rsid w:val="007E502B"/>
    <w:rsid w:val="007E5B9D"/>
    <w:rsid w:val="007F2FA8"/>
    <w:rsid w:val="007F75B4"/>
    <w:rsid w:val="007F75C2"/>
    <w:rsid w:val="007F7EF1"/>
    <w:rsid w:val="0080095F"/>
    <w:rsid w:val="0080106D"/>
    <w:rsid w:val="00803332"/>
    <w:rsid w:val="0080715F"/>
    <w:rsid w:val="00807270"/>
    <w:rsid w:val="00810779"/>
    <w:rsid w:val="00821B82"/>
    <w:rsid w:val="00833F23"/>
    <w:rsid w:val="00836894"/>
    <w:rsid w:val="00836AB7"/>
    <w:rsid w:val="008402CD"/>
    <w:rsid w:val="00841A57"/>
    <w:rsid w:val="008431D8"/>
    <w:rsid w:val="00845D38"/>
    <w:rsid w:val="00850554"/>
    <w:rsid w:val="008508DE"/>
    <w:rsid w:val="00852458"/>
    <w:rsid w:val="0086741B"/>
    <w:rsid w:val="008678C7"/>
    <w:rsid w:val="008713B1"/>
    <w:rsid w:val="008759B8"/>
    <w:rsid w:val="00875D0A"/>
    <w:rsid w:val="0087620D"/>
    <w:rsid w:val="00880312"/>
    <w:rsid w:val="0088335D"/>
    <w:rsid w:val="00884AD6"/>
    <w:rsid w:val="0088614D"/>
    <w:rsid w:val="008A408B"/>
    <w:rsid w:val="008A7220"/>
    <w:rsid w:val="008B686D"/>
    <w:rsid w:val="008B7F2E"/>
    <w:rsid w:val="008C33A5"/>
    <w:rsid w:val="008C6157"/>
    <w:rsid w:val="008C6956"/>
    <w:rsid w:val="008C7E7A"/>
    <w:rsid w:val="008D06A2"/>
    <w:rsid w:val="008D3176"/>
    <w:rsid w:val="008D41FC"/>
    <w:rsid w:val="008D4BD4"/>
    <w:rsid w:val="008D5583"/>
    <w:rsid w:val="008D5804"/>
    <w:rsid w:val="008D6026"/>
    <w:rsid w:val="008D7DA7"/>
    <w:rsid w:val="008E1C75"/>
    <w:rsid w:val="008E233F"/>
    <w:rsid w:val="008E34F6"/>
    <w:rsid w:val="008E56AF"/>
    <w:rsid w:val="008E5717"/>
    <w:rsid w:val="008E583D"/>
    <w:rsid w:val="008ED171"/>
    <w:rsid w:val="008F18E2"/>
    <w:rsid w:val="008F1E8C"/>
    <w:rsid w:val="008F2A65"/>
    <w:rsid w:val="00901B07"/>
    <w:rsid w:val="0090446B"/>
    <w:rsid w:val="0090466F"/>
    <w:rsid w:val="0090487B"/>
    <w:rsid w:val="009059E3"/>
    <w:rsid w:val="00915BE4"/>
    <w:rsid w:val="00915D2B"/>
    <w:rsid w:val="009167BD"/>
    <w:rsid w:val="009207F1"/>
    <w:rsid w:val="00922958"/>
    <w:rsid w:val="0092303A"/>
    <w:rsid w:val="00926952"/>
    <w:rsid w:val="009276CE"/>
    <w:rsid w:val="00927F4D"/>
    <w:rsid w:val="00933114"/>
    <w:rsid w:val="009472A0"/>
    <w:rsid w:val="009503A4"/>
    <w:rsid w:val="009509D9"/>
    <w:rsid w:val="00951A5B"/>
    <w:rsid w:val="00953173"/>
    <w:rsid w:val="00954982"/>
    <w:rsid w:val="00955030"/>
    <w:rsid w:val="00957E81"/>
    <w:rsid w:val="00965B4C"/>
    <w:rsid w:val="0097041B"/>
    <w:rsid w:val="00970D1C"/>
    <w:rsid w:val="00973680"/>
    <w:rsid w:val="00973E04"/>
    <w:rsid w:val="009749F0"/>
    <w:rsid w:val="00984253"/>
    <w:rsid w:val="00987C57"/>
    <w:rsid w:val="009901C4"/>
    <w:rsid w:val="0099108C"/>
    <w:rsid w:val="00991F92"/>
    <w:rsid w:val="00996BD5"/>
    <w:rsid w:val="00997EBD"/>
    <w:rsid w:val="009A404D"/>
    <w:rsid w:val="009A4821"/>
    <w:rsid w:val="009A7AB7"/>
    <w:rsid w:val="009B1391"/>
    <w:rsid w:val="009B230F"/>
    <w:rsid w:val="009B51E3"/>
    <w:rsid w:val="009C0B67"/>
    <w:rsid w:val="009C1376"/>
    <w:rsid w:val="009C4613"/>
    <w:rsid w:val="009C760E"/>
    <w:rsid w:val="009D01F6"/>
    <w:rsid w:val="009D1991"/>
    <w:rsid w:val="009D2740"/>
    <w:rsid w:val="009D747E"/>
    <w:rsid w:val="009D79C6"/>
    <w:rsid w:val="009E472F"/>
    <w:rsid w:val="009F2061"/>
    <w:rsid w:val="009F7AAD"/>
    <w:rsid w:val="00A02207"/>
    <w:rsid w:val="00A03323"/>
    <w:rsid w:val="00A06DB1"/>
    <w:rsid w:val="00A10CFA"/>
    <w:rsid w:val="00A11D21"/>
    <w:rsid w:val="00A13AB7"/>
    <w:rsid w:val="00A15B44"/>
    <w:rsid w:val="00A16038"/>
    <w:rsid w:val="00A20297"/>
    <w:rsid w:val="00A209E9"/>
    <w:rsid w:val="00A22AF0"/>
    <w:rsid w:val="00A25D5D"/>
    <w:rsid w:val="00A26381"/>
    <w:rsid w:val="00A26536"/>
    <w:rsid w:val="00A31F95"/>
    <w:rsid w:val="00A325F0"/>
    <w:rsid w:val="00A32C16"/>
    <w:rsid w:val="00A32DBB"/>
    <w:rsid w:val="00A34CC3"/>
    <w:rsid w:val="00A35038"/>
    <w:rsid w:val="00A41AAD"/>
    <w:rsid w:val="00A42B81"/>
    <w:rsid w:val="00A43F89"/>
    <w:rsid w:val="00A45E37"/>
    <w:rsid w:val="00A47A6F"/>
    <w:rsid w:val="00A51939"/>
    <w:rsid w:val="00A61A7F"/>
    <w:rsid w:val="00A654DE"/>
    <w:rsid w:val="00A66C11"/>
    <w:rsid w:val="00A721B7"/>
    <w:rsid w:val="00A83B42"/>
    <w:rsid w:val="00A8693B"/>
    <w:rsid w:val="00A87E50"/>
    <w:rsid w:val="00AA2069"/>
    <w:rsid w:val="00AA5D91"/>
    <w:rsid w:val="00AA68A6"/>
    <w:rsid w:val="00AB01D7"/>
    <w:rsid w:val="00AB3B8C"/>
    <w:rsid w:val="00AB607B"/>
    <w:rsid w:val="00AB7835"/>
    <w:rsid w:val="00AC4C38"/>
    <w:rsid w:val="00AC5160"/>
    <w:rsid w:val="00AC7B4C"/>
    <w:rsid w:val="00AD02AE"/>
    <w:rsid w:val="00AD0458"/>
    <w:rsid w:val="00AD2AB4"/>
    <w:rsid w:val="00AD52B9"/>
    <w:rsid w:val="00AD5B3F"/>
    <w:rsid w:val="00AD7D06"/>
    <w:rsid w:val="00AE09AB"/>
    <w:rsid w:val="00AE1D60"/>
    <w:rsid w:val="00AF1158"/>
    <w:rsid w:val="00AF4E1D"/>
    <w:rsid w:val="00B137CA"/>
    <w:rsid w:val="00B13830"/>
    <w:rsid w:val="00B13EC0"/>
    <w:rsid w:val="00B14F1A"/>
    <w:rsid w:val="00B17F87"/>
    <w:rsid w:val="00B21AE2"/>
    <w:rsid w:val="00B24EB2"/>
    <w:rsid w:val="00B26E08"/>
    <w:rsid w:val="00B32A8D"/>
    <w:rsid w:val="00B33E23"/>
    <w:rsid w:val="00B35AF5"/>
    <w:rsid w:val="00B36F58"/>
    <w:rsid w:val="00B4119E"/>
    <w:rsid w:val="00B4150E"/>
    <w:rsid w:val="00B42582"/>
    <w:rsid w:val="00B447CD"/>
    <w:rsid w:val="00B45CA5"/>
    <w:rsid w:val="00B45E14"/>
    <w:rsid w:val="00B46404"/>
    <w:rsid w:val="00B50D5A"/>
    <w:rsid w:val="00B5119D"/>
    <w:rsid w:val="00B52B44"/>
    <w:rsid w:val="00B535A3"/>
    <w:rsid w:val="00B63F11"/>
    <w:rsid w:val="00B6468F"/>
    <w:rsid w:val="00B6487F"/>
    <w:rsid w:val="00B75B16"/>
    <w:rsid w:val="00B76569"/>
    <w:rsid w:val="00B80C18"/>
    <w:rsid w:val="00B83FB6"/>
    <w:rsid w:val="00B8463B"/>
    <w:rsid w:val="00B911EF"/>
    <w:rsid w:val="00BA67A8"/>
    <w:rsid w:val="00BB3EEB"/>
    <w:rsid w:val="00BB4DF9"/>
    <w:rsid w:val="00BB4F0B"/>
    <w:rsid w:val="00BB64DE"/>
    <w:rsid w:val="00BB695E"/>
    <w:rsid w:val="00BB76F5"/>
    <w:rsid w:val="00BB7713"/>
    <w:rsid w:val="00BC0B6A"/>
    <w:rsid w:val="00BC17BD"/>
    <w:rsid w:val="00BC7BC5"/>
    <w:rsid w:val="00BD0226"/>
    <w:rsid w:val="00BD07FC"/>
    <w:rsid w:val="00BD56ED"/>
    <w:rsid w:val="00BE3976"/>
    <w:rsid w:val="00BE5726"/>
    <w:rsid w:val="00BE7C26"/>
    <w:rsid w:val="00BE7E7F"/>
    <w:rsid w:val="00BF016F"/>
    <w:rsid w:val="00BF676C"/>
    <w:rsid w:val="00BF7643"/>
    <w:rsid w:val="00C072EB"/>
    <w:rsid w:val="00C12D7A"/>
    <w:rsid w:val="00C16226"/>
    <w:rsid w:val="00C16B79"/>
    <w:rsid w:val="00C16D7F"/>
    <w:rsid w:val="00C24A21"/>
    <w:rsid w:val="00C3335B"/>
    <w:rsid w:val="00C36425"/>
    <w:rsid w:val="00C36DCE"/>
    <w:rsid w:val="00C418E7"/>
    <w:rsid w:val="00C51535"/>
    <w:rsid w:val="00C57087"/>
    <w:rsid w:val="00C64E66"/>
    <w:rsid w:val="00C67AFD"/>
    <w:rsid w:val="00C701E0"/>
    <w:rsid w:val="00C7025C"/>
    <w:rsid w:val="00C70E31"/>
    <w:rsid w:val="00C72B2B"/>
    <w:rsid w:val="00C76299"/>
    <w:rsid w:val="00C7665F"/>
    <w:rsid w:val="00C87EB2"/>
    <w:rsid w:val="00C92DD3"/>
    <w:rsid w:val="00C9313B"/>
    <w:rsid w:val="00C9660C"/>
    <w:rsid w:val="00C97C11"/>
    <w:rsid w:val="00CA7BEE"/>
    <w:rsid w:val="00CA7C0E"/>
    <w:rsid w:val="00CB0954"/>
    <w:rsid w:val="00CB5E81"/>
    <w:rsid w:val="00CC2EE6"/>
    <w:rsid w:val="00CC3132"/>
    <w:rsid w:val="00CC5D2D"/>
    <w:rsid w:val="00CC7192"/>
    <w:rsid w:val="00CD5D0A"/>
    <w:rsid w:val="00CE0B45"/>
    <w:rsid w:val="00CE0E84"/>
    <w:rsid w:val="00CE4AF6"/>
    <w:rsid w:val="00CE5ADF"/>
    <w:rsid w:val="00CE631E"/>
    <w:rsid w:val="00CF609D"/>
    <w:rsid w:val="00CF7A9A"/>
    <w:rsid w:val="00CF7D4E"/>
    <w:rsid w:val="00D017CB"/>
    <w:rsid w:val="00D03126"/>
    <w:rsid w:val="00D039D4"/>
    <w:rsid w:val="00D047D9"/>
    <w:rsid w:val="00D17EFE"/>
    <w:rsid w:val="00D20235"/>
    <w:rsid w:val="00D21D25"/>
    <w:rsid w:val="00D23161"/>
    <w:rsid w:val="00D2415D"/>
    <w:rsid w:val="00D32B39"/>
    <w:rsid w:val="00D33B88"/>
    <w:rsid w:val="00D353B0"/>
    <w:rsid w:val="00D3611F"/>
    <w:rsid w:val="00D44627"/>
    <w:rsid w:val="00D45FFE"/>
    <w:rsid w:val="00D46439"/>
    <w:rsid w:val="00D465DA"/>
    <w:rsid w:val="00D537C4"/>
    <w:rsid w:val="00D5720B"/>
    <w:rsid w:val="00D61ADF"/>
    <w:rsid w:val="00D65A74"/>
    <w:rsid w:val="00D6779C"/>
    <w:rsid w:val="00D72637"/>
    <w:rsid w:val="00D757D1"/>
    <w:rsid w:val="00D851DC"/>
    <w:rsid w:val="00D90EC0"/>
    <w:rsid w:val="00D9540B"/>
    <w:rsid w:val="00D97C60"/>
    <w:rsid w:val="00DA0341"/>
    <w:rsid w:val="00DA53E4"/>
    <w:rsid w:val="00DA5EBC"/>
    <w:rsid w:val="00DB05F6"/>
    <w:rsid w:val="00DB3A18"/>
    <w:rsid w:val="00DB3EB2"/>
    <w:rsid w:val="00DB406B"/>
    <w:rsid w:val="00DB50F0"/>
    <w:rsid w:val="00DB56C3"/>
    <w:rsid w:val="00DB5DE5"/>
    <w:rsid w:val="00DB657D"/>
    <w:rsid w:val="00DB6B93"/>
    <w:rsid w:val="00DC3270"/>
    <w:rsid w:val="00DC7388"/>
    <w:rsid w:val="00DD3132"/>
    <w:rsid w:val="00DD35CA"/>
    <w:rsid w:val="00DE01D7"/>
    <w:rsid w:val="00DE37F4"/>
    <w:rsid w:val="00DF2276"/>
    <w:rsid w:val="00DF22EB"/>
    <w:rsid w:val="00DF4B90"/>
    <w:rsid w:val="00DF537B"/>
    <w:rsid w:val="00DF76BE"/>
    <w:rsid w:val="00E02516"/>
    <w:rsid w:val="00E10C3C"/>
    <w:rsid w:val="00E1438C"/>
    <w:rsid w:val="00E25678"/>
    <w:rsid w:val="00E25863"/>
    <w:rsid w:val="00E259F4"/>
    <w:rsid w:val="00E27D9C"/>
    <w:rsid w:val="00E3045F"/>
    <w:rsid w:val="00E32B4E"/>
    <w:rsid w:val="00E338BC"/>
    <w:rsid w:val="00E3462D"/>
    <w:rsid w:val="00E351B5"/>
    <w:rsid w:val="00E35CD3"/>
    <w:rsid w:val="00E431E1"/>
    <w:rsid w:val="00E5040B"/>
    <w:rsid w:val="00E5354E"/>
    <w:rsid w:val="00E55AAB"/>
    <w:rsid w:val="00E5639D"/>
    <w:rsid w:val="00E56EED"/>
    <w:rsid w:val="00E60D93"/>
    <w:rsid w:val="00E60EFF"/>
    <w:rsid w:val="00E61439"/>
    <w:rsid w:val="00E62823"/>
    <w:rsid w:val="00E728DC"/>
    <w:rsid w:val="00E72F4B"/>
    <w:rsid w:val="00E766C7"/>
    <w:rsid w:val="00E76A37"/>
    <w:rsid w:val="00E93273"/>
    <w:rsid w:val="00EA0B9D"/>
    <w:rsid w:val="00EA0BE2"/>
    <w:rsid w:val="00EA2B4A"/>
    <w:rsid w:val="00EA619F"/>
    <w:rsid w:val="00EB6946"/>
    <w:rsid w:val="00EC0A81"/>
    <w:rsid w:val="00EC25F1"/>
    <w:rsid w:val="00EC51D2"/>
    <w:rsid w:val="00EC5468"/>
    <w:rsid w:val="00ED064A"/>
    <w:rsid w:val="00ED68AE"/>
    <w:rsid w:val="00ED6B54"/>
    <w:rsid w:val="00EE2B0B"/>
    <w:rsid w:val="00EE5691"/>
    <w:rsid w:val="00EF0BA5"/>
    <w:rsid w:val="00EF5A6D"/>
    <w:rsid w:val="00EF6D63"/>
    <w:rsid w:val="00F0384C"/>
    <w:rsid w:val="00F039F3"/>
    <w:rsid w:val="00F04468"/>
    <w:rsid w:val="00F10DAF"/>
    <w:rsid w:val="00F15D17"/>
    <w:rsid w:val="00F162A1"/>
    <w:rsid w:val="00F17188"/>
    <w:rsid w:val="00F22309"/>
    <w:rsid w:val="00F23084"/>
    <w:rsid w:val="00F245D2"/>
    <w:rsid w:val="00F256A6"/>
    <w:rsid w:val="00F27CEF"/>
    <w:rsid w:val="00F30077"/>
    <w:rsid w:val="00F31074"/>
    <w:rsid w:val="00F32881"/>
    <w:rsid w:val="00F331B2"/>
    <w:rsid w:val="00F42DFB"/>
    <w:rsid w:val="00F4383E"/>
    <w:rsid w:val="00F56CB1"/>
    <w:rsid w:val="00F6284A"/>
    <w:rsid w:val="00F65C15"/>
    <w:rsid w:val="00F67D52"/>
    <w:rsid w:val="00F75EAA"/>
    <w:rsid w:val="00F83C77"/>
    <w:rsid w:val="00F83F5F"/>
    <w:rsid w:val="00F859C6"/>
    <w:rsid w:val="00F85CF8"/>
    <w:rsid w:val="00F9051E"/>
    <w:rsid w:val="00F90CFE"/>
    <w:rsid w:val="00F914EF"/>
    <w:rsid w:val="00FA00DE"/>
    <w:rsid w:val="00FA12E5"/>
    <w:rsid w:val="00FB197B"/>
    <w:rsid w:val="00FC1E40"/>
    <w:rsid w:val="00FC26C5"/>
    <w:rsid w:val="00FC2E39"/>
    <w:rsid w:val="00FC3E42"/>
    <w:rsid w:val="00FC626D"/>
    <w:rsid w:val="00FC63B9"/>
    <w:rsid w:val="00FC69B0"/>
    <w:rsid w:val="00FC6B4B"/>
    <w:rsid w:val="00FD02B8"/>
    <w:rsid w:val="00FE1EF1"/>
    <w:rsid w:val="00FE349D"/>
    <w:rsid w:val="00FE7128"/>
    <w:rsid w:val="00FF1006"/>
    <w:rsid w:val="00FF15C5"/>
    <w:rsid w:val="013DE0BA"/>
    <w:rsid w:val="0162C55B"/>
    <w:rsid w:val="0167F00E"/>
    <w:rsid w:val="01811C4B"/>
    <w:rsid w:val="01B84A60"/>
    <w:rsid w:val="01E08E4A"/>
    <w:rsid w:val="022610EC"/>
    <w:rsid w:val="022CF4F4"/>
    <w:rsid w:val="023560F1"/>
    <w:rsid w:val="0241745E"/>
    <w:rsid w:val="0273F8D8"/>
    <w:rsid w:val="027ADEAC"/>
    <w:rsid w:val="02BD69EA"/>
    <w:rsid w:val="0313A564"/>
    <w:rsid w:val="03293A76"/>
    <w:rsid w:val="034A49E5"/>
    <w:rsid w:val="0361F337"/>
    <w:rsid w:val="0363604F"/>
    <w:rsid w:val="0381F61F"/>
    <w:rsid w:val="03920B25"/>
    <w:rsid w:val="03CE615F"/>
    <w:rsid w:val="03D47632"/>
    <w:rsid w:val="03F1DC1E"/>
    <w:rsid w:val="0403C8A9"/>
    <w:rsid w:val="04082E19"/>
    <w:rsid w:val="0412E849"/>
    <w:rsid w:val="044F9529"/>
    <w:rsid w:val="04573C5F"/>
    <w:rsid w:val="0466FBA1"/>
    <w:rsid w:val="046B747A"/>
    <w:rsid w:val="046E704D"/>
    <w:rsid w:val="04736200"/>
    <w:rsid w:val="04A4EDF1"/>
    <w:rsid w:val="04AD1B53"/>
    <w:rsid w:val="04BCB9A5"/>
    <w:rsid w:val="04BFC42D"/>
    <w:rsid w:val="04D46A6A"/>
    <w:rsid w:val="04D8497F"/>
    <w:rsid w:val="051F5552"/>
    <w:rsid w:val="053F7B71"/>
    <w:rsid w:val="055C6631"/>
    <w:rsid w:val="056289F6"/>
    <w:rsid w:val="056A27BB"/>
    <w:rsid w:val="056E86FC"/>
    <w:rsid w:val="05D02AAE"/>
    <w:rsid w:val="05FA5C05"/>
    <w:rsid w:val="06384C0D"/>
    <w:rsid w:val="066795B1"/>
    <w:rsid w:val="067F7F66"/>
    <w:rsid w:val="06F9820F"/>
    <w:rsid w:val="070156AF"/>
    <w:rsid w:val="0716938B"/>
    <w:rsid w:val="073B08D4"/>
    <w:rsid w:val="0757F82A"/>
    <w:rsid w:val="075E2621"/>
    <w:rsid w:val="075FF1AB"/>
    <w:rsid w:val="07A1BAF1"/>
    <w:rsid w:val="07C6643F"/>
    <w:rsid w:val="0800D52F"/>
    <w:rsid w:val="0802761C"/>
    <w:rsid w:val="0808D912"/>
    <w:rsid w:val="0816D677"/>
    <w:rsid w:val="0817C533"/>
    <w:rsid w:val="086E3DC1"/>
    <w:rsid w:val="087129CF"/>
    <w:rsid w:val="08845EB8"/>
    <w:rsid w:val="08CB5D95"/>
    <w:rsid w:val="090BE378"/>
    <w:rsid w:val="0910BD68"/>
    <w:rsid w:val="09633E40"/>
    <w:rsid w:val="09BC605F"/>
    <w:rsid w:val="09D16311"/>
    <w:rsid w:val="09D99E18"/>
    <w:rsid w:val="0A367CA7"/>
    <w:rsid w:val="0A4345FA"/>
    <w:rsid w:val="0A605359"/>
    <w:rsid w:val="0A7098E8"/>
    <w:rsid w:val="0A7FC983"/>
    <w:rsid w:val="0A99A4A7"/>
    <w:rsid w:val="0AA92784"/>
    <w:rsid w:val="0AB460E7"/>
    <w:rsid w:val="0AFF4B2E"/>
    <w:rsid w:val="0B21DE77"/>
    <w:rsid w:val="0B540B15"/>
    <w:rsid w:val="0B5C5D42"/>
    <w:rsid w:val="0B63E32A"/>
    <w:rsid w:val="0B8B1670"/>
    <w:rsid w:val="0B9A0FBD"/>
    <w:rsid w:val="0BB7E7E7"/>
    <w:rsid w:val="0BBAEBCD"/>
    <w:rsid w:val="0BE8978C"/>
    <w:rsid w:val="0C56579C"/>
    <w:rsid w:val="0C7DBBA3"/>
    <w:rsid w:val="0CCA3307"/>
    <w:rsid w:val="0CCF03FC"/>
    <w:rsid w:val="0D029957"/>
    <w:rsid w:val="0D06A8D7"/>
    <w:rsid w:val="0D38B42C"/>
    <w:rsid w:val="0D3A4DF5"/>
    <w:rsid w:val="0DAE2DD0"/>
    <w:rsid w:val="0DDB6C5B"/>
    <w:rsid w:val="0DF7D418"/>
    <w:rsid w:val="0DFCC2DC"/>
    <w:rsid w:val="0E0026DE"/>
    <w:rsid w:val="0E4D3A24"/>
    <w:rsid w:val="0EB6B11B"/>
    <w:rsid w:val="0EBA0B1A"/>
    <w:rsid w:val="0ECA9686"/>
    <w:rsid w:val="0ECD0823"/>
    <w:rsid w:val="0EDB84A9"/>
    <w:rsid w:val="0EE6236E"/>
    <w:rsid w:val="0EFE6579"/>
    <w:rsid w:val="0F0652FF"/>
    <w:rsid w:val="0F0B6536"/>
    <w:rsid w:val="0F0F67FF"/>
    <w:rsid w:val="0F2AC766"/>
    <w:rsid w:val="0F381D3B"/>
    <w:rsid w:val="0F93034B"/>
    <w:rsid w:val="0FA51231"/>
    <w:rsid w:val="10129B58"/>
    <w:rsid w:val="1032EA00"/>
    <w:rsid w:val="1044790A"/>
    <w:rsid w:val="105550E0"/>
    <w:rsid w:val="10785CE9"/>
    <w:rsid w:val="108FF773"/>
    <w:rsid w:val="10E12507"/>
    <w:rsid w:val="10E261F3"/>
    <w:rsid w:val="10F14AD6"/>
    <w:rsid w:val="1126A8D6"/>
    <w:rsid w:val="114A30CE"/>
    <w:rsid w:val="1170D9BA"/>
    <w:rsid w:val="11BA5ABA"/>
    <w:rsid w:val="11C4D6C3"/>
    <w:rsid w:val="11D32467"/>
    <w:rsid w:val="11F12141"/>
    <w:rsid w:val="1236063B"/>
    <w:rsid w:val="12369D6A"/>
    <w:rsid w:val="123C8330"/>
    <w:rsid w:val="1262BBBC"/>
    <w:rsid w:val="12787191"/>
    <w:rsid w:val="128374BD"/>
    <w:rsid w:val="12A97316"/>
    <w:rsid w:val="12BF72CC"/>
    <w:rsid w:val="13019784"/>
    <w:rsid w:val="130C557A"/>
    <w:rsid w:val="13183D97"/>
    <w:rsid w:val="131CA70C"/>
    <w:rsid w:val="131D69DF"/>
    <w:rsid w:val="1325A1FF"/>
    <w:rsid w:val="1325AD3E"/>
    <w:rsid w:val="1327D50D"/>
    <w:rsid w:val="135F1CFA"/>
    <w:rsid w:val="13966745"/>
    <w:rsid w:val="13A73056"/>
    <w:rsid w:val="13BA7992"/>
    <w:rsid w:val="13C06279"/>
    <w:rsid w:val="13C45A1A"/>
    <w:rsid w:val="13C729A9"/>
    <w:rsid w:val="13D518B1"/>
    <w:rsid w:val="141D75E0"/>
    <w:rsid w:val="14302D19"/>
    <w:rsid w:val="14420088"/>
    <w:rsid w:val="145B63F0"/>
    <w:rsid w:val="145B8711"/>
    <w:rsid w:val="1467159C"/>
    <w:rsid w:val="147C0D3C"/>
    <w:rsid w:val="14FAAFF2"/>
    <w:rsid w:val="1515999F"/>
    <w:rsid w:val="151B66AE"/>
    <w:rsid w:val="1553605B"/>
    <w:rsid w:val="15693534"/>
    <w:rsid w:val="156DA6FD"/>
    <w:rsid w:val="1582B02A"/>
    <w:rsid w:val="159A08EA"/>
    <w:rsid w:val="15A1F670"/>
    <w:rsid w:val="15C39237"/>
    <w:rsid w:val="16118441"/>
    <w:rsid w:val="167EEC88"/>
    <w:rsid w:val="167FB3E6"/>
    <w:rsid w:val="16B3A3C4"/>
    <w:rsid w:val="16B6CF49"/>
    <w:rsid w:val="16D1F208"/>
    <w:rsid w:val="16EC211C"/>
    <w:rsid w:val="16F83C87"/>
    <w:rsid w:val="171767E6"/>
    <w:rsid w:val="1754CC59"/>
    <w:rsid w:val="177C79E3"/>
    <w:rsid w:val="17EA406F"/>
    <w:rsid w:val="17F80F52"/>
    <w:rsid w:val="180A3CB8"/>
    <w:rsid w:val="18693E92"/>
    <w:rsid w:val="1899D1A7"/>
    <w:rsid w:val="18BE701C"/>
    <w:rsid w:val="18C58A7E"/>
    <w:rsid w:val="18C6E56F"/>
    <w:rsid w:val="18D2534E"/>
    <w:rsid w:val="18E75564"/>
    <w:rsid w:val="18EFF820"/>
    <w:rsid w:val="19182726"/>
    <w:rsid w:val="1922C515"/>
    <w:rsid w:val="192EF834"/>
    <w:rsid w:val="1955ADD5"/>
    <w:rsid w:val="1960DCD1"/>
    <w:rsid w:val="19B2A859"/>
    <w:rsid w:val="19B4C6E2"/>
    <w:rsid w:val="19C0E173"/>
    <w:rsid w:val="1A210FF6"/>
    <w:rsid w:val="1A2FA3FD"/>
    <w:rsid w:val="1A708332"/>
    <w:rsid w:val="1A8A46B3"/>
    <w:rsid w:val="1AA3A39C"/>
    <w:rsid w:val="1ACD53A6"/>
    <w:rsid w:val="1AEF8AF7"/>
    <w:rsid w:val="1AF720C6"/>
    <w:rsid w:val="1B265C48"/>
    <w:rsid w:val="1B2B1329"/>
    <w:rsid w:val="1B33D5B2"/>
    <w:rsid w:val="1B3C02D2"/>
    <w:rsid w:val="1B3C1C50"/>
    <w:rsid w:val="1B495343"/>
    <w:rsid w:val="1B50C14A"/>
    <w:rsid w:val="1B88F45D"/>
    <w:rsid w:val="1B9C7A34"/>
    <w:rsid w:val="1BE5AACF"/>
    <w:rsid w:val="1BFFFABF"/>
    <w:rsid w:val="1C1B947D"/>
    <w:rsid w:val="1C2A1EEC"/>
    <w:rsid w:val="1C3CDC5A"/>
    <w:rsid w:val="1C57F727"/>
    <w:rsid w:val="1C6FE6B2"/>
    <w:rsid w:val="1C857C54"/>
    <w:rsid w:val="1CAD72DA"/>
    <w:rsid w:val="1CC24278"/>
    <w:rsid w:val="1CD74593"/>
    <w:rsid w:val="1D0D7C8C"/>
    <w:rsid w:val="1D21AA3E"/>
    <w:rsid w:val="1D407C50"/>
    <w:rsid w:val="1D5AA807"/>
    <w:rsid w:val="1D60EC14"/>
    <w:rsid w:val="1D6EE844"/>
    <w:rsid w:val="1D82E29C"/>
    <w:rsid w:val="1D9D9C20"/>
    <w:rsid w:val="1DAF44FA"/>
    <w:rsid w:val="1DB10936"/>
    <w:rsid w:val="1DE148C6"/>
    <w:rsid w:val="1DE73B42"/>
    <w:rsid w:val="1E962F08"/>
    <w:rsid w:val="1E993156"/>
    <w:rsid w:val="1EA35388"/>
    <w:rsid w:val="1ECDC154"/>
    <w:rsid w:val="1EDB0BAF"/>
    <w:rsid w:val="1F0DCB8F"/>
    <w:rsid w:val="1F7C6A37"/>
    <w:rsid w:val="1FA2568A"/>
    <w:rsid w:val="1FE0DFB3"/>
    <w:rsid w:val="1FE61E89"/>
    <w:rsid w:val="1FE6392A"/>
    <w:rsid w:val="2037CED6"/>
    <w:rsid w:val="203FD4E4"/>
    <w:rsid w:val="204DD680"/>
    <w:rsid w:val="2054022C"/>
    <w:rsid w:val="2090B5D1"/>
    <w:rsid w:val="209F1ECD"/>
    <w:rsid w:val="20EA06AD"/>
    <w:rsid w:val="211C6043"/>
    <w:rsid w:val="2146C08C"/>
    <w:rsid w:val="2152C659"/>
    <w:rsid w:val="217C8B3E"/>
    <w:rsid w:val="2184E63B"/>
    <w:rsid w:val="21A2FF9C"/>
    <w:rsid w:val="21D13550"/>
    <w:rsid w:val="21DAFFA1"/>
    <w:rsid w:val="21EA878E"/>
    <w:rsid w:val="21FB5559"/>
    <w:rsid w:val="222C8632"/>
    <w:rsid w:val="227B2225"/>
    <w:rsid w:val="228FF204"/>
    <w:rsid w:val="22AC57BA"/>
    <w:rsid w:val="22E71B61"/>
    <w:rsid w:val="22EF01C5"/>
    <w:rsid w:val="22F56745"/>
    <w:rsid w:val="230D0E58"/>
    <w:rsid w:val="232CF316"/>
    <w:rsid w:val="23331B63"/>
    <w:rsid w:val="235C95A3"/>
    <w:rsid w:val="2373531E"/>
    <w:rsid w:val="23982D27"/>
    <w:rsid w:val="23C0F649"/>
    <w:rsid w:val="23C6D25F"/>
    <w:rsid w:val="23C99F84"/>
    <w:rsid w:val="24077AA2"/>
    <w:rsid w:val="248BD466"/>
    <w:rsid w:val="24A8F38A"/>
    <w:rsid w:val="24E87459"/>
    <w:rsid w:val="25130012"/>
    <w:rsid w:val="252F3313"/>
    <w:rsid w:val="2538607E"/>
    <w:rsid w:val="254C4571"/>
    <w:rsid w:val="255D7C31"/>
    <w:rsid w:val="2596FF2B"/>
    <w:rsid w:val="25A0307D"/>
    <w:rsid w:val="261C3801"/>
    <w:rsid w:val="2657B3AA"/>
    <w:rsid w:val="2676FDC2"/>
    <w:rsid w:val="26939EFA"/>
    <w:rsid w:val="26BBE94A"/>
    <w:rsid w:val="26CD698E"/>
    <w:rsid w:val="26E5D974"/>
    <w:rsid w:val="26E6CEF8"/>
    <w:rsid w:val="2707B7E6"/>
    <w:rsid w:val="27164DD7"/>
    <w:rsid w:val="272B6140"/>
    <w:rsid w:val="2753EA9B"/>
    <w:rsid w:val="275A2160"/>
    <w:rsid w:val="275F08EC"/>
    <w:rsid w:val="277FC8DD"/>
    <w:rsid w:val="278F30B4"/>
    <w:rsid w:val="27A39F51"/>
    <w:rsid w:val="27E73BDC"/>
    <w:rsid w:val="27E8C8F5"/>
    <w:rsid w:val="27F8B276"/>
    <w:rsid w:val="27FADD6F"/>
    <w:rsid w:val="2801C2BA"/>
    <w:rsid w:val="280AEC0D"/>
    <w:rsid w:val="282E61F7"/>
    <w:rsid w:val="284FD107"/>
    <w:rsid w:val="2880D94D"/>
    <w:rsid w:val="28A3B6E2"/>
    <w:rsid w:val="28AD8ECE"/>
    <w:rsid w:val="28F12E53"/>
    <w:rsid w:val="291634F3"/>
    <w:rsid w:val="2969E5EF"/>
    <w:rsid w:val="29CFBDE1"/>
    <w:rsid w:val="29F0390C"/>
    <w:rsid w:val="2A0C50AE"/>
    <w:rsid w:val="2A11E7C8"/>
    <w:rsid w:val="2A3A2829"/>
    <w:rsid w:val="2A4DB54D"/>
    <w:rsid w:val="2A79EB86"/>
    <w:rsid w:val="2A95B288"/>
    <w:rsid w:val="2A9A6D53"/>
    <w:rsid w:val="2AB02F5B"/>
    <w:rsid w:val="2AC85803"/>
    <w:rsid w:val="2AD494E0"/>
    <w:rsid w:val="2AFBBDAE"/>
    <w:rsid w:val="2B2869B0"/>
    <w:rsid w:val="2B301899"/>
    <w:rsid w:val="2B34617D"/>
    <w:rsid w:val="2B5AA7E9"/>
    <w:rsid w:val="2B733D7D"/>
    <w:rsid w:val="2BB91A77"/>
    <w:rsid w:val="2BBB86F5"/>
    <w:rsid w:val="2BCC150B"/>
    <w:rsid w:val="2BD05D51"/>
    <w:rsid w:val="2BDE0741"/>
    <w:rsid w:val="2BE68385"/>
    <w:rsid w:val="2BFED263"/>
    <w:rsid w:val="2C28C0A1"/>
    <w:rsid w:val="2C2BC7EE"/>
    <w:rsid w:val="2C6B03A5"/>
    <w:rsid w:val="2C6B3E05"/>
    <w:rsid w:val="2CA98DA7"/>
    <w:rsid w:val="2CFBA59A"/>
    <w:rsid w:val="2D05E56D"/>
    <w:rsid w:val="2D4573F4"/>
    <w:rsid w:val="2D4E2B73"/>
    <w:rsid w:val="2D5D7F56"/>
    <w:rsid w:val="2D715EEE"/>
    <w:rsid w:val="2D772805"/>
    <w:rsid w:val="2D818218"/>
    <w:rsid w:val="2D95B16D"/>
    <w:rsid w:val="2D9A7C44"/>
    <w:rsid w:val="2DAB4262"/>
    <w:rsid w:val="2DC49102"/>
    <w:rsid w:val="2DCC2935"/>
    <w:rsid w:val="2E044564"/>
    <w:rsid w:val="2E3582D9"/>
    <w:rsid w:val="2EF77DE7"/>
    <w:rsid w:val="2EFD3E74"/>
    <w:rsid w:val="2F19ACE2"/>
    <w:rsid w:val="2F329A93"/>
    <w:rsid w:val="2F606163"/>
    <w:rsid w:val="2F67F996"/>
    <w:rsid w:val="2F6CD127"/>
    <w:rsid w:val="2F785EED"/>
    <w:rsid w:val="2FED3906"/>
    <w:rsid w:val="2FF9EB9D"/>
    <w:rsid w:val="3014E963"/>
    <w:rsid w:val="3037B7B5"/>
    <w:rsid w:val="3056E062"/>
    <w:rsid w:val="3068D5A1"/>
    <w:rsid w:val="30B5841D"/>
    <w:rsid w:val="30BCF289"/>
    <w:rsid w:val="30BD301D"/>
    <w:rsid w:val="30F4D0F0"/>
    <w:rsid w:val="311C5108"/>
    <w:rsid w:val="3121E0AE"/>
    <w:rsid w:val="3136FB36"/>
    <w:rsid w:val="3165A8AD"/>
    <w:rsid w:val="31C110EC"/>
    <w:rsid w:val="31F06B53"/>
    <w:rsid w:val="31FBFD48"/>
    <w:rsid w:val="31FE0860"/>
    <w:rsid w:val="320303DC"/>
    <w:rsid w:val="3209C08B"/>
    <w:rsid w:val="3236037E"/>
    <w:rsid w:val="3289D0C3"/>
    <w:rsid w:val="328E6127"/>
    <w:rsid w:val="32C4CDCF"/>
    <w:rsid w:val="331C6F12"/>
    <w:rsid w:val="33B5D25A"/>
    <w:rsid w:val="33B9B83E"/>
    <w:rsid w:val="33E38E92"/>
    <w:rsid w:val="342F804D"/>
    <w:rsid w:val="343E7182"/>
    <w:rsid w:val="34685171"/>
    <w:rsid w:val="3482927A"/>
    <w:rsid w:val="349DFDD6"/>
    <w:rsid w:val="34D092EF"/>
    <w:rsid w:val="3525944D"/>
    <w:rsid w:val="352A41CC"/>
    <w:rsid w:val="355E0806"/>
    <w:rsid w:val="3566860D"/>
    <w:rsid w:val="356C531C"/>
    <w:rsid w:val="35D2751E"/>
    <w:rsid w:val="35FDCE9B"/>
    <w:rsid w:val="35FFED99"/>
    <w:rsid w:val="363D5BF9"/>
    <w:rsid w:val="365B02BF"/>
    <w:rsid w:val="3666F50C"/>
    <w:rsid w:val="36744491"/>
    <w:rsid w:val="369E4E19"/>
    <w:rsid w:val="36F2F665"/>
    <w:rsid w:val="36F5D9FF"/>
    <w:rsid w:val="370BFA92"/>
    <w:rsid w:val="3714BA07"/>
    <w:rsid w:val="371DB111"/>
    <w:rsid w:val="373DAC78"/>
    <w:rsid w:val="3773FC0E"/>
    <w:rsid w:val="3802FE48"/>
    <w:rsid w:val="3806D2EB"/>
    <w:rsid w:val="381B17EA"/>
    <w:rsid w:val="382E3245"/>
    <w:rsid w:val="384F3909"/>
    <w:rsid w:val="385A1AEC"/>
    <w:rsid w:val="3860F628"/>
    <w:rsid w:val="3864A93B"/>
    <w:rsid w:val="3866C8E3"/>
    <w:rsid w:val="38838C99"/>
    <w:rsid w:val="389ADDE3"/>
    <w:rsid w:val="38B8ED5B"/>
    <w:rsid w:val="392659D8"/>
    <w:rsid w:val="392B2BA5"/>
    <w:rsid w:val="39339312"/>
    <w:rsid w:val="394CDFA9"/>
    <w:rsid w:val="397EA49F"/>
    <w:rsid w:val="3981D0CD"/>
    <w:rsid w:val="39AF5F9E"/>
    <w:rsid w:val="39B4176F"/>
    <w:rsid w:val="39D2D38F"/>
    <w:rsid w:val="39F6F2FF"/>
    <w:rsid w:val="39F875D2"/>
    <w:rsid w:val="3A0528A9"/>
    <w:rsid w:val="3A32CD78"/>
    <w:rsid w:val="3A673E7C"/>
    <w:rsid w:val="3A9670D7"/>
    <w:rsid w:val="3AD4F987"/>
    <w:rsid w:val="3AE24AD6"/>
    <w:rsid w:val="3AFDDF49"/>
    <w:rsid w:val="3B013773"/>
    <w:rsid w:val="3B1AD182"/>
    <w:rsid w:val="3B202AF9"/>
    <w:rsid w:val="3B29596D"/>
    <w:rsid w:val="3B5E27CF"/>
    <w:rsid w:val="3B6CE8BF"/>
    <w:rsid w:val="3B707B6B"/>
    <w:rsid w:val="3B7B7C5E"/>
    <w:rsid w:val="3B8C3473"/>
    <w:rsid w:val="3B962E72"/>
    <w:rsid w:val="3BA0A798"/>
    <w:rsid w:val="3C41B6A2"/>
    <w:rsid w:val="3CD00C1C"/>
    <w:rsid w:val="3CD0F71F"/>
    <w:rsid w:val="3CDD7ED7"/>
    <w:rsid w:val="3D149644"/>
    <w:rsid w:val="3D1B8E65"/>
    <w:rsid w:val="3D22AA2C"/>
    <w:rsid w:val="3D3E3AD6"/>
    <w:rsid w:val="3D40F6D8"/>
    <w:rsid w:val="3D54250A"/>
    <w:rsid w:val="3D6F7D70"/>
    <w:rsid w:val="3D80F731"/>
    <w:rsid w:val="3DB433DE"/>
    <w:rsid w:val="3DE2A252"/>
    <w:rsid w:val="3E00A1D2"/>
    <w:rsid w:val="3E02A05B"/>
    <w:rsid w:val="3E0E6474"/>
    <w:rsid w:val="3E14CEF0"/>
    <w:rsid w:val="3E179F43"/>
    <w:rsid w:val="3E1F4099"/>
    <w:rsid w:val="3E24621D"/>
    <w:rsid w:val="3E29A8C4"/>
    <w:rsid w:val="3E394616"/>
    <w:rsid w:val="3E473FEE"/>
    <w:rsid w:val="3E6E6035"/>
    <w:rsid w:val="3E753556"/>
    <w:rsid w:val="3E7947D7"/>
    <w:rsid w:val="3E8B6124"/>
    <w:rsid w:val="3ED48FA5"/>
    <w:rsid w:val="3EFFED11"/>
    <w:rsid w:val="3F2390C0"/>
    <w:rsid w:val="3F5A7D62"/>
    <w:rsid w:val="3F7752AF"/>
    <w:rsid w:val="3F8863CB"/>
    <w:rsid w:val="3FB6398F"/>
    <w:rsid w:val="3FBD1F63"/>
    <w:rsid w:val="3FFA0DDB"/>
    <w:rsid w:val="4001F539"/>
    <w:rsid w:val="4056FFE5"/>
    <w:rsid w:val="40C60DA9"/>
    <w:rsid w:val="413B904D"/>
    <w:rsid w:val="413FFC7D"/>
    <w:rsid w:val="41437DD3"/>
    <w:rsid w:val="41B19B15"/>
    <w:rsid w:val="41B7C233"/>
    <w:rsid w:val="41BF6ADA"/>
    <w:rsid w:val="41C301E6"/>
    <w:rsid w:val="41EEB011"/>
    <w:rsid w:val="4218E606"/>
    <w:rsid w:val="42295069"/>
    <w:rsid w:val="425923FB"/>
    <w:rsid w:val="4261FA6C"/>
    <w:rsid w:val="428C59C7"/>
    <w:rsid w:val="428EAB94"/>
    <w:rsid w:val="42B2EC47"/>
    <w:rsid w:val="42C33A53"/>
    <w:rsid w:val="42CF17B6"/>
    <w:rsid w:val="431AEC5C"/>
    <w:rsid w:val="4355ADAC"/>
    <w:rsid w:val="435A74F1"/>
    <w:rsid w:val="436D516E"/>
    <w:rsid w:val="43986F3B"/>
    <w:rsid w:val="440133E3"/>
    <w:rsid w:val="440ECD3B"/>
    <w:rsid w:val="44379D83"/>
    <w:rsid w:val="445756D6"/>
    <w:rsid w:val="446F6CA7"/>
    <w:rsid w:val="44763A34"/>
    <w:rsid w:val="45008384"/>
    <w:rsid w:val="453D549C"/>
    <w:rsid w:val="455CC3BD"/>
    <w:rsid w:val="4574DCF1"/>
    <w:rsid w:val="45CF708B"/>
    <w:rsid w:val="4606B878"/>
    <w:rsid w:val="460BEB8A"/>
    <w:rsid w:val="4646AEFF"/>
    <w:rsid w:val="46594387"/>
    <w:rsid w:val="4664F337"/>
    <w:rsid w:val="46935D4A"/>
    <w:rsid w:val="46981406"/>
    <w:rsid w:val="46DE4462"/>
    <w:rsid w:val="474A088E"/>
    <w:rsid w:val="47898498"/>
    <w:rsid w:val="47BD4F65"/>
    <w:rsid w:val="47D061B7"/>
    <w:rsid w:val="47FCDCE1"/>
    <w:rsid w:val="480D336E"/>
    <w:rsid w:val="48163F7C"/>
    <w:rsid w:val="481D8740"/>
    <w:rsid w:val="486C6B37"/>
    <w:rsid w:val="48751F1C"/>
    <w:rsid w:val="487F3149"/>
    <w:rsid w:val="4895560F"/>
    <w:rsid w:val="48984FF2"/>
    <w:rsid w:val="48AB291B"/>
    <w:rsid w:val="490F4D55"/>
    <w:rsid w:val="492554F9"/>
    <w:rsid w:val="4940E21D"/>
    <w:rsid w:val="49669661"/>
    <w:rsid w:val="497D9FC0"/>
    <w:rsid w:val="498C1195"/>
    <w:rsid w:val="49AD267D"/>
    <w:rsid w:val="49F89122"/>
    <w:rsid w:val="49FF9A3C"/>
    <w:rsid w:val="4A30BE10"/>
    <w:rsid w:val="4A31A8B8"/>
    <w:rsid w:val="4A3AB8B9"/>
    <w:rsid w:val="4AAC8A09"/>
    <w:rsid w:val="4AB3E049"/>
    <w:rsid w:val="4AF5A445"/>
    <w:rsid w:val="4B568C64"/>
    <w:rsid w:val="4B64C57E"/>
    <w:rsid w:val="4B67FD5D"/>
    <w:rsid w:val="4BC1369A"/>
    <w:rsid w:val="4BC49DCF"/>
    <w:rsid w:val="4BC85227"/>
    <w:rsid w:val="4BD4997B"/>
    <w:rsid w:val="4BD6DFF7"/>
    <w:rsid w:val="4BF2BBE6"/>
    <w:rsid w:val="4BFBC136"/>
    <w:rsid w:val="4C4DADB2"/>
    <w:rsid w:val="4C8E4B8F"/>
    <w:rsid w:val="4CB5871E"/>
    <w:rsid w:val="4CCDB952"/>
    <w:rsid w:val="4CD778C7"/>
    <w:rsid w:val="4CE8B39E"/>
    <w:rsid w:val="4CEF0D8D"/>
    <w:rsid w:val="4CFD0286"/>
    <w:rsid w:val="4D08BE0E"/>
    <w:rsid w:val="4D2F3E24"/>
    <w:rsid w:val="4D7268D0"/>
    <w:rsid w:val="4D9C0CAE"/>
    <w:rsid w:val="4DA85DC9"/>
    <w:rsid w:val="4DB7935B"/>
    <w:rsid w:val="4DC1D3FB"/>
    <w:rsid w:val="4DDA9DDC"/>
    <w:rsid w:val="4DE510BF"/>
    <w:rsid w:val="4DF192AD"/>
    <w:rsid w:val="4DF5E074"/>
    <w:rsid w:val="4E237A11"/>
    <w:rsid w:val="4E24A06A"/>
    <w:rsid w:val="4E33DB64"/>
    <w:rsid w:val="4E3BD735"/>
    <w:rsid w:val="4E3C2974"/>
    <w:rsid w:val="4E425DFE"/>
    <w:rsid w:val="4E7DC64B"/>
    <w:rsid w:val="4E9BE1D7"/>
    <w:rsid w:val="4EB8159D"/>
    <w:rsid w:val="4EE3CBFA"/>
    <w:rsid w:val="4EF480CC"/>
    <w:rsid w:val="4F082263"/>
    <w:rsid w:val="4F2F2734"/>
    <w:rsid w:val="4F50B599"/>
    <w:rsid w:val="4F623D6C"/>
    <w:rsid w:val="4F66E4DD"/>
    <w:rsid w:val="4F7CE633"/>
    <w:rsid w:val="4F810D76"/>
    <w:rsid w:val="4F894978"/>
    <w:rsid w:val="4FA08334"/>
    <w:rsid w:val="4FA4A8DF"/>
    <w:rsid w:val="4FA63C76"/>
    <w:rsid w:val="4FAA6B56"/>
    <w:rsid w:val="4FB1FEB4"/>
    <w:rsid w:val="50182E89"/>
    <w:rsid w:val="501BE297"/>
    <w:rsid w:val="5024F7FE"/>
    <w:rsid w:val="5032A805"/>
    <w:rsid w:val="5055B363"/>
    <w:rsid w:val="50581CF6"/>
    <w:rsid w:val="50780998"/>
    <w:rsid w:val="5089F585"/>
    <w:rsid w:val="50DBE972"/>
    <w:rsid w:val="50E0871F"/>
    <w:rsid w:val="50E525B0"/>
    <w:rsid w:val="50FA89DD"/>
    <w:rsid w:val="511DBDD6"/>
    <w:rsid w:val="51311842"/>
    <w:rsid w:val="5156F2E3"/>
    <w:rsid w:val="519A4981"/>
    <w:rsid w:val="51A4E943"/>
    <w:rsid w:val="51C821C3"/>
    <w:rsid w:val="51D642C2"/>
    <w:rsid w:val="51D83FE8"/>
    <w:rsid w:val="51DCB426"/>
    <w:rsid w:val="51E0AC5A"/>
    <w:rsid w:val="51F9B8AD"/>
    <w:rsid w:val="51FF5EB5"/>
    <w:rsid w:val="52107474"/>
    <w:rsid w:val="521DA151"/>
    <w:rsid w:val="522A6AC2"/>
    <w:rsid w:val="52424061"/>
    <w:rsid w:val="526B02BA"/>
    <w:rsid w:val="526D64D0"/>
    <w:rsid w:val="5277E1D9"/>
    <w:rsid w:val="52B01D94"/>
    <w:rsid w:val="52B6162F"/>
    <w:rsid w:val="52E390E5"/>
    <w:rsid w:val="52EB2250"/>
    <w:rsid w:val="52F368EE"/>
    <w:rsid w:val="533A9EE0"/>
    <w:rsid w:val="535179AC"/>
    <w:rsid w:val="535F4324"/>
    <w:rsid w:val="53AC034F"/>
    <w:rsid w:val="53AC44D5"/>
    <w:rsid w:val="53DC4130"/>
    <w:rsid w:val="53E57E85"/>
    <w:rsid w:val="54174A4C"/>
    <w:rsid w:val="542D1FDB"/>
    <w:rsid w:val="543D4F19"/>
    <w:rsid w:val="5446C74C"/>
    <w:rsid w:val="54811718"/>
    <w:rsid w:val="549070A8"/>
    <w:rsid w:val="54C2F0DB"/>
    <w:rsid w:val="54C6C8E3"/>
    <w:rsid w:val="553B6670"/>
    <w:rsid w:val="5547EAB5"/>
    <w:rsid w:val="5559256A"/>
    <w:rsid w:val="5567B74A"/>
    <w:rsid w:val="556D5093"/>
    <w:rsid w:val="55845D0A"/>
    <w:rsid w:val="558D6A51"/>
    <w:rsid w:val="5591CBA6"/>
    <w:rsid w:val="55A19ADB"/>
    <w:rsid w:val="55F2A128"/>
    <w:rsid w:val="560505F6"/>
    <w:rsid w:val="561F9793"/>
    <w:rsid w:val="568FC137"/>
    <w:rsid w:val="56B78FDF"/>
    <w:rsid w:val="57275E4B"/>
    <w:rsid w:val="5730532A"/>
    <w:rsid w:val="5738A38D"/>
    <w:rsid w:val="5771E4B4"/>
    <w:rsid w:val="57A059C6"/>
    <w:rsid w:val="57A46EA1"/>
    <w:rsid w:val="57A7AAC1"/>
    <w:rsid w:val="57D9C18B"/>
    <w:rsid w:val="5857D078"/>
    <w:rsid w:val="5894470A"/>
    <w:rsid w:val="5899AC46"/>
    <w:rsid w:val="58B39E35"/>
    <w:rsid w:val="59095FF2"/>
    <w:rsid w:val="594E63BE"/>
    <w:rsid w:val="5979E6EE"/>
    <w:rsid w:val="598F5324"/>
    <w:rsid w:val="59A2B6AC"/>
    <w:rsid w:val="5A3A3B22"/>
    <w:rsid w:val="5A5DA1D4"/>
    <w:rsid w:val="5A864CF5"/>
    <w:rsid w:val="5A8F571C"/>
    <w:rsid w:val="5A940259"/>
    <w:rsid w:val="5A97CA1F"/>
    <w:rsid w:val="5ADD36F6"/>
    <w:rsid w:val="5AE192D6"/>
    <w:rsid w:val="5B06AF1E"/>
    <w:rsid w:val="5B0BA61B"/>
    <w:rsid w:val="5B31A9B1"/>
    <w:rsid w:val="5B6B5FAF"/>
    <w:rsid w:val="5B705E68"/>
    <w:rsid w:val="5B7949BC"/>
    <w:rsid w:val="5B88720D"/>
    <w:rsid w:val="5B8EAA3E"/>
    <w:rsid w:val="5B93A00E"/>
    <w:rsid w:val="5BA25D3D"/>
    <w:rsid w:val="5BA43C52"/>
    <w:rsid w:val="5BD6F8CE"/>
    <w:rsid w:val="5C2EFB94"/>
    <w:rsid w:val="5C2F38A1"/>
    <w:rsid w:val="5C55EE67"/>
    <w:rsid w:val="5C61DEAE"/>
    <w:rsid w:val="5C692530"/>
    <w:rsid w:val="5C87E5BF"/>
    <w:rsid w:val="5CCC650E"/>
    <w:rsid w:val="5CE0574E"/>
    <w:rsid w:val="5CEC37AE"/>
    <w:rsid w:val="5CF9DF3A"/>
    <w:rsid w:val="5D316490"/>
    <w:rsid w:val="5D6F768D"/>
    <w:rsid w:val="5DAAF1F1"/>
    <w:rsid w:val="5DC0D101"/>
    <w:rsid w:val="5DC69702"/>
    <w:rsid w:val="5DF6F496"/>
    <w:rsid w:val="5E0DC17B"/>
    <w:rsid w:val="5E26E9CE"/>
    <w:rsid w:val="5E50F9FA"/>
    <w:rsid w:val="5E75F16B"/>
    <w:rsid w:val="5E7E71E9"/>
    <w:rsid w:val="5EB61659"/>
    <w:rsid w:val="5ECEF73C"/>
    <w:rsid w:val="5F42F666"/>
    <w:rsid w:val="5F5951B3"/>
    <w:rsid w:val="5F60FD00"/>
    <w:rsid w:val="5FE2F243"/>
    <w:rsid w:val="5FF16E64"/>
    <w:rsid w:val="601AD57F"/>
    <w:rsid w:val="6030D771"/>
    <w:rsid w:val="60BA2354"/>
    <w:rsid w:val="60DD6F6A"/>
    <w:rsid w:val="60FCB5D3"/>
    <w:rsid w:val="611BA62C"/>
    <w:rsid w:val="6166635F"/>
    <w:rsid w:val="61AA514A"/>
    <w:rsid w:val="61E10529"/>
    <w:rsid w:val="6202E192"/>
    <w:rsid w:val="62171EFF"/>
    <w:rsid w:val="6229273B"/>
    <w:rsid w:val="623852A9"/>
    <w:rsid w:val="6247B143"/>
    <w:rsid w:val="626B6C92"/>
    <w:rsid w:val="626E84B5"/>
    <w:rsid w:val="627466C4"/>
    <w:rsid w:val="62C57CDB"/>
    <w:rsid w:val="62E9B0FE"/>
    <w:rsid w:val="6301ADA6"/>
    <w:rsid w:val="6316F69A"/>
    <w:rsid w:val="631A5B31"/>
    <w:rsid w:val="63403B9C"/>
    <w:rsid w:val="63516A7B"/>
    <w:rsid w:val="63655AE1"/>
    <w:rsid w:val="639383F2"/>
    <w:rsid w:val="63A24926"/>
    <w:rsid w:val="63AA4C97"/>
    <w:rsid w:val="63BBCACC"/>
    <w:rsid w:val="63CDCED5"/>
    <w:rsid w:val="63E476BA"/>
    <w:rsid w:val="63EFB20E"/>
    <w:rsid w:val="641391B7"/>
    <w:rsid w:val="642B9F65"/>
    <w:rsid w:val="646320FA"/>
    <w:rsid w:val="6469C965"/>
    <w:rsid w:val="647EB1DD"/>
    <w:rsid w:val="648DC3EC"/>
    <w:rsid w:val="64A5A3DE"/>
    <w:rsid w:val="64D9BE4F"/>
    <w:rsid w:val="64E87F6E"/>
    <w:rsid w:val="64F05026"/>
    <w:rsid w:val="64F26344"/>
    <w:rsid w:val="65035704"/>
    <w:rsid w:val="6524BA52"/>
    <w:rsid w:val="65453CF9"/>
    <w:rsid w:val="654E8C77"/>
    <w:rsid w:val="65801CD4"/>
    <w:rsid w:val="6581FE61"/>
    <w:rsid w:val="658771E7"/>
    <w:rsid w:val="65FDAC40"/>
    <w:rsid w:val="6601AD9C"/>
    <w:rsid w:val="660ED076"/>
    <w:rsid w:val="661F85D2"/>
    <w:rsid w:val="666394F6"/>
    <w:rsid w:val="6670AEC5"/>
    <w:rsid w:val="669C3311"/>
    <w:rsid w:val="66B069BB"/>
    <w:rsid w:val="66B760A2"/>
    <w:rsid w:val="6704A8C3"/>
    <w:rsid w:val="675A0A3D"/>
    <w:rsid w:val="67903C36"/>
    <w:rsid w:val="679457CB"/>
    <w:rsid w:val="67AF3766"/>
    <w:rsid w:val="67BC6C09"/>
    <w:rsid w:val="682B66BA"/>
    <w:rsid w:val="682C62D9"/>
    <w:rsid w:val="6836F455"/>
    <w:rsid w:val="68683E4D"/>
    <w:rsid w:val="68895335"/>
    <w:rsid w:val="68A163EE"/>
    <w:rsid w:val="68B9F515"/>
    <w:rsid w:val="6915E4BE"/>
    <w:rsid w:val="693054D4"/>
    <w:rsid w:val="6948DA26"/>
    <w:rsid w:val="69546331"/>
    <w:rsid w:val="6969B6BD"/>
    <w:rsid w:val="69742C83"/>
    <w:rsid w:val="69A576EE"/>
    <w:rsid w:val="69BBF091"/>
    <w:rsid w:val="69D471C3"/>
    <w:rsid w:val="69DF56EB"/>
    <w:rsid w:val="6A04B56D"/>
    <w:rsid w:val="6A2D81B1"/>
    <w:rsid w:val="6A5733E9"/>
    <w:rsid w:val="6A5DFFA8"/>
    <w:rsid w:val="6A6F9A7B"/>
    <w:rsid w:val="6A8A5FBE"/>
    <w:rsid w:val="6B2E3F95"/>
    <w:rsid w:val="6B5229AE"/>
    <w:rsid w:val="6B7C682A"/>
    <w:rsid w:val="6B8A7DE2"/>
    <w:rsid w:val="6BCC4B94"/>
    <w:rsid w:val="6C0EE59E"/>
    <w:rsid w:val="6C10232E"/>
    <w:rsid w:val="6C5563F2"/>
    <w:rsid w:val="6C5687EE"/>
    <w:rsid w:val="6C6DE368"/>
    <w:rsid w:val="6CD45F75"/>
    <w:rsid w:val="6CEA85BD"/>
    <w:rsid w:val="6D0F8C83"/>
    <w:rsid w:val="6D302248"/>
    <w:rsid w:val="6D47885A"/>
    <w:rsid w:val="6D811C19"/>
    <w:rsid w:val="6D8D12A4"/>
    <w:rsid w:val="6D93BEA5"/>
    <w:rsid w:val="6DC470A3"/>
    <w:rsid w:val="6DDCE19C"/>
    <w:rsid w:val="6DF4E085"/>
    <w:rsid w:val="6DFF894B"/>
    <w:rsid w:val="6E6BB222"/>
    <w:rsid w:val="6E8431D5"/>
    <w:rsid w:val="6E91933E"/>
    <w:rsid w:val="6EAADC5E"/>
    <w:rsid w:val="6EFCB004"/>
    <w:rsid w:val="6F0F22F2"/>
    <w:rsid w:val="6F26344B"/>
    <w:rsid w:val="6F264805"/>
    <w:rsid w:val="6F2BBB9E"/>
    <w:rsid w:val="6F34EBCE"/>
    <w:rsid w:val="6F3778CE"/>
    <w:rsid w:val="6F468660"/>
    <w:rsid w:val="6FE600D4"/>
    <w:rsid w:val="702892AF"/>
    <w:rsid w:val="70434EA3"/>
    <w:rsid w:val="7086DD56"/>
    <w:rsid w:val="70D1BFB9"/>
    <w:rsid w:val="710792B7"/>
    <w:rsid w:val="7128AA40"/>
    <w:rsid w:val="714197D0"/>
    <w:rsid w:val="715B85FD"/>
    <w:rsid w:val="716A0365"/>
    <w:rsid w:val="71A4E92D"/>
    <w:rsid w:val="71BB908A"/>
    <w:rsid w:val="71C46310"/>
    <w:rsid w:val="71E27D20"/>
    <w:rsid w:val="7237E4E0"/>
    <w:rsid w:val="727CF147"/>
    <w:rsid w:val="72CE528D"/>
    <w:rsid w:val="72D96129"/>
    <w:rsid w:val="72E6B319"/>
    <w:rsid w:val="72EB3478"/>
    <w:rsid w:val="7303A1FD"/>
    <w:rsid w:val="73048830"/>
    <w:rsid w:val="7307FEBC"/>
    <w:rsid w:val="731EA758"/>
    <w:rsid w:val="73603371"/>
    <w:rsid w:val="73675969"/>
    <w:rsid w:val="73BB2419"/>
    <w:rsid w:val="73E34613"/>
    <w:rsid w:val="73F93534"/>
    <w:rsid w:val="7407BB4F"/>
    <w:rsid w:val="740804DA"/>
    <w:rsid w:val="745395DA"/>
    <w:rsid w:val="74725EF0"/>
    <w:rsid w:val="747DFEE8"/>
    <w:rsid w:val="747FED2F"/>
    <w:rsid w:val="7489CE97"/>
    <w:rsid w:val="74A750B6"/>
    <w:rsid w:val="74AB8815"/>
    <w:rsid w:val="74BA1073"/>
    <w:rsid w:val="750DB97B"/>
    <w:rsid w:val="754BB983"/>
    <w:rsid w:val="7566376B"/>
    <w:rsid w:val="75691435"/>
    <w:rsid w:val="756BC29C"/>
    <w:rsid w:val="75715DBC"/>
    <w:rsid w:val="7581D4C5"/>
    <w:rsid w:val="75B13EF5"/>
    <w:rsid w:val="75D2BF83"/>
    <w:rsid w:val="75D3B094"/>
    <w:rsid w:val="7624BF64"/>
    <w:rsid w:val="762D1335"/>
    <w:rsid w:val="7664D056"/>
    <w:rsid w:val="76807DC2"/>
    <w:rsid w:val="7689FF6B"/>
    <w:rsid w:val="76FF9188"/>
    <w:rsid w:val="771ACC8D"/>
    <w:rsid w:val="7727FBDD"/>
    <w:rsid w:val="772B3D52"/>
    <w:rsid w:val="7750193A"/>
    <w:rsid w:val="77579DA5"/>
    <w:rsid w:val="777B2CFA"/>
    <w:rsid w:val="77997D16"/>
    <w:rsid w:val="779E6594"/>
    <w:rsid w:val="77D7F7DA"/>
    <w:rsid w:val="77F1D9EB"/>
    <w:rsid w:val="7800A0B7"/>
    <w:rsid w:val="781D1B9D"/>
    <w:rsid w:val="7851BEA4"/>
    <w:rsid w:val="78804F3D"/>
    <w:rsid w:val="7882152A"/>
    <w:rsid w:val="7885C938"/>
    <w:rsid w:val="78BD142A"/>
    <w:rsid w:val="78C486FB"/>
    <w:rsid w:val="78D14693"/>
    <w:rsid w:val="7904D9D6"/>
    <w:rsid w:val="791534AE"/>
    <w:rsid w:val="796B1F44"/>
    <w:rsid w:val="7996E26D"/>
    <w:rsid w:val="799BF2D4"/>
    <w:rsid w:val="79A85C58"/>
    <w:rsid w:val="79AA7A29"/>
    <w:rsid w:val="79B8A65B"/>
    <w:rsid w:val="79C7042A"/>
    <w:rsid w:val="79F5B813"/>
    <w:rsid w:val="7A179312"/>
    <w:rsid w:val="7A2AF8B3"/>
    <w:rsid w:val="7A39216E"/>
    <w:rsid w:val="7A3F33BF"/>
    <w:rsid w:val="7A4211EE"/>
    <w:rsid w:val="7A4B81F5"/>
    <w:rsid w:val="7A753F23"/>
    <w:rsid w:val="7A91215C"/>
    <w:rsid w:val="7AC883B9"/>
    <w:rsid w:val="7AF61C47"/>
    <w:rsid w:val="7B0CDE09"/>
    <w:rsid w:val="7B0D0887"/>
    <w:rsid w:val="7B10A6B0"/>
    <w:rsid w:val="7B1EEEA3"/>
    <w:rsid w:val="7B28B82D"/>
    <w:rsid w:val="7B7979DE"/>
    <w:rsid w:val="7B9C99D8"/>
    <w:rsid w:val="7C1D3CA5"/>
    <w:rsid w:val="7C43EF57"/>
    <w:rsid w:val="7C746A8A"/>
    <w:rsid w:val="7C9B935B"/>
    <w:rsid w:val="7CD6FAE9"/>
    <w:rsid w:val="7CDAAB90"/>
    <w:rsid w:val="7D0C46F8"/>
    <w:rsid w:val="7D212A76"/>
    <w:rsid w:val="7D223CCD"/>
    <w:rsid w:val="7D47DEC1"/>
    <w:rsid w:val="7D78D33A"/>
    <w:rsid w:val="7D98617E"/>
    <w:rsid w:val="7DA2EC0F"/>
    <w:rsid w:val="7DA436AA"/>
    <w:rsid w:val="7DD237C1"/>
    <w:rsid w:val="7DD8C71F"/>
    <w:rsid w:val="7E403440"/>
    <w:rsid w:val="7E530245"/>
    <w:rsid w:val="7E60C81E"/>
    <w:rsid w:val="7EBC8511"/>
    <w:rsid w:val="7EDBE25F"/>
    <w:rsid w:val="7EDF8CDE"/>
    <w:rsid w:val="7EE841AE"/>
    <w:rsid w:val="7EF99E9A"/>
    <w:rsid w:val="7F107DF0"/>
    <w:rsid w:val="7F149418"/>
    <w:rsid w:val="7F19756D"/>
    <w:rsid w:val="7F1D76F2"/>
    <w:rsid w:val="7F1E5FC3"/>
    <w:rsid w:val="7F333D20"/>
    <w:rsid w:val="7F60EA04"/>
    <w:rsid w:val="7F6BB155"/>
    <w:rsid w:val="7F8A0BCB"/>
    <w:rsid w:val="7FC0A690"/>
    <w:rsid w:val="7FC199F0"/>
    <w:rsid w:val="7FD32AAC"/>
    <w:rsid w:val="7FDCDD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51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5B44"/>
    <w:pPr>
      <w:spacing w:before="120" w:after="120" w:line="264" w:lineRule="auto"/>
    </w:pPr>
    <w:rPr>
      <w:rFonts w:ascii="Arial" w:hAnsi="Arial"/>
      <w:sz w:val="20"/>
    </w:rPr>
  </w:style>
  <w:style w:type="paragraph" w:styleId="Heading1">
    <w:name w:val="heading 1"/>
    <w:basedOn w:val="Annexheading"/>
    <w:next w:val="Normal"/>
    <w:link w:val="Heading1Char"/>
    <w:uiPriority w:val="1"/>
    <w:qFormat/>
    <w:rsid w:val="00BF676C"/>
    <w:pPr>
      <w:numPr>
        <w:numId w:val="8"/>
      </w:numPr>
      <w:spacing w:after="120"/>
      <w:outlineLvl w:val="0"/>
    </w:pPr>
    <w:rPr>
      <w:sz w:val="32"/>
      <w:szCs w:val="32"/>
    </w:rPr>
  </w:style>
  <w:style w:type="paragraph" w:styleId="Heading2">
    <w:name w:val="heading 2"/>
    <w:aliases w:val="Section,Section1,Section2,ALK_K2,no subsections"/>
    <w:basedOn w:val="Heading1"/>
    <w:next w:val="Normal"/>
    <w:link w:val="Heading2Char"/>
    <w:uiPriority w:val="1"/>
    <w:qFormat/>
    <w:rsid w:val="005F376A"/>
    <w:pPr>
      <w:numPr>
        <w:ilvl w:val="1"/>
      </w:numPr>
      <w:spacing w:before="120" w:after="60"/>
      <w:ind w:left="567" w:hanging="567"/>
      <w:outlineLvl w:val="1"/>
    </w:pPr>
    <w:rPr>
      <w:sz w:val="24"/>
      <w:szCs w:val="16"/>
      <w:lang w:val="en-AU"/>
    </w:rPr>
  </w:style>
  <w:style w:type="paragraph" w:styleId="Heading3">
    <w:name w:val="heading 3"/>
    <w:basedOn w:val="Heading2"/>
    <w:next w:val="Normal"/>
    <w:link w:val="Heading3Char"/>
    <w:uiPriority w:val="1"/>
    <w:qFormat/>
    <w:rsid w:val="00C9660C"/>
    <w:pPr>
      <w:numPr>
        <w:ilvl w:val="0"/>
        <w:numId w:val="0"/>
      </w:numPr>
      <w:outlineLvl w:val="2"/>
    </w:pPr>
    <w:rPr>
      <w:color w:val="5482AB" w:themeColor="accent1"/>
      <w:sz w:val="20"/>
      <w:szCs w:val="12"/>
    </w:rPr>
  </w:style>
  <w:style w:type="paragraph" w:styleId="Heading4">
    <w:name w:val="heading 4"/>
    <w:aliases w:val="Map Title"/>
    <w:basedOn w:val="Heading3"/>
    <w:next w:val="Normal"/>
    <w:link w:val="Heading4Char"/>
    <w:uiPriority w:val="1"/>
    <w:qFormat/>
    <w:rsid w:val="0092303A"/>
    <w:pPr>
      <w:numPr>
        <w:ilvl w:val="3"/>
      </w:numPr>
      <w:outlineLvl w:val="3"/>
    </w:pPr>
    <w:rPr>
      <w:bCs w:val="0"/>
      <w:iCs/>
      <w:color w:val="000000" w:themeColor="text1"/>
    </w:rPr>
  </w:style>
  <w:style w:type="paragraph" w:styleId="Heading5">
    <w:name w:val="heading 5"/>
    <w:aliases w:val="Block Label"/>
    <w:basedOn w:val="Normal"/>
    <w:next w:val="Normal"/>
    <w:link w:val="Heading5Char"/>
    <w:uiPriority w:val="9"/>
    <w:qFormat/>
    <w:rsid w:val="0001395D"/>
    <w:pPr>
      <w:keepNext/>
      <w:keepLines/>
      <w:numPr>
        <w:ilvl w:val="4"/>
        <w:numId w:val="8"/>
      </w:numPr>
      <w:outlineLvl w:val="4"/>
    </w:pPr>
    <w:rPr>
      <w:rFonts w:eastAsiaTheme="majorEastAsia" w:cstheme="majorBidi"/>
      <w:color w:val="2A4055" w:themeColor="accent1" w:themeShade="7F"/>
    </w:rPr>
  </w:style>
  <w:style w:type="paragraph" w:styleId="Heading6">
    <w:name w:val="heading 6"/>
    <w:basedOn w:val="Normal"/>
    <w:next w:val="Normal"/>
    <w:link w:val="Heading6Char"/>
    <w:uiPriority w:val="9"/>
    <w:qFormat/>
    <w:rsid w:val="0001395D"/>
    <w:pPr>
      <w:keepNext/>
      <w:keepLines/>
      <w:numPr>
        <w:ilvl w:val="5"/>
        <w:numId w:val="8"/>
      </w:numPr>
      <w:outlineLvl w:val="5"/>
    </w:pPr>
    <w:rPr>
      <w:rFonts w:eastAsiaTheme="majorEastAsia" w:cstheme="majorBidi"/>
      <w:i/>
      <w:iCs/>
      <w:color w:val="2A4055" w:themeColor="accent1" w:themeShade="7F"/>
    </w:rPr>
  </w:style>
  <w:style w:type="paragraph" w:styleId="Heading7">
    <w:name w:val="heading 7"/>
    <w:basedOn w:val="Normal"/>
    <w:next w:val="Normal"/>
    <w:link w:val="Heading7Char"/>
    <w:uiPriority w:val="9"/>
    <w:qFormat/>
    <w:rsid w:val="0001395D"/>
    <w:pPr>
      <w:keepNext/>
      <w:keepLines/>
      <w:numPr>
        <w:ilvl w:val="6"/>
        <w:numId w:val="8"/>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qFormat/>
    <w:rsid w:val="0001395D"/>
    <w:pPr>
      <w:keepNext/>
      <w:keepLines/>
      <w:numPr>
        <w:ilvl w:val="7"/>
        <w:numId w:val="8"/>
      </w:numPr>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01395D"/>
    <w:pPr>
      <w:keepNext/>
      <w:keepLines/>
      <w:numPr>
        <w:ilvl w:val="8"/>
        <w:numId w:val="8"/>
      </w:numPr>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30FF"/>
    <w:pPr>
      <w:pBdr>
        <w:bottom w:val="single" w:sz="4" w:space="5" w:color="003478"/>
      </w:pBdr>
      <w:tabs>
        <w:tab w:val="center" w:pos="4320"/>
        <w:tab w:val="right" w:pos="8640"/>
      </w:tabs>
      <w:spacing w:after="0"/>
    </w:pPr>
  </w:style>
  <w:style w:type="character" w:customStyle="1" w:styleId="HeaderChar">
    <w:name w:val="Header Char"/>
    <w:basedOn w:val="DefaultParagraphFont"/>
    <w:link w:val="Header"/>
    <w:uiPriority w:val="99"/>
    <w:rsid w:val="005E30FF"/>
    <w:rPr>
      <w:rFonts w:ascii="Arial" w:hAnsi="Arial"/>
      <w:sz w:val="20"/>
    </w:rPr>
  </w:style>
  <w:style w:type="paragraph" w:styleId="Footer">
    <w:name w:val="footer"/>
    <w:basedOn w:val="Normal"/>
    <w:link w:val="FooterChar"/>
    <w:uiPriority w:val="99"/>
    <w:rsid w:val="00C24A21"/>
    <w:pPr>
      <w:pBdr>
        <w:top w:val="single" w:sz="4" w:space="5" w:color="003478"/>
      </w:pBdr>
      <w:tabs>
        <w:tab w:val="center" w:pos="4320"/>
        <w:tab w:val="right" w:pos="8640"/>
      </w:tabs>
      <w:spacing w:after="0"/>
    </w:pPr>
  </w:style>
  <w:style w:type="character" w:customStyle="1" w:styleId="FooterChar">
    <w:name w:val="Footer Char"/>
    <w:basedOn w:val="DefaultParagraphFont"/>
    <w:link w:val="Footer"/>
    <w:uiPriority w:val="99"/>
    <w:rsid w:val="00C24A21"/>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aliases w:val="DPS Table Grid,Basic Table,McLL Table General Text"/>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BF676C"/>
    <w:rPr>
      <w:rFonts w:ascii="Arial" w:hAnsi="Arial"/>
      <w:b/>
      <w:bCs/>
      <w:color w:val="003478"/>
      <w:sz w:val="32"/>
      <w:szCs w:val="32"/>
    </w:rPr>
  </w:style>
  <w:style w:type="character" w:customStyle="1" w:styleId="Heading2Char">
    <w:name w:val="Heading 2 Char"/>
    <w:aliases w:val="Section Char,Section1 Char,Section2 Char,ALK_K2 Char,no subsections Char"/>
    <w:basedOn w:val="DefaultParagraphFont"/>
    <w:link w:val="Heading2"/>
    <w:uiPriority w:val="1"/>
    <w:rsid w:val="005F376A"/>
    <w:rPr>
      <w:rFonts w:ascii="Arial" w:hAnsi="Arial"/>
      <w:b/>
      <w:bCs/>
      <w:color w:val="003478"/>
      <w:szCs w:val="16"/>
      <w:lang w:val="en-AU"/>
    </w:rPr>
  </w:style>
  <w:style w:type="character" w:customStyle="1" w:styleId="Heading3Char">
    <w:name w:val="Heading 3 Char"/>
    <w:basedOn w:val="DefaultParagraphFont"/>
    <w:link w:val="Heading3"/>
    <w:uiPriority w:val="1"/>
    <w:rsid w:val="00C9660C"/>
    <w:rPr>
      <w:rFonts w:ascii="Arial" w:hAnsi="Arial"/>
      <w:b/>
      <w:bCs/>
      <w:color w:val="5482AB" w:themeColor="accent1"/>
      <w:sz w:val="20"/>
      <w:szCs w:val="12"/>
      <w:lang w:val="en-AU"/>
    </w:rPr>
  </w:style>
  <w:style w:type="character" w:customStyle="1" w:styleId="Heading4Char">
    <w:name w:val="Heading 4 Char"/>
    <w:aliases w:val="Map Title Char"/>
    <w:basedOn w:val="DefaultParagraphFont"/>
    <w:link w:val="Heading4"/>
    <w:uiPriority w:val="1"/>
    <w:rsid w:val="00EF0BA5"/>
    <w:rPr>
      <w:rFonts w:ascii="Arial" w:hAnsi="Arial"/>
      <w:b/>
      <w:iCs/>
      <w:color w:val="000000" w:themeColor="text1"/>
      <w:sz w:val="20"/>
      <w:szCs w:val="12"/>
      <w:lang w:val="en-AU"/>
    </w:rPr>
  </w:style>
  <w:style w:type="character" w:customStyle="1" w:styleId="Heading5Char">
    <w:name w:val="Heading 5 Char"/>
    <w:aliases w:val="Block Label Char"/>
    <w:basedOn w:val="DefaultParagraphFont"/>
    <w:link w:val="Heading5"/>
    <w:uiPriority w:val="9"/>
    <w:rsid w:val="002B03DD"/>
    <w:rPr>
      <w:rFonts w:ascii="Arial" w:eastAsiaTheme="majorEastAsia" w:hAnsi="Arial" w:cstheme="majorBidi"/>
      <w:color w:val="2A4055" w:themeColor="accent1" w:themeShade="7F"/>
      <w:sz w:val="20"/>
    </w:rPr>
  </w:style>
  <w:style w:type="character" w:customStyle="1" w:styleId="Heading6Char">
    <w:name w:val="Heading 6 Char"/>
    <w:basedOn w:val="DefaultParagraphFont"/>
    <w:link w:val="Heading6"/>
    <w:uiPriority w:val="9"/>
    <w:rsid w:val="002B03DD"/>
    <w:rPr>
      <w:rFonts w:ascii="Arial" w:eastAsiaTheme="majorEastAsia" w:hAnsi="Arial" w:cstheme="majorBidi"/>
      <w:i/>
      <w:iCs/>
      <w:color w:val="2A4055" w:themeColor="accent1" w:themeShade="7F"/>
      <w:sz w:val="20"/>
    </w:rPr>
  </w:style>
  <w:style w:type="character" w:customStyle="1" w:styleId="Heading7Char">
    <w:name w:val="Heading 7 Char"/>
    <w:basedOn w:val="DefaultParagraphFont"/>
    <w:link w:val="Heading7"/>
    <w:uiPriority w:val="9"/>
    <w:rsid w:val="002B03DD"/>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rsid w:val="002B03D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2B03DD"/>
    <w:rPr>
      <w:rFonts w:ascii="Arial" w:eastAsiaTheme="majorEastAsia" w:hAnsi="Arial" w:cstheme="majorBidi"/>
      <w:i/>
      <w:iCs/>
      <w:color w:val="404040" w:themeColor="text1" w:themeTint="BF"/>
      <w:sz w:val="20"/>
      <w:szCs w:val="20"/>
    </w:rPr>
  </w:style>
  <w:style w:type="paragraph" w:styleId="TOCHeading">
    <w:name w:val="TOC Heading"/>
    <w:aliases w:val="TOC Annex Title Heading"/>
    <w:basedOn w:val="Normal"/>
    <w:next w:val="Normal"/>
    <w:uiPriority w:val="39"/>
    <w:unhideWhenUsed/>
    <w:qFormat/>
    <w:rsid w:val="00A15B44"/>
    <w:pPr>
      <w:spacing w:before="400" w:after="200"/>
    </w:pPr>
    <w:rPr>
      <w:b/>
      <w:bCs/>
      <w:color w:val="003478"/>
      <w:sz w:val="44"/>
      <w:szCs w:val="44"/>
    </w:rPr>
  </w:style>
  <w:style w:type="paragraph" w:styleId="TOC1">
    <w:name w:val="toc 1"/>
    <w:basedOn w:val="Normal"/>
    <w:next w:val="Normal"/>
    <w:uiPriority w:val="39"/>
    <w:unhideWhenUsed/>
    <w:rsid w:val="00A51939"/>
    <w:pPr>
      <w:tabs>
        <w:tab w:val="right" w:leader="dot" w:pos="10070"/>
      </w:tabs>
      <w:spacing w:before="240"/>
      <w:ind w:left="567" w:hanging="567"/>
    </w:pPr>
    <w:rPr>
      <w:rFonts w:asciiTheme="minorHAnsi" w:hAnsiTheme="minorHAnsi" w:cstheme="minorHAnsi"/>
      <w:b/>
      <w:bCs/>
      <w:noProof/>
      <w:szCs w:val="20"/>
    </w:rPr>
  </w:style>
  <w:style w:type="paragraph" w:styleId="TOC2">
    <w:name w:val="toc 2"/>
    <w:basedOn w:val="TOC1"/>
    <w:next w:val="Normal"/>
    <w:autoRedefine/>
    <w:uiPriority w:val="39"/>
    <w:unhideWhenUsed/>
    <w:rsid w:val="00A51939"/>
    <w:pPr>
      <w:spacing w:before="120"/>
      <w:ind w:left="992"/>
    </w:pPr>
    <w:rPr>
      <w:rFonts w:asciiTheme="majorHAnsi" w:hAnsiTheme="majorHAnsi" w:cstheme="majorHAnsi"/>
      <w:b w:val="0"/>
      <w:bCs w:val="0"/>
    </w:rPr>
  </w:style>
  <w:style w:type="paragraph" w:styleId="TOC3">
    <w:name w:val="toc 3"/>
    <w:basedOn w:val="TOC2"/>
    <w:next w:val="Normal"/>
    <w:autoRedefine/>
    <w:uiPriority w:val="39"/>
    <w:unhideWhenUsed/>
    <w:rsid w:val="00A51939"/>
    <w:pPr>
      <w:spacing w:before="0"/>
      <w:ind w:left="1701" w:hanging="708"/>
    </w:pPr>
  </w:style>
  <w:style w:type="paragraph" w:styleId="TOC4">
    <w:name w:val="toc 4"/>
    <w:basedOn w:val="TOC3"/>
    <w:next w:val="Normal"/>
    <w:autoRedefine/>
    <w:uiPriority w:val="39"/>
    <w:unhideWhenUsed/>
    <w:rsid w:val="008F2A65"/>
    <w:pPr>
      <w:ind w:left="600"/>
    </w:pPr>
  </w:style>
  <w:style w:type="paragraph" w:styleId="TOC5">
    <w:name w:val="toc 5"/>
    <w:basedOn w:val="Normal"/>
    <w:next w:val="Normal"/>
    <w:autoRedefine/>
    <w:uiPriority w:val="39"/>
    <w:semiHidden/>
    <w:rsid w:val="005D330C"/>
    <w:pPr>
      <w:spacing w:before="0" w:after="0"/>
      <w:ind w:left="800"/>
    </w:pPr>
    <w:rPr>
      <w:rFonts w:asciiTheme="minorHAnsi" w:hAnsiTheme="minorHAnsi" w:cstheme="minorHAnsi"/>
      <w:szCs w:val="20"/>
    </w:rPr>
  </w:style>
  <w:style w:type="paragraph" w:styleId="TOC6">
    <w:name w:val="toc 6"/>
    <w:basedOn w:val="Normal"/>
    <w:next w:val="Normal"/>
    <w:autoRedefine/>
    <w:uiPriority w:val="39"/>
    <w:semiHidden/>
    <w:rsid w:val="005D330C"/>
    <w:pPr>
      <w:spacing w:before="0" w:after="0"/>
      <w:ind w:left="1000"/>
    </w:pPr>
    <w:rPr>
      <w:rFonts w:asciiTheme="minorHAnsi" w:hAnsiTheme="minorHAnsi" w:cstheme="minorHAnsi"/>
      <w:szCs w:val="20"/>
    </w:rPr>
  </w:style>
  <w:style w:type="paragraph" w:styleId="TOC7">
    <w:name w:val="toc 7"/>
    <w:basedOn w:val="Normal"/>
    <w:next w:val="Normal"/>
    <w:autoRedefine/>
    <w:uiPriority w:val="39"/>
    <w:semiHidden/>
    <w:rsid w:val="005D330C"/>
    <w:pPr>
      <w:spacing w:before="0" w:after="0"/>
      <w:ind w:left="1200"/>
    </w:pPr>
    <w:rPr>
      <w:rFonts w:asciiTheme="minorHAnsi" w:hAnsiTheme="minorHAnsi" w:cstheme="minorHAnsi"/>
      <w:szCs w:val="20"/>
    </w:rPr>
  </w:style>
  <w:style w:type="paragraph" w:styleId="TOC8">
    <w:name w:val="toc 8"/>
    <w:basedOn w:val="Normal"/>
    <w:next w:val="Normal"/>
    <w:autoRedefine/>
    <w:uiPriority w:val="39"/>
    <w:semiHidden/>
    <w:rsid w:val="005D330C"/>
    <w:pPr>
      <w:spacing w:before="0" w:after="0"/>
      <w:ind w:left="1400"/>
    </w:pPr>
    <w:rPr>
      <w:rFonts w:asciiTheme="minorHAnsi" w:hAnsiTheme="minorHAnsi" w:cstheme="minorHAnsi"/>
      <w:szCs w:val="20"/>
    </w:rPr>
  </w:style>
  <w:style w:type="paragraph" w:styleId="TOC9">
    <w:name w:val="toc 9"/>
    <w:basedOn w:val="Normal"/>
    <w:next w:val="Normal"/>
    <w:autoRedefine/>
    <w:uiPriority w:val="39"/>
    <w:semiHidden/>
    <w:rsid w:val="005D330C"/>
    <w:pPr>
      <w:spacing w:before="0" w:after="0"/>
      <w:ind w:left="1600"/>
    </w:pPr>
    <w:rPr>
      <w:rFonts w:asciiTheme="minorHAnsi" w:hAnsiTheme="minorHAnsi" w:cstheme="minorHAnsi"/>
      <w:szCs w:val="20"/>
    </w:rPr>
  </w:style>
  <w:style w:type="paragraph" w:styleId="NormalWeb">
    <w:name w:val="Normal (Web)"/>
    <w:basedOn w:val="Normal"/>
    <w:uiPriority w:val="99"/>
    <w:rsid w:val="00850554"/>
    <w:pPr>
      <w:spacing w:before="100" w:beforeAutospacing="1" w:after="100" w:afterAutospacing="1"/>
    </w:pPr>
    <w:rPr>
      <w:rFonts w:ascii="Times" w:hAnsi="Times" w:cs="Times New Roman"/>
      <w:szCs w:val="20"/>
    </w:rPr>
  </w:style>
  <w:style w:type="paragraph" w:styleId="ListBullet">
    <w:name w:val="List Bullet"/>
    <w:basedOn w:val="Normal"/>
    <w:link w:val="ListBulletChar"/>
    <w:uiPriority w:val="4"/>
    <w:unhideWhenUsed/>
    <w:qFormat/>
    <w:rsid w:val="00B76569"/>
    <w:pPr>
      <w:numPr>
        <w:numId w:val="4"/>
      </w:numPr>
      <w:spacing w:after="60"/>
      <w:ind w:left="284" w:hanging="284"/>
      <w:contextualSpacing/>
    </w:pPr>
    <w:rPr>
      <w:noProof/>
    </w:rPr>
  </w:style>
  <w:style w:type="paragraph" w:styleId="ListBullet2">
    <w:name w:val="List Bullet 2"/>
    <w:basedOn w:val="ListBullet"/>
    <w:next w:val="ListBullet"/>
    <w:uiPriority w:val="4"/>
    <w:unhideWhenUsed/>
    <w:rsid w:val="00511E02"/>
    <w:pPr>
      <w:numPr>
        <w:ilvl w:val="1"/>
        <w:numId w:val="5"/>
      </w:numPr>
      <w:tabs>
        <w:tab w:val="clear" w:pos="1440"/>
      </w:tabs>
      <w:ind w:left="567" w:hanging="283"/>
    </w:pPr>
  </w:style>
  <w:style w:type="paragraph" w:styleId="ListBullet3">
    <w:name w:val="List Bullet 3"/>
    <w:basedOn w:val="ListBullet"/>
    <w:uiPriority w:val="4"/>
    <w:unhideWhenUsed/>
    <w:rsid w:val="00511E02"/>
    <w:pPr>
      <w:numPr>
        <w:ilvl w:val="2"/>
        <w:numId w:val="3"/>
      </w:numPr>
      <w:tabs>
        <w:tab w:val="clear" w:pos="2160"/>
      </w:tabs>
      <w:ind w:left="851" w:hanging="284"/>
    </w:pPr>
  </w:style>
  <w:style w:type="paragraph" w:styleId="ListBullet4">
    <w:name w:val="List Bullet 4"/>
    <w:basedOn w:val="ListBullet"/>
    <w:uiPriority w:val="4"/>
    <w:unhideWhenUsed/>
    <w:rsid w:val="001C0A15"/>
    <w:pPr>
      <w:numPr>
        <w:ilvl w:val="3"/>
        <w:numId w:val="3"/>
      </w:numPr>
    </w:pPr>
  </w:style>
  <w:style w:type="paragraph" w:styleId="ListBullet5">
    <w:name w:val="List Bullet 5"/>
    <w:basedOn w:val="ListBullet"/>
    <w:uiPriority w:val="4"/>
    <w:unhideWhenUsed/>
    <w:rsid w:val="001C0A15"/>
    <w:pPr>
      <w:numPr>
        <w:ilvl w:val="4"/>
        <w:numId w:val="3"/>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3"/>
    <w:qFormat/>
    <w:rsid w:val="005E30FF"/>
    <w:rPr>
      <w:i/>
      <w:iCs/>
      <w:color w:val="003478"/>
    </w:rPr>
  </w:style>
  <w:style w:type="character" w:styleId="IntenseEmphasis">
    <w:name w:val="Intense Emphasis"/>
    <w:basedOn w:val="DefaultParagraphFont"/>
    <w:uiPriority w:val="3"/>
    <w:qFormat/>
    <w:rsid w:val="00AB7835"/>
    <w:rPr>
      <w:b/>
      <w:bCs/>
      <w:i/>
      <w:iCs/>
      <w:color w:val="auto"/>
    </w:rPr>
  </w:style>
  <w:style w:type="character" w:styleId="Hyperlink">
    <w:name w:val="Hyperlink"/>
    <w:basedOn w:val="DefaultParagraphFont"/>
    <w:uiPriority w:val="99"/>
    <w:rsid w:val="00F6284A"/>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5"/>
    <w:qFormat/>
    <w:rsid w:val="00901B07"/>
    <w:pPr>
      <w:spacing w:before="240"/>
      <w:jc w:val="center"/>
    </w:pPr>
    <w:rPr>
      <w:bCs/>
      <w:szCs w:val="18"/>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5B26A0"/>
    <w:pPr>
      <w:numPr>
        <w:numId w:val="2"/>
      </w:numPr>
      <w:spacing w:after="0"/>
    </w:pPr>
  </w:style>
  <w:style w:type="paragraph" w:customStyle="1" w:styleId="TableBullet2">
    <w:name w:val="Table Bullet 2"/>
    <w:basedOn w:val="ListBullet2"/>
    <w:uiPriority w:val="6"/>
    <w:qFormat/>
    <w:rsid w:val="005B26A0"/>
    <w:pPr>
      <w:numPr>
        <w:ilvl w:val="0"/>
        <w:numId w:val="6"/>
      </w:numPr>
      <w:spacing w:after="0"/>
    </w:pPr>
  </w:style>
  <w:style w:type="character" w:styleId="SubtleEmphasis">
    <w:name w:val="Subtle Emphasis"/>
    <w:basedOn w:val="DefaultParagraphFont"/>
    <w:uiPriority w:val="3"/>
    <w:qFormat/>
    <w:rsid w:val="00AB7835"/>
    <w:rPr>
      <w:i/>
      <w:iCs/>
      <w:color w:val="auto"/>
    </w:rPr>
  </w:style>
  <w:style w:type="paragraph" w:styleId="ListParagraph">
    <w:name w:val="List Paragraph"/>
    <w:aliases w:val="sub-section,MCHIP_list paragraph,List Paragraph1,Recommendation,Bullet List,FooterText,F5 List Paragraph,Dot pt,No Spacing1,List Paragraph Char Char Char,Indicator Text,Numbered Para 1,List Paragraph11,Colorful List - Accent 11,Bullet 1,L"/>
    <w:basedOn w:val="Normal"/>
    <w:link w:val="ListParagraphChar"/>
    <w:uiPriority w:val="34"/>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ACCDD" w:themeColor="accent1" w:themeTint="66"/>
        <w:insideV w:val="single" w:sz="4" w:space="0" w:color="BACCDD"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5E30FF"/>
    <w:rPr>
      <w:b/>
      <w:bCs/>
      <w:color w:val="003478"/>
    </w:rPr>
  </w:style>
  <w:style w:type="character" w:customStyle="1" w:styleId="IntenseEmphasisBlue">
    <w:name w:val="Intense Emphasis Blue"/>
    <w:basedOn w:val="IntenseEmphasis"/>
    <w:uiPriority w:val="3"/>
    <w:qFormat/>
    <w:rsid w:val="005E30FF"/>
    <w:rPr>
      <w:b/>
      <w:bCs/>
      <w:i/>
      <w:iCs/>
      <w:color w:val="003478"/>
    </w:rPr>
  </w:style>
  <w:style w:type="numbering" w:customStyle="1" w:styleId="Headings">
    <w:name w:val="Headings"/>
    <w:uiPriority w:val="99"/>
    <w:rsid w:val="00E35CD3"/>
    <w:pPr>
      <w:numPr>
        <w:numId w:val="7"/>
      </w:numPr>
    </w:pPr>
  </w:style>
  <w:style w:type="paragraph" w:customStyle="1" w:styleId="CoverSheetTitle">
    <w:name w:val="Cover Sheet Title"/>
    <w:basedOn w:val="Normal"/>
    <w:qFormat/>
    <w:rsid w:val="005E30FF"/>
    <w:pPr>
      <w:spacing w:line="240" w:lineRule="auto"/>
    </w:pPr>
    <w:rPr>
      <w:b/>
      <w:color w:val="003478"/>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F23084"/>
    <w:pPr>
      <w:spacing w:after="0" w:line="240" w:lineRule="auto"/>
    </w:pPr>
    <w:rPr>
      <w:szCs w:val="20"/>
    </w:rPr>
  </w:style>
  <w:style w:type="character" w:customStyle="1" w:styleId="FootnoteTextChar">
    <w:name w:val="Footnote Text Char"/>
    <w:basedOn w:val="DefaultParagraphFont"/>
    <w:link w:val="FootnoteText"/>
    <w:uiPriority w:val="99"/>
    <w:semiHidden/>
    <w:rsid w:val="00F23084"/>
    <w:rPr>
      <w:rFonts w:ascii="Arial" w:hAnsi="Arial"/>
      <w:sz w:val="20"/>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5E30FF"/>
    <w:pPr>
      <w:numPr>
        <w:numId w:val="0"/>
      </w:numPr>
    </w:pPr>
  </w:style>
  <w:style w:type="paragraph" w:styleId="TableofFigures">
    <w:name w:val="table of figures"/>
    <w:basedOn w:val="Normal"/>
    <w:next w:val="Normal"/>
    <w:uiPriority w:val="99"/>
    <w:semiHidden/>
    <w:rsid w:val="001F3242"/>
    <w:pPr>
      <w:spacing w:after="0"/>
    </w:pPr>
  </w:style>
  <w:style w:type="paragraph" w:customStyle="1" w:styleId="TtNormal">
    <w:name w:val="Tt Normal"/>
    <w:uiPriority w:val="1"/>
    <w:qFormat/>
    <w:rsid w:val="00D9540B"/>
    <w:pPr>
      <w:spacing w:after="120" w:line="260" w:lineRule="exact"/>
    </w:pPr>
    <w:rPr>
      <w:rFonts w:ascii="Arial" w:hAnsi="Arial"/>
      <w:sz w:val="20"/>
    </w:rPr>
  </w:style>
  <w:style w:type="table" w:customStyle="1" w:styleId="TableGrid1">
    <w:name w:val="Table Grid1"/>
    <w:basedOn w:val="TableNormal"/>
    <w:next w:val="TableGrid"/>
    <w:uiPriority w:val="59"/>
    <w:rsid w:val="00F31074"/>
    <w:rPr>
      <w:rFonts w:eastAsia="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3126"/>
    <w:pPr>
      <w:spacing w:before="2000" w:after="0" w:line="240" w:lineRule="auto"/>
    </w:pPr>
    <w:rPr>
      <w:rFonts w:eastAsia="Times New Roman" w:cs="Times New Roman"/>
      <w:b/>
      <w:noProof/>
      <w:color w:val="003478"/>
      <w:spacing w:val="5"/>
      <w:kern w:val="28"/>
      <w:sz w:val="48"/>
      <w:szCs w:val="52"/>
      <w:lang w:eastAsia="fr-CA"/>
    </w:rPr>
  </w:style>
  <w:style w:type="character" w:customStyle="1" w:styleId="TitleChar">
    <w:name w:val="Title Char"/>
    <w:basedOn w:val="DefaultParagraphFont"/>
    <w:link w:val="Title"/>
    <w:uiPriority w:val="10"/>
    <w:rsid w:val="00D03126"/>
    <w:rPr>
      <w:rFonts w:ascii="Arial" w:eastAsia="Times New Roman" w:hAnsi="Arial" w:cs="Times New Roman"/>
      <w:b/>
      <w:noProof/>
      <w:color w:val="003478"/>
      <w:spacing w:val="5"/>
      <w:kern w:val="28"/>
      <w:sz w:val="48"/>
      <w:szCs w:val="52"/>
      <w:lang w:eastAsia="fr-CA"/>
    </w:rPr>
  </w:style>
  <w:style w:type="paragraph" w:customStyle="1" w:styleId="Subtitlecover">
    <w:name w:val="Subtitle cover"/>
    <w:uiPriority w:val="1"/>
    <w:qFormat/>
    <w:rsid w:val="0076552D"/>
    <w:pPr>
      <w:spacing w:before="300" w:after="1200"/>
    </w:pPr>
    <w:rPr>
      <w:rFonts w:ascii="Arial" w:eastAsia="Times New Roman" w:hAnsi="Arial" w:cs="Times New Roman"/>
      <w:b/>
      <w:bCs/>
      <w:noProof/>
      <w:color w:val="605340"/>
      <w:szCs w:val="28"/>
      <w:lang w:eastAsia="fr-CA"/>
    </w:rPr>
  </w:style>
  <w:style w:type="paragraph" w:customStyle="1" w:styleId="Datecover">
    <w:name w:val="Date cover"/>
    <w:uiPriority w:val="1"/>
    <w:qFormat/>
    <w:rsid w:val="00A15B44"/>
    <w:pPr>
      <w:spacing w:before="9000"/>
    </w:pPr>
    <w:rPr>
      <w:rFonts w:ascii="Arial" w:eastAsia="Times New Roman" w:hAnsi="Arial" w:cs="Times New Roman"/>
      <w:b/>
      <w:bCs/>
      <w:color w:val="605340"/>
      <w:sz w:val="22"/>
      <w:szCs w:val="22"/>
      <w:lang w:val="en-CA"/>
    </w:rPr>
  </w:style>
  <w:style w:type="paragraph" w:customStyle="1" w:styleId="Acknowledgementstatement">
    <w:name w:val="Acknowledgement statement"/>
    <w:uiPriority w:val="1"/>
    <w:qFormat/>
    <w:rsid w:val="00A15B44"/>
    <w:pPr>
      <w:framePr w:hSpace="180" w:wrap="around" w:vAnchor="text" w:hAnchor="margin" w:y="339"/>
      <w:spacing w:before="400"/>
    </w:pPr>
    <w:rPr>
      <w:rFonts w:ascii="Arial" w:eastAsia="Times New Roman" w:hAnsi="Arial" w:cs="Times New Roman"/>
      <w:color w:val="605340"/>
      <w:sz w:val="18"/>
      <w:szCs w:val="18"/>
      <w:lang w:val="en-CA"/>
    </w:rPr>
  </w:style>
  <w:style w:type="paragraph" w:customStyle="1" w:styleId="Annexheading">
    <w:name w:val="Annex heading"/>
    <w:uiPriority w:val="1"/>
    <w:qFormat/>
    <w:rsid w:val="00A15B44"/>
    <w:rPr>
      <w:rFonts w:ascii="Arial" w:hAnsi="Arial"/>
      <w:b/>
      <w:bCs/>
      <w:color w:val="003478"/>
      <w:sz w:val="44"/>
      <w:szCs w:val="44"/>
    </w:rPr>
  </w:style>
  <w:style w:type="table" w:styleId="GridTable1Light-Accent1">
    <w:name w:val="Grid Table 1 Light Accent 1"/>
    <w:basedOn w:val="TableNormal"/>
    <w:uiPriority w:val="46"/>
    <w:rsid w:val="00A15B44"/>
    <w:tblPr>
      <w:tblStyleRowBandSize w:val="1"/>
      <w:tblStyleColBandSize w:val="1"/>
      <w:tblBorders>
        <w:top w:val="single" w:sz="4" w:space="0" w:color="BACCDD" w:themeColor="accent1" w:themeTint="66"/>
        <w:left w:val="single" w:sz="4" w:space="0" w:color="BACCDD" w:themeColor="accent1" w:themeTint="66"/>
        <w:bottom w:val="single" w:sz="4" w:space="0" w:color="BACCDD" w:themeColor="accent1" w:themeTint="66"/>
        <w:right w:val="single" w:sz="4" w:space="0" w:color="BACCDD" w:themeColor="accent1" w:themeTint="66"/>
        <w:insideH w:val="single" w:sz="4" w:space="0" w:color="BACCDD" w:themeColor="accent1" w:themeTint="66"/>
        <w:insideV w:val="single" w:sz="4" w:space="0" w:color="BACCDD" w:themeColor="accent1" w:themeTint="66"/>
      </w:tblBorders>
    </w:tblPr>
    <w:tblStylePr w:type="firstRow">
      <w:rPr>
        <w:b/>
        <w:bCs/>
      </w:rPr>
      <w:tblPr/>
      <w:tcPr>
        <w:tcBorders>
          <w:bottom w:val="single" w:sz="12" w:space="0" w:color="98B3CC" w:themeColor="accent1" w:themeTint="99"/>
        </w:tcBorders>
      </w:tcPr>
    </w:tblStylePr>
    <w:tblStylePr w:type="lastRow">
      <w:rPr>
        <w:b/>
        <w:bCs/>
      </w:rPr>
      <w:tblPr/>
      <w:tcPr>
        <w:tcBorders>
          <w:top w:val="double" w:sz="2" w:space="0" w:color="98B3CC" w:themeColor="accent1" w:themeTint="99"/>
        </w:tcBorders>
      </w:tcPr>
    </w:tblStylePr>
    <w:tblStylePr w:type="firstCol">
      <w:rPr>
        <w:b/>
        <w:bCs/>
      </w:rPr>
    </w:tblStylePr>
    <w:tblStylePr w:type="lastCol">
      <w:rPr>
        <w:b/>
        <w:bCs/>
      </w:rPr>
    </w:tblStylePr>
  </w:style>
  <w:style w:type="table" w:customStyle="1" w:styleId="TetraTech">
    <w:name w:val="Tetra Tech"/>
    <w:basedOn w:val="TableNormal"/>
    <w:uiPriority w:val="99"/>
    <w:rsid w:val="00CC7192"/>
    <w:rPr>
      <w:rFonts w:ascii="Arial" w:hAnsi="Arial"/>
      <w:sz w:val="20"/>
    </w:rPr>
    <w:tblPr>
      <w:tblBorders>
        <w:top w:val="single" w:sz="4" w:space="0" w:color="98B3CC" w:themeColor="accent1" w:themeTint="99"/>
        <w:bottom w:val="single" w:sz="4" w:space="0" w:color="98B3CC" w:themeColor="accent1" w:themeTint="99"/>
        <w:insideH w:val="single" w:sz="4" w:space="0" w:color="98B3CC" w:themeColor="accent1" w:themeTint="99"/>
      </w:tblBorders>
    </w:tblPr>
    <w:tcPr>
      <w:vAlign w:val="center"/>
    </w:tcPr>
    <w:tblStylePr w:type="firstRow">
      <w:pPr>
        <w:jc w:val="left"/>
      </w:pPr>
      <w:rPr>
        <w:rFonts w:asciiTheme="minorHAnsi" w:hAnsiTheme="minorHAnsi"/>
        <w:b/>
        <w:color w:val="5482AB" w:themeColor="accent1"/>
        <w:sz w:val="20"/>
      </w:rPr>
      <w:tblPr/>
      <w:tcPr>
        <w:tcBorders>
          <w:top w:val="nil"/>
          <w:bottom w:val="single" w:sz="4" w:space="0" w:color="98B3CC" w:themeColor="accent1" w:themeTint="99"/>
          <w:insideH w:val="nil"/>
          <w:insideV w:val="nil"/>
        </w:tcBorders>
        <w:shd w:val="clear" w:color="auto" w:fill="FFFFFF" w:themeFill="background1"/>
      </w:tcPr>
    </w:tblStylePr>
    <w:tblStylePr w:type="firstCol">
      <w:rPr>
        <w:rFonts w:asciiTheme="minorHAnsi" w:hAnsiTheme="minorHAnsi"/>
        <w:b w:val="0"/>
        <w:sz w:val="20"/>
      </w:rPr>
    </w:tblStylePr>
  </w:style>
  <w:style w:type="paragraph" w:styleId="ListNumber">
    <w:name w:val="List Number"/>
    <w:basedOn w:val="Normal"/>
    <w:uiPriority w:val="99"/>
    <w:semiHidden/>
    <w:rsid w:val="00511E02"/>
    <w:pPr>
      <w:numPr>
        <w:numId w:val="1"/>
      </w:numPr>
      <w:contextualSpacing/>
    </w:pPr>
  </w:style>
  <w:style w:type="paragraph" w:styleId="BodyText">
    <w:name w:val="Body Text"/>
    <w:link w:val="BodyTextChar"/>
    <w:qFormat/>
    <w:rsid w:val="00511E02"/>
    <w:pPr>
      <w:spacing w:before="140" w:after="140" w:line="264" w:lineRule="auto"/>
    </w:pPr>
    <w:rPr>
      <w:rFonts w:ascii="Arial" w:eastAsia="Arial" w:hAnsi="Arial" w:cs="Times New Roman"/>
      <w:noProof/>
      <w:sz w:val="20"/>
      <w:szCs w:val="20"/>
      <w:lang w:val="en-AU"/>
    </w:rPr>
  </w:style>
  <w:style w:type="character" w:customStyle="1" w:styleId="BodyTextChar">
    <w:name w:val="Body Text Char"/>
    <w:basedOn w:val="DefaultParagraphFont"/>
    <w:link w:val="BodyText"/>
    <w:rsid w:val="00511E02"/>
    <w:rPr>
      <w:rFonts w:ascii="Arial" w:eastAsia="Arial" w:hAnsi="Arial" w:cs="Times New Roman"/>
      <w:noProof/>
      <w:sz w:val="20"/>
      <w:szCs w:val="20"/>
      <w:lang w:val="en-AU"/>
    </w:rPr>
  </w:style>
  <w:style w:type="paragraph" w:customStyle="1" w:styleId="BigText">
    <w:name w:val="Big Text"/>
    <w:basedOn w:val="BodyText"/>
    <w:uiPriority w:val="3"/>
    <w:qFormat/>
    <w:rsid w:val="00511E02"/>
    <w:pPr>
      <w:spacing w:after="200"/>
    </w:pPr>
    <w:rPr>
      <w:color w:val="003478" w:themeColor="text2"/>
      <w:sz w:val="24"/>
      <w:szCs w:val="28"/>
    </w:rPr>
  </w:style>
  <w:style w:type="paragraph" w:customStyle="1" w:styleId="SourceText">
    <w:name w:val="Source Text"/>
    <w:basedOn w:val="Normal"/>
    <w:next w:val="BodyText"/>
    <w:uiPriority w:val="3"/>
    <w:qFormat/>
    <w:rsid w:val="00511E02"/>
    <w:pPr>
      <w:spacing w:after="240"/>
    </w:pPr>
    <w:rPr>
      <w:rFonts w:eastAsia="Arial" w:cs="Times New Roman"/>
      <w:sz w:val="18"/>
      <w:szCs w:val="14"/>
      <w:lang w:val="en-AU"/>
    </w:rPr>
  </w:style>
  <w:style w:type="paragraph" w:customStyle="1" w:styleId="TableHeading">
    <w:name w:val="Table Heading"/>
    <w:uiPriority w:val="2"/>
    <w:qFormat/>
    <w:rsid w:val="00511E02"/>
    <w:pPr>
      <w:keepNext/>
      <w:keepLines/>
      <w:spacing w:before="480" w:after="120"/>
      <w:contextualSpacing/>
    </w:pPr>
    <w:rPr>
      <w:rFonts w:ascii="Arial" w:eastAsia="Arial" w:hAnsi="Arial" w:cs="Times New Roman"/>
      <w:b/>
      <w:sz w:val="20"/>
      <w:szCs w:val="20"/>
      <w:lang w:val="en-AU"/>
    </w:rPr>
  </w:style>
  <w:style w:type="table" w:customStyle="1" w:styleId="Coffey2">
    <w:name w:val="Coffey 2"/>
    <w:basedOn w:val="TableNormal"/>
    <w:uiPriority w:val="99"/>
    <w:rsid w:val="00511E02"/>
    <w:pPr>
      <w:spacing w:before="120" w:after="120"/>
    </w:pPr>
    <w:rPr>
      <w:rFonts w:ascii="Arial" w:eastAsia="Arial" w:hAnsi="Arial" w:cs="Times New Roman"/>
      <w:sz w:val="20"/>
      <w:szCs w:val="20"/>
      <w:lang w:val="en-AU"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F" w:themeFill="text2" w:themeFillTint="33"/>
      <w:vAlign w:val="center"/>
    </w:tcPr>
    <w:tblStylePr w:type="firstRow">
      <w:pPr>
        <w:wordWrap/>
        <w:spacing w:beforeLines="0" w:before="120" w:beforeAutospacing="0" w:afterLines="0" w:after="120" w:afterAutospacing="0" w:line="240" w:lineRule="auto"/>
        <w:contextualSpacing w:val="0"/>
        <w:jc w:val="left"/>
      </w:pPr>
      <w:rPr>
        <w:rFonts w:ascii="Myriad Pro Light" w:hAnsi="Myriad Pro Light"/>
        <w:b/>
        <w:color w:val="FFFFFF" w:themeColor="background1"/>
        <w:sz w:val="20"/>
      </w:rPr>
      <w:tblPr/>
      <w:tcPr>
        <w:shd w:val="clear" w:color="auto" w:fill="003478" w:themeFill="text2"/>
        <w:vAlign w:val="center"/>
      </w:tcPr>
    </w:tblStylePr>
  </w:style>
  <w:style w:type="paragraph" w:customStyle="1" w:styleId="Annextitle">
    <w:name w:val="Annex title"/>
    <w:uiPriority w:val="1"/>
    <w:qFormat/>
    <w:rsid w:val="00511E02"/>
    <w:pPr>
      <w:spacing w:before="200" w:after="120"/>
    </w:pPr>
    <w:rPr>
      <w:rFonts w:ascii="Arial" w:eastAsia="Arial" w:hAnsi="Arial" w:cs="Times New Roman"/>
      <w:b/>
      <w:bCs/>
      <w:noProof/>
      <w:sz w:val="20"/>
      <w:szCs w:val="20"/>
      <w:lang w:val="en-AU"/>
    </w:rPr>
  </w:style>
  <w:style w:type="paragraph" w:customStyle="1" w:styleId="Pa9">
    <w:name w:val="Pa9"/>
    <w:basedOn w:val="Normal"/>
    <w:next w:val="Normal"/>
    <w:uiPriority w:val="99"/>
    <w:rsid w:val="00796225"/>
    <w:pPr>
      <w:autoSpaceDE w:val="0"/>
      <w:autoSpaceDN w:val="0"/>
      <w:adjustRightInd w:val="0"/>
      <w:spacing w:before="0" w:after="0" w:line="181" w:lineRule="atLeast"/>
    </w:pPr>
    <w:rPr>
      <w:rFonts w:ascii="Helvetica LT Std" w:eastAsia="Arial" w:hAnsi="Helvetica LT Std" w:cs="Times New Roman"/>
      <w:sz w:val="24"/>
      <w:lang w:val="en-AU" w:eastAsia="en-AU"/>
    </w:rPr>
  </w:style>
  <w:style w:type="character" w:customStyle="1" w:styleId="A2">
    <w:name w:val="A2"/>
    <w:uiPriority w:val="99"/>
    <w:rsid w:val="00796225"/>
    <w:rPr>
      <w:rFonts w:cs="Helvetica LT Std"/>
      <w:color w:val="FFFFFF"/>
      <w:sz w:val="21"/>
      <w:szCs w:val="21"/>
    </w:rPr>
  </w:style>
  <w:style w:type="character" w:customStyle="1" w:styleId="il">
    <w:name w:val="il"/>
    <w:basedOn w:val="DefaultParagraphFont"/>
    <w:rsid w:val="009059E3"/>
  </w:style>
  <w:style w:type="paragraph" w:customStyle="1" w:styleId="BodyCopy">
    <w:name w:val="Body Copy"/>
    <w:link w:val="BodyCopyChar"/>
    <w:qFormat/>
    <w:rsid w:val="00E259F4"/>
    <w:pPr>
      <w:suppressAutoHyphens/>
      <w:autoSpaceDE w:val="0"/>
      <w:autoSpaceDN w:val="0"/>
      <w:adjustRightInd w:val="0"/>
      <w:spacing w:before="77" w:after="113" w:line="250" w:lineRule="atLeast"/>
      <w:jc w:val="both"/>
      <w:textAlignment w:val="center"/>
    </w:pPr>
    <w:rPr>
      <w:rFonts w:ascii="Helvetica LT Std" w:eastAsiaTheme="minorHAnsi" w:hAnsi="Helvetica LT Std" w:cs="Arial (TT)"/>
      <w:color w:val="000000"/>
      <w:sz w:val="19"/>
      <w:szCs w:val="20"/>
      <w:lang w:val="en-GB"/>
    </w:rPr>
  </w:style>
  <w:style w:type="character" w:customStyle="1" w:styleId="BodyCopyChar">
    <w:name w:val="Body Copy Char"/>
    <w:basedOn w:val="DefaultParagraphFont"/>
    <w:link w:val="BodyCopy"/>
    <w:rsid w:val="00E259F4"/>
    <w:rPr>
      <w:rFonts w:ascii="Helvetica LT Std" w:eastAsiaTheme="minorHAnsi" w:hAnsi="Helvetica LT Std" w:cs="Arial (TT)"/>
      <w:color w:val="000000"/>
      <w:sz w:val="19"/>
      <w:szCs w:val="20"/>
      <w:lang w:val="en-GB"/>
    </w:rPr>
  </w:style>
  <w:style w:type="paragraph" w:customStyle="1" w:styleId="BodyBullets">
    <w:name w:val="Body Bullets"/>
    <w:basedOn w:val="Normal"/>
    <w:link w:val="BodyBulletsChar"/>
    <w:qFormat/>
    <w:rsid w:val="00E259F4"/>
    <w:pPr>
      <w:spacing w:before="0"/>
      <w:ind w:left="360" w:hanging="360"/>
    </w:pPr>
    <w:rPr>
      <w:rFonts w:ascii="Helvetica LT Std" w:eastAsia="Arial" w:hAnsi="Helvetica LT Std" w:cs="Times New Roman"/>
      <w:color w:val="000000" w:themeColor="text1"/>
      <w:sz w:val="19"/>
      <w:szCs w:val="19"/>
      <w:lang w:val="en-AU"/>
    </w:rPr>
  </w:style>
  <w:style w:type="numbering" w:customStyle="1" w:styleId="CoffeyBullets">
    <w:name w:val="Coffey Bullets"/>
    <w:uiPriority w:val="99"/>
    <w:rsid w:val="00E259F4"/>
    <w:pPr>
      <w:numPr>
        <w:numId w:val="10"/>
      </w:numPr>
    </w:pPr>
  </w:style>
  <w:style w:type="character" w:customStyle="1" w:styleId="ListParagraphChar">
    <w:name w:val="List Paragraph Char"/>
    <w:aliases w:val="sub-section Char,MCHIP_list paragraph Char,List Paragraph1 Char,Recommendation Char,Bullet List Char,FooterText Char,F5 List Paragraph Char,Dot pt Char,No Spacing1 Char,List Paragraph Char Char Char Char,Indicator Text Char,L Char"/>
    <w:basedOn w:val="DefaultParagraphFont"/>
    <w:link w:val="ListParagraph"/>
    <w:uiPriority w:val="34"/>
    <w:qFormat/>
    <w:locked/>
    <w:rsid w:val="00E259F4"/>
    <w:rPr>
      <w:rFonts w:ascii="Arial" w:hAnsi="Arial"/>
      <w:sz w:val="20"/>
    </w:rPr>
  </w:style>
  <w:style w:type="character" w:styleId="CommentReference">
    <w:name w:val="annotation reference"/>
    <w:basedOn w:val="DefaultParagraphFont"/>
    <w:uiPriority w:val="99"/>
    <w:semiHidden/>
    <w:unhideWhenUsed/>
    <w:rsid w:val="00E259F4"/>
    <w:rPr>
      <w:sz w:val="16"/>
      <w:szCs w:val="16"/>
    </w:rPr>
  </w:style>
  <w:style w:type="paragraph" w:styleId="CommentText">
    <w:name w:val="annotation text"/>
    <w:basedOn w:val="Normal"/>
    <w:link w:val="CommentTextChar"/>
    <w:uiPriority w:val="99"/>
    <w:unhideWhenUsed/>
    <w:rsid w:val="00E259F4"/>
    <w:pPr>
      <w:spacing w:before="0" w:after="0" w:line="240" w:lineRule="auto"/>
    </w:pPr>
    <w:rPr>
      <w:rFonts w:eastAsia="Arial" w:cs="Times New Roman"/>
      <w:szCs w:val="20"/>
      <w:lang w:val="en-AU"/>
    </w:rPr>
  </w:style>
  <w:style w:type="character" w:customStyle="1" w:styleId="CommentTextChar">
    <w:name w:val="Comment Text Char"/>
    <w:basedOn w:val="DefaultParagraphFont"/>
    <w:link w:val="CommentText"/>
    <w:uiPriority w:val="99"/>
    <w:rsid w:val="00E259F4"/>
    <w:rPr>
      <w:rFonts w:ascii="Arial" w:eastAsia="Arial" w:hAnsi="Arial" w:cs="Times New Roman"/>
      <w:sz w:val="20"/>
      <w:szCs w:val="20"/>
      <w:lang w:val="en-AU"/>
    </w:rPr>
  </w:style>
  <w:style w:type="character" w:customStyle="1" w:styleId="BodyBulletsChar">
    <w:name w:val="Body Bullets Char"/>
    <w:basedOn w:val="DefaultParagraphFont"/>
    <w:link w:val="BodyBullets"/>
    <w:rsid w:val="00E259F4"/>
    <w:rPr>
      <w:rFonts w:ascii="Helvetica LT Std" w:eastAsia="Arial" w:hAnsi="Helvetica LT Std" w:cs="Times New Roman"/>
      <w:color w:val="000000" w:themeColor="text1"/>
      <w:sz w:val="19"/>
      <w:szCs w:val="19"/>
      <w:lang w:val="en-AU"/>
    </w:rPr>
  </w:style>
  <w:style w:type="table" w:styleId="ListTable3-Accent1">
    <w:name w:val="List Table 3 Accent 1"/>
    <w:basedOn w:val="TableNormal"/>
    <w:uiPriority w:val="48"/>
    <w:rsid w:val="00E259F4"/>
    <w:rPr>
      <w:rFonts w:ascii="Times New Roman" w:eastAsia="Arial" w:hAnsi="Times New Roman" w:cs="Times New Roman"/>
      <w:sz w:val="20"/>
      <w:szCs w:val="20"/>
      <w:lang w:val="en-AU" w:eastAsia="en-AU"/>
    </w:rPr>
    <w:tblPr>
      <w:tblStyleRowBandSize w:val="1"/>
      <w:tblStyleColBandSize w:val="1"/>
      <w:tblBorders>
        <w:top w:val="single" w:sz="4" w:space="0" w:color="5482AB" w:themeColor="accent1"/>
        <w:left w:val="single" w:sz="4" w:space="0" w:color="5482AB" w:themeColor="accent1"/>
        <w:bottom w:val="single" w:sz="4" w:space="0" w:color="5482AB" w:themeColor="accent1"/>
        <w:right w:val="single" w:sz="4" w:space="0" w:color="5482AB" w:themeColor="accent1"/>
      </w:tblBorders>
    </w:tblPr>
    <w:tblStylePr w:type="firstRow">
      <w:rPr>
        <w:b/>
        <w:bCs/>
        <w:color w:val="FFFFFF" w:themeColor="background1"/>
      </w:rPr>
      <w:tblPr/>
      <w:tcPr>
        <w:shd w:val="clear" w:color="auto" w:fill="5482AB" w:themeFill="accent1"/>
      </w:tcPr>
    </w:tblStylePr>
    <w:tblStylePr w:type="lastRow">
      <w:rPr>
        <w:b/>
        <w:bCs/>
      </w:rPr>
      <w:tblPr/>
      <w:tcPr>
        <w:tcBorders>
          <w:top w:val="double" w:sz="4" w:space="0" w:color="5482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82AB" w:themeColor="accent1"/>
          <w:right w:val="single" w:sz="4" w:space="0" w:color="5482AB" w:themeColor="accent1"/>
        </w:tcBorders>
      </w:tcPr>
    </w:tblStylePr>
    <w:tblStylePr w:type="band1Horz">
      <w:tblPr/>
      <w:tcPr>
        <w:tcBorders>
          <w:top w:val="single" w:sz="4" w:space="0" w:color="5482AB" w:themeColor="accent1"/>
          <w:bottom w:val="single" w:sz="4" w:space="0" w:color="5482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82AB" w:themeColor="accent1"/>
          <w:left w:val="nil"/>
        </w:tcBorders>
      </w:tcPr>
    </w:tblStylePr>
    <w:tblStylePr w:type="swCell">
      <w:tblPr/>
      <w:tcPr>
        <w:tcBorders>
          <w:top w:val="double" w:sz="4" w:space="0" w:color="5482AB" w:themeColor="accent1"/>
          <w:right w:val="nil"/>
        </w:tcBorders>
      </w:tcPr>
    </w:tblStylePr>
  </w:style>
  <w:style w:type="paragraph" w:customStyle="1" w:styleId="Bodybulletsnew">
    <w:name w:val="Body bullets new"/>
    <w:uiPriority w:val="99"/>
    <w:qFormat/>
    <w:rsid w:val="00E259F4"/>
    <w:pPr>
      <w:numPr>
        <w:numId w:val="11"/>
      </w:numPr>
      <w:spacing w:before="120" w:after="120" w:line="264" w:lineRule="auto"/>
    </w:pPr>
    <w:rPr>
      <w:rFonts w:ascii="Helvetica LT Std" w:eastAsia="Arial" w:hAnsi="Helvetica LT Std" w:cs="Times New Roman"/>
      <w:color w:val="000000" w:themeColor="text1"/>
      <w:sz w:val="19"/>
      <w:szCs w:val="19"/>
      <w:lang w:val="en-AU" w:bidi="en-NZ"/>
    </w:rPr>
  </w:style>
  <w:style w:type="paragraph" w:customStyle="1" w:styleId="Buletsintable">
    <w:name w:val="Bulets in table"/>
    <w:uiPriority w:val="99"/>
    <w:qFormat/>
    <w:rsid w:val="00E259F4"/>
    <w:pPr>
      <w:numPr>
        <w:numId w:val="10"/>
      </w:numPr>
      <w:spacing w:before="30" w:after="30"/>
    </w:pPr>
    <w:rPr>
      <w:rFonts w:ascii="Helvetica LT Std" w:eastAsia="Arial" w:hAnsi="Helvetica LT Std" w:cs="Times New Roman"/>
      <w:color w:val="000000" w:themeColor="text1"/>
      <w:sz w:val="19"/>
      <w:szCs w:val="19"/>
      <w:lang w:val="en-AU"/>
    </w:rPr>
  </w:style>
  <w:style w:type="paragraph" w:customStyle="1" w:styleId="Level2bullet">
    <w:name w:val="Level 2 bullet"/>
    <w:basedOn w:val="ListBullet"/>
    <w:link w:val="Level2bulletChar"/>
    <w:uiPriority w:val="1"/>
    <w:qFormat/>
    <w:rsid w:val="00875D0A"/>
    <w:pPr>
      <w:numPr>
        <w:ilvl w:val="1"/>
        <w:numId w:val="15"/>
      </w:numPr>
      <w:spacing w:before="60" w:line="259" w:lineRule="auto"/>
      <w:ind w:left="709" w:hanging="357"/>
    </w:pPr>
    <w:rPr>
      <w:lang w:val="en-AU" w:bidi="en-NZ"/>
    </w:rPr>
  </w:style>
  <w:style w:type="paragraph" w:styleId="CommentSubject">
    <w:name w:val="annotation subject"/>
    <w:basedOn w:val="CommentText"/>
    <w:next w:val="CommentText"/>
    <w:link w:val="CommentSubjectChar"/>
    <w:uiPriority w:val="99"/>
    <w:semiHidden/>
    <w:unhideWhenUsed/>
    <w:rsid w:val="00803332"/>
    <w:pPr>
      <w:spacing w:before="120" w:after="120"/>
    </w:pPr>
    <w:rPr>
      <w:rFonts w:eastAsiaTheme="minorEastAsia" w:cstheme="minorBidi"/>
      <w:b/>
      <w:bCs/>
      <w:lang w:val="en-US"/>
    </w:rPr>
  </w:style>
  <w:style w:type="character" w:customStyle="1" w:styleId="ListBulletChar">
    <w:name w:val="List Bullet Char"/>
    <w:basedOn w:val="DefaultParagraphFont"/>
    <w:link w:val="ListBullet"/>
    <w:uiPriority w:val="4"/>
    <w:rsid w:val="00B76569"/>
    <w:rPr>
      <w:rFonts w:ascii="Arial" w:hAnsi="Arial"/>
      <w:noProof/>
      <w:sz w:val="20"/>
    </w:rPr>
  </w:style>
  <w:style w:type="character" w:customStyle="1" w:styleId="Level2bulletChar">
    <w:name w:val="Level 2 bullet Char"/>
    <w:basedOn w:val="ListBulletChar"/>
    <w:link w:val="Level2bullet"/>
    <w:uiPriority w:val="1"/>
    <w:rsid w:val="00875D0A"/>
    <w:rPr>
      <w:rFonts w:ascii="Arial" w:hAnsi="Arial"/>
      <w:noProof/>
      <w:sz w:val="20"/>
      <w:lang w:val="en-AU" w:bidi="en-NZ"/>
    </w:rPr>
  </w:style>
  <w:style w:type="character" w:customStyle="1" w:styleId="CommentSubjectChar">
    <w:name w:val="Comment Subject Char"/>
    <w:basedOn w:val="CommentTextChar"/>
    <w:link w:val="CommentSubject"/>
    <w:uiPriority w:val="99"/>
    <w:semiHidden/>
    <w:rsid w:val="00803332"/>
    <w:rPr>
      <w:rFonts w:ascii="Arial" w:eastAsia="Arial" w:hAnsi="Arial" w:cs="Times New Roman"/>
      <w:b/>
      <w:bCs/>
      <w:sz w:val="20"/>
      <w:szCs w:val="20"/>
      <w:lang w:val="en-AU"/>
    </w:rPr>
  </w:style>
  <w:style w:type="paragraph" w:customStyle="1" w:styleId="Pa1">
    <w:name w:val="Pa1"/>
    <w:basedOn w:val="Normal"/>
    <w:next w:val="Normal"/>
    <w:uiPriority w:val="99"/>
    <w:rsid w:val="00A87E50"/>
    <w:pPr>
      <w:autoSpaceDE w:val="0"/>
      <w:autoSpaceDN w:val="0"/>
      <w:adjustRightInd w:val="0"/>
      <w:spacing w:before="0" w:after="0" w:line="201" w:lineRule="atLeast"/>
    </w:pPr>
    <w:rPr>
      <w:rFonts w:ascii="Myriad Pro Light" w:hAnsi="Myriad Pro Light"/>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0255">
      <w:bodyDiv w:val="1"/>
      <w:marLeft w:val="0"/>
      <w:marRight w:val="0"/>
      <w:marTop w:val="0"/>
      <w:marBottom w:val="0"/>
      <w:divBdr>
        <w:top w:val="none" w:sz="0" w:space="0" w:color="auto"/>
        <w:left w:val="none" w:sz="0" w:space="0" w:color="auto"/>
        <w:bottom w:val="none" w:sz="0" w:space="0" w:color="auto"/>
        <w:right w:val="none" w:sz="0" w:space="0" w:color="auto"/>
      </w:divBdr>
    </w:div>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 w:id="1314484225">
          <w:marLeft w:val="0"/>
          <w:marRight w:val="0"/>
          <w:marTop w:val="0"/>
          <w:marBottom w:val="0"/>
          <w:divBdr>
            <w:top w:val="none" w:sz="0" w:space="0" w:color="auto"/>
            <w:left w:val="none" w:sz="0" w:space="0" w:color="auto"/>
            <w:bottom w:val="none" w:sz="0" w:space="0" w:color="auto"/>
            <w:right w:val="none" w:sz="0" w:space="0" w:color="auto"/>
          </w:divBdr>
        </w:div>
      </w:divsChild>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sChild>
    </w:div>
    <w:div w:id="1558517679">
      <w:bodyDiv w:val="1"/>
      <w:marLeft w:val="0"/>
      <w:marRight w:val="0"/>
      <w:marTop w:val="0"/>
      <w:marBottom w:val="0"/>
      <w:divBdr>
        <w:top w:val="none" w:sz="0" w:space="0" w:color="auto"/>
        <w:left w:val="none" w:sz="0" w:space="0" w:color="auto"/>
        <w:bottom w:val="none" w:sz="0" w:space="0" w:color="auto"/>
        <w:right w:val="none" w:sz="0" w:space="0" w:color="auto"/>
      </w:divBdr>
      <w:divsChild>
        <w:div w:id="1624069075">
          <w:marLeft w:val="0"/>
          <w:marRight w:val="0"/>
          <w:marTop w:val="0"/>
          <w:marBottom w:val="0"/>
          <w:divBdr>
            <w:top w:val="none" w:sz="0" w:space="0" w:color="auto"/>
            <w:left w:val="none" w:sz="0" w:space="0" w:color="auto"/>
            <w:bottom w:val="none" w:sz="0" w:space="0" w:color="auto"/>
            <w:right w:val="none" w:sz="0" w:space="0" w:color="auto"/>
          </w:divBdr>
        </w:div>
      </w:divsChild>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25228957">
          <w:marLeft w:val="0"/>
          <w:marRight w:val="0"/>
          <w:marTop w:val="0"/>
          <w:marBottom w:val="0"/>
          <w:divBdr>
            <w:top w:val="none" w:sz="0" w:space="0" w:color="auto"/>
            <w:left w:val="none" w:sz="0" w:space="0" w:color="auto"/>
            <w:bottom w:val="none" w:sz="0" w:space="0" w:color="auto"/>
            <w:right w:val="none" w:sz="0" w:space="0" w:color="auto"/>
          </w:divBdr>
        </w:div>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Tetra Tech">
      <a:dk1>
        <a:sysClr val="windowText" lastClr="000000"/>
      </a:dk1>
      <a:lt1>
        <a:sysClr val="window" lastClr="FFFFFF"/>
      </a:lt1>
      <a:dk2>
        <a:srgbClr val="003478"/>
      </a:dk2>
      <a:lt2>
        <a:srgbClr val="FFFFFF"/>
      </a:lt2>
      <a:accent1>
        <a:srgbClr val="5482AB"/>
      </a:accent1>
      <a:accent2>
        <a:srgbClr val="69923A"/>
      </a:accent2>
      <a:accent3>
        <a:srgbClr val="CA7700"/>
      </a:accent3>
      <a:accent4>
        <a:srgbClr val="B3995D"/>
      </a:accent4>
      <a:accent5>
        <a:srgbClr val="675C53"/>
      </a:accent5>
      <a:accent6>
        <a:srgbClr val="00347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Props1.xml><?xml version="1.0" encoding="utf-8"?>
<ds:datastoreItem xmlns:ds="http://schemas.openxmlformats.org/officeDocument/2006/customXml" ds:itemID="{A8180823-2EC9-4A84-81FC-2B45B19D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4680</Words>
  <Characters>26106</Characters>
  <Application>Microsoft Office Word</Application>
  <DocSecurity>0</DocSecurity>
  <Lines>903</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Volunteers Program independent evaluation - Annex 7 Evaluation Purpose Methodology</dc:title>
  <dc:subject/>
  <dc:creator/>
  <cp:keywords/>
  <dc:description/>
  <cp:lastModifiedBy/>
  <cp:revision>1</cp:revision>
  <dcterms:created xsi:type="dcterms:W3CDTF">2021-09-21T22:18:00Z</dcterms:created>
  <dcterms:modified xsi:type="dcterms:W3CDTF">2021-09-21T22:34:00Z</dcterms:modified>
  <cp:category/>
</cp:coreProperties>
</file>