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71D68" w14:textId="3BD4DD5C" w:rsidR="002A2ACE" w:rsidRDefault="00FB2B7B" w:rsidP="00B405F6">
      <w:pPr>
        <w:jc w:val="right"/>
        <w:rPr>
          <w:lang w:val="en-AU"/>
        </w:rPr>
      </w:pPr>
      <w:r w:rsidRPr="007A15F4">
        <w:rPr>
          <w:rFonts w:eastAsia="Times New Roman" w:cs="Times New Roman"/>
          <w:noProof/>
          <w:color w:val="605340"/>
          <w:sz w:val="22"/>
          <w:lang w:val="en-AU" w:eastAsia="en-AU"/>
        </w:rPr>
        <w:drawing>
          <wp:inline distT="0" distB="0" distL="0" distR="0" wp14:anchorId="6071CA48" wp14:editId="44CD232A">
            <wp:extent cx="2049875" cy="472440"/>
            <wp:effectExtent l="0" t="0" r="7620" b="3810"/>
            <wp:docPr id="26" name="Picture 26" descr="Tetra Tech Internat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tra Tech International Development Logo"/>
                    <pic:cNvPicPr>
                      <a:picLocks noChangeAspect="1" noChangeArrowheads="1"/>
                    </pic:cNvPicPr>
                  </pic:nvPicPr>
                  <pic:blipFill>
                    <a:blip r:embed="rId11"/>
                    <a:stretch>
                      <a:fillRect/>
                    </a:stretch>
                  </pic:blipFill>
                  <pic:spPr bwMode="auto">
                    <a:xfrm>
                      <a:off x="0" y="0"/>
                      <a:ext cx="2049875" cy="472440"/>
                    </a:xfrm>
                    <a:prstGeom prst="rect">
                      <a:avLst/>
                    </a:prstGeom>
                    <a:noFill/>
                    <a:ln>
                      <a:noFill/>
                    </a:ln>
                    <a:extLst>
                      <a:ext uri="{53640926-AAD7-44D8-BBD7-CCE9431645EC}">
                        <a14:shadowObscured xmlns:a14="http://schemas.microsoft.com/office/drawing/2010/main"/>
                      </a:ext>
                    </a:extLst>
                  </pic:spPr>
                </pic:pic>
              </a:graphicData>
            </a:graphic>
          </wp:inline>
        </w:drawing>
      </w:r>
    </w:p>
    <w:p w14:paraId="7B18C3FB" w14:textId="77777777" w:rsidR="002A2ACE" w:rsidRPr="007A15F4" w:rsidRDefault="002A2ACE" w:rsidP="00A75F51">
      <w:pPr>
        <w:pStyle w:val="Title"/>
        <w:rPr>
          <w:lang w:val="en-AU"/>
        </w:rPr>
      </w:pPr>
      <w:r w:rsidRPr="007A15F4">
        <w:rPr>
          <w:lang w:val="en-AU"/>
        </w:rPr>
        <w:t>International volunteer programs in Australia, Canada, New Zealand, Norway</w:t>
      </w:r>
      <w:r>
        <w:rPr>
          <w:lang w:val="en-AU"/>
        </w:rPr>
        <w:t>,</w:t>
      </w:r>
      <w:r w:rsidRPr="007A15F4">
        <w:rPr>
          <w:lang w:val="en-AU"/>
        </w:rPr>
        <w:t xml:space="preserve"> and United Kingdom:</w:t>
      </w:r>
    </w:p>
    <w:p w14:paraId="34FE22EF" w14:textId="44F91F59" w:rsidR="00FB2B7B" w:rsidRDefault="002A2ACE" w:rsidP="002A2ACE">
      <w:pPr>
        <w:pStyle w:val="Subtitlecover"/>
        <w:rPr>
          <w:noProof w:val="0"/>
          <w:lang w:val="en-AU"/>
        </w:rPr>
      </w:pPr>
      <w:r w:rsidRPr="007A15F4">
        <w:rPr>
          <w:noProof w:val="0"/>
          <w:lang w:val="en-AU"/>
        </w:rPr>
        <w:t>Comparative analysis and future directions</w:t>
      </w:r>
    </w:p>
    <w:p w14:paraId="4C59CEF3" w14:textId="35589595" w:rsidR="00FB2B7B" w:rsidRPr="007A15F4" w:rsidRDefault="00A75F51" w:rsidP="00B405F6">
      <w:pPr>
        <w:pStyle w:val="Datecover"/>
        <w:spacing w:before="6000"/>
      </w:pPr>
      <w:r>
        <w:t>April 2021</w:t>
      </w:r>
    </w:p>
    <w:p w14:paraId="1599973D" w14:textId="77777777" w:rsidR="00B61235" w:rsidRPr="007A15F4" w:rsidRDefault="00B61235" w:rsidP="00A15B44">
      <w:pPr>
        <w:pStyle w:val="CoverSheetTitle"/>
        <w:rPr>
          <w:lang w:val="en-AU"/>
        </w:rPr>
        <w:sectPr w:rsidR="00B61235" w:rsidRPr="007A15F4" w:rsidSect="00511E02">
          <w:headerReference w:type="default" r:id="rId12"/>
          <w:footerReference w:type="default" r:id="rId13"/>
          <w:pgSz w:w="12240" w:h="15840"/>
          <w:pgMar w:top="1440" w:right="1080" w:bottom="1440" w:left="1080" w:header="648" w:footer="648" w:gutter="0"/>
          <w:pgNumType w:fmt="lowerRoman" w:start="1"/>
          <w:cols w:space="720"/>
          <w:titlePg/>
          <w:docGrid w:linePitch="360"/>
        </w:sectPr>
      </w:pPr>
    </w:p>
    <w:p w14:paraId="404BADC4" w14:textId="024E431C" w:rsidR="00B61235" w:rsidRPr="007A15F4" w:rsidRDefault="00B61235" w:rsidP="00B61235">
      <w:pPr>
        <w:pStyle w:val="Pa9"/>
        <w:spacing w:before="40" w:after="100"/>
        <w:ind w:right="5102"/>
        <w:rPr>
          <w:rFonts w:asciiTheme="minorHAnsi" w:hAnsiTheme="minorHAnsi" w:cstheme="minorHAnsi"/>
          <w:color w:val="FFFFFF"/>
          <w:sz w:val="20"/>
          <w:szCs w:val="20"/>
        </w:rPr>
      </w:pPr>
      <w:r w:rsidRPr="007A15F4">
        <w:rPr>
          <w:rFonts w:asciiTheme="minorHAnsi" w:hAnsiTheme="minorHAnsi" w:cstheme="minorHAnsi"/>
          <w:noProof/>
          <w:color w:val="FFFFFF"/>
          <w:sz w:val="20"/>
          <w:szCs w:val="20"/>
        </w:rPr>
        <w:lastRenderedPageBreak/>
        <mc:AlternateContent>
          <mc:Choice Requires="wps">
            <w:drawing>
              <wp:anchor distT="0" distB="0" distL="114300" distR="114300" simplePos="0" relativeHeight="251712000" behindDoc="1" locked="0" layoutInCell="1" allowOverlap="1" wp14:anchorId="520A0BC9" wp14:editId="2AA7D570">
                <wp:simplePos x="0" y="0"/>
                <wp:positionH relativeFrom="page">
                  <wp:align>left</wp:align>
                </wp:positionH>
                <wp:positionV relativeFrom="paragraph">
                  <wp:posOffset>-955343</wp:posOffset>
                </wp:positionV>
                <wp:extent cx="7792872" cy="10980657"/>
                <wp:effectExtent l="0" t="0" r="17780" b="11430"/>
                <wp:wrapNone/>
                <wp:docPr id="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2872" cy="10980657"/>
                        </a:xfrm>
                        <a:prstGeom prst="rect">
                          <a:avLst/>
                        </a:prstGeom>
                        <a:solidFill>
                          <a:schemeClr val="tx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DFBA" id="Rectangle 4" o:spid="_x0000_s1026" alt="&quot;&quot;" style="position:absolute;margin-left:0;margin-top:-75.2pt;width:613.6pt;height:864.6pt;z-index:-251604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" fillcolor="#003478 [3215]">
                <w10:wrap anchorx="page"/>
              </v:rect>
            </w:pict>
          </mc:Fallback>
        </mc:AlternateContent>
      </w:r>
      <w:r w:rsidRPr="007A15F4">
        <w:rPr>
          <w:rStyle w:val="A2"/>
          <w:rFonts w:asciiTheme="minorHAnsi" w:hAnsiTheme="minorHAnsi" w:cstheme="minorHAnsi"/>
          <w:sz w:val="20"/>
          <w:szCs w:val="20"/>
        </w:rPr>
        <w:t xml:space="preserve">Copyright of this document remains the property of </w:t>
      </w:r>
      <w:r w:rsidR="009173AF" w:rsidRPr="007A15F4">
        <w:rPr>
          <w:rStyle w:val="A2"/>
          <w:rFonts w:asciiTheme="minorHAnsi" w:hAnsiTheme="minorHAnsi" w:cstheme="minorHAnsi"/>
          <w:sz w:val="20"/>
          <w:szCs w:val="20"/>
        </w:rPr>
        <w:t>Tetra Tech</w:t>
      </w:r>
      <w:r w:rsidRPr="007A15F4">
        <w:rPr>
          <w:rStyle w:val="A2"/>
          <w:rFonts w:asciiTheme="minorHAnsi" w:hAnsiTheme="minorHAnsi" w:cstheme="minorHAnsi"/>
          <w:sz w:val="20"/>
          <w:szCs w:val="20"/>
        </w:rPr>
        <w:t xml:space="preserve"> International Development Pty Ltd. It may not be reproduced in whole or in part without the prior consent of </w:t>
      </w:r>
      <w:r w:rsidR="009173AF" w:rsidRPr="007A15F4">
        <w:rPr>
          <w:rStyle w:val="A2"/>
          <w:rFonts w:asciiTheme="minorHAnsi" w:hAnsiTheme="minorHAnsi" w:cstheme="minorHAnsi"/>
          <w:sz w:val="20"/>
          <w:szCs w:val="20"/>
        </w:rPr>
        <w:t>Tetra Tech</w:t>
      </w:r>
      <w:r w:rsidRPr="007A15F4">
        <w:rPr>
          <w:rStyle w:val="A2"/>
          <w:rFonts w:asciiTheme="minorHAnsi" w:hAnsiTheme="minorHAnsi" w:cstheme="minorHAnsi"/>
          <w:sz w:val="20"/>
          <w:szCs w:val="20"/>
        </w:rPr>
        <w:t xml:space="preserve"> International Development Pty Ltd, excepting for the internal use of the client. This document may only be used for the purposes of examination and evaluation with a view to </w:t>
      </w:r>
      <w:proofErr w:type="gramStart"/>
      <w:r w:rsidRPr="007A15F4">
        <w:rPr>
          <w:rStyle w:val="A2"/>
          <w:rFonts w:asciiTheme="minorHAnsi" w:hAnsiTheme="minorHAnsi" w:cstheme="minorHAnsi"/>
          <w:sz w:val="20"/>
          <w:szCs w:val="20"/>
        </w:rPr>
        <w:t>entering into</w:t>
      </w:r>
      <w:proofErr w:type="gramEnd"/>
      <w:r w:rsidRPr="007A15F4">
        <w:rPr>
          <w:rStyle w:val="A2"/>
          <w:rFonts w:asciiTheme="minorHAnsi" w:hAnsiTheme="minorHAnsi" w:cstheme="minorHAnsi"/>
          <w:sz w:val="20"/>
          <w:szCs w:val="20"/>
        </w:rPr>
        <w:t xml:space="preserve"> a contract with </w:t>
      </w:r>
      <w:r w:rsidR="009173AF" w:rsidRPr="007A15F4">
        <w:rPr>
          <w:rStyle w:val="A2"/>
          <w:rFonts w:asciiTheme="minorHAnsi" w:hAnsiTheme="minorHAnsi" w:cstheme="minorHAnsi"/>
          <w:sz w:val="20"/>
          <w:szCs w:val="20"/>
        </w:rPr>
        <w:t>Tetra Tech</w:t>
      </w:r>
      <w:r w:rsidRPr="007A15F4">
        <w:rPr>
          <w:rStyle w:val="A2"/>
          <w:rFonts w:asciiTheme="minorHAnsi" w:hAnsiTheme="minorHAnsi" w:cstheme="minorHAnsi"/>
          <w:sz w:val="20"/>
          <w:szCs w:val="20"/>
        </w:rPr>
        <w:t xml:space="preserve"> International Development Pty Ltd, for the purposes of carrying out the work which is the subject matter of this document.</w:t>
      </w:r>
    </w:p>
    <w:p w14:paraId="3256114B" w14:textId="65CDF8B5" w:rsidR="00B61235" w:rsidRPr="007A15F4" w:rsidRDefault="00B61235" w:rsidP="00B61235">
      <w:pPr>
        <w:pStyle w:val="Pa9"/>
        <w:spacing w:before="40" w:after="100"/>
        <w:ind w:right="5102"/>
        <w:rPr>
          <w:rStyle w:val="A2"/>
          <w:rFonts w:asciiTheme="minorHAnsi" w:hAnsiTheme="minorHAnsi" w:cstheme="minorHAnsi"/>
          <w:sz w:val="20"/>
          <w:szCs w:val="20"/>
        </w:rPr>
      </w:pPr>
      <w:r w:rsidRPr="007A15F4">
        <w:rPr>
          <w:rStyle w:val="A2"/>
          <w:rFonts w:asciiTheme="minorHAnsi" w:hAnsiTheme="minorHAnsi" w:cstheme="minorHAnsi"/>
          <w:sz w:val="20"/>
          <w:szCs w:val="20"/>
        </w:rPr>
        <w:t xml:space="preserve">No other use whatsoever is to be made of this document or any recommendations, information, </w:t>
      </w:r>
      <w:proofErr w:type="gramStart"/>
      <w:r w:rsidRPr="007A15F4">
        <w:rPr>
          <w:rStyle w:val="A2"/>
          <w:rFonts w:asciiTheme="minorHAnsi" w:hAnsiTheme="minorHAnsi" w:cstheme="minorHAnsi"/>
          <w:sz w:val="20"/>
          <w:szCs w:val="20"/>
        </w:rPr>
        <w:t>matter</w:t>
      </w:r>
      <w:proofErr w:type="gramEnd"/>
      <w:r w:rsidRPr="007A15F4">
        <w:rPr>
          <w:rStyle w:val="A2"/>
          <w:rFonts w:asciiTheme="minorHAnsi" w:hAnsiTheme="minorHAnsi" w:cstheme="minorHAnsi"/>
          <w:sz w:val="20"/>
          <w:szCs w:val="20"/>
        </w:rPr>
        <w:t xml:space="preserve"> or thing, without the express permission of </w:t>
      </w:r>
      <w:r w:rsidR="009173AF" w:rsidRPr="007A15F4">
        <w:rPr>
          <w:rStyle w:val="A2"/>
          <w:rFonts w:asciiTheme="minorHAnsi" w:hAnsiTheme="minorHAnsi" w:cstheme="minorHAnsi"/>
          <w:sz w:val="20"/>
          <w:szCs w:val="20"/>
        </w:rPr>
        <w:t>Tetra Tech</w:t>
      </w:r>
      <w:r w:rsidRPr="007A15F4">
        <w:rPr>
          <w:rStyle w:val="A2"/>
          <w:rFonts w:asciiTheme="minorHAnsi" w:hAnsiTheme="minorHAnsi" w:cstheme="minorHAnsi"/>
          <w:sz w:val="20"/>
          <w:szCs w:val="20"/>
        </w:rPr>
        <w:t xml:space="preserve"> International Development Pty Ltd.</w:t>
      </w:r>
    </w:p>
    <w:p w14:paraId="2AE242F6" w14:textId="670F0455" w:rsidR="00B61235" w:rsidRDefault="00AB0B38" w:rsidP="00B61235">
      <w:pPr>
        <w:pStyle w:val="Pa9"/>
        <w:spacing w:before="40" w:after="100"/>
        <w:ind w:right="5102"/>
        <w:rPr>
          <w:rStyle w:val="A2"/>
          <w:rFonts w:asciiTheme="minorHAnsi" w:hAnsiTheme="minorHAnsi" w:cstheme="minorHAnsi"/>
          <w:sz w:val="20"/>
          <w:szCs w:val="20"/>
        </w:rPr>
      </w:pPr>
      <w:r>
        <w:rPr>
          <w:rStyle w:val="A2"/>
          <w:rFonts w:asciiTheme="minorHAnsi" w:hAnsiTheme="minorHAnsi" w:cstheme="minorHAnsi"/>
          <w:sz w:val="20"/>
          <w:szCs w:val="20"/>
        </w:rPr>
        <w:t>April</w:t>
      </w:r>
      <w:r w:rsidR="00B61235" w:rsidRPr="007A15F4">
        <w:rPr>
          <w:rStyle w:val="A2"/>
          <w:rFonts w:asciiTheme="minorHAnsi" w:hAnsiTheme="minorHAnsi" w:cstheme="minorHAnsi"/>
          <w:sz w:val="20"/>
          <w:szCs w:val="20"/>
        </w:rPr>
        <w:t xml:space="preserve"> 2021</w:t>
      </w:r>
    </w:p>
    <w:p w14:paraId="5219C224" w14:textId="0366EB1C" w:rsidR="00FB2B7B" w:rsidRPr="00FB2B7B" w:rsidRDefault="00FB2B7B" w:rsidP="00FB2B7B">
      <w:pPr>
        <w:rPr>
          <w:lang w:val="en-AU" w:eastAsia="en-AU"/>
        </w:rPr>
      </w:pPr>
    </w:p>
    <w:p w14:paraId="452FB39B" w14:textId="77777777" w:rsidR="00B61235" w:rsidRPr="007A15F4" w:rsidRDefault="00B61235" w:rsidP="00B61235">
      <w:pPr>
        <w:spacing w:line="240" w:lineRule="auto"/>
        <w:rPr>
          <w:rFonts w:ascii="Helvetica LT Std" w:hAnsi="Helvetica LT Std" w:cs="Arial"/>
          <w:b/>
          <w:color w:val="003478"/>
          <w:sz w:val="22"/>
          <w:lang w:val="en-AU"/>
        </w:rPr>
      </w:pPr>
      <w:r w:rsidRPr="007A15F4">
        <w:rPr>
          <w:rFonts w:ascii="Helvetica LT Std" w:hAnsi="Helvetica LT Std" w:cs="Arial"/>
          <w:b/>
          <w:color w:val="003478"/>
          <w:sz w:val="22"/>
          <w:lang w:val="en-AU"/>
        </w:rPr>
        <w:br w:type="page"/>
      </w:r>
    </w:p>
    <w:p w14:paraId="541CE156" w14:textId="082BDBBD" w:rsidR="0076552D" w:rsidRPr="007A15F4" w:rsidRDefault="0076552D" w:rsidP="00A15B44">
      <w:pPr>
        <w:pStyle w:val="CoverSheetTitle"/>
        <w:rPr>
          <w:lang w:val="en-AU"/>
        </w:rPr>
        <w:sectPr w:rsidR="0076552D" w:rsidRPr="007A15F4" w:rsidSect="00511E02">
          <w:pgSz w:w="12240" w:h="15840"/>
          <w:pgMar w:top="1440" w:right="1080" w:bottom="1440" w:left="1080" w:header="648" w:footer="648" w:gutter="0"/>
          <w:pgNumType w:fmt="lowerRoman" w:start="1"/>
          <w:cols w:space="720"/>
          <w:titlePg/>
          <w:docGrid w:linePitch="360"/>
        </w:sectPr>
      </w:pPr>
    </w:p>
    <w:sdt>
      <w:sdtPr>
        <w:rPr>
          <w:rFonts w:asciiTheme="majorHAnsi" w:hAnsiTheme="majorHAnsi" w:cstheme="majorHAnsi"/>
          <w:b w:val="0"/>
          <w:bCs w:val="0"/>
          <w:noProof/>
          <w:color w:val="auto"/>
          <w:sz w:val="20"/>
          <w:szCs w:val="20"/>
          <w:lang w:val="en-AU"/>
        </w:rPr>
        <w:id w:val="169153878"/>
        <w:docPartObj>
          <w:docPartGallery w:val="Table of Contents"/>
          <w:docPartUnique/>
        </w:docPartObj>
      </w:sdtPr>
      <w:sdtEndPr/>
      <w:sdtContent>
        <w:p w14:paraId="72FD7A4E" w14:textId="77777777" w:rsidR="00511E02" w:rsidRPr="007A15F4" w:rsidRDefault="00A51939">
          <w:pPr>
            <w:pStyle w:val="TOCHeading"/>
            <w:rPr>
              <w:lang w:val="en-AU"/>
            </w:rPr>
          </w:pPr>
          <w:r w:rsidRPr="007A15F4">
            <w:rPr>
              <w:lang w:val="en-AU"/>
            </w:rPr>
            <w:t>Table of contents</w:t>
          </w:r>
        </w:p>
        <w:p w14:paraId="4191897A" w14:textId="1C207B53" w:rsidR="00AB0B38" w:rsidRDefault="00A51939">
          <w:pPr>
            <w:pStyle w:val="TOC1"/>
            <w:rPr>
              <w:rFonts w:cstheme="minorBidi"/>
              <w:b w:val="0"/>
              <w:bCs w:val="0"/>
              <w:sz w:val="22"/>
              <w:szCs w:val="22"/>
              <w:lang w:val="en-AU" w:eastAsia="en-AU"/>
            </w:rPr>
          </w:pPr>
          <w:r w:rsidRPr="007A15F4">
            <w:rPr>
              <w:noProof w:val="0"/>
              <w:lang w:val="en-AU"/>
            </w:rPr>
            <w:fldChar w:fldCharType="begin"/>
          </w:r>
          <w:r w:rsidRPr="007A15F4">
            <w:rPr>
              <w:noProof w:val="0"/>
              <w:lang w:val="en-AU"/>
            </w:rPr>
            <w:instrText xml:space="preserve"> TOC \o "1-3" \h \z \u </w:instrText>
          </w:r>
          <w:r w:rsidRPr="007A15F4">
            <w:rPr>
              <w:noProof w:val="0"/>
              <w:lang w:val="en-AU"/>
            </w:rPr>
            <w:fldChar w:fldCharType="separate"/>
          </w:r>
          <w:hyperlink w:anchor="_Toc70068192" w:history="1">
            <w:r w:rsidR="00AB0B38" w:rsidRPr="005D0C28">
              <w:rPr>
                <w:rStyle w:val="Hyperlink"/>
                <w:lang w:val="en-AU"/>
              </w:rPr>
              <w:t>Executive Summary</w:t>
            </w:r>
            <w:r w:rsidR="00AB0B38">
              <w:rPr>
                <w:webHidden/>
              </w:rPr>
              <w:tab/>
            </w:r>
            <w:r w:rsidR="00AB0B38">
              <w:rPr>
                <w:webHidden/>
              </w:rPr>
              <w:fldChar w:fldCharType="begin"/>
            </w:r>
            <w:r w:rsidR="00AB0B38">
              <w:rPr>
                <w:webHidden/>
              </w:rPr>
              <w:instrText xml:space="preserve"> PAGEREF _Toc70068192 \h </w:instrText>
            </w:r>
            <w:r w:rsidR="00AB0B38">
              <w:rPr>
                <w:webHidden/>
              </w:rPr>
            </w:r>
            <w:r w:rsidR="00AB0B38">
              <w:rPr>
                <w:webHidden/>
              </w:rPr>
              <w:fldChar w:fldCharType="separate"/>
            </w:r>
            <w:r w:rsidR="00AB0B38">
              <w:rPr>
                <w:webHidden/>
              </w:rPr>
              <w:t>iii</w:t>
            </w:r>
            <w:r w:rsidR="00AB0B38">
              <w:rPr>
                <w:webHidden/>
              </w:rPr>
              <w:fldChar w:fldCharType="end"/>
            </w:r>
          </w:hyperlink>
        </w:p>
        <w:p w14:paraId="0753DD59" w14:textId="5A3BD6C9" w:rsidR="00AB0B38" w:rsidRDefault="007A78E8">
          <w:pPr>
            <w:pStyle w:val="TOC1"/>
            <w:rPr>
              <w:rFonts w:cstheme="minorBidi"/>
              <w:b w:val="0"/>
              <w:bCs w:val="0"/>
              <w:sz w:val="22"/>
              <w:szCs w:val="22"/>
              <w:lang w:val="en-AU" w:eastAsia="en-AU"/>
            </w:rPr>
          </w:pPr>
          <w:hyperlink w:anchor="_Toc70068193" w:history="1">
            <w:r w:rsidR="00AB0B38" w:rsidRPr="005D0C28">
              <w:rPr>
                <w:rStyle w:val="Hyperlink"/>
                <w:lang w:val="en-AU"/>
              </w:rPr>
              <w:t>1</w:t>
            </w:r>
            <w:r w:rsidR="00AB0B38">
              <w:rPr>
                <w:rFonts w:cstheme="minorBidi"/>
                <w:b w:val="0"/>
                <w:bCs w:val="0"/>
                <w:sz w:val="22"/>
                <w:szCs w:val="22"/>
                <w:lang w:val="en-AU" w:eastAsia="en-AU"/>
              </w:rPr>
              <w:tab/>
            </w:r>
            <w:r w:rsidR="00AB0B38" w:rsidRPr="005D0C28">
              <w:rPr>
                <w:rStyle w:val="Hyperlink"/>
                <w:lang w:val="en-AU"/>
              </w:rPr>
              <w:t>Introduction</w:t>
            </w:r>
            <w:r w:rsidR="00AB0B38">
              <w:rPr>
                <w:webHidden/>
              </w:rPr>
              <w:tab/>
            </w:r>
            <w:r w:rsidR="00AB0B38">
              <w:rPr>
                <w:webHidden/>
              </w:rPr>
              <w:fldChar w:fldCharType="begin"/>
            </w:r>
            <w:r w:rsidR="00AB0B38">
              <w:rPr>
                <w:webHidden/>
              </w:rPr>
              <w:instrText xml:space="preserve"> PAGEREF _Toc70068193 \h </w:instrText>
            </w:r>
            <w:r w:rsidR="00AB0B38">
              <w:rPr>
                <w:webHidden/>
              </w:rPr>
            </w:r>
            <w:r w:rsidR="00AB0B38">
              <w:rPr>
                <w:webHidden/>
              </w:rPr>
              <w:fldChar w:fldCharType="separate"/>
            </w:r>
            <w:r w:rsidR="00AB0B38">
              <w:rPr>
                <w:webHidden/>
              </w:rPr>
              <w:t>1</w:t>
            </w:r>
            <w:r w:rsidR="00AB0B38">
              <w:rPr>
                <w:webHidden/>
              </w:rPr>
              <w:fldChar w:fldCharType="end"/>
            </w:r>
          </w:hyperlink>
        </w:p>
        <w:p w14:paraId="375F5282" w14:textId="492E6AD0" w:rsidR="00AB0B38" w:rsidRDefault="007A78E8">
          <w:pPr>
            <w:pStyle w:val="TOC1"/>
            <w:rPr>
              <w:rFonts w:cstheme="minorBidi"/>
              <w:b w:val="0"/>
              <w:bCs w:val="0"/>
              <w:sz w:val="22"/>
              <w:szCs w:val="22"/>
              <w:lang w:val="en-AU" w:eastAsia="en-AU"/>
            </w:rPr>
          </w:pPr>
          <w:hyperlink w:anchor="_Toc70068194" w:history="1">
            <w:r w:rsidR="00AB0B38" w:rsidRPr="005D0C28">
              <w:rPr>
                <w:rStyle w:val="Hyperlink"/>
                <w:lang w:val="en-AU"/>
              </w:rPr>
              <w:t>2</w:t>
            </w:r>
            <w:r w:rsidR="00AB0B38">
              <w:rPr>
                <w:rFonts w:cstheme="minorBidi"/>
                <w:b w:val="0"/>
                <w:bCs w:val="0"/>
                <w:sz w:val="22"/>
                <w:szCs w:val="22"/>
                <w:lang w:val="en-AU" w:eastAsia="en-AU"/>
              </w:rPr>
              <w:tab/>
            </w:r>
            <w:r w:rsidR="00AB0B38" w:rsidRPr="005D0C28">
              <w:rPr>
                <w:rStyle w:val="Hyperlink"/>
                <w:lang w:val="en-AU"/>
              </w:rPr>
              <w:t>The History and Evolution of the Australian Volunteers Program</w:t>
            </w:r>
            <w:r w:rsidR="00AB0B38">
              <w:rPr>
                <w:webHidden/>
              </w:rPr>
              <w:tab/>
            </w:r>
            <w:r w:rsidR="00AB0B38">
              <w:rPr>
                <w:webHidden/>
              </w:rPr>
              <w:fldChar w:fldCharType="begin"/>
            </w:r>
            <w:r w:rsidR="00AB0B38">
              <w:rPr>
                <w:webHidden/>
              </w:rPr>
              <w:instrText xml:space="preserve"> PAGEREF _Toc70068194 \h </w:instrText>
            </w:r>
            <w:r w:rsidR="00AB0B38">
              <w:rPr>
                <w:webHidden/>
              </w:rPr>
            </w:r>
            <w:r w:rsidR="00AB0B38">
              <w:rPr>
                <w:webHidden/>
              </w:rPr>
              <w:fldChar w:fldCharType="separate"/>
            </w:r>
            <w:r w:rsidR="00AB0B38">
              <w:rPr>
                <w:webHidden/>
              </w:rPr>
              <w:t>2</w:t>
            </w:r>
            <w:r w:rsidR="00AB0B38">
              <w:rPr>
                <w:webHidden/>
              </w:rPr>
              <w:fldChar w:fldCharType="end"/>
            </w:r>
          </w:hyperlink>
        </w:p>
        <w:p w14:paraId="5EED2163" w14:textId="280A6C03" w:rsidR="00AB0B38" w:rsidRDefault="007A78E8">
          <w:pPr>
            <w:pStyle w:val="TOC2"/>
            <w:tabs>
              <w:tab w:val="left" w:pos="992"/>
            </w:tabs>
            <w:rPr>
              <w:rFonts w:asciiTheme="minorHAnsi" w:hAnsiTheme="minorHAnsi" w:cstheme="minorBidi"/>
              <w:sz w:val="22"/>
              <w:szCs w:val="22"/>
              <w:lang w:val="en-AU" w:eastAsia="en-AU"/>
            </w:rPr>
          </w:pPr>
          <w:hyperlink w:anchor="_Toc70068195" w:history="1">
            <w:r w:rsidR="00AB0B38" w:rsidRPr="005D0C28">
              <w:rPr>
                <w:rStyle w:val="Hyperlink"/>
                <w:lang w:val="en-AU"/>
              </w:rPr>
              <w:t>2.1</w:t>
            </w:r>
            <w:r w:rsidR="00AB0B38">
              <w:rPr>
                <w:rFonts w:asciiTheme="minorHAnsi" w:hAnsiTheme="minorHAnsi" w:cstheme="minorBidi"/>
                <w:sz w:val="22"/>
                <w:szCs w:val="22"/>
                <w:lang w:val="en-AU" w:eastAsia="en-AU"/>
              </w:rPr>
              <w:tab/>
            </w:r>
            <w:r w:rsidR="00AB0B38" w:rsidRPr="005D0C28">
              <w:rPr>
                <w:rStyle w:val="Hyperlink"/>
                <w:lang w:val="en-AU"/>
              </w:rPr>
              <w:t>History</w:t>
            </w:r>
            <w:r w:rsidR="00AB0B38">
              <w:rPr>
                <w:webHidden/>
              </w:rPr>
              <w:tab/>
            </w:r>
            <w:r w:rsidR="00AB0B38">
              <w:rPr>
                <w:webHidden/>
              </w:rPr>
              <w:fldChar w:fldCharType="begin"/>
            </w:r>
            <w:r w:rsidR="00AB0B38">
              <w:rPr>
                <w:webHidden/>
              </w:rPr>
              <w:instrText xml:space="preserve"> PAGEREF _Toc70068195 \h </w:instrText>
            </w:r>
            <w:r w:rsidR="00AB0B38">
              <w:rPr>
                <w:webHidden/>
              </w:rPr>
            </w:r>
            <w:r w:rsidR="00AB0B38">
              <w:rPr>
                <w:webHidden/>
              </w:rPr>
              <w:fldChar w:fldCharType="separate"/>
            </w:r>
            <w:r w:rsidR="00AB0B38">
              <w:rPr>
                <w:webHidden/>
              </w:rPr>
              <w:t>2</w:t>
            </w:r>
            <w:r w:rsidR="00AB0B38">
              <w:rPr>
                <w:webHidden/>
              </w:rPr>
              <w:fldChar w:fldCharType="end"/>
            </w:r>
          </w:hyperlink>
        </w:p>
        <w:p w14:paraId="4A26BCD7" w14:textId="6D800E5D" w:rsidR="00AB0B38" w:rsidRDefault="007A78E8">
          <w:pPr>
            <w:pStyle w:val="TOC2"/>
            <w:tabs>
              <w:tab w:val="left" w:pos="992"/>
            </w:tabs>
            <w:rPr>
              <w:rFonts w:asciiTheme="minorHAnsi" w:hAnsiTheme="minorHAnsi" w:cstheme="minorBidi"/>
              <w:sz w:val="22"/>
              <w:szCs w:val="22"/>
              <w:lang w:val="en-AU" w:eastAsia="en-AU"/>
            </w:rPr>
          </w:pPr>
          <w:hyperlink w:anchor="_Toc70068196" w:history="1">
            <w:r w:rsidR="00AB0B38" w:rsidRPr="005D0C28">
              <w:rPr>
                <w:rStyle w:val="Hyperlink"/>
                <w:lang w:val="en-AU" w:eastAsia="en-AU"/>
              </w:rPr>
              <w:t>2.2</w:t>
            </w:r>
            <w:r w:rsidR="00AB0B38">
              <w:rPr>
                <w:rFonts w:asciiTheme="minorHAnsi" w:hAnsiTheme="minorHAnsi" w:cstheme="minorBidi"/>
                <w:sz w:val="22"/>
                <w:szCs w:val="22"/>
                <w:lang w:val="en-AU" w:eastAsia="en-AU"/>
              </w:rPr>
              <w:tab/>
            </w:r>
            <w:r w:rsidR="00AB0B38" w:rsidRPr="005D0C28">
              <w:rPr>
                <w:rStyle w:val="Hyperlink"/>
                <w:lang w:val="en-AU" w:eastAsia="en-AU"/>
              </w:rPr>
              <w:t>Evolution</w:t>
            </w:r>
            <w:r w:rsidR="00AB0B38">
              <w:rPr>
                <w:webHidden/>
              </w:rPr>
              <w:tab/>
            </w:r>
            <w:r w:rsidR="00AB0B38">
              <w:rPr>
                <w:webHidden/>
              </w:rPr>
              <w:fldChar w:fldCharType="begin"/>
            </w:r>
            <w:r w:rsidR="00AB0B38">
              <w:rPr>
                <w:webHidden/>
              </w:rPr>
              <w:instrText xml:space="preserve"> PAGEREF _Toc70068196 \h </w:instrText>
            </w:r>
            <w:r w:rsidR="00AB0B38">
              <w:rPr>
                <w:webHidden/>
              </w:rPr>
            </w:r>
            <w:r w:rsidR="00AB0B38">
              <w:rPr>
                <w:webHidden/>
              </w:rPr>
              <w:fldChar w:fldCharType="separate"/>
            </w:r>
            <w:r w:rsidR="00AB0B38">
              <w:rPr>
                <w:webHidden/>
              </w:rPr>
              <w:t>2</w:t>
            </w:r>
            <w:r w:rsidR="00AB0B38">
              <w:rPr>
                <w:webHidden/>
              </w:rPr>
              <w:fldChar w:fldCharType="end"/>
            </w:r>
          </w:hyperlink>
        </w:p>
        <w:p w14:paraId="4B2750D5" w14:textId="7CD9E3C2" w:rsidR="00AB0B38" w:rsidRDefault="007A78E8">
          <w:pPr>
            <w:pStyle w:val="TOC2"/>
            <w:tabs>
              <w:tab w:val="left" w:pos="992"/>
            </w:tabs>
            <w:rPr>
              <w:rFonts w:asciiTheme="minorHAnsi" w:hAnsiTheme="minorHAnsi" w:cstheme="minorBidi"/>
              <w:sz w:val="22"/>
              <w:szCs w:val="22"/>
              <w:lang w:val="en-AU" w:eastAsia="en-AU"/>
            </w:rPr>
          </w:pPr>
          <w:hyperlink w:anchor="_Toc70068197" w:history="1">
            <w:r w:rsidR="00AB0B38" w:rsidRPr="005D0C28">
              <w:rPr>
                <w:rStyle w:val="Hyperlink"/>
                <w:lang w:val="en-AU" w:eastAsia="en-AU"/>
              </w:rPr>
              <w:t>2.3</w:t>
            </w:r>
            <w:r w:rsidR="00AB0B38">
              <w:rPr>
                <w:rFonts w:asciiTheme="minorHAnsi" w:hAnsiTheme="minorHAnsi" w:cstheme="minorBidi"/>
                <w:sz w:val="22"/>
                <w:szCs w:val="22"/>
                <w:lang w:val="en-AU" w:eastAsia="en-AU"/>
              </w:rPr>
              <w:tab/>
            </w:r>
            <w:r w:rsidR="00AB0B38" w:rsidRPr="005D0C28">
              <w:rPr>
                <w:rStyle w:val="Hyperlink"/>
                <w:lang w:val="en-AU" w:eastAsia="en-AU"/>
              </w:rPr>
              <w:t>Today</w:t>
            </w:r>
            <w:r w:rsidR="00AB0B38">
              <w:rPr>
                <w:webHidden/>
              </w:rPr>
              <w:tab/>
            </w:r>
            <w:r w:rsidR="00AB0B38">
              <w:rPr>
                <w:webHidden/>
              </w:rPr>
              <w:fldChar w:fldCharType="begin"/>
            </w:r>
            <w:r w:rsidR="00AB0B38">
              <w:rPr>
                <w:webHidden/>
              </w:rPr>
              <w:instrText xml:space="preserve"> PAGEREF _Toc70068197 \h </w:instrText>
            </w:r>
            <w:r w:rsidR="00AB0B38">
              <w:rPr>
                <w:webHidden/>
              </w:rPr>
            </w:r>
            <w:r w:rsidR="00AB0B38">
              <w:rPr>
                <w:webHidden/>
              </w:rPr>
              <w:fldChar w:fldCharType="separate"/>
            </w:r>
            <w:r w:rsidR="00AB0B38">
              <w:rPr>
                <w:webHidden/>
              </w:rPr>
              <w:t>3</w:t>
            </w:r>
            <w:r w:rsidR="00AB0B38">
              <w:rPr>
                <w:webHidden/>
              </w:rPr>
              <w:fldChar w:fldCharType="end"/>
            </w:r>
          </w:hyperlink>
        </w:p>
        <w:p w14:paraId="3E54D538" w14:textId="0745B276" w:rsidR="00AB0B38" w:rsidRDefault="007A78E8">
          <w:pPr>
            <w:pStyle w:val="TOC1"/>
            <w:rPr>
              <w:rFonts w:cstheme="minorBidi"/>
              <w:b w:val="0"/>
              <w:bCs w:val="0"/>
              <w:sz w:val="22"/>
              <w:szCs w:val="22"/>
              <w:lang w:val="en-AU" w:eastAsia="en-AU"/>
            </w:rPr>
          </w:pPr>
          <w:hyperlink w:anchor="_Toc70068198" w:history="1">
            <w:r w:rsidR="00AB0B38" w:rsidRPr="005D0C28">
              <w:rPr>
                <w:rStyle w:val="Hyperlink"/>
                <w:lang w:val="en-AU"/>
              </w:rPr>
              <w:t>3</w:t>
            </w:r>
            <w:r w:rsidR="00AB0B38">
              <w:rPr>
                <w:rFonts w:cstheme="minorBidi"/>
                <w:b w:val="0"/>
                <w:bCs w:val="0"/>
                <w:sz w:val="22"/>
                <w:szCs w:val="22"/>
                <w:lang w:val="en-AU" w:eastAsia="en-AU"/>
              </w:rPr>
              <w:tab/>
            </w:r>
            <w:r w:rsidR="00AB0B38" w:rsidRPr="005D0C28">
              <w:rPr>
                <w:rStyle w:val="Hyperlink"/>
                <w:lang w:val="en-AU"/>
              </w:rPr>
              <w:t>Summary of volunteer programs in donor countries interviewed</w:t>
            </w:r>
            <w:r w:rsidR="00AB0B38">
              <w:rPr>
                <w:webHidden/>
              </w:rPr>
              <w:tab/>
            </w:r>
            <w:r w:rsidR="00AB0B38">
              <w:rPr>
                <w:webHidden/>
              </w:rPr>
              <w:fldChar w:fldCharType="begin"/>
            </w:r>
            <w:r w:rsidR="00AB0B38">
              <w:rPr>
                <w:webHidden/>
              </w:rPr>
              <w:instrText xml:space="preserve"> PAGEREF _Toc70068198 \h </w:instrText>
            </w:r>
            <w:r w:rsidR="00AB0B38">
              <w:rPr>
                <w:webHidden/>
              </w:rPr>
            </w:r>
            <w:r w:rsidR="00AB0B38">
              <w:rPr>
                <w:webHidden/>
              </w:rPr>
              <w:fldChar w:fldCharType="separate"/>
            </w:r>
            <w:r w:rsidR="00AB0B38">
              <w:rPr>
                <w:webHidden/>
              </w:rPr>
              <w:t>4</w:t>
            </w:r>
            <w:r w:rsidR="00AB0B38">
              <w:rPr>
                <w:webHidden/>
              </w:rPr>
              <w:fldChar w:fldCharType="end"/>
            </w:r>
          </w:hyperlink>
        </w:p>
        <w:p w14:paraId="57849704" w14:textId="00E21858" w:rsidR="00AB0B38" w:rsidRDefault="007A78E8">
          <w:pPr>
            <w:pStyle w:val="TOC2"/>
            <w:tabs>
              <w:tab w:val="left" w:pos="992"/>
            </w:tabs>
            <w:rPr>
              <w:rFonts w:asciiTheme="minorHAnsi" w:hAnsiTheme="minorHAnsi" w:cstheme="minorBidi"/>
              <w:sz w:val="22"/>
              <w:szCs w:val="22"/>
              <w:lang w:val="en-AU" w:eastAsia="en-AU"/>
            </w:rPr>
          </w:pPr>
          <w:hyperlink w:anchor="_Toc70068199" w:history="1">
            <w:r w:rsidR="00AB0B38" w:rsidRPr="005D0C28">
              <w:rPr>
                <w:rStyle w:val="Hyperlink"/>
                <w:lang w:val="en-AU"/>
              </w:rPr>
              <w:t>3.1</w:t>
            </w:r>
            <w:r w:rsidR="00AB0B38">
              <w:rPr>
                <w:rFonts w:asciiTheme="minorHAnsi" w:hAnsiTheme="minorHAnsi" w:cstheme="minorBidi"/>
                <w:sz w:val="22"/>
                <w:szCs w:val="22"/>
                <w:lang w:val="en-AU" w:eastAsia="en-AU"/>
              </w:rPr>
              <w:tab/>
            </w:r>
            <w:r w:rsidR="00AB0B38" w:rsidRPr="005D0C28">
              <w:rPr>
                <w:rStyle w:val="Hyperlink"/>
                <w:lang w:val="en-AU"/>
              </w:rPr>
              <w:t>New Zealand, Volunteer Service Abroad</w:t>
            </w:r>
            <w:r w:rsidR="00AB0B38">
              <w:rPr>
                <w:webHidden/>
              </w:rPr>
              <w:tab/>
            </w:r>
            <w:r w:rsidR="00AB0B38">
              <w:rPr>
                <w:webHidden/>
              </w:rPr>
              <w:fldChar w:fldCharType="begin"/>
            </w:r>
            <w:r w:rsidR="00AB0B38">
              <w:rPr>
                <w:webHidden/>
              </w:rPr>
              <w:instrText xml:space="preserve"> PAGEREF _Toc70068199 \h </w:instrText>
            </w:r>
            <w:r w:rsidR="00AB0B38">
              <w:rPr>
                <w:webHidden/>
              </w:rPr>
            </w:r>
            <w:r w:rsidR="00AB0B38">
              <w:rPr>
                <w:webHidden/>
              </w:rPr>
              <w:fldChar w:fldCharType="separate"/>
            </w:r>
            <w:r w:rsidR="00AB0B38">
              <w:rPr>
                <w:webHidden/>
              </w:rPr>
              <w:t>4</w:t>
            </w:r>
            <w:r w:rsidR="00AB0B38">
              <w:rPr>
                <w:webHidden/>
              </w:rPr>
              <w:fldChar w:fldCharType="end"/>
            </w:r>
          </w:hyperlink>
        </w:p>
        <w:p w14:paraId="14A24DD8" w14:textId="3F7A30A2" w:rsidR="00AB0B38" w:rsidRDefault="007A78E8">
          <w:pPr>
            <w:pStyle w:val="TOC3"/>
            <w:tabs>
              <w:tab w:val="left" w:pos="1701"/>
            </w:tabs>
            <w:rPr>
              <w:rFonts w:asciiTheme="minorHAnsi" w:hAnsiTheme="minorHAnsi" w:cstheme="minorBidi"/>
              <w:sz w:val="22"/>
              <w:szCs w:val="22"/>
              <w:lang w:val="en-AU" w:eastAsia="en-AU"/>
            </w:rPr>
          </w:pPr>
          <w:hyperlink w:anchor="_Toc70068200" w:history="1">
            <w:r w:rsidR="00AB0B38" w:rsidRPr="005D0C28">
              <w:rPr>
                <w:rStyle w:val="Hyperlink"/>
                <w:lang w:val="en-AU"/>
                <w14:scene3d>
                  <w14:camera w14:prst="orthographicFront"/>
                  <w14:lightRig w14:rig="threePt" w14:dir="t">
                    <w14:rot w14:lat="0" w14:lon="0" w14:rev="0"/>
                  </w14:lightRig>
                </w14:scene3d>
              </w:rPr>
              <w:t>3.1.1</w:t>
            </w:r>
            <w:r w:rsidR="00AB0B38">
              <w:rPr>
                <w:rFonts w:asciiTheme="minorHAnsi" w:hAnsiTheme="minorHAnsi" w:cstheme="minorBidi"/>
                <w:sz w:val="22"/>
                <w:szCs w:val="22"/>
                <w:lang w:val="en-AU" w:eastAsia="en-AU"/>
              </w:rPr>
              <w:tab/>
            </w:r>
            <w:r w:rsidR="00AB0B38" w:rsidRPr="005D0C28">
              <w:rPr>
                <w:rStyle w:val="Hyperlink"/>
                <w:lang w:val="en-AU"/>
              </w:rPr>
              <w:t>At a glance</w:t>
            </w:r>
            <w:r w:rsidR="00AB0B38">
              <w:rPr>
                <w:webHidden/>
              </w:rPr>
              <w:tab/>
            </w:r>
            <w:r w:rsidR="00AB0B38">
              <w:rPr>
                <w:webHidden/>
              </w:rPr>
              <w:fldChar w:fldCharType="begin"/>
            </w:r>
            <w:r w:rsidR="00AB0B38">
              <w:rPr>
                <w:webHidden/>
              </w:rPr>
              <w:instrText xml:space="preserve"> PAGEREF _Toc70068200 \h </w:instrText>
            </w:r>
            <w:r w:rsidR="00AB0B38">
              <w:rPr>
                <w:webHidden/>
              </w:rPr>
            </w:r>
            <w:r w:rsidR="00AB0B38">
              <w:rPr>
                <w:webHidden/>
              </w:rPr>
              <w:fldChar w:fldCharType="separate"/>
            </w:r>
            <w:r w:rsidR="00AB0B38">
              <w:rPr>
                <w:webHidden/>
              </w:rPr>
              <w:t>4</w:t>
            </w:r>
            <w:r w:rsidR="00AB0B38">
              <w:rPr>
                <w:webHidden/>
              </w:rPr>
              <w:fldChar w:fldCharType="end"/>
            </w:r>
          </w:hyperlink>
        </w:p>
        <w:p w14:paraId="319125B2" w14:textId="07FF7DD2" w:rsidR="00AB0B38" w:rsidRDefault="007A78E8">
          <w:pPr>
            <w:pStyle w:val="TOC3"/>
            <w:tabs>
              <w:tab w:val="left" w:pos="1701"/>
            </w:tabs>
            <w:rPr>
              <w:rFonts w:asciiTheme="minorHAnsi" w:hAnsiTheme="minorHAnsi" w:cstheme="minorBidi"/>
              <w:sz w:val="22"/>
              <w:szCs w:val="22"/>
              <w:lang w:val="en-AU" w:eastAsia="en-AU"/>
            </w:rPr>
          </w:pPr>
          <w:hyperlink w:anchor="_Toc70068201" w:history="1">
            <w:r w:rsidR="00AB0B38" w:rsidRPr="005D0C28">
              <w:rPr>
                <w:rStyle w:val="Hyperlink"/>
                <w:lang w:val="en-AU"/>
                <w14:scene3d>
                  <w14:camera w14:prst="orthographicFront"/>
                  <w14:lightRig w14:rig="threePt" w14:dir="t">
                    <w14:rot w14:lat="0" w14:lon="0" w14:rev="0"/>
                  </w14:lightRig>
                </w14:scene3d>
              </w:rPr>
              <w:t>3.1.2</w:t>
            </w:r>
            <w:r w:rsidR="00AB0B38">
              <w:rPr>
                <w:rFonts w:asciiTheme="minorHAnsi" w:hAnsiTheme="minorHAnsi" w:cstheme="minorBidi"/>
                <w:sz w:val="22"/>
                <w:szCs w:val="22"/>
                <w:lang w:val="en-AU" w:eastAsia="en-AU"/>
              </w:rPr>
              <w:tab/>
            </w:r>
            <w:r w:rsidR="00AB0B38" w:rsidRPr="005D0C28">
              <w:rPr>
                <w:rStyle w:val="Hyperlink"/>
                <w:lang w:val="en-AU"/>
              </w:rPr>
              <w:t>Program summary</w:t>
            </w:r>
            <w:r w:rsidR="00AB0B38">
              <w:rPr>
                <w:webHidden/>
              </w:rPr>
              <w:tab/>
            </w:r>
            <w:r w:rsidR="00AB0B38">
              <w:rPr>
                <w:webHidden/>
              </w:rPr>
              <w:fldChar w:fldCharType="begin"/>
            </w:r>
            <w:r w:rsidR="00AB0B38">
              <w:rPr>
                <w:webHidden/>
              </w:rPr>
              <w:instrText xml:space="preserve"> PAGEREF _Toc70068201 \h </w:instrText>
            </w:r>
            <w:r w:rsidR="00AB0B38">
              <w:rPr>
                <w:webHidden/>
              </w:rPr>
            </w:r>
            <w:r w:rsidR="00AB0B38">
              <w:rPr>
                <w:webHidden/>
              </w:rPr>
              <w:fldChar w:fldCharType="separate"/>
            </w:r>
            <w:r w:rsidR="00AB0B38">
              <w:rPr>
                <w:webHidden/>
              </w:rPr>
              <w:t>4</w:t>
            </w:r>
            <w:r w:rsidR="00AB0B38">
              <w:rPr>
                <w:webHidden/>
              </w:rPr>
              <w:fldChar w:fldCharType="end"/>
            </w:r>
          </w:hyperlink>
        </w:p>
        <w:p w14:paraId="285FE96B" w14:textId="2ED1DCAE" w:rsidR="00AB0B38" w:rsidRDefault="007A78E8">
          <w:pPr>
            <w:pStyle w:val="TOC2"/>
            <w:tabs>
              <w:tab w:val="left" w:pos="992"/>
            </w:tabs>
            <w:rPr>
              <w:rFonts w:asciiTheme="minorHAnsi" w:hAnsiTheme="minorHAnsi" w:cstheme="minorBidi"/>
              <w:sz w:val="22"/>
              <w:szCs w:val="22"/>
              <w:lang w:val="en-AU" w:eastAsia="en-AU"/>
            </w:rPr>
          </w:pPr>
          <w:hyperlink w:anchor="_Toc70068202" w:history="1">
            <w:r w:rsidR="00AB0B38" w:rsidRPr="005D0C28">
              <w:rPr>
                <w:rStyle w:val="Hyperlink"/>
                <w:lang w:val="en-AU"/>
              </w:rPr>
              <w:t>3.2</w:t>
            </w:r>
            <w:r w:rsidR="00AB0B38">
              <w:rPr>
                <w:rFonts w:asciiTheme="minorHAnsi" w:hAnsiTheme="minorHAnsi" w:cstheme="minorBidi"/>
                <w:sz w:val="22"/>
                <w:szCs w:val="22"/>
                <w:lang w:val="en-AU" w:eastAsia="en-AU"/>
              </w:rPr>
              <w:tab/>
            </w:r>
            <w:r w:rsidR="00AB0B38" w:rsidRPr="005D0C28">
              <w:rPr>
                <w:rStyle w:val="Hyperlink"/>
                <w:lang w:val="en-AU"/>
              </w:rPr>
              <w:t>Canada, Volunteer Cooperation Program</w:t>
            </w:r>
            <w:r w:rsidR="00AB0B38">
              <w:rPr>
                <w:webHidden/>
              </w:rPr>
              <w:tab/>
            </w:r>
            <w:r w:rsidR="00AB0B38">
              <w:rPr>
                <w:webHidden/>
              </w:rPr>
              <w:fldChar w:fldCharType="begin"/>
            </w:r>
            <w:r w:rsidR="00AB0B38">
              <w:rPr>
                <w:webHidden/>
              </w:rPr>
              <w:instrText xml:space="preserve"> PAGEREF _Toc70068202 \h </w:instrText>
            </w:r>
            <w:r w:rsidR="00AB0B38">
              <w:rPr>
                <w:webHidden/>
              </w:rPr>
            </w:r>
            <w:r w:rsidR="00AB0B38">
              <w:rPr>
                <w:webHidden/>
              </w:rPr>
              <w:fldChar w:fldCharType="separate"/>
            </w:r>
            <w:r w:rsidR="00AB0B38">
              <w:rPr>
                <w:webHidden/>
              </w:rPr>
              <w:t>6</w:t>
            </w:r>
            <w:r w:rsidR="00AB0B38">
              <w:rPr>
                <w:webHidden/>
              </w:rPr>
              <w:fldChar w:fldCharType="end"/>
            </w:r>
          </w:hyperlink>
        </w:p>
        <w:p w14:paraId="028A79DA" w14:textId="2B6D52F5" w:rsidR="00AB0B38" w:rsidRDefault="007A78E8">
          <w:pPr>
            <w:pStyle w:val="TOC3"/>
            <w:tabs>
              <w:tab w:val="left" w:pos="1701"/>
            </w:tabs>
            <w:rPr>
              <w:rFonts w:asciiTheme="minorHAnsi" w:hAnsiTheme="minorHAnsi" w:cstheme="minorBidi"/>
              <w:sz w:val="22"/>
              <w:szCs w:val="22"/>
              <w:lang w:val="en-AU" w:eastAsia="en-AU"/>
            </w:rPr>
          </w:pPr>
          <w:hyperlink w:anchor="_Toc70068203" w:history="1">
            <w:r w:rsidR="00AB0B38" w:rsidRPr="005D0C28">
              <w:rPr>
                <w:rStyle w:val="Hyperlink"/>
                <w:lang w:val="en-AU"/>
                <w14:scene3d>
                  <w14:camera w14:prst="orthographicFront"/>
                  <w14:lightRig w14:rig="threePt" w14:dir="t">
                    <w14:rot w14:lat="0" w14:lon="0" w14:rev="0"/>
                  </w14:lightRig>
                </w14:scene3d>
              </w:rPr>
              <w:t>3.2.1</w:t>
            </w:r>
            <w:r w:rsidR="00AB0B38">
              <w:rPr>
                <w:rFonts w:asciiTheme="minorHAnsi" w:hAnsiTheme="minorHAnsi" w:cstheme="minorBidi"/>
                <w:sz w:val="22"/>
                <w:szCs w:val="22"/>
                <w:lang w:val="en-AU" w:eastAsia="en-AU"/>
              </w:rPr>
              <w:tab/>
            </w:r>
            <w:r w:rsidR="00AB0B38" w:rsidRPr="005D0C28">
              <w:rPr>
                <w:rStyle w:val="Hyperlink"/>
                <w:lang w:val="en-AU"/>
              </w:rPr>
              <w:t>At a glance</w:t>
            </w:r>
            <w:r w:rsidR="00AB0B38">
              <w:rPr>
                <w:webHidden/>
              </w:rPr>
              <w:tab/>
            </w:r>
            <w:r w:rsidR="00AB0B38">
              <w:rPr>
                <w:webHidden/>
              </w:rPr>
              <w:fldChar w:fldCharType="begin"/>
            </w:r>
            <w:r w:rsidR="00AB0B38">
              <w:rPr>
                <w:webHidden/>
              </w:rPr>
              <w:instrText xml:space="preserve"> PAGEREF _Toc70068203 \h </w:instrText>
            </w:r>
            <w:r w:rsidR="00AB0B38">
              <w:rPr>
                <w:webHidden/>
              </w:rPr>
            </w:r>
            <w:r w:rsidR="00AB0B38">
              <w:rPr>
                <w:webHidden/>
              </w:rPr>
              <w:fldChar w:fldCharType="separate"/>
            </w:r>
            <w:r w:rsidR="00AB0B38">
              <w:rPr>
                <w:webHidden/>
              </w:rPr>
              <w:t>6</w:t>
            </w:r>
            <w:r w:rsidR="00AB0B38">
              <w:rPr>
                <w:webHidden/>
              </w:rPr>
              <w:fldChar w:fldCharType="end"/>
            </w:r>
          </w:hyperlink>
        </w:p>
        <w:p w14:paraId="15715AB8" w14:textId="5BA05852" w:rsidR="00AB0B38" w:rsidRDefault="007A78E8">
          <w:pPr>
            <w:pStyle w:val="TOC3"/>
            <w:tabs>
              <w:tab w:val="left" w:pos="1701"/>
            </w:tabs>
            <w:rPr>
              <w:rFonts w:asciiTheme="minorHAnsi" w:hAnsiTheme="minorHAnsi" w:cstheme="minorBidi"/>
              <w:sz w:val="22"/>
              <w:szCs w:val="22"/>
              <w:lang w:val="en-AU" w:eastAsia="en-AU"/>
            </w:rPr>
          </w:pPr>
          <w:hyperlink w:anchor="_Toc70068204" w:history="1">
            <w:r w:rsidR="00AB0B38" w:rsidRPr="005D0C28">
              <w:rPr>
                <w:rStyle w:val="Hyperlink"/>
                <w:lang w:val="en-AU"/>
                <w14:scene3d>
                  <w14:camera w14:prst="orthographicFront"/>
                  <w14:lightRig w14:rig="threePt" w14:dir="t">
                    <w14:rot w14:lat="0" w14:lon="0" w14:rev="0"/>
                  </w14:lightRig>
                </w14:scene3d>
              </w:rPr>
              <w:t>3.2.2</w:t>
            </w:r>
            <w:r w:rsidR="00AB0B38">
              <w:rPr>
                <w:rFonts w:asciiTheme="minorHAnsi" w:hAnsiTheme="minorHAnsi" w:cstheme="minorBidi"/>
                <w:sz w:val="22"/>
                <w:szCs w:val="22"/>
                <w:lang w:val="en-AU" w:eastAsia="en-AU"/>
              </w:rPr>
              <w:tab/>
            </w:r>
            <w:r w:rsidR="00AB0B38" w:rsidRPr="005D0C28">
              <w:rPr>
                <w:rStyle w:val="Hyperlink"/>
                <w:lang w:val="en-AU"/>
              </w:rPr>
              <w:t>Program summary</w:t>
            </w:r>
            <w:r w:rsidR="00AB0B38">
              <w:rPr>
                <w:webHidden/>
              </w:rPr>
              <w:tab/>
            </w:r>
            <w:r w:rsidR="00AB0B38">
              <w:rPr>
                <w:webHidden/>
              </w:rPr>
              <w:fldChar w:fldCharType="begin"/>
            </w:r>
            <w:r w:rsidR="00AB0B38">
              <w:rPr>
                <w:webHidden/>
              </w:rPr>
              <w:instrText xml:space="preserve"> PAGEREF _Toc70068204 \h </w:instrText>
            </w:r>
            <w:r w:rsidR="00AB0B38">
              <w:rPr>
                <w:webHidden/>
              </w:rPr>
            </w:r>
            <w:r w:rsidR="00AB0B38">
              <w:rPr>
                <w:webHidden/>
              </w:rPr>
              <w:fldChar w:fldCharType="separate"/>
            </w:r>
            <w:r w:rsidR="00AB0B38">
              <w:rPr>
                <w:webHidden/>
              </w:rPr>
              <w:t>6</w:t>
            </w:r>
            <w:r w:rsidR="00AB0B38">
              <w:rPr>
                <w:webHidden/>
              </w:rPr>
              <w:fldChar w:fldCharType="end"/>
            </w:r>
          </w:hyperlink>
        </w:p>
        <w:p w14:paraId="38B1F301" w14:textId="74A1545B" w:rsidR="00AB0B38" w:rsidRDefault="007A78E8">
          <w:pPr>
            <w:pStyle w:val="TOC2"/>
            <w:tabs>
              <w:tab w:val="left" w:pos="992"/>
            </w:tabs>
            <w:rPr>
              <w:rFonts w:asciiTheme="minorHAnsi" w:hAnsiTheme="minorHAnsi" w:cstheme="minorBidi"/>
              <w:sz w:val="22"/>
              <w:szCs w:val="22"/>
              <w:lang w:val="en-AU" w:eastAsia="en-AU"/>
            </w:rPr>
          </w:pPr>
          <w:hyperlink w:anchor="_Toc70068205" w:history="1">
            <w:r w:rsidR="00AB0B38" w:rsidRPr="005D0C28">
              <w:rPr>
                <w:rStyle w:val="Hyperlink"/>
                <w:lang w:val="en-AU"/>
              </w:rPr>
              <w:t>3.3</w:t>
            </w:r>
            <w:r w:rsidR="00AB0B38">
              <w:rPr>
                <w:rFonts w:asciiTheme="minorHAnsi" w:hAnsiTheme="minorHAnsi" w:cstheme="minorBidi"/>
                <w:sz w:val="22"/>
                <w:szCs w:val="22"/>
                <w:lang w:val="en-AU" w:eastAsia="en-AU"/>
              </w:rPr>
              <w:tab/>
            </w:r>
            <w:r w:rsidR="00AB0B38" w:rsidRPr="005D0C28">
              <w:rPr>
                <w:rStyle w:val="Hyperlink"/>
                <w:lang w:val="en-AU"/>
              </w:rPr>
              <w:t>United Kingdom, International Citizen Service and Volunteer for Development programs</w:t>
            </w:r>
            <w:r w:rsidR="00AB0B38">
              <w:rPr>
                <w:webHidden/>
              </w:rPr>
              <w:tab/>
            </w:r>
            <w:r w:rsidR="00AB0B38">
              <w:rPr>
                <w:webHidden/>
              </w:rPr>
              <w:fldChar w:fldCharType="begin"/>
            </w:r>
            <w:r w:rsidR="00AB0B38">
              <w:rPr>
                <w:webHidden/>
              </w:rPr>
              <w:instrText xml:space="preserve"> PAGEREF _Toc70068205 \h </w:instrText>
            </w:r>
            <w:r w:rsidR="00AB0B38">
              <w:rPr>
                <w:webHidden/>
              </w:rPr>
            </w:r>
            <w:r w:rsidR="00AB0B38">
              <w:rPr>
                <w:webHidden/>
              </w:rPr>
              <w:fldChar w:fldCharType="separate"/>
            </w:r>
            <w:r w:rsidR="00AB0B38">
              <w:rPr>
                <w:webHidden/>
              </w:rPr>
              <w:t>8</w:t>
            </w:r>
            <w:r w:rsidR="00AB0B38">
              <w:rPr>
                <w:webHidden/>
              </w:rPr>
              <w:fldChar w:fldCharType="end"/>
            </w:r>
          </w:hyperlink>
        </w:p>
        <w:p w14:paraId="1DC433A6" w14:textId="27A5F93E" w:rsidR="00AB0B38" w:rsidRDefault="007A78E8">
          <w:pPr>
            <w:pStyle w:val="TOC3"/>
            <w:tabs>
              <w:tab w:val="left" w:pos="1701"/>
            </w:tabs>
            <w:rPr>
              <w:rFonts w:asciiTheme="minorHAnsi" w:hAnsiTheme="minorHAnsi" w:cstheme="minorBidi"/>
              <w:sz w:val="22"/>
              <w:szCs w:val="22"/>
              <w:lang w:val="en-AU" w:eastAsia="en-AU"/>
            </w:rPr>
          </w:pPr>
          <w:hyperlink w:anchor="_Toc70068206" w:history="1">
            <w:r w:rsidR="00AB0B38" w:rsidRPr="005D0C28">
              <w:rPr>
                <w:rStyle w:val="Hyperlink"/>
                <w:lang w:val="en-AU"/>
                <w14:scene3d>
                  <w14:camera w14:prst="orthographicFront"/>
                  <w14:lightRig w14:rig="threePt" w14:dir="t">
                    <w14:rot w14:lat="0" w14:lon="0" w14:rev="0"/>
                  </w14:lightRig>
                </w14:scene3d>
              </w:rPr>
              <w:t>3.3.1</w:t>
            </w:r>
            <w:r w:rsidR="00AB0B38">
              <w:rPr>
                <w:rFonts w:asciiTheme="minorHAnsi" w:hAnsiTheme="minorHAnsi" w:cstheme="minorBidi"/>
                <w:sz w:val="22"/>
                <w:szCs w:val="22"/>
                <w:lang w:val="en-AU" w:eastAsia="en-AU"/>
              </w:rPr>
              <w:tab/>
            </w:r>
            <w:r w:rsidR="00AB0B38" w:rsidRPr="005D0C28">
              <w:rPr>
                <w:rStyle w:val="Hyperlink"/>
                <w:lang w:val="en-AU"/>
              </w:rPr>
              <w:t>At a glance</w:t>
            </w:r>
            <w:r w:rsidR="00AB0B38">
              <w:rPr>
                <w:webHidden/>
              </w:rPr>
              <w:tab/>
            </w:r>
            <w:r w:rsidR="00AB0B38">
              <w:rPr>
                <w:webHidden/>
              </w:rPr>
              <w:fldChar w:fldCharType="begin"/>
            </w:r>
            <w:r w:rsidR="00AB0B38">
              <w:rPr>
                <w:webHidden/>
              </w:rPr>
              <w:instrText xml:space="preserve"> PAGEREF _Toc70068206 \h </w:instrText>
            </w:r>
            <w:r w:rsidR="00AB0B38">
              <w:rPr>
                <w:webHidden/>
              </w:rPr>
            </w:r>
            <w:r w:rsidR="00AB0B38">
              <w:rPr>
                <w:webHidden/>
              </w:rPr>
              <w:fldChar w:fldCharType="separate"/>
            </w:r>
            <w:r w:rsidR="00AB0B38">
              <w:rPr>
                <w:webHidden/>
              </w:rPr>
              <w:t>8</w:t>
            </w:r>
            <w:r w:rsidR="00AB0B38">
              <w:rPr>
                <w:webHidden/>
              </w:rPr>
              <w:fldChar w:fldCharType="end"/>
            </w:r>
          </w:hyperlink>
        </w:p>
        <w:p w14:paraId="0AFE2952" w14:textId="3E65743D" w:rsidR="00AB0B38" w:rsidRDefault="007A78E8">
          <w:pPr>
            <w:pStyle w:val="TOC3"/>
            <w:tabs>
              <w:tab w:val="left" w:pos="1701"/>
            </w:tabs>
            <w:rPr>
              <w:rFonts w:asciiTheme="minorHAnsi" w:hAnsiTheme="minorHAnsi" w:cstheme="minorBidi"/>
              <w:sz w:val="22"/>
              <w:szCs w:val="22"/>
              <w:lang w:val="en-AU" w:eastAsia="en-AU"/>
            </w:rPr>
          </w:pPr>
          <w:hyperlink w:anchor="_Toc70068207" w:history="1">
            <w:r w:rsidR="00AB0B38" w:rsidRPr="005D0C28">
              <w:rPr>
                <w:rStyle w:val="Hyperlink"/>
                <w:lang w:val="en-AU"/>
                <w14:scene3d>
                  <w14:camera w14:prst="orthographicFront"/>
                  <w14:lightRig w14:rig="threePt" w14:dir="t">
                    <w14:rot w14:lat="0" w14:lon="0" w14:rev="0"/>
                  </w14:lightRig>
                </w14:scene3d>
              </w:rPr>
              <w:t>3.3.2</w:t>
            </w:r>
            <w:r w:rsidR="00AB0B38">
              <w:rPr>
                <w:rFonts w:asciiTheme="minorHAnsi" w:hAnsiTheme="minorHAnsi" w:cstheme="minorBidi"/>
                <w:sz w:val="22"/>
                <w:szCs w:val="22"/>
                <w:lang w:val="en-AU" w:eastAsia="en-AU"/>
              </w:rPr>
              <w:tab/>
            </w:r>
            <w:r w:rsidR="00AB0B38" w:rsidRPr="005D0C28">
              <w:rPr>
                <w:rStyle w:val="Hyperlink"/>
                <w:lang w:val="en-AU"/>
              </w:rPr>
              <w:t>Program summary</w:t>
            </w:r>
            <w:r w:rsidR="00AB0B38">
              <w:rPr>
                <w:webHidden/>
              </w:rPr>
              <w:tab/>
            </w:r>
            <w:r w:rsidR="00AB0B38">
              <w:rPr>
                <w:webHidden/>
              </w:rPr>
              <w:fldChar w:fldCharType="begin"/>
            </w:r>
            <w:r w:rsidR="00AB0B38">
              <w:rPr>
                <w:webHidden/>
              </w:rPr>
              <w:instrText xml:space="preserve"> PAGEREF _Toc70068207 \h </w:instrText>
            </w:r>
            <w:r w:rsidR="00AB0B38">
              <w:rPr>
                <w:webHidden/>
              </w:rPr>
            </w:r>
            <w:r w:rsidR="00AB0B38">
              <w:rPr>
                <w:webHidden/>
              </w:rPr>
              <w:fldChar w:fldCharType="separate"/>
            </w:r>
            <w:r w:rsidR="00AB0B38">
              <w:rPr>
                <w:webHidden/>
              </w:rPr>
              <w:t>8</w:t>
            </w:r>
            <w:r w:rsidR="00AB0B38">
              <w:rPr>
                <w:webHidden/>
              </w:rPr>
              <w:fldChar w:fldCharType="end"/>
            </w:r>
          </w:hyperlink>
        </w:p>
        <w:p w14:paraId="5383E33D" w14:textId="0417309D" w:rsidR="00AB0B38" w:rsidRDefault="007A78E8">
          <w:pPr>
            <w:pStyle w:val="TOC2"/>
            <w:tabs>
              <w:tab w:val="left" w:pos="992"/>
            </w:tabs>
            <w:rPr>
              <w:rFonts w:asciiTheme="minorHAnsi" w:hAnsiTheme="minorHAnsi" w:cstheme="minorBidi"/>
              <w:sz w:val="22"/>
              <w:szCs w:val="22"/>
              <w:lang w:val="en-AU" w:eastAsia="en-AU"/>
            </w:rPr>
          </w:pPr>
          <w:hyperlink w:anchor="_Toc70068208" w:history="1">
            <w:r w:rsidR="00AB0B38" w:rsidRPr="005D0C28">
              <w:rPr>
                <w:rStyle w:val="Hyperlink"/>
                <w:lang w:val="en-AU"/>
              </w:rPr>
              <w:t>3.4</w:t>
            </w:r>
            <w:r w:rsidR="00AB0B38">
              <w:rPr>
                <w:rFonts w:asciiTheme="minorHAnsi" w:hAnsiTheme="minorHAnsi" w:cstheme="minorBidi"/>
                <w:sz w:val="22"/>
                <w:szCs w:val="22"/>
                <w:lang w:val="en-AU" w:eastAsia="en-AU"/>
              </w:rPr>
              <w:tab/>
            </w:r>
            <w:r w:rsidR="00AB0B38" w:rsidRPr="005D0C28">
              <w:rPr>
                <w:rStyle w:val="Hyperlink"/>
                <w:lang w:val="en-AU"/>
              </w:rPr>
              <w:t>Norway, Norwegian Agency for Exchange Cooperation</w:t>
            </w:r>
            <w:r w:rsidR="00AB0B38">
              <w:rPr>
                <w:webHidden/>
              </w:rPr>
              <w:tab/>
            </w:r>
            <w:r w:rsidR="00AB0B38">
              <w:rPr>
                <w:webHidden/>
              </w:rPr>
              <w:fldChar w:fldCharType="begin"/>
            </w:r>
            <w:r w:rsidR="00AB0B38">
              <w:rPr>
                <w:webHidden/>
              </w:rPr>
              <w:instrText xml:space="preserve"> PAGEREF _Toc70068208 \h </w:instrText>
            </w:r>
            <w:r w:rsidR="00AB0B38">
              <w:rPr>
                <w:webHidden/>
              </w:rPr>
            </w:r>
            <w:r w:rsidR="00AB0B38">
              <w:rPr>
                <w:webHidden/>
              </w:rPr>
              <w:fldChar w:fldCharType="separate"/>
            </w:r>
            <w:r w:rsidR="00AB0B38">
              <w:rPr>
                <w:webHidden/>
              </w:rPr>
              <w:t>10</w:t>
            </w:r>
            <w:r w:rsidR="00AB0B38">
              <w:rPr>
                <w:webHidden/>
              </w:rPr>
              <w:fldChar w:fldCharType="end"/>
            </w:r>
          </w:hyperlink>
        </w:p>
        <w:p w14:paraId="05B17AB3" w14:textId="5AE2867D" w:rsidR="00AB0B38" w:rsidRDefault="007A78E8">
          <w:pPr>
            <w:pStyle w:val="TOC3"/>
            <w:tabs>
              <w:tab w:val="left" w:pos="1701"/>
            </w:tabs>
            <w:rPr>
              <w:rFonts w:asciiTheme="minorHAnsi" w:hAnsiTheme="minorHAnsi" w:cstheme="minorBidi"/>
              <w:sz w:val="22"/>
              <w:szCs w:val="22"/>
              <w:lang w:val="en-AU" w:eastAsia="en-AU"/>
            </w:rPr>
          </w:pPr>
          <w:hyperlink w:anchor="_Toc70068209" w:history="1">
            <w:r w:rsidR="00AB0B38" w:rsidRPr="005D0C28">
              <w:rPr>
                <w:rStyle w:val="Hyperlink"/>
                <w:lang w:val="en-AU"/>
                <w14:scene3d>
                  <w14:camera w14:prst="orthographicFront"/>
                  <w14:lightRig w14:rig="threePt" w14:dir="t">
                    <w14:rot w14:lat="0" w14:lon="0" w14:rev="0"/>
                  </w14:lightRig>
                </w14:scene3d>
              </w:rPr>
              <w:t>3.4.1</w:t>
            </w:r>
            <w:r w:rsidR="00AB0B38">
              <w:rPr>
                <w:rFonts w:asciiTheme="minorHAnsi" w:hAnsiTheme="minorHAnsi" w:cstheme="minorBidi"/>
                <w:sz w:val="22"/>
                <w:szCs w:val="22"/>
                <w:lang w:val="en-AU" w:eastAsia="en-AU"/>
              </w:rPr>
              <w:tab/>
            </w:r>
            <w:r w:rsidR="00AB0B38" w:rsidRPr="005D0C28">
              <w:rPr>
                <w:rStyle w:val="Hyperlink"/>
                <w:lang w:val="en-AU"/>
              </w:rPr>
              <w:t>At a glance</w:t>
            </w:r>
            <w:r w:rsidR="00AB0B38">
              <w:rPr>
                <w:webHidden/>
              </w:rPr>
              <w:tab/>
            </w:r>
            <w:r w:rsidR="00AB0B38">
              <w:rPr>
                <w:webHidden/>
              </w:rPr>
              <w:fldChar w:fldCharType="begin"/>
            </w:r>
            <w:r w:rsidR="00AB0B38">
              <w:rPr>
                <w:webHidden/>
              </w:rPr>
              <w:instrText xml:space="preserve"> PAGEREF _Toc70068209 \h </w:instrText>
            </w:r>
            <w:r w:rsidR="00AB0B38">
              <w:rPr>
                <w:webHidden/>
              </w:rPr>
            </w:r>
            <w:r w:rsidR="00AB0B38">
              <w:rPr>
                <w:webHidden/>
              </w:rPr>
              <w:fldChar w:fldCharType="separate"/>
            </w:r>
            <w:r w:rsidR="00AB0B38">
              <w:rPr>
                <w:webHidden/>
              </w:rPr>
              <w:t>10</w:t>
            </w:r>
            <w:r w:rsidR="00AB0B38">
              <w:rPr>
                <w:webHidden/>
              </w:rPr>
              <w:fldChar w:fldCharType="end"/>
            </w:r>
          </w:hyperlink>
        </w:p>
        <w:p w14:paraId="04BCC8D9" w14:textId="02ADD989" w:rsidR="00AB0B38" w:rsidRDefault="007A78E8">
          <w:pPr>
            <w:pStyle w:val="TOC3"/>
            <w:tabs>
              <w:tab w:val="left" w:pos="1701"/>
            </w:tabs>
            <w:rPr>
              <w:rFonts w:asciiTheme="minorHAnsi" w:hAnsiTheme="minorHAnsi" w:cstheme="minorBidi"/>
              <w:sz w:val="22"/>
              <w:szCs w:val="22"/>
              <w:lang w:val="en-AU" w:eastAsia="en-AU"/>
            </w:rPr>
          </w:pPr>
          <w:hyperlink w:anchor="_Toc70068210" w:history="1">
            <w:r w:rsidR="00AB0B38" w:rsidRPr="005D0C28">
              <w:rPr>
                <w:rStyle w:val="Hyperlink"/>
                <w:lang w:val="en-AU"/>
                <w14:scene3d>
                  <w14:camera w14:prst="orthographicFront"/>
                  <w14:lightRig w14:rig="threePt" w14:dir="t">
                    <w14:rot w14:lat="0" w14:lon="0" w14:rev="0"/>
                  </w14:lightRig>
                </w14:scene3d>
              </w:rPr>
              <w:t>3.4.2</w:t>
            </w:r>
            <w:r w:rsidR="00AB0B38">
              <w:rPr>
                <w:rFonts w:asciiTheme="minorHAnsi" w:hAnsiTheme="minorHAnsi" w:cstheme="minorBidi"/>
                <w:sz w:val="22"/>
                <w:szCs w:val="22"/>
                <w:lang w:val="en-AU" w:eastAsia="en-AU"/>
              </w:rPr>
              <w:tab/>
            </w:r>
            <w:r w:rsidR="00AB0B38" w:rsidRPr="005D0C28">
              <w:rPr>
                <w:rStyle w:val="Hyperlink"/>
                <w:lang w:val="en-AU"/>
              </w:rPr>
              <w:t>Project summary</w:t>
            </w:r>
            <w:r w:rsidR="00AB0B38">
              <w:rPr>
                <w:webHidden/>
              </w:rPr>
              <w:tab/>
            </w:r>
            <w:r w:rsidR="00AB0B38">
              <w:rPr>
                <w:webHidden/>
              </w:rPr>
              <w:fldChar w:fldCharType="begin"/>
            </w:r>
            <w:r w:rsidR="00AB0B38">
              <w:rPr>
                <w:webHidden/>
              </w:rPr>
              <w:instrText xml:space="preserve"> PAGEREF _Toc70068210 \h </w:instrText>
            </w:r>
            <w:r w:rsidR="00AB0B38">
              <w:rPr>
                <w:webHidden/>
              </w:rPr>
            </w:r>
            <w:r w:rsidR="00AB0B38">
              <w:rPr>
                <w:webHidden/>
              </w:rPr>
              <w:fldChar w:fldCharType="separate"/>
            </w:r>
            <w:r w:rsidR="00AB0B38">
              <w:rPr>
                <w:webHidden/>
              </w:rPr>
              <w:t>10</w:t>
            </w:r>
            <w:r w:rsidR="00AB0B38">
              <w:rPr>
                <w:webHidden/>
              </w:rPr>
              <w:fldChar w:fldCharType="end"/>
            </w:r>
          </w:hyperlink>
        </w:p>
        <w:p w14:paraId="5971D990" w14:textId="5C76BEB0" w:rsidR="00AB0B38" w:rsidRDefault="007A78E8">
          <w:pPr>
            <w:pStyle w:val="TOC1"/>
            <w:rPr>
              <w:rFonts w:cstheme="minorBidi"/>
              <w:b w:val="0"/>
              <w:bCs w:val="0"/>
              <w:sz w:val="22"/>
              <w:szCs w:val="22"/>
              <w:lang w:val="en-AU" w:eastAsia="en-AU"/>
            </w:rPr>
          </w:pPr>
          <w:hyperlink w:anchor="_Toc70068211" w:history="1">
            <w:r w:rsidR="00AB0B38" w:rsidRPr="005D0C28">
              <w:rPr>
                <w:rStyle w:val="Hyperlink"/>
                <w:lang w:val="en-AU"/>
              </w:rPr>
              <w:t>4</w:t>
            </w:r>
            <w:r w:rsidR="00AB0B38">
              <w:rPr>
                <w:rFonts w:cstheme="minorBidi"/>
                <w:b w:val="0"/>
                <w:bCs w:val="0"/>
                <w:sz w:val="22"/>
                <w:szCs w:val="22"/>
                <w:lang w:val="en-AU" w:eastAsia="en-AU"/>
              </w:rPr>
              <w:tab/>
            </w:r>
            <w:r w:rsidR="00AB0B38" w:rsidRPr="005D0C28">
              <w:rPr>
                <w:rStyle w:val="Hyperlink"/>
                <w:lang w:val="en-AU"/>
              </w:rPr>
              <w:t>Changes in 2020: Adapting to COVID-19</w:t>
            </w:r>
            <w:r w:rsidR="00AB0B38">
              <w:rPr>
                <w:webHidden/>
              </w:rPr>
              <w:tab/>
            </w:r>
            <w:r w:rsidR="00AB0B38">
              <w:rPr>
                <w:webHidden/>
              </w:rPr>
              <w:fldChar w:fldCharType="begin"/>
            </w:r>
            <w:r w:rsidR="00AB0B38">
              <w:rPr>
                <w:webHidden/>
              </w:rPr>
              <w:instrText xml:space="preserve"> PAGEREF _Toc70068211 \h </w:instrText>
            </w:r>
            <w:r w:rsidR="00AB0B38">
              <w:rPr>
                <w:webHidden/>
              </w:rPr>
            </w:r>
            <w:r w:rsidR="00AB0B38">
              <w:rPr>
                <w:webHidden/>
              </w:rPr>
              <w:fldChar w:fldCharType="separate"/>
            </w:r>
            <w:r w:rsidR="00AB0B38">
              <w:rPr>
                <w:webHidden/>
              </w:rPr>
              <w:t>11</w:t>
            </w:r>
            <w:r w:rsidR="00AB0B38">
              <w:rPr>
                <w:webHidden/>
              </w:rPr>
              <w:fldChar w:fldCharType="end"/>
            </w:r>
          </w:hyperlink>
        </w:p>
        <w:p w14:paraId="7FB45402" w14:textId="7554855A" w:rsidR="00AB0B38" w:rsidRDefault="007A78E8">
          <w:pPr>
            <w:pStyle w:val="TOC2"/>
            <w:tabs>
              <w:tab w:val="left" w:pos="992"/>
            </w:tabs>
            <w:rPr>
              <w:rFonts w:asciiTheme="minorHAnsi" w:hAnsiTheme="minorHAnsi" w:cstheme="minorBidi"/>
              <w:sz w:val="22"/>
              <w:szCs w:val="22"/>
              <w:lang w:val="en-AU" w:eastAsia="en-AU"/>
            </w:rPr>
          </w:pPr>
          <w:hyperlink w:anchor="_Toc70068212" w:history="1">
            <w:r w:rsidR="00AB0B38" w:rsidRPr="005D0C28">
              <w:rPr>
                <w:rStyle w:val="Hyperlink"/>
                <w:lang w:val="en-AU"/>
              </w:rPr>
              <w:t>4.1</w:t>
            </w:r>
            <w:r w:rsidR="00AB0B38">
              <w:rPr>
                <w:rFonts w:asciiTheme="minorHAnsi" w:hAnsiTheme="minorHAnsi" w:cstheme="minorBidi"/>
                <w:sz w:val="22"/>
                <w:szCs w:val="22"/>
                <w:lang w:val="en-AU" w:eastAsia="en-AU"/>
              </w:rPr>
              <w:tab/>
            </w:r>
            <w:r w:rsidR="00AB0B38" w:rsidRPr="005D0C28">
              <w:rPr>
                <w:rStyle w:val="Hyperlink"/>
                <w:lang w:val="en-AU"/>
              </w:rPr>
              <w:t>New Zealand COVID-19 Response</w:t>
            </w:r>
            <w:r w:rsidR="00AB0B38">
              <w:rPr>
                <w:webHidden/>
              </w:rPr>
              <w:tab/>
            </w:r>
            <w:r w:rsidR="00AB0B38">
              <w:rPr>
                <w:webHidden/>
              </w:rPr>
              <w:fldChar w:fldCharType="begin"/>
            </w:r>
            <w:r w:rsidR="00AB0B38">
              <w:rPr>
                <w:webHidden/>
              </w:rPr>
              <w:instrText xml:space="preserve"> PAGEREF _Toc70068212 \h </w:instrText>
            </w:r>
            <w:r w:rsidR="00AB0B38">
              <w:rPr>
                <w:webHidden/>
              </w:rPr>
            </w:r>
            <w:r w:rsidR="00AB0B38">
              <w:rPr>
                <w:webHidden/>
              </w:rPr>
              <w:fldChar w:fldCharType="separate"/>
            </w:r>
            <w:r w:rsidR="00AB0B38">
              <w:rPr>
                <w:webHidden/>
              </w:rPr>
              <w:t>11</w:t>
            </w:r>
            <w:r w:rsidR="00AB0B38">
              <w:rPr>
                <w:webHidden/>
              </w:rPr>
              <w:fldChar w:fldCharType="end"/>
            </w:r>
          </w:hyperlink>
        </w:p>
        <w:p w14:paraId="4407C3BE" w14:textId="588DB21C" w:rsidR="00AB0B38" w:rsidRDefault="007A78E8">
          <w:pPr>
            <w:pStyle w:val="TOC2"/>
            <w:tabs>
              <w:tab w:val="left" w:pos="992"/>
            </w:tabs>
            <w:rPr>
              <w:rFonts w:asciiTheme="minorHAnsi" w:hAnsiTheme="minorHAnsi" w:cstheme="minorBidi"/>
              <w:sz w:val="22"/>
              <w:szCs w:val="22"/>
              <w:lang w:val="en-AU" w:eastAsia="en-AU"/>
            </w:rPr>
          </w:pPr>
          <w:hyperlink w:anchor="_Toc70068213" w:history="1">
            <w:r w:rsidR="00AB0B38" w:rsidRPr="005D0C28">
              <w:rPr>
                <w:rStyle w:val="Hyperlink"/>
                <w:lang w:val="en-AU"/>
              </w:rPr>
              <w:t>4.2</w:t>
            </w:r>
            <w:r w:rsidR="00AB0B38">
              <w:rPr>
                <w:rFonts w:asciiTheme="minorHAnsi" w:hAnsiTheme="minorHAnsi" w:cstheme="minorBidi"/>
                <w:sz w:val="22"/>
                <w:szCs w:val="22"/>
                <w:lang w:val="en-AU" w:eastAsia="en-AU"/>
              </w:rPr>
              <w:tab/>
            </w:r>
            <w:r w:rsidR="00AB0B38" w:rsidRPr="005D0C28">
              <w:rPr>
                <w:rStyle w:val="Hyperlink"/>
                <w:lang w:val="en-AU"/>
              </w:rPr>
              <w:t>Canada COVID-19 Response</w:t>
            </w:r>
            <w:r w:rsidR="00AB0B38">
              <w:rPr>
                <w:webHidden/>
              </w:rPr>
              <w:tab/>
            </w:r>
            <w:r w:rsidR="00AB0B38">
              <w:rPr>
                <w:webHidden/>
              </w:rPr>
              <w:fldChar w:fldCharType="begin"/>
            </w:r>
            <w:r w:rsidR="00AB0B38">
              <w:rPr>
                <w:webHidden/>
              </w:rPr>
              <w:instrText xml:space="preserve"> PAGEREF _Toc70068213 \h </w:instrText>
            </w:r>
            <w:r w:rsidR="00AB0B38">
              <w:rPr>
                <w:webHidden/>
              </w:rPr>
            </w:r>
            <w:r w:rsidR="00AB0B38">
              <w:rPr>
                <w:webHidden/>
              </w:rPr>
              <w:fldChar w:fldCharType="separate"/>
            </w:r>
            <w:r w:rsidR="00AB0B38">
              <w:rPr>
                <w:webHidden/>
              </w:rPr>
              <w:t>11</w:t>
            </w:r>
            <w:r w:rsidR="00AB0B38">
              <w:rPr>
                <w:webHidden/>
              </w:rPr>
              <w:fldChar w:fldCharType="end"/>
            </w:r>
          </w:hyperlink>
        </w:p>
        <w:p w14:paraId="78ED22F7" w14:textId="3EDB1D69" w:rsidR="00AB0B38" w:rsidRDefault="007A78E8">
          <w:pPr>
            <w:pStyle w:val="TOC2"/>
            <w:tabs>
              <w:tab w:val="left" w:pos="992"/>
            </w:tabs>
            <w:rPr>
              <w:rFonts w:asciiTheme="minorHAnsi" w:hAnsiTheme="minorHAnsi" w:cstheme="minorBidi"/>
              <w:sz w:val="22"/>
              <w:szCs w:val="22"/>
              <w:lang w:val="en-AU" w:eastAsia="en-AU"/>
            </w:rPr>
          </w:pPr>
          <w:hyperlink w:anchor="_Toc70068214" w:history="1">
            <w:r w:rsidR="00AB0B38" w:rsidRPr="005D0C28">
              <w:rPr>
                <w:rStyle w:val="Hyperlink"/>
                <w:lang w:val="en-AU"/>
              </w:rPr>
              <w:t>4.3</w:t>
            </w:r>
            <w:r w:rsidR="00AB0B38">
              <w:rPr>
                <w:rFonts w:asciiTheme="minorHAnsi" w:hAnsiTheme="minorHAnsi" w:cstheme="minorBidi"/>
                <w:sz w:val="22"/>
                <w:szCs w:val="22"/>
                <w:lang w:val="en-AU" w:eastAsia="en-AU"/>
              </w:rPr>
              <w:tab/>
            </w:r>
            <w:r w:rsidR="00AB0B38" w:rsidRPr="005D0C28">
              <w:rPr>
                <w:rStyle w:val="Hyperlink"/>
                <w:lang w:val="en-AU"/>
              </w:rPr>
              <w:t>UK COVID-19 Response</w:t>
            </w:r>
            <w:r w:rsidR="00AB0B38">
              <w:rPr>
                <w:webHidden/>
              </w:rPr>
              <w:tab/>
            </w:r>
            <w:r w:rsidR="00AB0B38">
              <w:rPr>
                <w:webHidden/>
              </w:rPr>
              <w:fldChar w:fldCharType="begin"/>
            </w:r>
            <w:r w:rsidR="00AB0B38">
              <w:rPr>
                <w:webHidden/>
              </w:rPr>
              <w:instrText xml:space="preserve"> PAGEREF _Toc70068214 \h </w:instrText>
            </w:r>
            <w:r w:rsidR="00AB0B38">
              <w:rPr>
                <w:webHidden/>
              </w:rPr>
            </w:r>
            <w:r w:rsidR="00AB0B38">
              <w:rPr>
                <w:webHidden/>
              </w:rPr>
              <w:fldChar w:fldCharType="separate"/>
            </w:r>
            <w:r w:rsidR="00AB0B38">
              <w:rPr>
                <w:webHidden/>
              </w:rPr>
              <w:t>12</w:t>
            </w:r>
            <w:r w:rsidR="00AB0B38">
              <w:rPr>
                <w:webHidden/>
              </w:rPr>
              <w:fldChar w:fldCharType="end"/>
            </w:r>
          </w:hyperlink>
        </w:p>
        <w:p w14:paraId="3C6360DB" w14:textId="5B2A1F9B" w:rsidR="00AB0B38" w:rsidRDefault="007A78E8">
          <w:pPr>
            <w:pStyle w:val="TOC2"/>
            <w:tabs>
              <w:tab w:val="left" w:pos="992"/>
            </w:tabs>
            <w:rPr>
              <w:rFonts w:asciiTheme="minorHAnsi" w:hAnsiTheme="minorHAnsi" w:cstheme="minorBidi"/>
              <w:sz w:val="22"/>
              <w:szCs w:val="22"/>
              <w:lang w:val="en-AU" w:eastAsia="en-AU"/>
            </w:rPr>
          </w:pPr>
          <w:hyperlink w:anchor="_Toc70068215" w:history="1">
            <w:r w:rsidR="00AB0B38" w:rsidRPr="005D0C28">
              <w:rPr>
                <w:rStyle w:val="Hyperlink"/>
                <w:lang w:val="en-AU"/>
              </w:rPr>
              <w:t>4.4</w:t>
            </w:r>
            <w:r w:rsidR="00AB0B38">
              <w:rPr>
                <w:rFonts w:asciiTheme="minorHAnsi" w:hAnsiTheme="minorHAnsi" w:cstheme="minorBidi"/>
                <w:sz w:val="22"/>
                <w:szCs w:val="22"/>
                <w:lang w:val="en-AU" w:eastAsia="en-AU"/>
              </w:rPr>
              <w:tab/>
            </w:r>
            <w:r w:rsidR="00AB0B38" w:rsidRPr="005D0C28">
              <w:rPr>
                <w:rStyle w:val="Hyperlink"/>
                <w:lang w:val="en-AU"/>
              </w:rPr>
              <w:t>Norway COVID-19 response</w:t>
            </w:r>
            <w:r w:rsidR="00AB0B38">
              <w:rPr>
                <w:webHidden/>
              </w:rPr>
              <w:tab/>
            </w:r>
            <w:r w:rsidR="00AB0B38">
              <w:rPr>
                <w:webHidden/>
              </w:rPr>
              <w:fldChar w:fldCharType="begin"/>
            </w:r>
            <w:r w:rsidR="00AB0B38">
              <w:rPr>
                <w:webHidden/>
              </w:rPr>
              <w:instrText xml:space="preserve"> PAGEREF _Toc70068215 \h </w:instrText>
            </w:r>
            <w:r w:rsidR="00AB0B38">
              <w:rPr>
                <w:webHidden/>
              </w:rPr>
            </w:r>
            <w:r w:rsidR="00AB0B38">
              <w:rPr>
                <w:webHidden/>
              </w:rPr>
              <w:fldChar w:fldCharType="separate"/>
            </w:r>
            <w:r w:rsidR="00AB0B38">
              <w:rPr>
                <w:webHidden/>
              </w:rPr>
              <w:t>12</w:t>
            </w:r>
            <w:r w:rsidR="00AB0B38">
              <w:rPr>
                <w:webHidden/>
              </w:rPr>
              <w:fldChar w:fldCharType="end"/>
            </w:r>
          </w:hyperlink>
        </w:p>
        <w:p w14:paraId="4B87869A" w14:textId="43F8F135" w:rsidR="00AB0B38" w:rsidRDefault="007A78E8">
          <w:pPr>
            <w:pStyle w:val="TOC1"/>
            <w:rPr>
              <w:rFonts w:cstheme="minorBidi"/>
              <w:b w:val="0"/>
              <w:bCs w:val="0"/>
              <w:sz w:val="22"/>
              <w:szCs w:val="22"/>
              <w:lang w:val="en-AU" w:eastAsia="en-AU"/>
            </w:rPr>
          </w:pPr>
          <w:hyperlink w:anchor="_Toc70068216" w:history="1">
            <w:r w:rsidR="00AB0B38" w:rsidRPr="005D0C28">
              <w:rPr>
                <w:rStyle w:val="Hyperlink"/>
                <w:lang w:val="en-AU"/>
              </w:rPr>
              <w:t>5</w:t>
            </w:r>
            <w:r w:rsidR="00AB0B38">
              <w:rPr>
                <w:rFonts w:cstheme="minorBidi"/>
                <w:b w:val="0"/>
                <w:bCs w:val="0"/>
                <w:sz w:val="22"/>
                <w:szCs w:val="22"/>
                <w:lang w:val="en-AU" w:eastAsia="en-AU"/>
              </w:rPr>
              <w:tab/>
            </w:r>
            <w:r w:rsidR="00AB0B38" w:rsidRPr="005D0C28">
              <w:rPr>
                <w:rStyle w:val="Hyperlink"/>
                <w:lang w:val="en-AU"/>
              </w:rPr>
              <w:t>Trends and future directions in international volunteering</w:t>
            </w:r>
            <w:r w:rsidR="00AB0B38">
              <w:rPr>
                <w:webHidden/>
              </w:rPr>
              <w:tab/>
            </w:r>
            <w:r w:rsidR="00AB0B38">
              <w:rPr>
                <w:webHidden/>
              </w:rPr>
              <w:fldChar w:fldCharType="begin"/>
            </w:r>
            <w:r w:rsidR="00AB0B38">
              <w:rPr>
                <w:webHidden/>
              </w:rPr>
              <w:instrText xml:space="preserve"> PAGEREF _Toc70068216 \h </w:instrText>
            </w:r>
            <w:r w:rsidR="00AB0B38">
              <w:rPr>
                <w:webHidden/>
              </w:rPr>
            </w:r>
            <w:r w:rsidR="00AB0B38">
              <w:rPr>
                <w:webHidden/>
              </w:rPr>
              <w:fldChar w:fldCharType="separate"/>
            </w:r>
            <w:r w:rsidR="00AB0B38">
              <w:rPr>
                <w:webHidden/>
              </w:rPr>
              <w:t>13</w:t>
            </w:r>
            <w:r w:rsidR="00AB0B38">
              <w:rPr>
                <w:webHidden/>
              </w:rPr>
              <w:fldChar w:fldCharType="end"/>
            </w:r>
          </w:hyperlink>
        </w:p>
        <w:p w14:paraId="44AC6857" w14:textId="2943A201" w:rsidR="00511E02" w:rsidRPr="007A15F4" w:rsidRDefault="00A51939" w:rsidP="00A51939">
          <w:pPr>
            <w:pStyle w:val="TOC3"/>
            <w:rPr>
              <w:noProof w:val="0"/>
              <w:lang w:val="en-AU"/>
            </w:rPr>
          </w:pPr>
          <w:r w:rsidRPr="007A15F4">
            <w:rPr>
              <w:rFonts w:asciiTheme="minorHAnsi" w:hAnsiTheme="minorHAnsi" w:cstheme="minorHAnsi"/>
              <w:b/>
              <w:bCs/>
              <w:noProof w:val="0"/>
              <w:lang w:val="en-AU"/>
            </w:rPr>
            <w:fldChar w:fldCharType="end"/>
          </w:r>
        </w:p>
      </w:sdtContent>
    </w:sdt>
    <w:p w14:paraId="252BBB8E" w14:textId="77777777" w:rsidR="00A15B44" w:rsidRPr="007A15F4" w:rsidRDefault="00A15B44" w:rsidP="00511E02">
      <w:pPr>
        <w:pStyle w:val="TOCHeading"/>
        <w:rPr>
          <w:lang w:val="en-AU"/>
        </w:rPr>
      </w:pPr>
      <w:r w:rsidRPr="007A15F4">
        <w:rPr>
          <w:lang w:val="en-AU"/>
        </w:rPr>
        <w:t>Annexes</w:t>
      </w:r>
    </w:p>
    <w:p w14:paraId="1A06006D" w14:textId="689212DD" w:rsidR="00A15B44" w:rsidRPr="007A15F4" w:rsidRDefault="00A15B44" w:rsidP="00A15B44">
      <w:pPr>
        <w:rPr>
          <w:lang w:val="en-AU"/>
        </w:rPr>
      </w:pPr>
      <w:r w:rsidRPr="007A15F4">
        <w:rPr>
          <w:lang w:val="en-AU"/>
        </w:rPr>
        <w:t xml:space="preserve">Annex </w:t>
      </w:r>
      <w:r w:rsidR="00842385" w:rsidRPr="007A15F4">
        <w:rPr>
          <w:lang w:val="en-AU"/>
        </w:rPr>
        <w:t>A: Interview questions for donor interviews</w:t>
      </w:r>
      <w:r w:rsidRPr="007A15F4">
        <w:rPr>
          <w:lang w:val="en-AU"/>
        </w:rPr>
        <w:tab/>
      </w:r>
    </w:p>
    <w:p w14:paraId="200F966E" w14:textId="54F0357B" w:rsidR="00951A5B" w:rsidRPr="007A15F4" w:rsidRDefault="00951A5B" w:rsidP="00DC3EBD">
      <w:pPr>
        <w:pStyle w:val="TOCHeading"/>
        <w:rPr>
          <w:lang w:val="en-AU"/>
        </w:rPr>
      </w:pPr>
      <w:r w:rsidRPr="007A15F4">
        <w:rPr>
          <w:lang w:val="en-AU"/>
        </w:rPr>
        <w:lastRenderedPageBreak/>
        <w:t>Acronyms</w:t>
      </w:r>
    </w:p>
    <w:tbl>
      <w:tblPr>
        <w:tblStyle w:val="TetraTech"/>
        <w:tblW w:w="5000" w:type="pct"/>
        <w:tblLook w:val="0420" w:firstRow="1" w:lastRow="0" w:firstColumn="0" w:lastColumn="0" w:noHBand="0" w:noVBand="1"/>
      </w:tblPr>
      <w:tblGrid>
        <w:gridCol w:w="2665"/>
        <w:gridCol w:w="7415"/>
      </w:tblGrid>
      <w:tr w:rsidR="00912ACE" w:rsidRPr="00912ACE" w14:paraId="25D5DB88"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436A7B59" w14:textId="63CAE09B" w:rsidR="003A2505" w:rsidRPr="00912ACE" w:rsidRDefault="003A2505" w:rsidP="00A219E0">
            <w:pPr>
              <w:pStyle w:val="TableNoSpacing"/>
              <w:spacing w:before="60" w:after="60" w:line="240" w:lineRule="auto"/>
              <w:rPr>
                <w:bCs/>
                <w:color w:val="003478" w:themeColor="text2"/>
                <w:lang w:val="en-AU"/>
              </w:rPr>
            </w:pPr>
            <w:r w:rsidRPr="00912ACE">
              <w:rPr>
                <w:bCs/>
                <w:color w:val="003478" w:themeColor="text2"/>
                <w:lang w:val="en-AU"/>
              </w:rPr>
              <w:t>Acronym</w:t>
            </w:r>
          </w:p>
        </w:tc>
        <w:tc>
          <w:tcPr>
            <w:tcW w:w="3678" w:type="pct"/>
          </w:tcPr>
          <w:p w14:paraId="670AD68D" w14:textId="4530E6AD" w:rsidR="003A2505" w:rsidRPr="00912ACE" w:rsidRDefault="00443719" w:rsidP="00A219E0">
            <w:pPr>
              <w:pStyle w:val="TableNoSpacing"/>
              <w:spacing w:before="60" w:after="60" w:line="240" w:lineRule="auto"/>
              <w:rPr>
                <w:bCs/>
                <w:color w:val="003478" w:themeColor="text2"/>
                <w:lang w:val="en-AU"/>
              </w:rPr>
            </w:pPr>
            <w:r w:rsidRPr="00912ACE">
              <w:rPr>
                <w:bCs/>
                <w:color w:val="003478" w:themeColor="text2"/>
                <w:lang w:val="en-AU"/>
              </w:rPr>
              <w:t>Definition</w:t>
            </w:r>
          </w:p>
        </w:tc>
      </w:tr>
      <w:tr w:rsidR="00912ACE" w:rsidRPr="00912ACE" w14:paraId="2A330CBA"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6FD7A0DC"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ABV</w:t>
            </w:r>
          </w:p>
        </w:tc>
        <w:tc>
          <w:tcPr>
            <w:tcW w:w="3678" w:type="pct"/>
          </w:tcPr>
          <w:p w14:paraId="3E42F80E"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Australian Business Volunteers</w:t>
            </w:r>
          </w:p>
        </w:tc>
      </w:tr>
      <w:tr w:rsidR="00912ACE" w:rsidRPr="00912ACE" w14:paraId="76341F18"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037BF4AB"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AVI</w:t>
            </w:r>
          </w:p>
        </w:tc>
        <w:tc>
          <w:tcPr>
            <w:tcW w:w="3678" w:type="pct"/>
          </w:tcPr>
          <w:p w14:paraId="45660755"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Australian Volunteers International</w:t>
            </w:r>
          </w:p>
        </w:tc>
      </w:tr>
      <w:tr w:rsidR="00912ACE" w:rsidRPr="00912ACE" w14:paraId="56C58CF7"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4899C60B"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AVID</w:t>
            </w:r>
          </w:p>
        </w:tc>
        <w:tc>
          <w:tcPr>
            <w:tcW w:w="3678" w:type="pct"/>
          </w:tcPr>
          <w:p w14:paraId="4E4F643E"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Australian Volunteers for International Development</w:t>
            </w:r>
          </w:p>
        </w:tc>
      </w:tr>
      <w:tr w:rsidR="00912ACE" w:rsidRPr="00912ACE" w14:paraId="7282C3E0"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7BE05818"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AYAD</w:t>
            </w:r>
          </w:p>
        </w:tc>
        <w:tc>
          <w:tcPr>
            <w:tcW w:w="3678" w:type="pct"/>
          </w:tcPr>
          <w:p w14:paraId="68A08E5F"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Australian Youth Ambassadors for Development</w:t>
            </w:r>
          </w:p>
        </w:tc>
      </w:tr>
      <w:tr w:rsidR="00912ACE" w:rsidRPr="00912ACE" w14:paraId="7B294906"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1DA161C3"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CDFC</w:t>
            </w:r>
          </w:p>
        </w:tc>
        <w:tc>
          <w:tcPr>
            <w:tcW w:w="3678" w:type="pct"/>
          </w:tcPr>
          <w:p w14:paraId="53303335"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Co-operative Development Foundation of Canada</w:t>
            </w:r>
          </w:p>
        </w:tc>
      </w:tr>
      <w:tr w:rsidR="00912ACE" w:rsidRPr="00912ACE" w14:paraId="40D78D7B"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79E36409"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CECI</w:t>
            </w:r>
          </w:p>
        </w:tc>
        <w:tc>
          <w:tcPr>
            <w:tcW w:w="3678" w:type="pct"/>
          </w:tcPr>
          <w:p w14:paraId="2381AD06"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Centre for International Studies and Cooperation</w:t>
            </w:r>
          </w:p>
        </w:tc>
      </w:tr>
      <w:tr w:rsidR="00912ACE" w:rsidRPr="00912ACE" w14:paraId="6925E178"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285B7A68"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CESO</w:t>
            </w:r>
          </w:p>
        </w:tc>
        <w:tc>
          <w:tcPr>
            <w:tcW w:w="3678" w:type="pct"/>
          </w:tcPr>
          <w:p w14:paraId="5873AFA3"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Canadian Executive Service Organisation</w:t>
            </w:r>
          </w:p>
        </w:tc>
      </w:tr>
      <w:tr w:rsidR="00912ACE" w:rsidRPr="00912ACE" w14:paraId="1E5271F3"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6D47AFF4"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COVID-19</w:t>
            </w:r>
          </w:p>
        </w:tc>
        <w:tc>
          <w:tcPr>
            <w:tcW w:w="3678" w:type="pct"/>
          </w:tcPr>
          <w:p w14:paraId="72360B0A"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Novel coronavirus</w:t>
            </w:r>
          </w:p>
        </w:tc>
      </w:tr>
      <w:tr w:rsidR="00912ACE" w:rsidRPr="00912ACE" w14:paraId="2A436CCC"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5BEA3FBB"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DFAT</w:t>
            </w:r>
          </w:p>
        </w:tc>
        <w:tc>
          <w:tcPr>
            <w:tcW w:w="3678" w:type="pct"/>
          </w:tcPr>
          <w:p w14:paraId="449BDB93"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Australian Government Department of Foreign Affairs and Trade</w:t>
            </w:r>
          </w:p>
        </w:tc>
      </w:tr>
      <w:tr w:rsidR="00912ACE" w:rsidRPr="00912ACE" w14:paraId="23A9914A"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0968104A"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FCDO</w:t>
            </w:r>
          </w:p>
        </w:tc>
        <w:tc>
          <w:tcPr>
            <w:tcW w:w="3678" w:type="pct"/>
          </w:tcPr>
          <w:p w14:paraId="7845AA77"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Foreign Commonwealth and Development Officer</w:t>
            </w:r>
          </w:p>
        </w:tc>
      </w:tr>
      <w:tr w:rsidR="00912ACE" w:rsidRPr="00912ACE" w14:paraId="6B1DA208"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3B3799AD"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GAF</w:t>
            </w:r>
          </w:p>
        </w:tc>
        <w:tc>
          <w:tcPr>
            <w:tcW w:w="3678" w:type="pct"/>
          </w:tcPr>
          <w:p w14:paraId="5F0F5ADC"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Global Affairs Canada</w:t>
            </w:r>
          </w:p>
        </w:tc>
      </w:tr>
      <w:tr w:rsidR="00912ACE" w:rsidRPr="00912ACE" w14:paraId="6EDE7824"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6ADDED43"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ICS</w:t>
            </w:r>
          </w:p>
        </w:tc>
        <w:tc>
          <w:tcPr>
            <w:tcW w:w="3678" w:type="pct"/>
          </w:tcPr>
          <w:p w14:paraId="5EE413F5"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International Citizen Service</w:t>
            </w:r>
          </w:p>
        </w:tc>
      </w:tr>
      <w:tr w:rsidR="00912ACE" w:rsidRPr="00912ACE" w14:paraId="4265535F"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67B3EA9F"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ICS2</w:t>
            </w:r>
          </w:p>
        </w:tc>
        <w:tc>
          <w:tcPr>
            <w:tcW w:w="3678" w:type="pct"/>
          </w:tcPr>
          <w:p w14:paraId="7C3CC52D"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International Citizen Service Phase 2</w:t>
            </w:r>
          </w:p>
        </w:tc>
      </w:tr>
      <w:tr w:rsidR="00912ACE" w:rsidRPr="00912ACE" w14:paraId="7A45BF79"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443C3F73"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IFRC</w:t>
            </w:r>
          </w:p>
        </w:tc>
        <w:tc>
          <w:tcPr>
            <w:tcW w:w="3678" w:type="pct"/>
          </w:tcPr>
          <w:p w14:paraId="565AF3BF"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International Federation of Red Cross and Red Crescent Societies</w:t>
            </w:r>
          </w:p>
        </w:tc>
      </w:tr>
      <w:tr w:rsidR="00912ACE" w:rsidRPr="00912ACE" w14:paraId="3E8A2AB5"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60CF8409"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INGO</w:t>
            </w:r>
          </w:p>
        </w:tc>
        <w:tc>
          <w:tcPr>
            <w:tcW w:w="3678" w:type="pct"/>
          </w:tcPr>
          <w:p w14:paraId="14092982"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International Non-governmental Organisation</w:t>
            </w:r>
          </w:p>
        </w:tc>
      </w:tr>
      <w:tr w:rsidR="00912ACE" w:rsidRPr="00912ACE" w14:paraId="10246C5E"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55952A5C"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IVS</w:t>
            </w:r>
          </w:p>
        </w:tc>
        <w:tc>
          <w:tcPr>
            <w:tcW w:w="3678" w:type="pct"/>
          </w:tcPr>
          <w:p w14:paraId="5686E5A2"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International Volunteers and Service</w:t>
            </w:r>
          </w:p>
        </w:tc>
      </w:tr>
      <w:tr w:rsidR="00912ACE" w:rsidRPr="00912ACE" w14:paraId="3DB7A43E"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605E16EE"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MEL</w:t>
            </w:r>
          </w:p>
        </w:tc>
        <w:tc>
          <w:tcPr>
            <w:tcW w:w="3678" w:type="pct"/>
          </w:tcPr>
          <w:p w14:paraId="14A29EED"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Monitoring, Evaluation and Learning</w:t>
            </w:r>
          </w:p>
        </w:tc>
      </w:tr>
      <w:tr w:rsidR="00912ACE" w:rsidRPr="00912ACE" w14:paraId="678F0984"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4924B690"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MFAT</w:t>
            </w:r>
          </w:p>
        </w:tc>
        <w:tc>
          <w:tcPr>
            <w:tcW w:w="3678" w:type="pct"/>
          </w:tcPr>
          <w:p w14:paraId="207C9C90"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New Zealand Ministry of Foreign Affairs and Trade</w:t>
            </w:r>
          </w:p>
        </w:tc>
      </w:tr>
      <w:tr w:rsidR="00912ACE" w:rsidRPr="00912ACE" w14:paraId="2E5EA96D"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756CF88C"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NGO</w:t>
            </w:r>
          </w:p>
        </w:tc>
        <w:tc>
          <w:tcPr>
            <w:tcW w:w="3678" w:type="pct"/>
          </w:tcPr>
          <w:p w14:paraId="70880CC4"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Non-governmental Organisation</w:t>
            </w:r>
          </w:p>
        </w:tc>
      </w:tr>
      <w:tr w:rsidR="00912ACE" w:rsidRPr="00912ACE" w14:paraId="6DE35DDB"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00967592" w14:textId="77777777" w:rsidR="00D5148A" w:rsidRPr="00912ACE" w:rsidRDefault="00D5148A" w:rsidP="00A219E0">
            <w:pPr>
              <w:pStyle w:val="TableNoSpacing"/>
              <w:spacing w:before="60" w:after="60" w:line="240" w:lineRule="auto"/>
              <w:rPr>
                <w:b w:val="0"/>
                <w:color w:val="auto"/>
                <w:lang w:val="en-AU"/>
              </w:rPr>
            </w:pPr>
            <w:proofErr w:type="spellStart"/>
            <w:r w:rsidRPr="00912ACE">
              <w:rPr>
                <w:b w:val="0"/>
                <w:color w:val="auto"/>
                <w:lang w:val="en-AU"/>
              </w:rPr>
              <w:t>Norec</w:t>
            </w:r>
            <w:proofErr w:type="spellEnd"/>
          </w:p>
        </w:tc>
        <w:tc>
          <w:tcPr>
            <w:tcW w:w="3678" w:type="pct"/>
          </w:tcPr>
          <w:p w14:paraId="272913A5"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Norwegian Agency for Exchange Cooperation</w:t>
            </w:r>
          </w:p>
        </w:tc>
      </w:tr>
      <w:tr w:rsidR="00912ACE" w:rsidRPr="00912ACE" w14:paraId="6C8BE163"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469499C0"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ODE</w:t>
            </w:r>
          </w:p>
        </w:tc>
        <w:tc>
          <w:tcPr>
            <w:tcW w:w="3678" w:type="pct"/>
          </w:tcPr>
          <w:p w14:paraId="4DDB2E4B"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Office of Development Effectiveness</w:t>
            </w:r>
          </w:p>
        </w:tc>
      </w:tr>
      <w:tr w:rsidR="00912ACE" w:rsidRPr="00912ACE" w14:paraId="3C0F33DA"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4D52939E"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OECD</w:t>
            </w:r>
          </w:p>
        </w:tc>
        <w:tc>
          <w:tcPr>
            <w:tcW w:w="3678" w:type="pct"/>
          </w:tcPr>
          <w:p w14:paraId="73F5E997"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Organisation for Economic Co-operation and Development</w:t>
            </w:r>
          </w:p>
        </w:tc>
      </w:tr>
      <w:tr w:rsidR="00912ACE" w:rsidRPr="00912ACE" w14:paraId="4222309F"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2E44FE8C"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OSB</w:t>
            </w:r>
          </w:p>
        </w:tc>
        <w:tc>
          <w:tcPr>
            <w:tcW w:w="3678" w:type="pct"/>
          </w:tcPr>
          <w:p w14:paraId="27E61E39"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Overseas Service Bureau</w:t>
            </w:r>
          </w:p>
        </w:tc>
      </w:tr>
      <w:tr w:rsidR="00912ACE" w:rsidRPr="00912ACE" w14:paraId="7755AA2D"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34B01B47"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UK</w:t>
            </w:r>
          </w:p>
        </w:tc>
        <w:tc>
          <w:tcPr>
            <w:tcW w:w="3678" w:type="pct"/>
          </w:tcPr>
          <w:p w14:paraId="631352A0"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United Kingdom</w:t>
            </w:r>
          </w:p>
        </w:tc>
      </w:tr>
      <w:tr w:rsidR="00912ACE" w:rsidRPr="00912ACE" w14:paraId="6E713A58"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2C6E6953"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UNV</w:t>
            </w:r>
          </w:p>
        </w:tc>
        <w:tc>
          <w:tcPr>
            <w:tcW w:w="3678" w:type="pct"/>
          </w:tcPr>
          <w:p w14:paraId="22CB5B10"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United Nations Volunteer</w:t>
            </w:r>
          </w:p>
        </w:tc>
      </w:tr>
      <w:tr w:rsidR="00912ACE" w:rsidRPr="00912ACE" w14:paraId="2DB535C9"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08D83164"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V4D</w:t>
            </w:r>
          </w:p>
        </w:tc>
        <w:tc>
          <w:tcPr>
            <w:tcW w:w="3678" w:type="pct"/>
          </w:tcPr>
          <w:p w14:paraId="68EB80B3"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Volunteering for Development</w:t>
            </w:r>
          </w:p>
        </w:tc>
      </w:tr>
      <w:tr w:rsidR="00912ACE" w:rsidRPr="00912ACE" w14:paraId="3137D411"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1BDD22EF"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VCP</w:t>
            </w:r>
          </w:p>
        </w:tc>
        <w:tc>
          <w:tcPr>
            <w:tcW w:w="3678" w:type="pct"/>
          </w:tcPr>
          <w:p w14:paraId="0D91E62C"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Volunteer Cooperation Program</w:t>
            </w:r>
          </w:p>
        </w:tc>
      </w:tr>
      <w:tr w:rsidR="00912ACE" w:rsidRPr="00912ACE" w14:paraId="44F41C4E"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45CF5EDA"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Vol4Dev</w:t>
            </w:r>
          </w:p>
        </w:tc>
        <w:tc>
          <w:tcPr>
            <w:tcW w:w="3678" w:type="pct"/>
          </w:tcPr>
          <w:p w14:paraId="3F76A065"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Volunteering for Development</w:t>
            </w:r>
          </w:p>
        </w:tc>
      </w:tr>
      <w:tr w:rsidR="00912ACE" w:rsidRPr="00912ACE" w14:paraId="3F6F19A6"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63EEBF77"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VSA</w:t>
            </w:r>
          </w:p>
        </w:tc>
        <w:tc>
          <w:tcPr>
            <w:tcW w:w="3678" w:type="pct"/>
          </w:tcPr>
          <w:p w14:paraId="59341DFB"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Volunteer Service Abroad</w:t>
            </w:r>
          </w:p>
        </w:tc>
      </w:tr>
      <w:tr w:rsidR="00912ACE" w:rsidRPr="00912ACE" w14:paraId="00421111"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2437CBA0"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VSO</w:t>
            </w:r>
          </w:p>
        </w:tc>
        <w:tc>
          <w:tcPr>
            <w:tcW w:w="3678" w:type="pct"/>
          </w:tcPr>
          <w:p w14:paraId="0B8B7632"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Voluntary Service Overseas</w:t>
            </w:r>
          </w:p>
        </w:tc>
      </w:tr>
      <w:tr w:rsidR="00912ACE" w:rsidRPr="00912ACE" w14:paraId="4685AC07" w14:textId="77777777" w:rsidTr="00912ACE">
        <w:trPr>
          <w:cnfStyle w:val="100000000000" w:firstRow="1" w:lastRow="0" w:firstColumn="0" w:lastColumn="0" w:oddVBand="0" w:evenVBand="0" w:oddHBand="0" w:evenHBand="0" w:firstRowFirstColumn="0" w:firstRowLastColumn="0" w:lastRowFirstColumn="0" w:lastRowLastColumn="0"/>
          <w:tblHeader/>
        </w:trPr>
        <w:tc>
          <w:tcPr>
            <w:tcW w:w="1322" w:type="pct"/>
          </w:tcPr>
          <w:p w14:paraId="019575CC"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WUSC</w:t>
            </w:r>
          </w:p>
        </w:tc>
        <w:tc>
          <w:tcPr>
            <w:tcW w:w="3678" w:type="pct"/>
          </w:tcPr>
          <w:p w14:paraId="5DD4C490" w14:textId="77777777" w:rsidR="00D5148A" w:rsidRPr="00912ACE" w:rsidRDefault="00D5148A" w:rsidP="00A219E0">
            <w:pPr>
              <w:pStyle w:val="TableNoSpacing"/>
              <w:spacing w:before="60" w:after="60" w:line="240" w:lineRule="auto"/>
              <w:rPr>
                <w:b w:val="0"/>
                <w:color w:val="auto"/>
                <w:lang w:val="en-AU"/>
              </w:rPr>
            </w:pPr>
            <w:r w:rsidRPr="00912ACE">
              <w:rPr>
                <w:b w:val="0"/>
                <w:color w:val="auto"/>
                <w:lang w:val="en-AU"/>
              </w:rPr>
              <w:t>World University Service of Canada</w:t>
            </w:r>
          </w:p>
        </w:tc>
      </w:tr>
    </w:tbl>
    <w:p w14:paraId="08448715" w14:textId="77777777" w:rsidR="00E70D2E" w:rsidRPr="007A15F4" w:rsidRDefault="00E70D2E">
      <w:pPr>
        <w:spacing w:before="0" w:after="0" w:line="240" w:lineRule="auto"/>
        <w:rPr>
          <w:lang w:val="en-AU"/>
        </w:rPr>
      </w:pPr>
      <w:r w:rsidRPr="007A15F4">
        <w:rPr>
          <w:lang w:val="en-AU"/>
        </w:rPr>
        <w:br w:type="page"/>
      </w:r>
    </w:p>
    <w:p w14:paraId="4857B29D" w14:textId="0704A6FB" w:rsidR="00E70D2E" w:rsidRPr="007A15F4" w:rsidRDefault="00E70D2E" w:rsidP="00CA57E7">
      <w:pPr>
        <w:pStyle w:val="Heading1"/>
        <w:numPr>
          <w:ilvl w:val="0"/>
          <w:numId w:val="0"/>
        </w:numPr>
        <w:rPr>
          <w:lang w:val="en-AU"/>
        </w:rPr>
      </w:pPr>
      <w:bookmarkStart w:id="0" w:name="_Toc70068192"/>
      <w:r w:rsidRPr="007A15F4">
        <w:rPr>
          <w:lang w:val="en-AU"/>
        </w:rPr>
        <w:lastRenderedPageBreak/>
        <w:t>Executive Summary</w:t>
      </w:r>
      <w:bookmarkEnd w:id="0"/>
      <w:r w:rsidRPr="007A15F4">
        <w:rPr>
          <w:lang w:val="en-AU"/>
        </w:rPr>
        <w:t xml:space="preserve"> </w:t>
      </w:r>
    </w:p>
    <w:p w14:paraId="676C15BD" w14:textId="6C125D71" w:rsidR="00E70D2E" w:rsidRPr="007A15F4" w:rsidRDefault="00E70D2E" w:rsidP="00E70D2E">
      <w:pPr>
        <w:rPr>
          <w:rFonts w:cs="Arial"/>
          <w:szCs w:val="20"/>
          <w:lang w:val="en-AU"/>
        </w:rPr>
      </w:pPr>
      <w:r w:rsidRPr="007A15F4">
        <w:rPr>
          <w:rFonts w:cs="Arial"/>
          <w:szCs w:val="20"/>
          <w:lang w:val="en-AU"/>
        </w:rPr>
        <w:t>The Australian Government has been supporting Australians to volunteer overseas since the early 1960s. While aspects of the Australian Volunteers Program have evolved over time, the primary modality of sending skilled Australians abroad using a North-South model</w:t>
      </w:r>
      <w:r w:rsidRPr="007A15F4">
        <w:rPr>
          <w:rStyle w:val="FootnoteReference"/>
          <w:rFonts w:cs="Arial"/>
          <w:szCs w:val="20"/>
          <w:lang w:val="en-AU"/>
        </w:rPr>
        <w:footnoteReference w:id="1"/>
      </w:r>
      <w:r w:rsidRPr="007A15F4">
        <w:rPr>
          <w:rFonts w:cs="Arial"/>
          <w:szCs w:val="20"/>
          <w:lang w:val="en-AU"/>
        </w:rPr>
        <w:t xml:space="preserve"> has remained. </w:t>
      </w:r>
    </w:p>
    <w:p w14:paraId="388AD24C" w14:textId="6605FFEC" w:rsidR="00E70D2E" w:rsidRPr="007A15F4" w:rsidRDefault="00E70D2E" w:rsidP="00E70D2E">
      <w:pPr>
        <w:pStyle w:val="BodyText"/>
        <w:rPr>
          <w:rFonts w:cs="Arial"/>
          <w:noProof w:val="0"/>
        </w:rPr>
      </w:pPr>
      <w:r w:rsidRPr="007A15F4">
        <w:rPr>
          <w:rFonts w:cs="Arial"/>
          <w:noProof w:val="0"/>
        </w:rPr>
        <w:t>The Australian Government, like other donors researched for this comparative analysis—Canada, New Zealand, Norway and the United Kingdom (UK)</w:t>
      </w:r>
      <w:r w:rsidR="008A7CF2" w:rsidRPr="007A15F4">
        <w:rPr>
          <w:rFonts w:cs="Arial"/>
          <w:noProof w:val="0"/>
        </w:rPr>
        <w:t>—</w:t>
      </w:r>
      <w:r w:rsidRPr="007A15F4">
        <w:rPr>
          <w:rFonts w:cs="Arial"/>
          <w:noProof w:val="0"/>
        </w:rPr>
        <w:t xml:space="preserve">use volunteer programs as a vehicle to promote sustainable development, build relationships, and enhance cultural understanding by strengthening people-to-people links. </w:t>
      </w:r>
    </w:p>
    <w:p w14:paraId="40B270E5" w14:textId="06D9344D" w:rsidR="00E70D2E" w:rsidRPr="007A15F4" w:rsidRDefault="00E70D2E" w:rsidP="00E70D2E">
      <w:pPr>
        <w:pStyle w:val="BodyText"/>
        <w:rPr>
          <w:rFonts w:cs="Arial"/>
          <w:noProof w:val="0"/>
        </w:rPr>
      </w:pPr>
      <w:r w:rsidRPr="007A15F4">
        <w:rPr>
          <w:rFonts w:cs="Arial"/>
          <w:noProof w:val="0"/>
        </w:rPr>
        <w:t xml:space="preserve">Around the turn of the century, some volunteer programs began to </w:t>
      </w:r>
      <w:r w:rsidRPr="007A15F4">
        <w:rPr>
          <w:rFonts w:cs="Arial"/>
          <w:b/>
          <w:noProof w:val="0"/>
        </w:rPr>
        <w:t>challenge the traditional model of donor-led development assistance and North-South volunteering</w:t>
      </w:r>
      <w:r w:rsidRPr="007A15F4">
        <w:rPr>
          <w:rFonts w:cs="Arial"/>
          <w:noProof w:val="0"/>
        </w:rPr>
        <w:t xml:space="preserve">. In Norway for example, this meant a significant change </w:t>
      </w:r>
      <w:r w:rsidR="00790CFB" w:rsidRPr="007A15F4">
        <w:rPr>
          <w:rFonts w:cs="Arial"/>
          <w:noProof w:val="0"/>
        </w:rPr>
        <w:t>in</w:t>
      </w:r>
      <w:r w:rsidRPr="007A15F4">
        <w:rPr>
          <w:rFonts w:cs="Arial"/>
          <w:noProof w:val="0"/>
        </w:rPr>
        <w:t xml:space="preserve"> their almost 40 year approach of sending professional Norwegians to less developed countries, shifting to a mutual exchange model of professionals and volunteers.</w:t>
      </w:r>
      <w:r w:rsidRPr="007A15F4">
        <w:rPr>
          <w:rStyle w:val="FootnoteReference"/>
          <w:rFonts w:cs="Arial"/>
          <w:noProof w:val="0"/>
        </w:rPr>
        <w:footnoteReference w:id="2"/>
      </w:r>
      <w:r w:rsidRPr="007A15F4">
        <w:rPr>
          <w:rFonts w:cs="Arial"/>
          <w:noProof w:val="0"/>
        </w:rPr>
        <w:t xml:space="preserve"> Different models of volunteering predominantly include: South-North volunteering</w:t>
      </w:r>
      <w:r w:rsidR="007A15F4">
        <w:rPr>
          <w:rFonts w:cs="Arial"/>
          <w:noProof w:val="0"/>
        </w:rPr>
        <w:t>,</w:t>
      </w:r>
      <w:r w:rsidRPr="007A15F4">
        <w:rPr>
          <w:rStyle w:val="FootnoteReference"/>
          <w:rFonts w:cs="Arial"/>
          <w:noProof w:val="0"/>
        </w:rPr>
        <w:footnoteReference w:id="3"/>
      </w:r>
      <w:r w:rsidRPr="007A15F4">
        <w:rPr>
          <w:rFonts w:cs="Arial"/>
          <w:noProof w:val="0"/>
        </w:rPr>
        <w:t xml:space="preserve"> South-South volunteering</w:t>
      </w:r>
      <w:r w:rsidR="007A15F4">
        <w:rPr>
          <w:rFonts w:cs="Arial"/>
          <w:noProof w:val="0"/>
        </w:rPr>
        <w:t>,</w:t>
      </w:r>
      <w:r w:rsidRPr="007A15F4">
        <w:rPr>
          <w:rStyle w:val="FootnoteReference"/>
          <w:rFonts w:cs="Arial"/>
          <w:noProof w:val="0"/>
        </w:rPr>
        <w:footnoteReference w:id="4"/>
      </w:r>
      <w:r w:rsidRPr="007A15F4">
        <w:rPr>
          <w:rFonts w:cs="Arial"/>
          <w:noProof w:val="0"/>
        </w:rPr>
        <w:t xml:space="preserve"> and local volunteering.</w:t>
      </w:r>
      <w:r w:rsidRPr="007A15F4">
        <w:rPr>
          <w:rStyle w:val="FootnoteReference"/>
          <w:rFonts w:cs="Arial"/>
          <w:noProof w:val="0"/>
        </w:rPr>
        <w:footnoteReference w:id="5"/>
      </w:r>
      <w:r w:rsidRPr="007A15F4">
        <w:rPr>
          <w:rFonts w:cs="Arial"/>
          <w:noProof w:val="0"/>
        </w:rPr>
        <w:t xml:space="preserve"> Of the four countries researched for this comparative analysis—Canada, </w:t>
      </w:r>
      <w:r w:rsidR="00071AD8" w:rsidRPr="007A15F4">
        <w:rPr>
          <w:rFonts w:cs="Arial"/>
          <w:noProof w:val="0"/>
        </w:rPr>
        <w:t xml:space="preserve">the </w:t>
      </w:r>
      <w:r w:rsidRPr="007A15F4">
        <w:rPr>
          <w:rFonts w:cs="Arial"/>
          <w:noProof w:val="0"/>
        </w:rPr>
        <w:t xml:space="preserve">UK, and Norway have adopted the models of South-North and South-South volunteering within their programs. The UK also provides opportunities for national volunteering within their Volunteers for Development program implemented by </w:t>
      </w:r>
      <w:r w:rsidRPr="007A15F4">
        <w:rPr>
          <w:rFonts w:cs="Arial"/>
          <w:noProof w:val="0"/>
          <w:color w:val="000000"/>
        </w:rPr>
        <w:t>Voluntary Service Overseas</w:t>
      </w:r>
      <w:r w:rsidRPr="007A15F4">
        <w:rPr>
          <w:rFonts w:cs="Arial"/>
          <w:noProof w:val="0"/>
        </w:rPr>
        <w:t xml:space="preserve">. </w:t>
      </w:r>
    </w:p>
    <w:p w14:paraId="54B75159" w14:textId="4409BC24" w:rsidR="00243DFA" w:rsidRPr="007A15F4" w:rsidRDefault="00E70D2E" w:rsidP="00E70D2E">
      <w:pPr>
        <w:pStyle w:val="BodyText"/>
        <w:rPr>
          <w:rFonts w:cs="Arial"/>
          <w:noProof w:val="0"/>
        </w:rPr>
      </w:pPr>
      <w:r w:rsidRPr="007A15F4">
        <w:rPr>
          <w:rFonts w:cs="Arial"/>
          <w:noProof w:val="0"/>
        </w:rPr>
        <w:t>Each volunteer program has evolved over time</w:t>
      </w:r>
      <w:r w:rsidR="002D079E" w:rsidRPr="007A15F4">
        <w:rPr>
          <w:rFonts w:cs="Arial"/>
          <w:noProof w:val="0"/>
        </w:rPr>
        <w:t xml:space="preserve">, </w:t>
      </w:r>
      <w:r w:rsidR="00786838" w:rsidRPr="007A15F4">
        <w:rPr>
          <w:rFonts w:cs="Arial"/>
          <w:noProof w:val="0"/>
        </w:rPr>
        <w:t xml:space="preserve">though </w:t>
      </w:r>
      <w:r w:rsidRPr="007A15F4">
        <w:rPr>
          <w:rFonts w:cs="Arial"/>
          <w:noProof w:val="0"/>
        </w:rPr>
        <w:t xml:space="preserve">never at a more rapid pace than in 2020. All programs have needed to </w:t>
      </w:r>
      <w:r w:rsidRPr="007A15F4">
        <w:rPr>
          <w:rFonts w:cs="Arial"/>
          <w:b/>
          <w:noProof w:val="0"/>
        </w:rPr>
        <w:t>adapt to the COVID-19 pandemic</w:t>
      </w:r>
      <w:r w:rsidRPr="007A15F4">
        <w:rPr>
          <w:rFonts w:cs="Arial"/>
          <w:noProof w:val="0"/>
        </w:rPr>
        <w:t xml:space="preserve"> and consider their approach to volunteering </w:t>
      </w:r>
      <w:r w:rsidR="00BF45F6" w:rsidRPr="007A15F4">
        <w:rPr>
          <w:rFonts w:cs="Arial"/>
          <w:noProof w:val="0"/>
        </w:rPr>
        <w:t>at</w:t>
      </w:r>
      <w:r w:rsidRPr="007A15F4">
        <w:rPr>
          <w:rFonts w:cs="Arial"/>
          <w:noProof w:val="0"/>
        </w:rPr>
        <w:t xml:space="preserve"> a time whe</w:t>
      </w:r>
      <w:r w:rsidR="00BF45F6" w:rsidRPr="007A15F4">
        <w:rPr>
          <w:rFonts w:cs="Arial"/>
          <w:noProof w:val="0"/>
        </w:rPr>
        <w:t>n</w:t>
      </w:r>
      <w:r w:rsidRPr="007A15F4">
        <w:rPr>
          <w:rFonts w:cs="Arial"/>
          <w:noProof w:val="0"/>
        </w:rPr>
        <w:t xml:space="preserve"> the movement of people and international travel </w:t>
      </w:r>
      <w:r w:rsidR="003C3936" w:rsidRPr="007A15F4">
        <w:rPr>
          <w:rFonts w:cs="Arial"/>
          <w:noProof w:val="0"/>
        </w:rPr>
        <w:t>are</w:t>
      </w:r>
      <w:r w:rsidRPr="007A15F4">
        <w:rPr>
          <w:rFonts w:cs="Arial"/>
          <w:noProof w:val="0"/>
        </w:rPr>
        <w:t xml:space="preserve"> severely restricted. All five volunteer programs </w:t>
      </w:r>
      <w:r w:rsidR="00243DFA" w:rsidRPr="007A15F4">
        <w:rPr>
          <w:rFonts w:cs="Arial"/>
          <w:noProof w:val="0"/>
        </w:rPr>
        <w:t>h</w:t>
      </w:r>
      <w:r w:rsidR="0012054A" w:rsidRPr="007A15F4">
        <w:rPr>
          <w:rFonts w:cs="Arial"/>
          <w:noProof w:val="0"/>
        </w:rPr>
        <w:t>ave respon</w:t>
      </w:r>
      <w:r w:rsidR="00F35D8E" w:rsidRPr="007A15F4">
        <w:rPr>
          <w:rFonts w:cs="Arial"/>
          <w:noProof w:val="0"/>
        </w:rPr>
        <w:t>d</w:t>
      </w:r>
      <w:r w:rsidR="00243DFA" w:rsidRPr="007A15F4">
        <w:rPr>
          <w:rFonts w:cs="Arial"/>
          <w:noProof w:val="0"/>
        </w:rPr>
        <w:t xml:space="preserve">ed </w:t>
      </w:r>
      <w:r w:rsidR="0012054A" w:rsidRPr="007A15F4">
        <w:rPr>
          <w:rFonts w:cs="Arial"/>
          <w:noProof w:val="0"/>
        </w:rPr>
        <w:t>to the COVID-19 pandemic by</w:t>
      </w:r>
      <w:r w:rsidR="00243DFA" w:rsidRPr="007A15F4">
        <w:rPr>
          <w:rFonts w:cs="Arial"/>
          <w:noProof w:val="0"/>
        </w:rPr>
        <w:t xml:space="preserve"> repatriating</w:t>
      </w:r>
      <w:r w:rsidRPr="007A15F4">
        <w:rPr>
          <w:rFonts w:cs="Arial"/>
          <w:noProof w:val="0"/>
        </w:rPr>
        <w:t xml:space="preserve"> volunteers living in a host country</w:t>
      </w:r>
      <w:r w:rsidR="00243DFA" w:rsidRPr="007A15F4">
        <w:rPr>
          <w:rFonts w:cs="Arial"/>
          <w:noProof w:val="0"/>
        </w:rPr>
        <w:t xml:space="preserve"> and pu</w:t>
      </w:r>
      <w:r w:rsidRPr="007A15F4">
        <w:rPr>
          <w:rFonts w:cs="Arial"/>
          <w:noProof w:val="0"/>
        </w:rPr>
        <w:t>t</w:t>
      </w:r>
      <w:r w:rsidR="0012054A" w:rsidRPr="007A15F4">
        <w:rPr>
          <w:rFonts w:cs="Arial"/>
          <w:noProof w:val="0"/>
        </w:rPr>
        <w:t>ting</w:t>
      </w:r>
      <w:r w:rsidRPr="007A15F4">
        <w:rPr>
          <w:rFonts w:cs="Arial"/>
          <w:noProof w:val="0"/>
        </w:rPr>
        <w:t xml:space="preserve"> future international deployments on hold indefinitely. </w:t>
      </w:r>
    </w:p>
    <w:p w14:paraId="18A1DF61" w14:textId="13E16F12" w:rsidR="00E70D2E" w:rsidRPr="007A15F4" w:rsidRDefault="00062AAA" w:rsidP="00E70D2E">
      <w:pPr>
        <w:pStyle w:val="BodyText"/>
        <w:rPr>
          <w:rFonts w:cs="Arial"/>
          <w:noProof w:val="0"/>
        </w:rPr>
      </w:pPr>
      <w:r w:rsidRPr="093618CD">
        <w:rPr>
          <w:rFonts w:cs="Arial"/>
          <w:b/>
          <w:bCs/>
          <w:noProof w:val="0"/>
        </w:rPr>
        <w:t>Remote</w:t>
      </w:r>
      <w:r w:rsidR="00E70D2E" w:rsidRPr="093618CD">
        <w:rPr>
          <w:rFonts w:cs="Arial"/>
          <w:noProof w:val="0"/>
        </w:rPr>
        <w:t xml:space="preserve"> </w:t>
      </w:r>
      <w:r w:rsidR="00E70D2E" w:rsidRPr="093618CD">
        <w:rPr>
          <w:rFonts w:cs="Arial"/>
          <w:b/>
          <w:bCs/>
          <w:noProof w:val="0"/>
        </w:rPr>
        <w:t>volunteering</w:t>
      </w:r>
      <w:r w:rsidR="00E70D2E" w:rsidRPr="093618CD">
        <w:rPr>
          <w:rFonts w:cs="Arial"/>
          <w:noProof w:val="0"/>
        </w:rPr>
        <w:t xml:space="preserve"> emerged as a common response to the repatriation of volunteers to their home countries due to the pandemic. </w:t>
      </w:r>
      <w:r w:rsidR="007A15F4" w:rsidRPr="093618CD">
        <w:rPr>
          <w:rFonts w:cs="Arial"/>
          <w:noProof w:val="0"/>
        </w:rPr>
        <w:t>However,</w:t>
      </w:r>
      <w:r w:rsidR="00E70D2E" w:rsidRPr="093618CD">
        <w:rPr>
          <w:rFonts w:cs="Arial"/>
          <w:noProof w:val="0"/>
        </w:rPr>
        <w:t xml:space="preserve"> most donors acknowledge that </w:t>
      </w:r>
      <w:r w:rsidR="00E57815">
        <w:rPr>
          <w:rFonts w:cs="Arial"/>
          <w:noProof w:val="0"/>
        </w:rPr>
        <w:t xml:space="preserve">remote volunteering cannot be the sole </w:t>
      </w:r>
      <w:r w:rsidR="007A15F4" w:rsidRPr="093618CD">
        <w:rPr>
          <w:rFonts w:cs="Arial"/>
          <w:noProof w:val="0"/>
        </w:rPr>
        <w:t>long-term</w:t>
      </w:r>
      <w:r w:rsidR="00E70D2E" w:rsidRPr="093618CD">
        <w:rPr>
          <w:rFonts w:cs="Arial"/>
          <w:noProof w:val="0"/>
        </w:rPr>
        <w:t xml:space="preserve"> solution as it </w:t>
      </w:r>
      <w:r w:rsidR="00E57815">
        <w:rPr>
          <w:rFonts w:cs="Arial"/>
          <w:noProof w:val="0"/>
        </w:rPr>
        <w:t xml:space="preserve">is no </w:t>
      </w:r>
      <w:r w:rsidR="00E70D2E" w:rsidRPr="093618CD">
        <w:rPr>
          <w:rFonts w:cs="Arial"/>
          <w:noProof w:val="0"/>
        </w:rPr>
        <w:t>replace</w:t>
      </w:r>
      <w:r w:rsidR="00E57815">
        <w:rPr>
          <w:rFonts w:cs="Arial"/>
          <w:noProof w:val="0"/>
        </w:rPr>
        <w:t>ment for</w:t>
      </w:r>
      <w:r w:rsidR="00E70D2E" w:rsidRPr="093618CD">
        <w:rPr>
          <w:rFonts w:cs="Arial"/>
          <w:noProof w:val="0"/>
        </w:rPr>
        <w:t xml:space="preserve"> face-to-face engagement. </w:t>
      </w:r>
    </w:p>
    <w:p w14:paraId="15034C15" w14:textId="1FFDD75A" w:rsidR="00E70D2E" w:rsidRPr="007A15F4" w:rsidRDefault="00E70D2E" w:rsidP="00E70D2E">
      <w:pPr>
        <w:pStyle w:val="BodyText"/>
        <w:rPr>
          <w:rFonts w:cs="Arial"/>
          <w:noProof w:val="0"/>
        </w:rPr>
      </w:pPr>
      <w:r w:rsidRPr="007A15F4">
        <w:rPr>
          <w:rFonts w:cs="Arial"/>
          <w:noProof w:val="0"/>
        </w:rPr>
        <w:t xml:space="preserve">The volunteer programs that use alternate methods to North-South volunteering didn’t have to scale back operations to the same extent as those countries that only use this model, </w:t>
      </w:r>
      <w:r w:rsidR="00F0266C" w:rsidRPr="007A15F4">
        <w:rPr>
          <w:rFonts w:cs="Arial"/>
          <w:noProof w:val="0"/>
        </w:rPr>
        <w:t xml:space="preserve">such as </w:t>
      </w:r>
      <w:r w:rsidRPr="007A15F4">
        <w:rPr>
          <w:rFonts w:cs="Arial"/>
          <w:noProof w:val="0"/>
        </w:rPr>
        <w:t xml:space="preserve">Australia. This made them slightly </w:t>
      </w:r>
      <w:r w:rsidRPr="007A15F4">
        <w:rPr>
          <w:rFonts w:cs="Arial"/>
          <w:b/>
          <w:noProof w:val="0"/>
        </w:rPr>
        <w:t>more resili</w:t>
      </w:r>
      <w:r w:rsidR="00F71D27" w:rsidRPr="007A15F4">
        <w:rPr>
          <w:rFonts w:cs="Arial"/>
          <w:b/>
          <w:noProof w:val="0"/>
        </w:rPr>
        <w:t>e</w:t>
      </w:r>
      <w:r w:rsidRPr="007A15F4">
        <w:rPr>
          <w:rFonts w:cs="Arial"/>
          <w:b/>
          <w:noProof w:val="0"/>
        </w:rPr>
        <w:t>nt to the shocks of the COVID-19 pandemic</w:t>
      </w:r>
      <w:r w:rsidRPr="007A15F4">
        <w:rPr>
          <w:rFonts w:cs="Arial"/>
          <w:noProof w:val="0"/>
        </w:rPr>
        <w:t xml:space="preserve"> as well as demonstrated their commitment to the </w:t>
      </w:r>
      <w:r w:rsidRPr="007A15F4">
        <w:rPr>
          <w:rFonts w:cs="Arial"/>
          <w:b/>
          <w:noProof w:val="0"/>
        </w:rPr>
        <w:t>localisation agenda</w:t>
      </w:r>
      <w:r w:rsidRPr="007A15F4">
        <w:rPr>
          <w:rFonts w:cs="Arial"/>
          <w:noProof w:val="0"/>
        </w:rPr>
        <w:t xml:space="preserve">. </w:t>
      </w:r>
    </w:p>
    <w:p w14:paraId="3A8A6BD0" w14:textId="7F73480A" w:rsidR="00E70D2E" w:rsidRPr="007A15F4" w:rsidRDefault="00E70D2E" w:rsidP="00E70D2E">
      <w:pPr>
        <w:pStyle w:val="BodyText"/>
        <w:rPr>
          <w:noProof w:val="0"/>
          <w:lang w:eastAsia="en-AU"/>
        </w:rPr>
      </w:pPr>
      <w:r w:rsidRPr="007A15F4">
        <w:rPr>
          <w:noProof w:val="0"/>
          <w:lang w:eastAsia="en-AU"/>
        </w:rPr>
        <w:t>Current trends in volunteering include greater participati</w:t>
      </w:r>
      <w:r w:rsidR="002D079E" w:rsidRPr="007A15F4">
        <w:rPr>
          <w:noProof w:val="0"/>
          <w:lang w:eastAsia="en-AU"/>
        </w:rPr>
        <w:t>on</w:t>
      </w:r>
      <w:r w:rsidRPr="007A15F4">
        <w:rPr>
          <w:noProof w:val="0"/>
          <w:lang w:eastAsia="en-AU"/>
        </w:rPr>
        <w:t xml:space="preserve"> in </w:t>
      </w:r>
      <w:r w:rsidRPr="007A15F4">
        <w:rPr>
          <w:b/>
          <w:noProof w:val="0"/>
          <w:lang w:eastAsia="en-AU"/>
        </w:rPr>
        <w:t>informal volunteering</w:t>
      </w:r>
      <w:r w:rsidR="002D079E" w:rsidRPr="007A15F4">
        <w:rPr>
          <w:b/>
          <w:noProof w:val="0"/>
          <w:lang w:eastAsia="en-AU"/>
        </w:rPr>
        <w:t>,</w:t>
      </w:r>
      <w:r w:rsidR="002D079E" w:rsidRPr="007A15F4">
        <w:rPr>
          <w:noProof w:val="0"/>
          <w:lang w:eastAsia="en-AU"/>
        </w:rPr>
        <w:t xml:space="preserve"> including e-volunteering</w:t>
      </w:r>
      <w:r w:rsidRPr="007A15F4">
        <w:rPr>
          <w:noProof w:val="0"/>
          <w:lang w:eastAsia="en-AU"/>
        </w:rPr>
        <w:t xml:space="preserve">. This has been made possible through technological advances and social media. Individuals are drawn to these flatter structures, which some see as more dynamic, impactful, and effective. </w:t>
      </w:r>
    </w:p>
    <w:p w14:paraId="6B56EE84" w14:textId="651AF80F" w:rsidR="00E70D2E" w:rsidRPr="007A15F4" w:rsidRDefault="00E70D2E" w:rsidP="00E70D2E">
      <w:pPr>
        <w:pStyle w:val="BodyText"/>
        <w:rPr>
          <w:noProof w:val="0"/>
          <w:lang w:eastAsia="en-AU"/>
        </w:rPr>
      </w:pPr>
      <w:r w:rsidRPr="007A15F4">
        <w:rPr>
          <w:rFonts w:cs="Arial"/>
          <w:noProof w:val="0"/>
        </w:rPr>
        <w:t xml:space="preserve">The increased focus on </w:t>
      </w:r>
      <w:r w:rsidRPr="007A15F4">
        <w:rPr>
          <w:rFonts w:cs="Arial"/>
          <w:b/>
          <w:noProof w:val="0"/>
        </w:rPr>
        <w:t>local volunteering</w:t>
      </w:r>
      <w:r w:rsidRPr="007A15F4">
        <w:rPr>
          <w:rFonts w:cs="Arial"/>
          <w:noProof w:val="0"/>
        </w:rPr>
        <w:t xml:space="preserve"> </w:t>
      </w:r>
      <w:r w:rsidR="002D079E" w:rsidRPr="007A15F4">
        <w:rPr>
          <w:rFonts w:cs="Arial"/>
          <w:noProof w:val="0"/>
        </w:rPr>
        <w:t xml:space="preserve">and the </w:t>
      </w:r>
      <w:r w:rsidR="002D079E" w:rsidRPr="007A15F4">
        <w:rPr>
          <w:rFonts w:cs="Arial"/>
          <w:b/>
          <w:noProof w:val="0"/>
        </w:rPr>
        <w:t xml:space="preserve">localisation agenda </w:t>
      </w:r>
      <w:r w:rsidRPr="007A15F4">
        <w:rPr>
          <w:rFonts w:cs="Arial"/>
          <w:noProof w:val="0"/>
        </w:rPr>
        <w:t xml:space="preserve">is a common theme in the </w:t>
      </w:r>
      <w:r w:rsidR="007A15F4" w:rsidRPr="007A15F4">
        <w:rPr>
          <w:rFonts w:cs="Arial"/>
          <w:noProof w:val="0"/>
        </w:rPr>
        <w:t>literature</w:t>
      </w:r>
      <w:r w:rsidR="002D079E" w:rsidRPr="007A15F4">
        <w:rPr>
          <w:rFonts w:cs="Arial"/>
          <w:noProof w:val="0"/>
        </w:rPr>
        <w:t xml:space="preserve"> on volunteering</w:t>
      </w:r>
      <w:r w:rsidRPr="007A15F4">
        <w:rPr>
          <w:rFonts w:cs="Arial"/>
          <w:noProof w:val="0"/>
        </w:rPr>
        <w:t xml:space="preserve">. </w:t>
      </w:r>
      <w:r w:rsidR="007A15F4" w:rsidRPr="007A15F4">
        <w:rPr>
          <w:rFonts w:cs="Arial"/>
          <w:noProof w:val="0"/>
        </w:rPr>
        <w:t>However,</w:t>
      </w:r>
      <w:r w:rsidRPr="007A15F4">
        <w:rPr>
          <w:rFonts w:cs="Arial"/>
          <w:noProof w:val="0"/>
        </w:rPr>
        <w:t xml:space="preserve"> the United National Volunteers </w:t>
      </w:r>
      <w:r w:rsidRPr="007A15F4">
        <w:rPr>
          <w:noProof w:val="0"/>
          <w:lang w:eastAsia="en-AU"/>
        </w:rPr>
        <w:t xml:space="preserve">warns against local solutions being touted as the panacea to addressing marginalisation. They implore that all solutions, including those that involve volunteering, require a nuanced response to be effective. </w:t>
      </w:r>
    </w:p>
    <w:p w14:paraId="010923A3" w14:textId="4A96C727" w:rsidR="00E70D2E" w:rsidRPr="007A15F4" w:rsidRDefault="00E70D2E" w:rsidP="00E70D2E">
      <w:pPr>
        <w:pStyle w:val="BodyText"/>
        <w:rPr>
          <w:noProof w:val="0"/>
          <w:lang w:eastAsia="en-AU"/>
        </w:rPr>
      </w:pPr>
      <w:r w:rsidRPr="007A15F4">
        <w:rPr>
          <w:noProof w:val="0"/>
          <w:lang w:eastAsia="en-AU"/>
        </w:rPr>
        <w:lastRenderedPageBreak/>
        <w:t xml:space="preserve">The increase and support of local volunteering </w:t>
      </w:r>
      <w:proofErr w:type="gramStart"/>
      <w:r w:rsidRPr="007A15F4">
        <w:rPr>
          <w:noProof w:val="0"/>
          <w:lang w:eastAsia="en-AU"/>
        </w:rPr>
        <w:t>is  currently</w:t>
      </w:r>
      <w:proofErr w:type="gramEnd"/>
      <w:r w:rsidRPr="007A15F4">
        <w:rPr>
          <w:noProof w:val="0"/>
          <w:lang w:eastAsia="en-AU"/>
        </w:rPr>
        <w:t xml:space="preserve"> being explored through the </w:t>
      </w:r>
      <w:r w:rsidRPr="007A15F4">
        <w:rPr>
          <w:b/>
          <w:noProof w:val="0"/>
          <w:lang w:eastAsia="en-AU"/>
        </w:rPr>
        <w:t>Australian Volunteer</w:t>
      </w:r>
      <w:r w:rsidR="004A12DB" w:rsidRPr="007A15F4">
        <w:rPr>
          <w:b/>
          <w:noProof w:val="0"/>
          <w:lang w:eastAsia="en-AU"/>
        </w:rPr>
        <w:t>s</w:t>
      </w:r>
      <w:r w:rsidRPr="007A15F4">
        <w:rPr>
          <w:b/>
          <w:noProof w:val="0"/>
          <w:lang w:eastAsia="en-AU"/>
        </w:rPr>
        <w:t xml:space="preserve"> Programs</w:t>
      </w:r>
      <w:r w:rsidR="00F35D8E" w:rsidRPr="007A15F4">
        <w:rPr>
          <w:b/>
          <w:noProof w:val="0"/>
          <w:lang w:eastAsia="en-AU"/>
        </w:rPr>
        <w:t>’</w:t>
      </w:r>
      <w:r w:rsidRPr="007A15F4">
        <w:rPr>
          <w:b/>
          <w:noProof w:val="0"/>
          <w:lang w:eastAsia="en-AU"/>
        </w:rPr>
        <w:t xml:space="preserve"> Innovation Fund</w:t>
      </w:r>
      <w:r w:rsidRPr="007A15F4">
        <w:rPr>
          <w:noProof w:val="0"/>
          <w:lang w:eastAsia="en-AU"/>
        </w:rPr>
        <w:t>. One of the roles of the Innovation Fund is to trial new ideas to complement the traditional North-South model of volunteering used by the program. The</w:t>
      </w:r>
      <w:r w:rsidRPr="007A15F4">
        <w:rPr>
          <w:noProof w:val="0"/>
        </w:rPr>
        <w:t xml:space="preserve"> </w:t>
      </w:r>
      <w:r w:rsidRPr="007A15F4">
        <w:rPr>
          <w:noProof w:val="0"/>
          <w:lang w:eastAsia="en-AU"/>
        </w:rPr>
        <w:t xml:space="preserve">Innovation Fund is currently supporting 15 different ideas for how the program might use alternate models of volunteering, including ideas that will further explore the themes around local volunteering, youth volunteering and supporting national volunteering infrastructure. </w:t>
      </w:r>
    </w:p>
    <w:p w14:paraId="56A8C40F" w14:textId="150E1528" w:rsidR="00E70D2E" w:rsidRPr="007A15F4" w:rsidRDefault="00E70D2E" w:rsidP="00E70D2E">
      <w:pPr>
        <w:pStyle w:val="BodyText"/>
        <w:rPr>
          <w:noProof w:val="0"/>
          <w:lang w:eastAsia="en-AU"/>
        </w:rPr>
      </w:pPr>
      <w:r w:rsidRPr="007A15F4">
        <w:rPr>
          <w:noProof w:val="0"/>
          <w:lang w:eastAsia="en-AU"/>
        </w:rPr>
        <w:t xml:space="preserve">Another structure within the Australian Volunteers Program that supports its ability to respond to change is the </w:t>
      </w:r>
      <w:r w:rsidRPr="007A15F4">
        <w:rPr>
          <w:b/>
          <w:noProof w:val="0"/>
          <w:lang w:eastAsia="en-AU"/>
        </w:rPr>
        <w:t xml:space="preserve">embedded and comprehensive monitoring, </w:t>
      </w:r>
      <w:r w:rsidR="007A15F4" w:rsidRPr="007A15F4">
        <w:rPr>
          <w:b/>
          <w:noProof w:val="0"/>
          <w:lang w:eastAsia="en-AU"/>
        </w:rPr>
        <w:t>evaluation,</w:t>
      </w:r>
      <w:r w:rsidRPr="007A15F4">
        <w:rPr>
          <w:b/>
          <w:noProof w:val="0"/>
          <w:lang w:eastAsia="en-AU"/>
        </w:rPr>
        <w:t xml:space="preserve"> and learning</w:t>
      </w:r>
      <w:r w:rsidRPr="007A15F4">
        <w:rPr>
          <w:noProof w:val="0"/>
          <w:lang w:eastAsia="en-AU"/>
        </w:rPr>
        <w:t xml:space="preserve"> (MEL) system. This is a standout amongst other donor programs, as a common challenge discussed during the interviews was data collection, </w:t>
      </w:r>
      <w:r w:rsidR="007A15F4" w:rsidRPr="007A15F4">
        <w:rPr>
          <w:noProof w:val="0"/>
          <w:lang w:eastAsia="en-AU"/>
        </w:rPr>
        <w:t>triangulation,</w:t>
      </w:r>
      <w:r w:rsidRPr="007A15F4">
        <w:rPr>
          <w:noProof w:val="0"/>
          <w:lang w:eastAsia="en-AU"/>
        </w:rPr>
        <w:t xml:space="preserve"> and aggregation, specifically when assessing people-to-people links and improved diplomatic relations. </w:t>
      </w:r>
    </w:p>
    <w:p w14:paraId="237654DC" w14:textId="21872DB9" w:rsidR="00E70D2E" w:rsidRPr="007A15F4" w:rsidRDefault="00E70D2E" w:rsidP="00E70D2E">
      <w:pPr>
        <w:pStyle w:val="BodyText"/>
        <w:rPr>
          <w:noProof w:val="0"/>
          <w:lang w:eastAsia="en-AU"/>
        </w:rPr>
      </w:pPr>
      <w:r w:rsidRPr="007A15F4">
        <w:rPr>
          <w:noProof w:val="0"/>
          <w:lang w:eastAsia="en-AU"/>
        </w:rPr>
        <w:t xml:space="preserve">While the method of sending skilled Australians overseas has not changed, the program has evolved significantly and adapted to the changing global landscape. Its comprehensive MEL system and institutionalised approach to innovation means it is </w:t>
      </w:r>
      <w:r w:rsidRPr="007A15F4">
        <w:rPr>
          <w:b/>
          <w:noProof w:val="0"/>
          <w:lang w:eastAsia="en-AU"/>
        </w:rPr>
        <w:t>well placed to adapt to future challenges</w:t>
      </w:r>
      <w:r w:rsidRPr="007A15F4">
        <w:rPr>
          <w:noProof w:val="0"/>
          <w:lang w:eastAsia="en-AU"/>
        </w:rPr>
        <w:t xml:space="preserve"> in the volunteering sector.</w:t>
      </w:r>
    </w:p>
    <w:p w14:paraId="74F6894A" w14:textId="77777777" w:rsidR="000C5240" w:rsidRPr="007A15F4" w:rsidRDefault="000C5240" w:rsidP="00D9540B">
      <w:pPr>
        <w:pStyle w:val="TtNormal"/>
        <w:rPr>
          <w:lang w:val="en-AU"/>
        </w:rPr>
        <w:sectPr w:rsidR="000C5240" w:rsidRPr="007A15F4" w:rsidSect="00511E02">
          <w:footerReference w:type="default" r:id="rId14"/>
          <w:footerReference w:type="first" r:id="rId15"/>
          <w:pgSz w:w="12240" w:h="15840"/>
          <w:pgMar w:top="1440" w:right="1080" w:bottom="1440" w:left="1080" w:header="648" w:footer="648" w:gutter="0"/>
          <w:pgNumType w:fmt="lowerRoman" w:start="1"/>
          <w:cols w:space="720"/>
          <w:docGrid w:linePitch="360"/>
        </w:sectPr>
      </w:pPr>
    </w:p>
    <w:p w14:paraId="665E10D3" w14:textId="77777777" w:rsidR="00842385" w:rsidRPr="007A15F4" w:rsidRDefault="00842385" w:rsidP="00CA57E7">
      <w:pPr>
        <w:pStyle w:val="Heading1"/>
        <w:spacing w:before="0"/>
        <w:rPr>
          <w:lang w:val="en-AU"/>
        </w:rPr>
      </w:pPr>
      <w:bookmarkStart w:id="1" w:name="_Toc70068193"/>
      <w:bookmarkStart w:id="2" w:name="_Toc40882977"/>
      <w:r w:rsidRPr="007A15F4">
        <w:rPr>
          <w:lang w:val="en-AU"/>
        </w:rPr>
        <w:lastRenderedPageBreak/>
        <w:t>Introduction</w:t>
      </w:r>
      <w:bookmarkEnd w:id="1"/>
    </w:p>
    <w:p w14:paraId="3A5DC688" w14:textId="77777777" w:rsidR="00FA4A07" w:rsidRPr="007A15F4" w:rsidRDefault="00E70D2E" w:rsidP="00E70D2E">
      <w:pPr>
        <w:pStyle w:val="BodyText"/>
        <w:rPr>
          <w:rFonts w:cs="Arial"/>
          <w:noProof w:val="0"/>
        </w:rPr>
      </w:pPr>
      <w:r w:rsidRPr="007A15F4">
        <w:rPr>
          <w:rFonts w:eastAsiaTheme="minorHAnsi" w:cs="Arial"/>
          <w:noProof w:val="0"/>
        </w:rPr>
        <w:t>For more than 60 years the Australian Government has supported Australians to volunteer overseas to assist the development of lower income countries.</w:t>
      </w:r>
      <w:r w:rsidRPr="007A15F4">
        <w:rPr>
          <w:rStyle w:val="FootnoteReference"/>
          <w:rFonts w:cs="Arial"/>
          <w:noProof w:val="0"/>
        </w:rPr>
        <w:footnoteReference w:id="6"/>
      </w:r>
      <w:r w:rsidRPr="007A15F4">
        <w:rPr>
          <w:rStyle w:val="FootnoteReference"/>
          <w:rFonts w:cs="Arial"/>
          <w:noProof w:val="0"/>
        </w:rPr>
        <w:t xml:space="preserve"> </w:t>
      </w:r>
    </w:p>
    <w:p w14:paraId="5A53F37B" w14:textId="7025D258" w:rsidR="00E70D2E" w:rsidRPr="007A15F4" w:rsidRDefault="00E70D2E" w:rsidP="00E70D2E">
      <w:pPr>
        <w:pStyle w:val="BodyText"/>
        <w:rPr>
          <w:rStyle w:val="FootnoteReference"/>
          <w:rFonts w:cs="Arial"/>
          <w:noProof w:val="0"/>
        </w:rPr>
      </w:pPr>
      <w:r w:rsidRPr="007A15F4">
        <w:rPr>
          <w:rFonts w:eastAsiaTheme="minorHAnsi" w:cs="Arial"/>
          <w:noProof w:val="0"/>
        </w:rPr>
        <w:t>The aim of this comparative analysis is to portrait the international experience, compare Australia’s approach to that of other countries, and summarise how countries are responding to current volunteering challenges. Th</w:t>
      </w:r>
      <w:r w:rsidR="00A91893" w:rsidRPr="007A15F4">
        <w:rPr>
          <w:rFonts w:eastAsiaTheme="minorHAnsi" w:cs="Arial"/>
          <w:noProof w:val="0"/>
        </w:rPr>
        <w:t>e</w:t>
      </w:r>
      <w:r w:rsidRPr="007A15F4">
        <w:rPr>
          <w:rFonts w:eastAsiaTheme="minorHAnsi" w:cs="Arial"/>
          <w:noProof w:val="0"/>
        </w:rPr>
        <w:t xml:space="preserve"> report does this by comparing the Australian Volunteer</w:t>
      </w:r>
      <w:r w:rsidR="004A12DB" w:rsidRPr="007A15F4">
        <w:rPr>
          <w:rFonts w:eastAsiaTheme="minorHAnsi" w:cs="Arial"/>
          <w:noProof w:val="0"/>
        </w:rPr>
        <w:t>s</w:t>
      </w:r>
      <w:r w:rsidRPr="007A15F4">
        <w:rPr>
          <w:rFonts w:eastAsiaTheme="minorHAnsi" w:cs="Arial"/>
          <w:noProof w:val="0"/>
        </w:rPr>
        <w:t xml:space="preserve"> Program with government supported volunteer programs in Canada, New Zealand, Norway, and the United Kingdom (UK). </w:t>
      </w:r>
      <w:r w:rsidR="000742B7" w:rsidRPr="007A15F4">
        <w:rPr>
          <w:rFonts w:eastAsiaTheme="minorHAnsi" w:cs="Arial"/>
          <w:noProof w:val="0"/>
        </w:rPr>
        <w:t>The evaluation team undertook a</w:t>
      </w:r>
      <w:r w:rsidRPr="007A15F4">
        <w:rPr>
          <w:rFonts w:eastAsiaTheme="minorHAnsi" w:cs="Arial"/>
          <w:noProof w:val="0"/>
        </w:rPr>
        <w:t xml:space="preserve"> desk assessment of relevant documents for each donor, compl</w:t>
      </w:r>
      <w:r w:rsidR="00D623C9" w:rsidRPr="007A15F4">
        <w:rPr>
          <w:rFonts w:eastAsiaTheme="minorHAnsi" w:cs="Arial"/>
          <w:noProof w:val="0"/>
        </w:rPr>
        <w:t>e</w:t>
      </w:r>
      <w:r w:rsidRPr="007A15F4">
        <w:rPr>
          <w:rFonts w:eastAsiaTheme="minorHAnsi" w:cs="Arial"/>
          <w:noProof w:val="0"/>
        </w:rPr>
        <w:t>mented by interviews with those responsible for managing these programs.</w:t>
      </w:r>
      <w:r w:rsidRPr="007A15F4">
        <w:rPr>
          <w:rStyle w:val="FootnoteReference"/>
          <w:rFonts w:cs="Arial"/>
          <w:noProof w:val="0"/>
        </w:rPr>
        <w:footnoteReference w:id="7"/>
      </w:r>
      <w:r w:rsidRPr="007A15F4">
        <w:rPr>
          <w:rStyle w:val="FootnoteReference"/>
          <w:rFonts w:cs="Arial"/>
          <w:noProof w:val="0"/>
        </w:rPr>
        <w:t xml:space="preserve"> </w:t>
      </w:r>
    </w:p>
    <w:p w14:paraId="61B09541" w14:textId="37ACC748" w:rsidR="00E70D2E" w:rsidRPr="007A15F4" w:rsidRDefault="00E70D2E" w:rsidP="00E70D2E">
      <w:pPr>
        <w:rPr>
          <w:rFonts w:cs="Arial"/>
          <w:szCs w:val="20"/>
          <w:lang w:val="en-AU"/>
        </w:rPr>
      </w:pPr>
      <w:r w:rsidRPr="007A15F4">
        <w:rPr>
          <w:rFonts w:cs="Arial"/>
          <w:szCs w:val="20"/>
          <w:lang w:val="en-AU"/>
        </w:rPr>
        <w:t>This comparat</w:t>
      </w:r>
      <w:r w:rsidR="00FA4A07" w:rsidRPr="007A15F4">
        <w:rPr>
          <w:rFonts w:cs="Arial"/>
          <w:szCs w:val="20"/>
          <w:lang w:val="en-AU"/>
        </w:rPr>
        <w:t xml:space="preserve">ive analysis looks at the ways each </w:t>
      </w:r>
      <w:r w:rsidRPr="007A15F4">
        <w:rPr>
          <w:rFonts w:cs="Arial"/>
          <w:szCs w:val="20"/>
          <w:lang w:val="en-AU"/>
        </w:rPr>
        <w:t>donor</w:t>
      </w:r>
      <w:r w:rsidR="00FA4A07" w:rsidRPr="007A15F4">
        <w:rPr>
          <w:rFonts w:cs="Arial"/>
          <w:szCs w:val="20"/>
          <w:lang w:val="en-AU"/>
        </w:rPr>
        <w:t xml:space="preserve"> country</w:t>
      </w:r>
      <w:r w:rsidRPr="007A15F4">
        <w:rPr>
          <w:rFonts w:cs="Arial"/>
          <w:szCs w:val="20"/>
          <w:lang w:val="en-AU"/>
        </w:rPr>
        <w:t xml:space="preserve"> approach</w:t>
      </w:r>
      <w:r w:rsidR="00FA4A07" w:rsidRPr="007A15F4">
        <w:rPr>
          <w:rFonts w:cs="Arial"/>
          <w:szCs w:val="20"/>
          <w:lang w:val="en-AU"/>
        </w:rPr>
        <w:t>es</w:t>
      </w:r>
      <w:r w:rsidRPr="007A15F4">
        <w:rPr>
          <w:rFonts w:cs="Arial"/>
          <w:szCs w:val="20"/>
          <w:lang w:val="en-AU"/>
        </w:rPr>
        <w:t xml:space="preserve"> volunteering, including North-South volunteering</w:t>
      </w:r>
      <w:r w:rsidR="006A5063">
        <w:rPr>
          <w:rFonts w:cs="Arial"/>
          <w:szCs w:val="20"/>
          <w:lang w:val="en-AU"/>
        </w:rPr>
        <w:t>,</w:t>
      </w:r>
      <w:r w:rsidRPr="007A15F4">
        <w:rPr>
          <w:rStyle w:val="FootnoteReference"/>
          <w:rFonts w:cs="Arial"/>
          <w:szCs w:val="20"/>
          <w:lang w:val="en-AU"/>
        </w:rPr>
        <w:footnoteReference w:id="8"/>
      </w:r>
      <w:r w:rsidRPr="007A15F4">
        <w:rPr>
          <w:rFonts w:cs="Arial"/>
          <w:szCs w:val="20"/>
          <w:lang w:val="en-AU"/>
        </w:rPr>
        <w:t xml:space="preserve"> South-North volunteering</w:t>
      </w:r>
      <w:r w:rsidR="006A5063">
        <w:rPr>
          <w:rFonts w:cs="Arial"/>
          <w:szCs w:val="20"/>
          <w:lang w:val="en-AU"/>
        </w:rPr>
        <w:t>,</w:t>
      </w:r>
      <w:r w:rsidRPr="007A15F4">
        <w:rPr>
          <w:rStyle w:val="FootnoteReference"/>
          <w:rFonts w:cs="Arial"/>
          <w:szCs w:val="20"/>
          <w:lang w:val="en-AU"/>
        </w:rPr>
        <w:footnoteReference w:id="9"/>
      </w:r>
      <w:r w:rsidRPr="007A15F4">
        <w:rPr>
          <w:rFonts w:cs="Arial"/>
          <w:szCs w:val="20"/>
          <w:lang w:val="en-AU"/>
        </w:rPr>
        <w:t xml:space="preserve"> South-South volunteering</w:t>
      </w:r>
      <w:r w:rsidRPr="007A15F4">
        <w:rPr>
          <w:rStyle w:val="FootnoteReference"/>
          <w:rFonts w:cs="Arial"/>
          <w:szCs w:val="20"/>
          <w:lang w:val="en-AU"/>
        </w:rPr>
        <w:footnoteReference w:id="10"/>
      </w:r>
      <w:r w:rsidRPr="007A15F4">
        <w:rPr>
          <w:rFonts w:cs="Arial"/>
          <w:szCs w:val="20"/>
          <w:lang w:val="en-AU"/>
        </w:rPr>
        <w:t xml:space="preserve"> or triangular cooperation</w:t>
      </w:r>
      <w:r w:rsidR="00FA6D7D">
        <w:rPr>
          <w:rFonts w:cs="Arial"/>
          <w:szCs w:val="20"/>
          <w:lang w:val="en-AU"/>
        </w:rPr>
        <w:t>,</w:t>
      </w:r>
      <w:r w:rsidRPr="007A15F4">
        <w:rPr>
          <w:rStyle w:val="FootnoteReference"/>
          <w:rFonts w:cs="Arial"/>
          <w:szCs w:val="20"/>
          <w:lang w:val="en-AU"/>
        </w:rPr>
        <w:footnoteReference w:id="11"/>
      </w:r>
      <w:r w:rsidRPr="007A15F4">
        <w:rPr>
          <w:rFonts w:cs="Arial"/>
          <w:szCs w:val="20"/>
          <w:lang w:val="en-AU"/>
        </w:rPr>
        <w:t xml:space="preserve"> and local volunteering.</w:t>
      </w:r>
      <w:r w:rsidRPr="007A15F4">
        <w:rPr>
          <w:rStyle w:val="FootnoteReference"/>
          <w:rFonts w:cs="Arial"/>
          <w:szCs w:val="20"/>
          <w:lang w:val="en-AU"/>
        </w:rPr>
        <w:footnoteReference w:id="12"/>
      </w:r>
      <w:r w:rsidRPr="007A15F4">
        <w:rPr>
          <w:rFonts w:cs="Arial"/>
          <w:szCs w:val="20"/>
          <w:lang w:val="en-AU"/>
        </w:rPr>
        <w:t xml:space="preserve"> The desk review and interviews investigated program objectives and the methods used to achieve intended outcomes, as well as value for money considerations and the potential to use programs to achieve diplomatic influence. The report also unpacks each countr</w:t>
      </w:r>
      <w:r w:rsidR="00E01DEB" w:rsidRPr="007A15F4">
        <w:rPr>
          <w:rFonts w:cs="Arial"/>
          <w:szCs w:val="20"/>
          <w:lang w:val="en-AU"/>
        </w:rPr>
        <w:t>y’s</w:t>
      </w:r>
      <w:r w:rsidRPr="007A15F4">
        <w:rPr>
          <w:rFonts w:cs="Arial"/>
          <w:szCs w:val="20"/>
          <w:lang w:val="en-AU"/>
        </w:rPr>
        <w:t xml:space="preserve"> program response to the COVID-19 pandemic and how they are responding to current challenges. In the final section, this document looks at the trends in international volunteering and reviews the literature on the ‘future of volunteering’. </w:t>
      </w:r>
    </w:p>
    <w:p w14:paraId="1141DE1E" w14:textId="6042A592" w:rsidR="00842385" w:rsidRPr="007A15F4" w:rsidRDefault="00842385" w:rsidP="003F7AB0">
      <w:pPr>
        <w:pStyle w:val="BodyText"/>
        <w:rPr>
          <w:noProof w:val="0"/>
        </w:rPr>
      </w:pPr>
      <w:r w:rsidRPr="007A15F4">
        <w:rPr>
          <w:noProof w:val="0"/>
        </w:rPr>
        <w:br w:type="page"/>
      </w:r>
    </w:p>
    <w:p w14:paraId="6EBEF332" w14:textId="794F1DB6" w:rsidR="00511E02" w:rsidRPr="007A15F4" w:rsidRDefault="00757BEA" w:rsidP="00050ECB">
      <w:pPr>
        <w:pStyle w:val="Heading1"/>
        <w:rPr>
          <w:lang w:val="en-AU"/>
        </w:rPr>
      </w:pPr>
      <w:bookmarkStart w:id="3" w:name="_Toc70068194"/>
      <w:bookmarkEnd w:id="2"/>
      <w:r w:rsidRPr="007A15F4">
        <w:rPr>
          <w:lang w:val="en-AU"/>
        </w:rPr>
        <w:lastRenderedPageBreak/>
        <w:t>The History and Evolution of the Australian Volunteers Program</w:t>
      </w:r>
      <w:bookmarkEnd w:id="3"/>
    </w:p>
    <w:p w14:paraId="2E84AEE4" w14:textId="283F7ED5" w:rsidR="00511E02" w:rsidRPr="007A15F4" w:rsidRDefault="00757BEA" w:rsidP="00CA57E7">
      <w:pPr>
        <w:pStyle w:val="Heading2"/>
        <w:rPr>
          <w:lang w:val="en-AU"/>
        </w:rPr>
      </w:pPr>
      <w:bookmarkStart w:id="4" w:name="_Toc70068195"/>
      <w:r w:rsidRPr="007A15F4">
        <w:rPr>
          <w:lang w:val="en-AU"/>
        </w:rPr>
        <w:t>History</w:t>
      </w:r>
      <w:bookmarkEnd w:id="4"/>
    </w:p>
    <w:p w14:paraId="500F4FD8" w14:textId="5EE52CA5" w:rsidR="00757BEA" w:rsidRPr="007A15F4" w:rsidRDefault="00757BEA" w:rsidP="00757BEA">
      <w:pPr>
        <w:pStyle w:val="BodyText"/>
        <w:rPr>
          <w:noProof w:val="0"/>
          <w:lang w:eastAsia="en-AU"/>
        </w:rPr>
      </w:pPr>
      <w:r w:rsidRPr="007A15F4">
        <w:rPr>
          <w:noProof w:val="0"/>
          <w:lang w:eastAsia="en-AU"/>
        </w:rPr>
        <w:t xml:space="preserve">International volunteering in Australia originated in </w:t>
      </w:r>
      <w:r w:rsidRPr="007A15F4">
        <w:rPr>
          <w:b/>
          <w:noProof w:val="0"/>
          <w:lang w:eastAsia="en-AU"/>
        </w:rPr>
        <w:t xml:space="preserve">1951 </w:t>
      </w:r>
      <w:r w:rsidRPr="007A15F4">
        <w:rPr>
          <w:noProof w:val="0"/>
          <w:lang w:eastAsia="en-AU"/>
        </w:rPr>
        <w:t>with the establishment of the Volunteer Graduate Scheme, first sending Australian volunteer students to Indonesia.</w:t>
      </w:r>
    </w:p>
    <w:p w14:paraId="7676DE91" w14:textId="2B3D99A5" w:rsidR="00757BEA" w:rsidRPr="007A15F4" w:rsidRDefault="00757BEA" w:rsidP="00757BEA">
      <w:pPr>
        <w:pStyle w:val="BodyText"/>
        <w:rPr>
          <w:noProof w:val="0"/>
          <w:lang w:eastAsia="en-AU"/>
        </w:rPr>
      </w:pPr>
      <w:r w:rsidRPr="007A15F4">
        <w:rPr>
          <w:noProof w:val="0"/>
          <w:lang w:eastAsia="en-AU"/>
        </w:rPr>
        <w:t>In</w:t>
      </w:r>
      <w:r w:rsidRPr="007A15F4">
        <w:rPr>
          <w:b/>
          <w:noProof w:val="0"/>
          <w:lang w:eastAsia="en-AU"/>
        </w:rPr>
        <w:t xml:space="preserve"> 1961</w:t>
      </w:r>
      <w:r w:rsidRPr="007A15F4">
        <w:rPr>
          <w:noProof w:val="0"/>
          <w:lang w:eastAsia="en-AU"/>
        </w:rPr>
        <w:t xml:space="preserve"> the Overseas Service Bureau (now A</w:t>
      </w:r>
      <w:r w:rsidR="00984281" w:rsidRPr="007A15F4">
        <w:rPr>
          <w:noProof w:val="0"/>
          <w:lang w:eastAsia="en-AU"/>
        </w:rPr>
        <w:t>ustralian Volunteers International</w:t>
      </w:r>
      <w:r w:rsidRPr="007A15F4">
        <w:rPr>
          <w:noProof w:val="0"/>
          <w:lang w:eastAsia="en-AU"/>
        </w:rPr>
        <w:t xml:space="preserve">) was established to support Australians volunteering overseas. In the same year the Australian Government began supporting international volunteers by providing funding to the Overseas Service Bureau </w:t>
      </w:r>
      <w:r w:rsidR="0089672B" w:rsidRPr="007A15F4">
        <w:rPr>
          <w:noProof w:val="0"/>
          <w:lang w:eastAsia="en-AU"/>
        </w:rPr>
        <w:t xml:space="preserve">(OSB) </w:t>
      </w:r>
      <w:r w:rsidRPr="007A15F4">
        <w:rPr>
          <w:noProof w:val="0"/>
          <w:lang w:eastAsia="en-AU"/>
        </w:rPr>
        <w:t>as part of the Australian Volunteers Abroad program.</w:t>
      </w:r>
    </w:p>
    <w:p w14:paraId="49455D5B" w14:textId="00BB959E" w:rsidR="00757BEA" w:rsidRPr="007A15F4" w:rsidRDefault="00757BEA" w:rsidP="00757BEA">
      <w:pPr>
        <w:pStyle w:val="BodyText"/>
        <w:rPr>
          <w:noProof w:val="0"/>
          <w:lang w:eastAsia="en-AU"/>
        </w:rPr>
      </w:pPr>
      <w:r w:rsidRPr="007A15F4">
        <w:rPr>
          <w:noProof w:val="0"/>
          <w:lang w:eastAsia="en-AU"/>
        </w:rPr>
        <w:t xml:space="preserve">In </w:t>
      </w:r>
      <w:r w:rsidRPr="007A15F4">
        <w:rPr>
          <w:b/>
          <w:noProof w:val="0"/>
          <w:lang w:eastAsia="en-AU"/>
        </w:rPr>
        <w:t xml:space="preserve">1964 </w:t>
      </w:r>
      <w:r w:rsidRPr="007A15F4">
        <w:rPr>
          <w:noProof w:val="0"/>
          <w:lang w:eastAsia="en-AU"/>
        </w:rPr>
        <w:t xml:space="preserve">the first 14 Australian Volunteers Abroad departed to Papua New Guinea, Solomon Islands, </w:t>
      </w:r>
      <w:r w:rsidR="00FA6D7D" w:rsidRPr="007A15F4">
        <w:rPr>
          <w:noProof w:val="0"/>
          <w:lang w:eastAsia="en-AU"/>
        </w:rPr>
        <w:t>Tanzania,</w:t>
      </w:r>
      <w:r w:rsidRPr="007A15F4">
        <w:rPr>
          <w:noProof w:val="0"/>
          <w:lang w:eastAsia="en-AU"/>
        </w:rPr>
        <w:t xml:space="preserve"> and Nigeria.</w:t>
      </w:r>
    </w:p>
    <w:p w14:paraId="051B4F7E" w14:textId="7AD5255F" w:rsidR="00757BEA" w:rsidRPr="007A15F4" w:rsidRDefault="00757BEA" w:rsidP="00757BEA">
      <w:pPr>
        <w:pStyle w:val="BodyText"/>
        <w:rPr>
          <w:noProof w:val="0"/>
          <w:lang w:eastAsia="en-AU"/>
        </w:rPr>
      </w:pPr>
      <w:r w:rsidRPr="007A15F4">
        <w:rPr>
          <w:noProof w:val="0"/>
          <w:lang w:eastAsia="en-AU"/>
        </w:rPr>
        <w:t xml:space="preserve">Between </w:t>
      </w:r>
      <w:r w:rsidRPr="007A15F4">
        <w:rPr>
          <w:b/>
          <w:noProof w:val="0"/>
          <w:lang w:eastAsia="en-AU"/>
        </w:rPr>
        <w:t>1963</w:t>
      </w:r>
      <w:r w:rsidRPr="007A15F4">
        <w:rPr>
          <w:noProof w:val="0"/>
          <w:lang w:eastAsia="en-AU"/>
        </w:rPr>
        <w:t xml:space="preserve"> and </w:t>
      </w:r>
      <w:r w:rsidRPr="007A15F4">
        <w:rPr>
          <w:b/>
          <w:noProof w:val="0"/>
          <w:lang w:eastAsia="en-AU"/>
        </w:rPr>
        <w:t xml:space="preserve">1996 </w:t>
      </w:r>
      <w:r w:rsidRPr="007A15F4">
        <w:rPr>
          <w:noProof w:val="0"/>
          <w:lang w:eastAsia="en-AU"/>
        </w:rPr>
        <w:t>the Australian aid program provided core funding to select Australian non-government organisations for their volunteer programs.</w:t>
      </w:r>
      <w:r w:rsidRPr="007A15F4">
        <w:rPr>
          <w:rStyle w:val="FootnoteReference"/>
          <w:rFonts w:eastAsia="Times New Roman" w:cs="Arial"/>
          <w:noProof w:val="0"/>
          <w:lang w:eastAsia="en-AU"/>
        </w:rPr>
        <w:footnoteReference w:id="13"/>
      </w:r>
    </w:p>
    <w:p w14:paraId="19A9A5CE" w14:textId="7868AFD5" w:rsidR="00757BEA" w:rsidRPr="007A15F4" w:rsidRDefault="00757BEA" w:rsidP="00757BEA">
      <w:pPr>
        <w:pStyle w:val="BodyText"/>
        <w:rPr>
          <w:noProof w:val="0"/>
          <w:lang w:eastAsia="en-AU"/>
        </w:rPr>
      </w:pPr>
      <w:r w:rsidRPr="007A15F4">
        <w:rPr>
          <w:noProof w:val="0"/>
          <w:lang w:eastAsia="en-AU"/>
        </w:rPr>
        <w:t xml:space="preserve">In </w:t>
      </w:r>
      <w:r w:rsidRPr="007A15F4">
        <w:rPr>
          <w:b/>
          <w:noProof w:val="0"/>
          <w:lang w:eastAsia="en-AU"/>
        </w:rPr>
        <w:t xml:space="preserve">1997 </w:t>
      </w:r>
      <w:r w:rsidRPr="007A15F4">
        <w:rPr>
          <w:noProof w:val="0"/>
          <w:lang w:eastAsia="en-AU"/>
        </w:rPr>
        <w:t>the Australian Youth Ambassadors for Development (AYAD) program was introduced, targeting Australian youth aged between 18 and 30.</w:t>
      </w:r>
    </w:p>
    <w:p w14:paraId="632E6B07" w14:textId="56DA5DA5" w:rsidR="00757BEA" w:rsidRPr="007A15F4" w:rsidRDefault="00757BEA" w:rsidP="00CA57E7">
      <w:pPr>
        <w:pStyle w:val="Heading2"/>
        <w:rPr>
          <w:lang w:val="en-AU" w:eastAsia="en-AU"/>
        </w:rPr>
      </w:pPr>
      <w:bookmarkStart w:id="5" w:name="_Toc70068196"/>
      <w:r w:rsidRPr="007A15F4">
        <w:rPr>
          <w:lang w:val="en-AU" w:eastAsia="en-AU"/>
        </w:rPr>
        <w:t>Evolution</w:t>
      </w:r>
      <w:bookmarkEnd w:id="5"/>
    </w:p>
    <w:p w14:paraId="544AD15B" w14:textId="753C0B68" w:rsidR="00757BEA" w:rsidRPr="007A15F4" w:rsidRDefault="00757BEA" w:rsidP="00757BEA">
      <w:pPr>
        <w:pStyle w:val="BodyText"/>
        <w:rPr>
          <w:noProof w:val="0"/>
          <w:lang w:eastAsia="en-AU"/>
        </w:rPr>
      </w:pPr>
      <w:r w:rsidRPr="007A15F4">
        <w:rPr>
          <w:noProof w:val="0"/>
          <w:lang w:eastAsia="en-AU"/>
        </w:rPr>
        <w:t xml:space="preserve">In </w:t>
      </w:r>
      <w:r w:rsidRPr="007A15F4">
        <w:rPr>
          <w:b/>
          <w:noProof w:val="0"/>
          <w:lang w:eastAsia="en-AU"/>
        </w:rPr>
        <w:t>2005</w:t>
      </w:r>
      <w:r w:rsidRPr="007A15F4">
        <w:rPr>
          <w:noProof w:val="0"/>
          <w:lang w:eastAsia="en-AU"/>
        </w:rPr>
        <w:t xml:space="preserve">, the Australian Government ran a competitive tender process to deliver two parts of the </w:t>
      </w:r>
      <w:proofErr w:type="gramStart"/>
      <w:r w:rsidRPr="007A15F4">
        <w:rPr>
          <w:noProof w:val="0"/>
          <w:lang w:eastAsia="en-AU"/>
        </w:rPr>
        <w:t>volunteers</w:t>
      </w:r>
      <w:proofErr w:type="gramEnd"/>
      <w:r w:rsidRPr="007A15F4">
        <w:rPr>
          <w:noProof w:val="0"/>
          <w:lang w:eastAsia="en-AU"/>
        </w:rPr>
        <w:t xml:space="preserve"> program: the AYAD stream and the Volunteers Program. The Volunteers Program was managed by Australian Volunteers International (AVI), Australian Business Volunteers (ABV), and </w:t>
      </w:r>
      <w:proofErr w:type="spellStart"/>
      <w:r w:rsidRPr="007A15F4">
        <w:rPr>
          <w:noProof w:val="0"/>
          <w:lang w:eastAsia="en-AU"/>
        </w:rPr>
        <w:t>Austraining</w:t>
      </w:r>
      <w:proofErr w:type="spellEnd"/>
      <w:r w:rsidRPr="007A15F4">
        <w:rPr>
          <w:noProof w:val="0"/>
          <w:lang w:eastAsia="en-AU"/>
        </w:rPr>
        <w:t xml:space="preserve"> International (now Scope Global) who were also contracted to manage the AYAD stream. </w:t>
      </w:r>
    </w:p>
    <w:p w14:paraId="554E7EBA" w14:textId="103937C4" w:rsidR="00757BEA" w:rsidRPr="007A15F4" w:rsidRDefault="00757BEA" w:rsidP="00757BEA">
      <w:pPr>
        <w:pStyle w:val="BodyText"/>
        <w:rPr>
          <w:noProof w:val="0"/>
          <w:lang w:eastAsia="en-AU"/>
        </w:rPr>
      </w:pPr>
      <w:r w:rsidRPr="007A15F4">
        <w:rPr>
          <w:noProof w:val="0"/>
          <w:lang w:eastAsia="en-AU"/>
        </w:rPr>
        <w:t xml:space="preserve">In </w:t>
      </w:r>
      <w:r w:rsidRPr="007A15F4">
        <w:rPr>
          <w:b/>
          <w:noProof w:val="0"/>
          <w:lang w:eastAsia="en-AU"/>
        </w:rPr>
        <w:t>2009</w:t>
      </w:r>
      <w:r w:rsidRPr="007A15F4">
        <w:rPr>
          <w:noProof w:val="0"/>
          <w:lang w:eastAsia="en-AU"/>
        </w:rPr>
        <w:t xml:space="preserve"> a review of the Australian Government Volunteer Program recommended designing a unified volunteer program. The three successful organisations selected were: AVI, </w:t>
      </w:r>
      <w:proofErr w:type="spellStart"/>
      <w:r w:rsidRPr="007A15F4">
        <w:rPr>
          <w:noProof w:val="0"/>
          <w:lang w:eastAsia="en-AU"/>
        </w:rPr>
        <w:t>Austraining</w:t>
      </w:r>
      <w:proofErr w:type="spellEnd"/>
      <w:r w:rsidRPr="007A15F4">
        <w:rPr>
          <w:noProof w:val="0"/>
          <w:lang w:eastAsia="en-AU"/>
        </w:rPr>
        <w:t xml:space="preserve"> International, and the Australian Red Cross. </w:t>
      </w:r>
    </w:p>
    <w:p w14:paraId="3F608A46" w14:textId="77777777" w:rsidR="00757BEA" w:rsidRPr="007A15F4" w:rsidRDefault="00757BEA" w:rsidP="00757BEA">
      <w:pPr>
        <w:pStyle w:val="BodyText"/>
        <w:rPr>
          <w:noProof w:val="0"/>
          <w:lang w:eastAsia="en-AU"/>
        </w:rPr>
      </w:pPr>
      <w:r w:rsidRPr="007A15F4">
        <w:rPr>
          <w:noProof w:val="0"/>
          <w:lang w:eastAsia="en-AU"/>
        </w:rPr>
        <w:t xml:space="preserve">In </w:t>
      </w:r>
      <w:r w:rsidRPr="007A15F4">
        <w:rPr>
          <w:b/>
          <w:noProof w:val="0"/>
          <w:lang w:eastAsia="en-AU"/>
        </w:rPr>
        <w:t>2011</w:t>
      </w:r>
      <w:r w:rsidRPr="007A15F4">
        <w:rPr>
          <w:noProof w:val="0"/>
          <w:lang w:eastAsia="en-AU"/>
        </w:rPr>
        <w:t xml:space="preserve"> the Australian Volunteers for International Development (AVID) program was launched. This aimed to streamline the different programs and brands under one identity and standardise the recruitment, management, and volunteer entitlements under the program. </w:t>
      </w:r>
    </w:p>
    <w:p w14:paraId="75A57E10" w14:textId="744BB9D9" w:rsidR="00757BEA" w:rsidRPr="007A15F4" w:rsidRDefault="00757BEA" w:rsidP="00757BEA">
      <w:pPr>
        <w:pStyle w:val="BodyText"/>
        <w:rPr>
          <w:noProof w:val="0"/>
          <w:lang w:eastAsia="en-AU"/>
        </w:rPr>
      </w:pPr>
      <w:r w:rsidRPr="007A15F4">
        <w:rPr>
          <w:noProof w:val="0"/>
          <w:lang w:eastAsia="en-AU"/>
        </w:rPr>
        <w:t xml:space="preserve">In </w:t>
      </w:r>
      <w:r w:rsidRPr="007A15F4">
        <w:rPr>
          <w:b/>
          <w:noProof w:val="0"/>
          <w:lang w:eastAsia="en-AU"/>
        </w:rPr>
        <w:t>2014</w:t>
      </w:r>
      <w:r w:rsidRPr="007A15F4">
        <w:rPr>
          <w:noProof w:val="0"/>
          <w:lang w:eastAsia="en-AU"/>
        </w:rPr>
        <w:t xml:space="preserve"> the Office of Development Effectiveness (ODE) completed an independent evaluation of the AVID program. The evaluation found that volunteers make an effective contribution to the Australian Government's development and public diplomacy objectives. All evaluation recommendations were accepted</w:t>
      </w:r>
      <w:r w:rsidR="00340465" w:rsidRPr="007A15F4">
        <w:rPr>
          <w:noProof w:val="0"/>
          <w:lang w:eastAsia="en-AU"/>
        </w:rPr>
        <w:t>,</w:t>
      </w:r>
      <w:r w:rsidRPr="007A15F4">
        <w:rPr>
          <w:noProof w:val="0"/>
          <w:lang w:eastAsia="en-AU"/>
        </w:rPr>
        <w:t xml:space="preserve"> which </w:t>
      </w:r>
      <w:r w:rsidR="00340465" w:rsidRPr="007A15F4">
        <w:rPr>
          <w:noProof w:val="0"/>
          <w:lang w:eastAsia="en-AU"/>
        </w:rPr>
        <w:t>led t</w:t>
      </w:r>
      <w:r w:rsidR="00E5000C" w:rsidRPr="007A15F4">
        <w:rPr>
          <w:noProof w:val="0"/>
          <w:lang w:eastAsia="en-AU"/>
        </w:rPr>
        <w:t>o</w:t>
      </w:r>
      <w:r w:rsidR="00340465" w:rsidRPr="007A15F4">
        <w:rPr>
          <w:noProof w:val="0"/>
          <w:lang w:eastAsia="en-AU"/>
        </w:rPr>
        <w:t xml:space="preserve"> a focus </w:t>
      </w:r>
      <w:r w:rsidRPr="007A15F4">
        <w:rPr>
          <w:noProof w:val="0"/>
          <w:lang w:eastAsia="en-AU"/>
        </w:rPr>
        <w:t>on further improving the development effectiveness, efficiency, and value-for-money of the program. This included consolidating AVID into a single volunteer program and retiring the youth stream: AYAD.</w:t>
      </w:r>
      <w:r w:rsidRPr="007A15F4">
        <w:rPr>
          <w:rStyle w:val="FootnoteReference"/>
          <w:rFonts w:eastAsia="Times New Roman" w:cs="Arial"/>
          <w:noProof w:val="0"/>
          <w:lang w:eastAsia="en-AU"/>
        </w:rPr>
        <w:footnoteReference w:id="14"/>
      </w:r>
    </w:p>
    <w:p w14:paraId="39547ECA" w14:textId="184D82DE" w:rsidR="00757BEA" w:rsidRPr="007A15F4" w:rsidRDefault="00757BEA" w:rsidP="00CA57E7">
      <w:pPr>
        <w:pStyle w:val="Heading2"/>
        <w:rPr>
          <w:lang w:val="en-AU" w:eastAsia="en-AU"/>
        </w:rPr>
      </w:pPr>
      <w:bookmarkStart w:id="6" w:name="_Toc70068197"/>
      <w:r w:rsidRPr="007A15F4">
        <w:rPr>
          <w:lang w:val="en-AU" w:eastAsia="en-AU"/>
        </w:rPr>
        <w:lastRenderedPageBreak/>
        <w:t>Today</w:t>
      </w:r>
      <w:bookmarkEnd w:id="6"/>
    </w:p>
    <w:p w14:paraId="54E2C5BF" w14:textId="6DDD420D" w:rsidR="00757BEA" w:rsidRPr="007A15F4" w:rsidRDefault="00757BEA" w:rsidP="00757BEA">
      <w:pPr>
        <w:pStyle w:val="BodyText"/>
        <w:rPr>
          <w:noProof w:val="0"/>
          <w:lang w:eastAsia="en-AU"/>
        </w:rPr>
      </w:pPr>
      <w:r w:rsidRPr="007A15F4">
        <w:rPr>
          <w:noProof w:val="0"/>
          <w:lang w:eastAsia="en-AU"/>
        </w:rPr>
        <w:t xml:space="preserve">The AVID program concluded on </w:t>
      </w:r>
      <w:r w:rsidRPr="007A15F4">
        <w:rPr>
          <w:b/>
          <w:bCs/>
          <w:noProof w:val="0"/>
          <w:lang w:eastAsia="en-AU"/>
        </w:rPr>
        <w:t>31 December 2017</w:t>
      </w:r>
      <w:r w:rsidRPr="007A15F4">
        <w:rPr>
          <w:noProof w:val="0"/>
          <w:lang w:eastAsia="en-AU"/>
        </w:rPr>
        <w:t xml:space="preserve"> and was replaced by the new</w:t>
      </w:r>
      <w:r w:rsidR="00C14943" w:rsidRPr="007A15F4">
        <w:rPr>
          <w:noProof w:val="0"/>
          <w:lang w:eastAsia="en-AU"/>
        </w:rPr>
        <w:t xml:space="preserve"> Australian Volunteers Program (the program)</w:t>
      </w:r>
      <w:r w:rsidRPr="007A15F4">
        <w:rPr>
          <w:noProof w:val="0"/>
          <w:lang w:eastAsia="en-AU"/>
        </w:rPr>
        <w:t>, which sets out a ten-year phase of volunteering from January 2018 to December 2027. The program aims to place more than 1000 Australian volunteers each year in 26 countries to support more than 700 partner organisations. The program places at least 97</w:t>
      </w:r>
      <w:r w:rsidR="00EA310B" w:rsidRPr="007A15F4">
        <w:rPr>
          <w:noProof w:val="0"/>
          <w:lang w:eastAsia="en-AU"/>
        </w:rPr>
        <w:t>%</w:t>
      </w:r>
      <w:r w:rsidRPr="007A15F4">
        <w:rPr>
          <w:noProof w:val="0"/>
          <w:lang w:eastAsia="en-AU"/>
        </w:rPr>
        <w:t xml:space="preserve"> of volunteers in the Indo-Pacific region and 40</w:t>
      </w:r>
      <w:r w:rsidR="00EA310B" w:rsidRPr="007A15F4">
        <w:rPr>
          <w:noProof w:val="0"/>
          <w:lang w:eastAsia="en-AU"/>
        </w:rPr>
        <w:t>%</w:t>
      </w:r>
      <w:r w:rsidRPr="007A15F4">
        <w:rPr>
          <w:noProof w:val="0"/>
          <w:lang w:eastAsia="en-AU"/>
        </w:rPr>
        <w:t xml:space="preserve"> of assignments in the Pacific. </w:t>
      </w:r>
      <w:r w:rsidR="00C14943" w:rsidRPr="007A15F4">
        <w:rPr>
          <w:noProof w:val="0"/>
          <w:lang w:eastAsia="en-AU"/>
        </w:rPr>
        <w:t>The program</w:t>
      </w:r>
      <w:r w:rsidRPr="007A15F4">
        <w:rPr>
          <w:noProof w:val="0"/>
          <w:lang w:eastAsia="en-AU"/>
        </w:rPr>
        <w:t xml:space="preserve"> is currently delivered by </w:t>
      </w:r>
      <w:r w:rsidR="00DA0600" w:rsidRPr="007A15F4">
        <w:rPr>
          <w:noProof w:val="0"/>
          <w:lang w:eastAsia="en-AU"/>
        </w:rPr>
        <w:t>AVI</w:t>
      </w:r>
      <w:r w:rsidRPr="007A15F4">
        <w:rPr>
          <w:noProof w:val="0"/>
          <w:lang w:eastAsia="en-AU"/>
        </w:rPr>
        <w:t xml:space="preserve"> in consortium with Cardno Emerging Markets and </w:t>
      </w:r>
      <w:r w:rsidR="00FA6D7D">
        <w:rPr>
          <w:noProof w:val="0"/>
          <w:lang w:eastAsia="en-AU"/>
        </w:rPr>
        <w:t>Alinea</w:t>
      </w:r>
      <w:r w:rsidRPr="007A15F4">
        <w:rPr>
          <w:noProof w:val="0"/>
          <w:lang w:eastAsia="en-AU"/>
        </w:rPr>
        <w:t xml:space="preserve"> </w:t>
      </w:r>
      <w:proofErr w:type="spellStart"/>
      <w:r w:rsidRPr="007A15F4">
        <w:rPr>
          <w:noProof w:val="0"/>
          <w:lang w:eastAsia="en-AU"/>
        </w:rPr>
        <w:t>Whitelu</w:t>
      </w:r>
      <w:r w:rsidR="00FA6D7D">
        <w:rPr>
          <w:noProof w:val="0"/>
          <w:lang w:eastAsia="en-AU"/>
        </w:rPr>
        <w:t>m</w:t>
      </w:r>
      <w:proofErr w:type="spellEnd"/>
      <w:r w:rsidRPr="007A15F4">
        <w:rPr>
          <w:noProof w:val="0"/>
          <w:lang w:eastAsia="en-AU"/>
        </w:rPr>
        <w:t>.</w:t>
      </w:r>
    </w:p>
    <w:p w14:paraId="1AC906B5" w14:textId="78824F05" w:rsidR="00757BEA" w:rsidRPr="007A15F4" w:rsidRDefault="00C14943" w:rsidP="00757BEA">
      <w:pPr>
        <w:pStyle w:val="BodyText"/>
        <w:rPr>
          <w:noProof w:val="0"/>
          <w:lang w:eastAsia="en-AU"/>
        </w:rPr>
      </w:pPr>
      <w:r w:rsidRPr="007A15F4">
        <w:rPr>
          <w:noProof w:val="0"/>
          <w:lang w:eastAsia="en-AU"/>
        </w:rPr>
        <w:t>The program</w:t>
      </w:r>
      <w:r w:rsidR="00CA1685" w:rsidRPr="007A15F4">
        <w:rPr>
          <w:noProof w:val="0"/>
          <w:lang w:eastAsia="en-AU"/>
        </w:rPr>
        <w:t xml:space="preserve"> has piloted s</w:t>
      </w:r>
      <w:r w:rsidR="00757BEA" w:rsidRPr="007A15F4">
        <w:rPr>
          <w:noProof w:val="0"/>
          <w:lang w:eastAsia="en-AU"/>
        </w:rPr>
        <w:t xml:space="preserve">everal different volunteering approaches since it commenced in 2018. New and innovative ways of volunteering continue to be trialled through the </w:t>
      </w:r>
      <w:r w:rsidRPr="007A15F4">
        <w:rPr>
          <w:noProof w:val="0"/>
          <w:lang w:eastAsia="en-AU"/>
        </w:rPr>
        <w:t>Australian Volunteer</w:t>
      </w:r>
      <w:r w:rsidR="00D623C9" w:rsidRPr="007A15F4">
        <w:rPr>
          <w:noProof w:val="0"/>
          <w:lang w:eastAsia="en-AU"/>
        </w:rPr>
        <w:t>s</w:t>
      </w:r>
      <w:r w:rsidRPr="007A15F4">
        <w:rPr>
          <w:noProof w:val="0"/>
          <w:lang w:eastAsia="en-AU"/>
        </w:rPr>
        <w:t xml:space="preserve"> Program </w:t>
      </w:r>
      <w:r w:rsidR="00757BEA" w:rsidRPr="007A15F4">
        <w:rPr>
          <w:noProof w:val="0"/>
          <w:lang w:eastAsia="en-AU"/>
        </w:rPr>
        <w:t>Innovation Fund.</w:t>
      </w:r>
    </w:p>
    <w:p w14:paraId="62390001" w14:textId="74DDDEA9" w:rsidR="00511E02" w:rsidRPr="007A15F4" w:rsidRDefault="00757BEA" w:rsidP="00830744">
      <w:pPr>
        <w:pStyle w:val="TableHeading"/>
        <w:spacing w:before="120"/>
      </w:pPr>
      <w:r w:rsidRPr="007A15F4">
        <w:t>Comparing the Australian Volunteers Program to other countries</w:t>
      </w:r>
    </w:p>
    <w:tbl>
      <w:tblPr>
        <w:tblStyle w:val="TetraTech"/>
        <w:tblW w:w="0" w:type="auto"/>
        <w:tblCellMar>
          <w:left w:w="57" w:type="dxa"/>
          <w:right w:w="57" w:type="dxa"/>
        </w:tblCellMar>
        <w:tblLook w:val="04A0" w:firstRow="1" w:lastRow="0" w:firstColumn="1" w:lastColumn="0" w:noHBand="0" w:noVBand="1"/>
      </w:tblPr>
      <w:tblGrid>
        <w:gridCol w:w="2186"/>
        <w:gridCol w:w="1291"/>
        <w:gridCol w:w="1222"/>
        <w:gridCol w:w="1709"/>
        <w:gridCol w:w="2098"/>
        <w:gridCol w:w="1574"/>
      </w:tblGrid>
      <w:tr w:rsidR="00443719" w:rsidRPr="00443719" w14:paraId="4203C3FE" w14:textId="4407CFF3"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8B3CC" w:themeColor="accent1" w:themeTint="99"/>
            </w:tcBorders>
            <w:shd w:val="clear" w:color="auto" w:fill="auto"/>
          </w:tcPr>
          <w:p w14:paraId="34E3448A" w14:textId="1E4DF18D" w:rsidR="00C53B26" w:rsidRPr="00443719" w:rsidRDefault="00C53B26" w:rsidP="00830744">
            <w:pPr>
              <w:spacing w:before="40" w:after="40" w:line="240" w:lineRule="auto"/>
              <w:rPr>
                <w:bCs/>
                <w:color w:val="003478" w:themeColor="text2"/>
                <w:lang w:val="en-AU"/>
              </w:rPr>
            </w:pPr>
            <w:r w:rsidRPr="00443719">
              <w:rPr>
                <w:bCs/>
                <w:color w:val="003478" w:themeColor="text2"/>
                <w:lang w:val="en-AU"/>
              </w:rPr>
              <w:t>Country</w:t>
            </w:r>
          </w:p>
        </w:tc>
        <w:tc>
          <w:tcPr>
            <w:tcW w:w="0" w:type="auto"/>
            <w:tcBorders>
              <w:top w:val="single" w:sz="4" w:space="0" w:color="98B3CC" w:themeColor="accent1" w:themeTint="99"/>
            </w:tcBorders>
            <w:shd w:val="clear" w:color="auto" w:fill="auto"/>
          </w:tcPr>
          <w:p w14:paraId="0DC94318" w14:textId="109E057F"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b w:val="0"/>
                <w:bCs/>
                <w:color w:val="003478" w:themeColor="text2"/>
                <w:lang w:val="en-AU"/>
              </w:rPr>
            </w:pPr>
            <w:r w:rsidRPr="00443719">
              <w:rPr>
                <w:rFonts w:cs="Arial"/>
                <w:b w:val="0"/>
                <w:bCs/>
                <w:color w:val="003478" w:themeColor="text2"/>
                <w:szCs w:val="20"/>
                <w:lang w:val="en-AU"/>
              </w:rPr>
              <w:t>Australia</w:t>
            </w:r>
          </w:p>
        </w:tc>
        <w:tc>
          <w:tcPr>
            <w:tcW w:w="0" w:type="auto"/>
            <w:tcBorders>
              <w:top w:val="single" w:sz="4" w:space="0" w:color="98B3CC" w:themeColor="accent1" w:themeTint="99"/>
            </w:tcBorders>
            <w:shd w:val="clear" w:color="auto" w:fill="auto"/>
          </w:tcPr>
          <w:p w14:paraId="7D1FA4D7" w14:textId="3D0C129F"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b w:val="0"/>
                <w:bCs/>
                <w:color w:val="003478" w:themeColor="text2"/>
                <w:lang w:val="en-AU"/>
              </w:rPr>
            </w:pPr>
            <w:r w:rsidRPr="00443719">
              <w:rPr>
                <w:rFonts w:cs="Arial"/>
                <w:b w:val="0"/>
                <w:bCs/>
                <w:color w:val="003478" w:themeColor="text2"/>
                <w:szCs w:val="20"/>
                <w:lang w:val="en-AU"/>
              </w:rPr>
              <w:t>New Zealand</w:t>
            </w:r>
          </w:p>
        </w:tc>
        <w:tc>
          <w:tcPr>
            <w:tcW w:w="0" w:type="auto"/>
            <w:tcBorders>
              <w:top w:val="single" w:sz="4" w:space="0" w:color="98B3CC" w:themeColor="accent1" w:themeTint="99"/>
            </w:tcBorders>
            <w:shd w:val="clear" w:color="auto" w:fill="auto"/>
          </w:tcPr>
          <w:p w14:paraId="12582FFB" w14:textId="08024515"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b w:val="0"/>
                <w:bCs/>
                <w:color w:val="003478" w:themeColor="text2"/>
                <w:lang w:val="en-AU"/>
              </w:rPr>
            </w:pPr>
            <w:r w:rsidRPr="00443719">
              <w:rPr>
                <w:rFonts w:cs="Arial"/>
                <w:b w:val="0"/>
                <w:bCs/>
                <w:color w:val="003478" w:themeColor="text2"/>
                <w:szCs w:val="20"/>
                <w:lang w:val="en-AU"/>
              </w:rPr>
              <w:t>Canada</w:t>
            </w:r>
          </w:p>
        </w:tc>
        <w:tc>
          <w:tcPr>
            <w:tcW w:w="0" w:type="auto"/>
            <w:tcBorders>
              <w:top w:val="single" w:sz="4" w:space="0" w:color="98B3CC" w:themeColor="accent1" w:themeTint="99"/>
            </w:tcBorders>
            <w:shd w:val="clear" w:color="auto" w:fill="auto"/>
          </w:tcPr>
          <w:p w14:paraId="282EDF59" w14:textId="7CC66055"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b w:val="0"/>
                <w:bCs/>
                <w:color w:val="003478" w:themeColor="text2"/>
                <w:lang w:val="en-AU"/>
              </w:rPr>
            </w:pPr>
            <w:r w:rsidRPr="00443719">
              <w:rPr>
                <w:rFonts w:cs="Arial"/>
                <w:b w:val="0"/>
                <w:bCs/>
                <w:color w:val="003478" w:themeColor="text2"/>
                <w:szCs w:val="20"/>
                <w:lang w:val="en-AU"/>
              </w:rPr>
              <w:t>United Kingdom</w:t>
            </w:r>
          </w:p>
        </w:tc>
        <w:tc>
          <w:tcPr>
            <w:tcW w:w="0" w:type="auto"/>
            <w:tcBorders>
              <w:top w:val="single" w:sz="4" w:space="0" w:color="98B3CC" w:themeColor="accent1" w:themeTint="99"/>
            </w:tcBorders>
            <w:shd w:val="clear" w:color="auto" w:fill="auto"/>
          </w:tcPr>
          <w:p w14:paraId="6B292385" w14:textId="639FD814"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b w:val="0"/>
                <w:bCs/>
                <w:color w:val="003478" w:themeColor="text2"/>
                <w:lang w:val="en-AU"/>
              </w:rPr>
            </w:pPr>
            <w:r w:rsidRPr="00443719">
              <w:rPr>
                <w:rFonts w:cs="Arial"/>
                <w:b w:val="0"/>
                <w:bCs/>
                <w:color w:val="003478" w:themeColor="text2"/>
                <w:szCs w:val="20"/>
                <w:lang w:val="en-AU"/>
              </w:rPr>
              <w:t>Norway</w:t>
            </w:r>
          </w:p>
        </w:tc>
      </w:tr>
      <w:tr w:rsidR="00443719" w:rsidRPr="00443719" w14:paraId="7B7E4B90" w14:textId="77777777"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2474D7" w14:textId="6C59CDEB" w:rsidR="00C53B26" w:rsidRPr="00443719" w:rsidRDefault="00C53B26" w:rsidP="00830744">
            <w:pPr>
              <w:spacing w:before="40" w:after="40" w:line="240" w:lineRule="auto"/>
              <w:rPr>
                <w:b w:val="0"/>
                <w:color w:val="003478" w:themeColor="text2"/>
                <w:lang w:val="en-AU"/>
              </w:rPr>
            </w:pPr>
            <w:r w:rsidRPr="00443719">
              <w:rPr>
                <w:color w:val="003478" w:themeColor="text2"/>
                <w:lang w:val="en-AU"/>
              </w:rPr>
              <w:t>Program name</w:t>
            </w:r>
          </w:p>
        </w:tc>
        <w:tc>
          <w:tcPr>
            <w:tcW w:w="0" w:type="auto"/>
            <w:shd w:val="clear" w:color="auto" w:fill="auto"/>
            <w:vAlign w:val="top"/>
          </w:tcPr>
          <w:p w14:paraId="72A32CF3" w14:textId="230247AA"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Australian Volunteers Program</w:t>
            </w:r>
          </w:p>
        </w:tc>
        <w:tc>
          <w:tcPr>
            <w:tcW w:w="0" w:type="auto"/>
            <w:shd w:val="clear" w:color="auto" w:fill="auto"/>
            <w:vAlign w:val="top"/>
          </w:tcPr>
          <w:p w14:paraId="7900661A" w14:textId="68BE72C2"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Volunteer Service Abroad (VSA)</w:t>
            </w:r>
          </w:p>
        </w:tc>
        <w:tc>
          <w:tcPr>
            <w:tcW w:w="0" w:type="auto"/>
            <w:shd w:val="clear" w:color="auto" w:fill="auto"/>
            <w:vAlign w:val="top"/>
          </w:tcPr>
          <w:p w14:paraId="1F59EF27" w14:textId="236BA58F"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Volunteer Cooperation Program (VCP)</w:t>
            </w:r>
          </w:p>
        </w:tc>
        <w:tc>
          <w:tcPr>
            <w:tcW w:w="0" w:type="auto"/>
            <w:shd w:val="clear" w:color="auto" w:fill="auto"/>
            <w:vAlign w:val="top"/>
          </w:tcPr>
          <w:p w14:paraId="583880CF" w14:textId="1600F62C"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International Citizen Service Phase 2 (ICS2), and Volunteering for Development (V4D)</w:t>
            </w:r>
          </w:p>
        </w:tc>
        <w:tc>
          <w:tcPr>
            <w:tcW w:w="0" w:type="auto"/>
            <w:shd w:val="clear" w:color="auto" w:fill="auto"/>
            <w:vAlign w:val="top"/>
          </w:tcPr>
          <w:p w14:paraId="0AB276A5" w14:textId="0E5C86D0"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 xml:space="preserve">Norwegian Agency for Exchange Cooperation </w:t>
            </w:r>
          </w:p>
        </w:tc>
      </w:tr>
      <w:tr w:rsidR="00443719" w:rsidRPr="00443719" w14:paraId="05CF90A0" w14:textId="77777777"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C1AE87" w14:textId="09DA170E" w:rsidR="00C53B26" w:rsidRPr="00443719" w:rsidRDefault="00C53B26" w:rsidP="00830744">
            <w:pPr>
              <w:spacing w:before="40" w:after="40" w:line="240" w:lineRule="auto"/>
              <w:rPr>
                <w:b w:val="0"/>
                <w:color w:val="003478" w:themeColor="text2"/>
                <w:lang w:val="en-AU"/>
              </w:rPr>
            </w:pPr>
            <w:r w:rsidRPr="00443719">
              <w:rPr>
                <w:color w:val="003478" w:themeColor="text2"/>
                <w:lang w:val="en-AU"/>
              </w:rPr>
              <w:t>Delivering organisation/agency</w:t>
            </w:r>
          </w:p>
        </w:tc>
        <w:tc>
          <w:tcPr>
            <w:tcW w:w="0" w:type="auto"/>
            <w:shd w:val="clear" w:color="auto" w:fill="auto"/>
            <w:vAlign w:val="top"/>
          </w:tcPr>
          <w:p w14:paraId="51516BB3" w14:textId="3E4C394B"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b w:val="0"/>
                <w:bCs/>
                <w:color w:val="003478" w:themeColor="text2"/>
                <w:lang w:val="en-AU"/>
              </w:rPr>
            </w:pPr>
            <w:r w:rsidRPr="00443719">
              <w:rPr>
                <w:rFonts w:cs="Arial"/>
                <w:b w:val="0"/>
                <w:bCs/>
                <w:color w:val="003478" w:themeColor="text2"/>
                <w:szCs w:val="20"/>
                <w:lang w:val="en-AU"/>
              </w:rPr>
              <w:t>AVI</w:t>
            </w:r>
          </w:p>
        </w:tc>
        <w:tc>
          <w:tcPr>
            <w:tcW w:w="0" w:type="auto"/>
            <w:shd w:val="clear" w:color="auto" w:fill="auto"/>
            <w:vAlign w:val="top"/>
          </w:tcPr>
          <w:p w14:paraId="3B9D9934" w14:textId="223EFB58"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VSA</w:t>
            </w:r>
          </w:p>
        </w:tc>
        <w:tc>
          <w:tcPr>
            <w:tcW w:w="0" w:type="auto"/>
            <w:shd w:val="clear" w:color="auto" w:fill="auto"/>
            <w:vAlign w:val="top"/>
          </w:tcPr>
          <w:p w14:paraId="280B3E4D" w14:textId="262F759C"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13 Canadian partner organisations</w:t>
            </w:r>
            <w:r w:rsidRPr="00443719">
              <w:rPr>
                <w:rStyle w:val="FootnoteReference"/>
                <w:rFonts w:cs="Arial"/>
                <w:b w:val="0"/>
                <w:bCs/>
                <w:color w:val="003478" w:themeColor="text2"/>
                <w:szCs w:val="20"/>
                <w:lang w:val="en-AU"/>
              </w:rPr>
              <w:footnoteReference w:id="15"/>
            </w:r>
          </w:p>
        </w:tc>
        <w:tc>
          <w:tcPr>
            <w:tcW w:w="0" w:type="auto"/>
            <w:shd w:val="clear" w:color="auto" w:fill="auto"/>
            <w:vAlign w:val="top"/>
          </w:tcPr>
          <w:p w14:paraId="5261E4B7" w14:textId="58D2C55B" w:rsidR="00C53B26" w:rsidRPr="00443719" w:rsidRDefault="00C53B26"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r w:rsidRPr="00443719">
              <w:rPr>
                <w:rFonts w:cs="Arial"/>
                <w:b w:val="0"/>
                <w:bCs/>
                <w:color w:val="003478" w:themeColor="text2"/>
                <w:szCs w:val="20"/>
                <w:lang w:val="en-AU"/>
              </w:rPr>
              <w:t>VSO</w:t>
            </w:r>
            <w:r w:rsidRPr="00443719">
              <w:rPr>
                <w:rStyle w:val="FootnoteReference"/>
                <w:rFonts w:cs="Arial"/>
                <w:b w:val="0"/>
                <w:bCs/>
                <w:color w:val="003478" w:themeColor="text2"/>
                <w:szCs w:val="20"/>
                <w:lang w:val="en-AU"/>
              </w:rPr>
              <w:footnoteReference w:id="16"/>
            </w:r>
          </w:p>
        </w:tc>
        <w:tc>
          <w:tcPr>
            <w:tcW w:w="0" w:type="auto"/>
            <w:shd w:val="clear" w:color="auto" w:fill="auto"/>
            <w:vAlign w:val="top"/>
          </w:tcPr>
          <w:p w14:paraId="10902B08" w14:textId="5F301D7B" w:rsidR="00C53B26" w:rsidRPr="00443719" w:rsidRDefault="00C53B26" w:rsidP="00D4772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proofErr w:type="spellStart"/>
            <w:r w:rsidRPr="00443719">
              <w:rPr>
                <w:rFonts w:cs="Arial"/>
                <w:b w:val="0"/>
                <w:bCs/>
                <w:color w:val="003478" w:themeColor="text2"/>
                <w:szCs w:val="20"/>
                <w:lang w:val="en-AU"/>
              </w:rPr>
              <w:t>Norec</w:t>
            </w:r>
            <w:proofErr w:type="spellEnd"/>
            <w:r w:rsidRPr="00443719">
              <w:rPr>
                <w:rStyle w:val="FootnoteReference"/>
                <w:rFonts w:cs="Arial"/>
                <w:b w:val="0"/>
                <w:bCs/>
                <w:color w:val="003478" w:themeColor="text2"/>
                <w:szCs w:val="20"/>
                <w:lang w:val="en-AU"/>
              </w:rPr>
              <w:footnoteReference w:id="17"/>
            </w:r>
          </w:p>
        </w:tc>
      </w:tr>
      <w:tr w:rsidR="00443719" w:rsidRPr="00443719" w14:paraId="0C20145C" w14:textId="77777777"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8B3CC" w:themeColor="accent1" w:themeTint="99"/>
              <w:bottom w:val="nil"/>
            </w:tcBorders>
            <w:shd w:val="clear" w:color="auto" w:fill="auto"/>
          </w:tcPr>
          <w:p w14:paraId="1782DEC4" w14:textId="45B9C0D3" w:rsidR="00C54610" w:rsidRPr="00443719" w:rsidRDefault="00C54610" w:rsidP="00830744">
            <w:pPr>
              <w:spacing w:before="40" w:after="40" w:line="240" w:lineRule="auto"/>
              <w:rPr>
                <w:b w:val="0"/>
                <w:color w:val="003478" w:themeColor="text2"/>
                <w:lang w:val="en-AU"/>
              </w:rPr>
            </w:pPr>
            <w:r w:rsidRPr="00443719">
              <w:rPr>
                <w:bCs/>
                <w:color w:val="003478" w:themeColor="text2"/>
                <w:lang w:val="en-AU"/>
              </w:rPr>
              <w:t>Method/s of programming</w:t>
            </w:r>
          </w:p>
        </w:tc>
        <w:tc>
          <w:tcPr>
            <w:tcW w:w="0" w:type="auto"/>
            <w:tcBorders>
              <w:top w:val="single" w:sz="4" w:space="0" w:color="98B3CC" w:themeColor="accent1" w:themeTint="99"/>
              <w:bottom w:val="nil"/>
            </w:tcBorders>
            <w:shd w:val="clear" w:color="auto" w:fill="auto"/>
            <w:vAlign w:val="top"/>
          </w:tcPr>
          <w:p w14:paraId="12A8B862" w14:textId="77777777" w:rsidR="00C54610" w:rsidRPr="00443719" w:rsidRDefault="00C54610"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color w:val="003478" w:themeColor="text2"/>
                <w:szCs w:val="20"/>
                <w:lang w:val="en-AU"/>
              </w:rPr>
            </w:pPr>
          </w:p>
        </w:tc>
        <w:tc>
          <w:tcPr>
            <w:tcW w:w="0" w:type="auto"/>
            <w:tcBorders>
              <w:top w:val="single" w:sz="4" w:space="0" w:color="98B3CC" w:themeColor="accent1" w:themeTint="99"/>
              <w:bottom w:val="nil"/>
            </w:tcBorders>
            <w:shd w:val="clear" w:color="auto" w:fill="auto"/>
            <w:vAlign w:val="top"/>
          </w:tcPr>
          <w:p w14:paraId="6DB63D66" w14:textId="77777777" w:rsidR="00C54610" w:rsidRPr="00443719" w:rsidRDefault="00C54610"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color w:val="003478" w:themeColor="text2"/>
                <w:szCs w:val="20"/>
                <w:lang w:val="en-AU"/>
              </w:rPr>
            </w:pPr>
          </w:p>
        </w:tc>
        <w:tc>
          <w:tcPr>
            <w:tcW w:w="0" w:type="auto"/>
            <w:tcBorders>
              <w:top w:val="single" w:sz="4" w:space="0" w:color="98B3CC" w:themeColor="accent1" w:themeTint="99"/>
              <w:bottom w:val="nil"/>
            </w:tcBorders>
            <w:shd w:val="clear" w:color="auto" w:fill="auto"/>
            <w:vAlign w:val="top"/>
          </w:tcPr>
          <w:p w14:paraId="035E5BEF" w14:textId="77777777" w:rsidR="00C54610" w:rsidRPr="00443719" w:rsidRDefault="00C54610"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color w:val="003478" w:themeColor="text2"/>
                <w:szCs w:val="20"/>
                <w:lang w:val="en-AU"/>
              </w:rPr>
            </w:pPr>
          </w:p>
        </w:tc>
        <w:tc>
          <w:tcPr>
            <w:tcW w:w="0" w:type="auto"/>
            <w:tcBorders>
              <w:top w:val="single" w:sz="4" w:space="0" w:color="98B3CC" w:themeColor="accent1" w:themeTint="99"/>
              <w:bottom w:val="nil"/>
            </w:tcBorders>
            <w:shd w:val="clear" w:color="auto" w:fill="auto"/>
            <w:vAlign w:val="top"/>
          </w:tcPr>
          <w:p w14:paraId="55F98643" w14:textId="77777777" w:rsidR="00C54610" w:rsidRPr="00443719" w:rsidRDefault="00C54610" w:rsidP="0083074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color w:val="003478" w:themeColor="text2"/>
                <w:szCs w:val="20"/>
                <w:lang w:val="en-AU"/>
              </w:rPr>
            </w:pPr>
          </w:p>
        </w:tc>
        <w:tc>
          <w:tcPr>
            <w:tcW w:w="0" w:type="auto"/>
            <w:tcBorders>
              <w:top w:val="single" w:sz="4" w:space="0" w:color="98B3CC" w:themeColor="accent1" w:themeTint="99"/>
              <w:bottom w:val="nil"/>
            </w:tcBorders>
            <w:shd w:val="clear" w:color="auto" w:fill="auto"/>
            <w:vAlign w:val="top"/>
          </w:tcPr>
          <w:p w14:paraId="60A09925" w14:textId="77777777" w:rsidR="00C54610" w:rsidRPr="00443719" w:rsidRDefault="00C54610" w:rsidP="00D47724">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color w:val="003478" w:themeColor="text2"/>
                <w:szCs w:val="20"/>
                <w:lang w:val="en-AU"/>
              </w:rPr>
            </w:pPr>
          </w:p>
        </w:tc>
      </w:tr>
      <w:tr w:rsidR="00443719" w:rsidRPr="00443719" w14:paraId="4D451B87" w14:textId="6D4271B4"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220F600A" w14:textId="055915C5" w:rsidR="00C53B26" w:rsidRPr="00443719" w:rsidRDefault="00C53B26" w:rsidP="00830744">
            <w:pPr>
              <w:spacing w:before="40" w:after="40"/>
              <w:rPr>
                <w:b w:val="0"/>
                <w:bCs/>
                <w:color w:val="003478" w:themeColor="text2"/>
                <w:szCs w:val="20"/>
                <w:lang w:val="en-AU"/>
              </w:rPr>
            </w:pPr>
            <w:r w:rsidRPr="00443719">
              <w:rPr>
                <w:b w:val="0"/>
                <w:bCs/>
                <w:color w:val="003478" w:themeColor="text2"/>
                <w:szCs w:val="20"/>
                <w:lang w:val="en-AU"/>
              </w:rPr>
              <w:t>North-South volunteering</w:t>
            </w:r>
          </w:p>
        </w:tc>
        <w:tc>
          <w:tcPr>
            <w:tcW w:w="0" w:type="auto"/>
            <w:tcBorders>
              <w:bottom w:val="nil"/>
            </w:tcBorders>
            <w:shd w:val="clear" w:color="auto" w:fill="auto"/>
          </w:tcPr>
          <w:p w14:paraId="42E42AA3" w14:textId="3027A675"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4644823C" w14:textId="7C299690"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0928A5F5" w14:textId="62821E20"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5BA33922" w14:textId="34CAAFBB"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7735C094" w14:textId="5EC4674F"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r>
      <w:tr w:rsidR="00443719" w:rsidRPr="00443719" w14:paraId="3813A61F" w14:textId="0A62678F"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7740F4DF" w14:textId="1690A2E2" w:rsidR="00C53B26" w:rsidRPr="00443719" w:rsidRDefault="00C53B26" w:rsidP="00062AAA">
            <w:pPr>
              <w:spacing w:before="40" w:after="40" w:line="240" w:lineRule="auto"/>
              <w:rPr>
                <w:b w:val="0"/>
                <w:bCs/>
                <w:color w:val="003478" w:themeColor="text2"/>
                <w:szCs w:val="20"/>
                <w:lang w:val="en-AU"/>
              </w:rPr>
            </w:pPr>
            <w:r w:rsidRPr="00443719">
              <w:rPr>
                <w:b w:val="0"/>
                <w:bCs/>
                <w:color w:val="003478" w:themeColor="text2"/>
                <w:szCs w:val="20"/>
                <w:lang w:val="en-AU"/>
              </w:rPr>
              <w:t>Remote volunteering</w:t>
            </w:r>
          </w:p>
        </w:tc>
        <w:tc>
          <w:tcPr>
            <w:tcW w:w="0" w:type="auto"/>
            <w:tcBorders>
              <w:bottom w:val="nil"/>
            </w:tcBorders>
            <w:shd w:val="clear" w:color="auto" w:fill="auto"/>
          </w:tcPr>
          <w:p w14:paraId="11FF174F" w14:textId="2FBC1B64"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022DF4C4" w14:textId="5E738F10"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1D58C894" w14:textId="12443A72"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19458BFF" w14:textId="5E82F4E3"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37F430E8" w14:textId="60F9A19F"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r>
      <w:tr w:rsidR="00443719" w:rsidRPr="00443719" w14:paraId="6A8098C9" w14:textId="2F18935D"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7E6AC6CB" w14:textId="075DED57" w:rsidR="00C53B26" w:rsidRPr="00443719" w:rsidRDefault="00C53B26" w:rsidP="00830744">
            <w:pPr>
              <w:spacing w:before="40" w:after="40" w:line="240" w:lineRule="auto"/>
              <w:rPr>
                <w:b w:val="0"/>
                <w:bCs/>
                <w:color w:val="003478" w:themeColor="text2"/>
                <w:szCs w:val="20"/>
                <w:lang w:val="en-AU"/>
              </w:rPr>
            </w:pPr>
            <w:r w:rsidRPr="00443719">
              <w:rPr>
                <w:b w:val="0"/>
                <w:bCs/>
                <w:color w:val="003478" w:themeColor="text2"/>
                <w:szCs w:val="20"/>
                <w:lang w:val="en-AU"/>
              </w:rPr>
              <w:t>South-North volunteering</w:t>
            </w:r>
          </w:p>
        </w:tc>
        <w:tc>
          <w:tcPr>
            <w:tcW w:w="0" w:type="auto"/>
            <w:tcBorders>
              <w:bottom w:val="nil"/>
            </w:tcBorders>
            <w:shd w:val="clear" w:color="auto" w:fill="auto"/>
          </w:tcPr>
          <w:p w14:paraId="6159565A" w14:textId="77777777"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p>
        </w:tc>
        <w:tc>
          <w:tcPr>
            <w:tcW w:w="0" w:type="auto"/>
            <w:tcBorders>
              <w:bottom w:val="nil"/>
            </w:tcBorders>
            <w:shd w:val="clear" w:color="auto" w:fill="auto"/>
          </w:tcPr>
          <w:p w14:paraId="3B52973B" w14:textId="77777777"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p>
        </w:tc>
        <w:tc>
          <w:tcPr>
            <w:tcW w:w="0" w:type="auto"/>
            <w:tcBorders>
              <w:bottom w:val="nil"/>
            </w:tcBorders>
            <w:shd w:val="clear" w:color="auto" w:fill="auto"/>
          </w:tcPr>
          <w:p w14:paraId="7228E555" w14:textId="63BA45F3"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719ED705" w14:textId="7C1A5869"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131B2B84" w14:textId="19BEABE2"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r>
      <w:tr w:rsidR="00443719" w:rsidRPr="00443719" w14:paraId="151FA4E1" w14:textId="38408A8A"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43E36816" w14:textId="2A886A88" w:rsidR="00C53B26" w:rsidRPr="00443719" w:rsidRDefault="00C53B26" w:rsidP="00830744">
            <w:pPr>
              <w:spacing w:before="40" w:after="40" w:line="240" w:lineRule="auto"/>
              <w:rPr>
                <w:b w:val="0"/>
                <w:bCs/>
                <w:color w:val="003478" w:themeColor="text2"/>
                <w:szCs w:val="20"/>
                <w:lang w:val="en-AU"/>
              </w:rPr>
            </w:pPr>
            <w:r w:rsidRPr="00443719">
              <w:rPr>
                <w:b w:val="0"/>
                <w:bCs/>
                <w:color w:val="003478" w:themeColor="text2"/>
                <w:szCs w:val="20"/>
                <w:lang w:val="en-AU"/>
              </w:rPr>
              <w:t>South-South volunteering</w:t>
            </w:r>
          </w:p>
        </w:tc>
        <w:tc>
          <w:tcPr>
            <w:tcW w:w="0" w:type="auto"/>
            <w:tcBorders>
              <w:bottom w:val="nil"/>
            </w:tcBorders>
            <w:shd w:val="clear" w:color="auto" w:fill="auto"/>
          </w:tcPr>
          <w:p w14:paraId="061CED50" w14:textId="77777777"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p>
        </w:tc>
        <w:tc>
          <w:tcPr>
            <w:tcW w:w="0" w:type="auto"/>
            <w:tcBorders>
              <w:bottom w:val="nil"/>
            </w:tcBorders>
            <w:shd w:val="clear" w:color="auto" w:fill="auto"/>
          </w:tcPr>
          <w:p w14:paraId="1EC8B6F5" w14:textId="77777777"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p>
        </w:tc>
        <w:tc>
          <w:tcPr>
            <w:tcW w:w="0" w:type="auto"/>
            <w:tcBorders>
              <w:bottom w:val="nil"/>
            </w:tcBorders>
            <w:shd w:val="clear" w:color="auto" w:fill="auto"/>
          </w:tcPr>
          <w:p w14:paraId="705D1323" w14:textId="42D4BAC5"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5C6B8715" w14:textId="760DDDD9"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tcBorders>
              <w:bottom w:val="nil"/>
            </w:tcBorders>
            <w:shd w:val="clear" w:color="auto" w:fill="auto"/>
          </w:tcPr>
          <w:p w14:paraId="6B232C6F" w14:textId="0D04B636"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r>
      <w:tr w:rsidR="00443719" w:rsidRPr="00443719" w14:paraId="08153D30" w14:textId="3851779C" w:rsidTr="004437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B9D0FE" w14:textId="344FFDA0" w:rsidR="00C53B26" w:rsidRPr="00443719" w:rsidRDefault="00C53B26" w:rsidP="00830744">
            <w:pPr>
              <w:spacing w:before="40" w:after="40" w:line="240" w:lineRule="auto"/>
              <w:rPr>
                <w:b w:val="0"/>
                <w:bCs/>
                <w:color w:val="003478" w:themeColor="text2"/>
                <w:szCs w:val="20"/>
                <w:lang w:val="en-AU"/>
              </w:rPr>
            </w:pPr>
            <w:r w:rsidRPr="00443719">
              <w:rPr>
                <w:b w:val="0"/>
                <w:bCs/>
                <w:color w:val="003478" w:themeColor="text2"/>
                <w:szCs w:val="20"/>
                <w:lang w:val="en-AU"/>
              </w:rPr>
              <w:t>Local volunteering</w:t>
            </w:r>
          </w:p>
        </w:tc>
        <w:tc>
          <w:tcPr>
            <w:tcW w:w="0" w:type="auto"/>
            <w:shd w:val="clear" w:color="auto" w:fill="auto"/>
          </w:tcPr>
          <w:p w14:paraId="66934F40" w14:textId="77777777"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p>
        </w:tc>
        <w:tc>
          <w:tcPr>
            <w:tcW w:w="0" w:type="auto"/>
            <w:shd w:val="clear" w:color="auto" w:fill="auto"/>
          </w:tcPr>
          <w:p w14:paraId="3C54462F" w14:textId="77777777"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p>
        </w:tc>
        <w:tc>
          <w:tcPr>
            <w:tcW w:w="0" w:type="auto"/>
            <w:shd w:val="clear" w:color="auto" w:fill="auto"/>
          </w:tcPr>
          <w:p w14:paraId="407638D8" w14:textId="0E742E3E"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cs="Arial"/>
                <w:color w:val="003478" w:themeColor="text2"/>
                <w:szCs w:val="20"/>
                <w:lang w:val="en-AU"/>
              </w:rPr>
              <w:t>*</w:t>
            </w:r>
            <w:r w:rsidRPr="00443719">
              <w:rPr>
                <w:rStyle w:val="FootnoteReference"/>
                <w:rFonts w:cs="Arial"/>
                <w:color w:val="003478" w:themeColor="text2"/>
                <w:szCs w:val="20"/>
                <w:lang w:val="en-AU"/>
              </w:rPr>
              <w:footnoteReference w:id="18"/>
            </w:r>
          </w:p>
        </w:tc>
        <w:tc>
          <w:tcPr>
            <w:tcW w:w="0" w:type="auto"/>
            <w:shd w:val="clear" w:color="auto" w:fill="auto"/>
          </w:tcPr>
          <w:p w14:paraId="7E925039" w14:textId="2895A289"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443719">
              <w:rPr>
                <w:rFonts w:ascii="Wingdings" w:eastAsia="Wingdings" w:hAnsi="Wingdings" w:cs="Wingdings"/>
                <w:color w:val="003478" w:themeColor="text2"/>
                <w:szCs w:val="20"/>
                <w:lang w:val="en-AU"/>
              </w:rPr>
              <w:t></w:t>
            </w:r>
          </w:p>
        </w:tc>
        <w:tc>
          <w:tcPr>
            <w:tcW w:w="0" w:type="auto"/>
            <w:shd w:val="clear" w:color="auto" w:fill="auto"/>
          </w:tcPr>
          <w:p w14:paraId="42DFABD3" w14:textId="2FB3C6F0" w:rsidR="00C53B26" w:rsidRPr="00443719" w:rsidRDefault="00C53B26" w:rsidP="0083074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3478" w:themeColor="text2"/>
                <w:lang w:val="en-AU"/>
              </w:rPr>
            </w:pPr>
          </w:p>
        </w:tc>
      </w:tr>
    </w:tbl>
    <w:p w14:paraId="40DC89FE" w14:textId="77777777" w:rsidR="006C7AB0" w:rsidRPr="007A15F4" w:rsidRDefault="006C7AB0" w:rsidP="00B20142">
      <w:pPr>
        <w:pStyle w:val="SourceText"/>
        <w:sectPr w:rsidR="006C7AB0" w:rsidRPr="007A15F4" w:rsidSect="00CA57E7">
          <w:pgSz w:w="12240" w:h="15840"/>
          <w:pgMar w:top="1440" w:right="1080" w:bottom="1440" w:left="1080" w:header="648" w:footer="648" w:gutter="0"/>
          <w:pgNumType w:start="1"/>
          <w:cols w:space="720"/>
          <w:docGrid w:linePitch="360"/>
        </w:sectPr>
      </w:pPr>
    </w:p>
    <w:p w14:paraId="2663C601" w14:textId="77777777" w:rsidR="006C7AB0" w:rsidRPr="007A15F4" w:rsidRDefault="006C7AB0" w:rsidP="006C7AB0">
      <w:pPr>
        <w:pStyle w:val="Heading1"/>
        <w:rPr>
          <w:lang w:val="en-AU"/>
        </w:rPr>
      </w:pPr>
      <w:bookmarkStart w:id="7" w:name="_Toc61356281"/>
      <w:bookmarkStart w:id="8" w:name="_Toc70068198"/>
      <w:bookmarkStart w:id="9" w:name="_Toc60846620"/>
      <w:r w:rsidRPr="007A15F4">
        <w:rPr>
          <w:lang w:val="en-AU"/>
        </w:rPr>
        <w:lastRenderedPageBreak/>
        <w:t>Summary of volunteer programs</w:t>
      </w:r>
      <w:bookmarkEnd w:id="7"/>
      <w:r w:rsidRPr="007A15F4">
        <w:rPr>
          <w:lang w:val="en-AU"/>
        </w:rPr>
        <w:t xml:space="preserve"> in donor countries interviewed</w:t>
      </w:r>
      <w:bookmarkEnd w:id="8"/>
    </w:p>
    <w:p w14:paraId="112BCCC4" w14:textId="372BB078" w:rsidR="006C7AB0" w:rsidRPr="007A15F4" w:rsidRDefault="006C7AB0" w:rsidP="00CA57E7">
      <w:pPr>
        <w:pStyle w:val="Heading2"/>
        <w:rPr>
          <w:lang w:val="en-AU"/>
        </w:rPr>
      </w:pPr>
      <w:bookmarkStart w:id="10" w:name="_Toc61356282"/>
      <w:bookmarkStart w:id="11" w:name="_Toc70068199"/>
      <w:r w:rsidRPr="007A15F4">
        <w:rPr>
          <w:lang w:val="en-AU"/>
        </w:rPr>
        <w:t>New Zealand, Volunteer Service Abroad</w:t>
      </w:r>
      <w:bookmarkEnd w:id="9"/>
      <w:bookmarkEnd w:id="10"/>
      <w:bookmarkEnd w:id="11"/>
      <w:r w:rsidRPr="007A15F4">
        <w:rPr>
          <w:lang w:val="en-AU"/>
        </w:rPr>
        <w:t xml:space="preserve"> </w:t>
      </w:r>
    </w:p>
    <w:p w14:paraId="4759EDF3" w14:textId="12A2583A" w:rsidR="002D079E" w:rsidRDefault="002D079E" w:rsidP="00CA57E7">
      <w:pPr>
        <w:pStyle w:val="Heading3"/>
        <w:rPr>
          <w:vertAlign w:val="superscript"/>
          <w:lang w:val="en-AU"/>
        </w:rPr>
      </w:pPr>
      <w:bookmarkStart w:id="12" w:name="_Toc62029807"/>
      <w:bookmarkStart w:id="13" w:name="_Toc70068200"/>
      <w:proofErr w:type="gramStart"/>
      <w:r w:rsidRPr="007A15F4">
        <w:rPr>
          <w:lang w:val="en-AU"/>
        </w:rPr>
        <w:t>At a glance</w:t>
      </w:r>
      <w:proofErr w:type="gramEnd"/>
      <w:r w:rsidRPr="007A15F4">
        <w:rPr>
          <w:vertAlign w:val="superscript"/>
          <w:lang w:val="en-AU"/>
        </w:rPr>
        <w:footnoteReference w:id="19"/>
      </w:r>
      <w:bookmarkEnd w:id="12"/>
      <w:bookmarkEnd w:id="13"/>
      <w:r w:rsidRPr="007A15F4">
        <w:rPr>
          <w:vertAlign w:val="superscript"/>
          <w:lang w:val="en-AU"/>
        </w:rPr>
        <w:t xml:space="preserve"> </w:t>
      </w:r>
    </w:p>
    <w:p w14:paraId="69D76935" w14:textId="1E24EE64" w:rsidR="00D11A92" w:rsidRPr="00D11A92" w:rsidRDefault="00D11A92" w:rsidP="00D11A92">
      <w:pPr>
        <w:tabs>
          <w:tab w:val="left" w:pos="3402"/>
        </w:tabs>
        <w:rPr>
          <w:b/>
          <w:bCs/>
          <w:lang w:val="en-AU"/>
        </w:rPr>
      </w:pPr>
      <w:r w:rsidRPr="00D11A92">
        <w:rPr>
          <w:b/>
          <w:bCs/>
          <w:lang w:val="en-AU"/>
        </w:rPr>
        <w:t>Funding period</w:t>
      </w:r>
      <w:r>
        <w:rPr>
          <w:b/>
          <w:bCs/>
          <w:lang w:val="en-AU"/>
        </w:rPr>
        <w:tab/>
      </w:r>
      <w:r w:rsidRPr="007A15F4">
        <w:t>2018–2023</w:t>
      </w:r>
    </w:p>
    <w:p w14:paraId="07EBFE1C" w14:textId="3413EB56" w:rsidR="00D11A92" w:rsidRPr="00D11A92" w:rsidRDefault="00D11A92" w:rsidP="00D11A92">
      <w:pPr>
        <w:tabs>
          <w:tab w:val="left" w:pos="3402"/>
        </w:tabs>
        <w:rPr>
          <w:b/>
          <w:bCs/>
          <w:lang w:val="en-AU"/>
        </w:rPr>
      </w:pPr>
      <w:r w:rsidRPr="00D11A92">
        <w:rPr>
          <w:b/>
          <w:bCs/>
          <w:lang w:val="en-AU"/>
        </w:rPr>
        <w:t xml:space="preserve">Annual budget </w:t>
      </w:r>
      <w:r>
        <w:rPr>
          <w:b/>
          <w:bCs/>
          <w:lang w:val="en-AU"/>
        </w:rPr>
        <w:tab/>
      </w:r>
      <w:r w:rsidRPr="007A15F4">
        <w:t>NZD9.1 million (AUD8.5 million)</w:t>
      </w:r>
    </w:p>
    <w:p w14:paraId="03802236" w14:textId="5D022025" w:rsidR="00D11A92" w:rsidRPr="00D11A92" w:rsidRDefault="00D11A92" w:rsidP="00D11A92">
      <w:pPr>
        <w:tabs>
          <w:tab w:val="left" w:pos="3402"/>
        </w:tabs>
        <w:rPr>
          <w:b/>
          <w:bCs/>
          <w:lang w:val="en-AU"/>
        </w:rPr>
      </w:pPr>
      <w:r w:rsidRPr="00D11A92">
        <w:rPr>
          <w:b/>
          <w:bCs/>
          <w:lang w:val="en-AU"/>
        </w:rPr>
        <w:t xml:space="preserve">Annual volunteer target </w:t>
      </w:r>
      <w:r>
        <w:rPr>
          <w:b/>
          <w:bCs/>
          <w:lang w:val="en-AU"/>
        </w:rPr>
        <w:tab/>
      </w:r>
      <w:r w:rsidRPr="007A15F4">
        <w:t>200</w:t>
      </w:r>
    </w:p>
    <w:p w14:paraId="65AD2145" w14:textId="6396CC04" w:rsidR="00D11A92" w:rsidRPr="00D11A92" w:rsidRDefault="00D11A92" w:rsidP="00D11A92">
      <w:pPr>
        <w:tabs>
          <w:tab w:val="left" w:pos="3402"/>
        </w:tabs>
        <w:rPr>
          <w:b/>
          <w:bCs/>
          <w:lang w:val="en-AU"/>
        </w:rPr>
      </w:pPr>
      <w:r w:rsidRPr="00D11A92">
        <w:rPr>
          <w:b/>
          <w:bCs/>
          <w:lang w:val="en-AU"/>
        </w:rPr>
        <w:t xml:space="preserve">Reach </w:t>
      </w:r>
      <w:r>
        <w:rPr>
          <w:b/>
          <w:bCs/>
          <w:lang w:val="en-AU"/>
        </w:rPr>
        <w:tab/>
      </w:r>
      <w:r w:rsidRPr="007A15F4">
        <w:t xml:space="preserve">Pacific, </w:t>
      </w:r>
      <w:proofErr w:type="gramStart"/>
      <w:r w:rsidRPr="007A15F4">
        <w:t>Timor-Leste</w:t>
      </w:r>
      <w:proofErr w:type="gramEnd"/>
      <w:r w:rsidRPr="007A15F4">
        <w:t xml:space="preserve"> and Cambodia</w:t>
      </w:r>
    </w:p>
    <w:p w14:paraId="00A6F38E" w14:textId="57B7D9E0" w:rsidR="00D11A92" w:rsidRPr="00D11A92" w:rsidRDefault="00D11A92" w:rsidP="00D11A92">
      <w:pPr>
        <w:tabs>
          <w:tab w:val="left" w:pos="3402"/>
        </w:tabs>
        <w:rPr>
          <w:b/>
          <w:bCs/>
          <w:lang w:val="en-AU"/>
        </w:rPr>
      </w:pPr>
      <w:r w:rsidRPr="00D11A92">
        <w:rPr>
          <w:b/>
          <w:bCs/>
          <w:lang w:val="en-AU"/>
        </w:rPr>
        <w:t>Typical assignment length</w:t>
      </w:r>
      <w:r>
        <w:rPr>
          <w:b/>
          <w:bCs/>
          <w:lang w:val="en-AU"/>
        </w:rPr>
        <w:tab/>
      </w:r>
      <w:r w:rsidRPr="007A15F4">
        <w:t>6 weeks – 2 years (6-month average)</w:t>
      </w:r>
    </w:p>
    <w:p w14:paraId="53113914" w14:textId="77777777" w:rsidR="002D079E" w:rsidRPr="007A15F4" w:rsidRDefault="002D079E" w:rsidP="00CA57E7">
      <w:pPr>
        <w:pStyle w:val="Heading3"/>
        <w:rPr>
          <w:color w:val="000000"/>
          <w:lang w:val="en-AU"/>
        </w:rPr>
      </w:pPr>
      <w:bookmarkStart w:id="14" w:name="_Toc62029808"/>
      <w:bookmarkStart w:id="15" w:name="_Toc70068201"/>
      <w:r w:rsidRPr="007A15F4">
        <w:rPr>
          <w:lang w:val="en-AU"/>
        </w:rPr>
        <w:t>Program summary</w:t>
      </w:r>
      <w:bookmarkEnd w:id="14"/>
      <w:bookmarkEnd w:id="15"/>
    </w:p>
    <w:p w14:paraId="7193001D" w14:textId="34D8ED91" w:rsidR="00597623" w:rsidRPr="007A15F4" w:rsidRDefault="00597623" w:rsidP="00597623">
      <w:pPr>
        <w:pStyle w:val="BodyText"/>
        <w:rPr>
          <w:noProof w:val="0"/>
        </w:rPr>
      </w:pPr>
      <w:r w:rsidRPr="007A15F4">
        <w:rPr>
          <w:noProof w:val="0"/>
        </w:rPr>
        <w:t>VSA—</w:t>
      </w:r>
      <w:proofErr w:type="spellStart"/>
      <w:r w:rsidRPr="007A15F4">
        <w:rPr>
          <w:noProof w:val="0"/>
        </w:rPr>
        <w:t>Te</w:t>
      </w:r>
      <w:proofErr w:type="spellEnd"/>
      <w:r w:rsidRPr="007A15F4">
        <w:rPr>
          <w:noProof w:val="0"/>
        </w:rPr>
        <w:t xml:space="preserve"> </w:t>
      </w:r>
      <w:proofErr w:type="spellStart"/>
      <w:r w:rsidRPr="007A15F4">
        <w:rPr>
          <w:noProof w:val="0"/>
        </w:rPr>
        <w:t>Tūao</w:t>
      </w:r>
      <w:proofErr w:type="spellEnd"/>
      <w:r w:rsidRPr="007A15F4">
        <w:rPr>
          <w:noProof w:val="0"/>
        </w:rPr>
        <w:t xml:space="preserve"> </w:t>
      </w:r>
      <w:proofErr w:type="spellStart"/>
      <w:r w:rsidRPr="007A15F4">
        <w:rPr>
          <w:noProof w:val="0"/>
        </w:rPr>
        <w:t>Tāwāhi</w:t>
      </w:r>
      <w:proofErr w:type="spellEnd"/>
      <w:r w:rsidR="0061756F" w:rsidRPr="007A15F4">
        <w:rPr>
          <w:noProof w:val="0"/>
        </w:rPr>
        <w:t>—</w:t>
      </w:r>
      <w:r w:rsidRPr="007A15F4">
        <w:rPr>
          <w:noProof w:val="0"/>
        </w:rPr>
        <w:t>is contracted by the New Zealand Government to deliver an international volunteer program. VSA is a registered charity and receives most of their funding from the New Zealand Ministry of Foreign Affairs and Trade (MFAT). The relationship between VSA and MFAT has been ongoing since the early 1960s when VSA was founded by Sir Edmund Hillary.</w:t>
      </w:r>
    </w:p>
    <w:p w14:paraId="2F785165" w14:textId="77777777" w:rsidR="00597623" w:rsidRPr="007A15F4" w:rsidRDefault="00597623" w:rsidP="00597623">
      <w:pPr>
        <w:pStyle w:val="BodyText"/>
        <w:rPr>
          <w:noProof w:val="0"/>
        </w:rPr>
      </w:pPr>
      <w:r w:rsidRPr="007A15F4">
        <w:rPr>
          <w:noProof w:val="0"/>
        </w:rPr>
        <w:t xml:space="preserve">The overarching </w:t>
      </w:r>
      <w:r w:rsidRPr="007A15F4">
        <w:rPr>
          <w:b/>
          <w:noProof w:val="0"/>
        </w:rPr>
        <w:t xml:space="preserve">goals </w:t>
      </w:r>
      <w:r w:rsidRPr="007A15F4">
        <w:rPr>
          <w:noProof w:val="0"/>
        </w:rPr>
        <w:t xml:space="preserve">of the program are to achieve sustainable development outcomes across the Pacific and beyond, and to form enduring relationships between New Zealand and partner countries. </w:t>
      </w:r>
    </w:p>
    <w:p w14:paraId="35D76915" w14:textId="7FD52AAC" w:rsidR="00597623" w:rsidRPr="007A15F4" w:rsidRDefault="00597623" w:rsidP="00597623">
      <w:pPr>
        <w:pStyle w:val="BodyText"/>
        <w:rPr>
          <w:noProof w:val="0"/>
        </w:rPr>
      </w:pPr>
      <w:r w:rsidRPr="007A15F4">
        <w:rPr>
          <w:noProof w:val="0"/>
        </w:rPr>
        <w:t>The program is currently under a five-year grant funding agreement (2018-23). The program aims to send approximately 200 volunteers abroad per year or 1000 volunteers over the life of the grant, focusing on the Pacific, Timor</w:t>
      </w:r>
      <w:r w:rsidR="00FA6D7D">
        <w:rPr>
          <w:noProof w:val="0"/>
        </w:rPr>
        <w:t xml:space="preserve"> </w:t>
      </w:r>
      <w:proofErr w:type="spellStart"/>
      <w:r w:rsidRPr="007A15F4">
        <w:rPr>
          <w:noProof w:val="0"/>
        </w:rPr>
        <w:t>Leste</w:t>
      </w:r>
      <w:proofErr w:type="spellEnd"/>
      <w:r w:rsidRPr="007A15F4">
        <w:rPr>
          <w:noProof w:val="0"/>
        </w:rPr>
        <w:t xml:space="preserve"> and Cambodia. Assignments are based on local needs and designed with the local host organisations. All volunteers are recruited from New Zealand by VSA. While new modalities are being investigated to strengthen aspects of localisation, the program has traditionally employed a </w:t>
      </w:r>
      <w:r w:rsidRPr="007A15F4">
        <w:rPr>
          <w:b/>
          <w:noProof w:val="0"/>
        </w:rPr>
        <w:t>mix of methods all within the North-South model of volunteering</w:t>
      </w:r>
      <w:r w:rsidRPr="007A15F4">
        <w:rPr>
          <w:noProof w:val="0"/>
        </w:rPr>
        <w:t xml:space="preserve">. These include sending skilled Kiwis abroad using one of the following methods: one-on-one relationship with a partner organisation; chain assignments where one volunteer goes from one assignment to the next; group assignments, where a few volunteers are recruited to work with one local organisation; e-volunteering assignments, where volunteers support their local organisation remotely; and pair assignments, where two volunteers take turns to visit a partner and use a complementary set of skills. </w:t>
      </w:r>
    </w:p>
    <w:p w14:paraId="3605FAA3" w14:textId="66660571" w:rsidR="003305E1" w:rsidRPr="007A15F4" w:rsidRDefault="00597623" w:rsidP="00597623">
      <w:pPr>
        <w:pStyle w:val="BodyText"/>
        <w:rPr>
          <w:noProof w:val="0"/>
        </w:rPr>
      </w:pPr>
      <w:r w:rsidRPr="007A15F4">
        <w:rPr>
          <w:noProof w:val="0"/>
        </w:rPr>
        <w:t xml:space="preserve">Partner organisations include regional and central government agencies, local and national non-governmental organisations (NGOs), education and health bodies and individual schools, </w:t>
      </w:r>
      <w:r w:rsidR="00FA6D7D" w:rsidRPr="007A15F4">
        <w:rPr>
          <w:noProof w:val="0"/>
        </w:rPr>
        <w:t>colleges,</w:t>
      </w:r>
      <w:r w:rsidRPr="007A15F4">
        <w:rPr>
          <w:noProof w:val="0"/>
        </w:rPr>
        <w:t xml:space="preserve"> and health clinics. They offer both long-term (12 months and over) and short-term (6 week) assignments (including e-volunteering).</w:t>
      </w:r>
      <w:r w:rsidRPr="007A15F4">
        <w:rPr>
          <w:rStyle w:val="FootnoteReference"/>
          <w:rFonts w:cs="Arial"/>
          <w:noProof w:val="0"/>
          <w:color w:val="000000"/>
        </w:rPr>
        <w:footnoteReference w:id="20"/>
      </w:r>
      <w:r w:rsidR="008729DF" w:rsidRPr="007A15F4">
        <w:rPr>
          <w:noProof w:val="0"/>
        </w:rPr>
        <w:t xml:space="preserve"> </w:t>
      </w:r>
    </w:p>
    <w:p w14:paraId="73B1554F" w14:textId="20CEBBC3" w:rsidR="00597623" w:rsidRPr="007A15F4" w:rsidRDefault="00597623" w:rsidP="00597623">
      <w:pPr>
        <w:pStyle w:val="BodyText"/>
        <w:rPr>
          <w:noProof w:val="0"/>
        </w:rPr>
      </w:pPr>
      <w:r w:rsidRPr="007A15F4">
        <w:rPr>
          <w:noProof w:val="0"/>
        </w:rPr>
        <w:t xml:space="preserve">MFAT is confident that their program demonstrates </w:t>
      </w:r>
      <w:r w:rsidRPr="007A15F4">
        <w:rPr>
          <w:b/>
          <w:noProof w:val="0"/>
        </w:rPr>
        <w:t>good value for money</w:t>
      </w:r>
      <w:r w:rsidRPr="007A15F4">
        <w:rPr>
          <w:noProof w:val="0"/>
        </w:rPr>
        <w:t xml:space="preserve">. While they admit it is possible to assess the average cost per volunteer by dividing the total number of participants in the program, they note that this is a crude measure and doesn’t represent the intricacies of the program. It also doesn’t consider that, due to their focus on the Pacific region, economies of scale are unlikely to be achieved as operating costs are often a lot higher. </w:t>
      </w:r>
    </w:p>
    <w:p w14:paraId="7522AA09" w14:textId="53C08E65" w:rsidR="00597623" w:rsidRPr="007A15F4" w:rsidRDefault="00597623" w:rsidP="00597623">
      <w:pPr>
        <w:pStyle w:val="BodyText"/>
        <w:rPr>
          <w:noProof w:val="0"/>
        </w:rPr>
      </w:pPr>
      <w:r w:rsidRPr="007A15F4">
        <w:rPr>
          <w:noProof w:val="0"/>
        </w:rPr>
        <w:lastRenderedPageBreak/>
        <w:t xml:space="preserve">The </w:t>
      </w:r>
      <w:r w:rsidRPr="007A15F4">
        <w:rPr>
          <w:b/>
          <w:noProof w:val="0"/>
        </w:rPr>
        <w:t>program is highly valued on the ground</w:t>
      </w:r>
      <w:r w:rsidRPr="007A15F4">
        <w:rPr>
          <w:noProof w:val="0"/>
        </w:rPr>
        <w:t xml:space="preserve"> by both local communities as well as diplomatic missions. The benefits of the VSA program are vast due to the deep networks that have and continue to be built in</w:t>
      </w:r>
      <w:r w:rsidR="00002AFD" w:rsidRPr="007A15F4">
        <w:rPr>
          <w:noProof w:val="0"/>
        </w:rPr>
        <w:t>-</w:t>
      </w:r>
      <w:r w:rsidRPr="007A15F4">
        <w:rPr>
          <w:noProof w:val="0"/>
        </w:rPr>
        <w:t xml:space="preserve">country </w:t>
      </w:r>
      <w:r w:rsidR="00FA6D7D" w:rsidRPr="007A15F4">
        <w:rPr>
          <w:noProof w:val="0"/>
        </w:rPr>
        <w:t>because of</w:t>
      </w:r>
      <w:r w:rsidRPr="007A15F4">
        <w:rPr>
          <w:noProof w:val="0"/>
        </w:rPr>
        <w:t xml:space="preserve"> New Zealand volunteers living and working alongside locals. It can also give New Zealand </w:t>
      </w:r>
      <w:r w:rsidRPr="007A15F4">
        <w:rPr>
          <w:b/>
          <w:noProof w:val="0"/>
        </w:rPr>
        <w:t>reach and exposure</w:t>
      </w:r>
      <w:r w:rsidRPr="007A15F4">
        <w:rPr>
          <w:noProof w:val="0"/>
        </w:rPr>
        <w:t xml:space="preserve"> where they have no formal presence or other bilateral programs. For example, volunteers working in regions with limited official New Zealand presence can help to provide current contextual understanding and perspectives which could otherwise be difficult to gain.</w:t>
      </w:r>
      <w:r w:rsidRPr="007A15F4">
        <w:rPr>
          <w:rStyle w:val="FootnoteReference"/>
          <w:rFonts w:cs="Arial"/>
          <w:noProof w:val="0"/>
          <w:color w:val="000000"/>
        </w:rPr>
        <w:footnoteReference w:id="21"/>
      </w:r>
      <w:r w:rsidRPr="007A15F4">
        <w:rPr>
          <w:rStyle w:val="FootnoteReference"/>
          <w:rFonts w:cs="Arial"/>
          <w:noProof w:val="0"/>
        </w:rPr>
        <w:t xml:space="preserve"> </w:t>
      </w:r>
    </w:p>
    <w:p w14:paraId="4DE222AA" w14:textId="77777777" w:rsidR="00597623" w:rsidRPr="007A15F4" w:rsidRDefault="00597623" w:rsidP="00597623">
      <w:pPr>
        <w:pStyle w:val="BodyText"/>
        <w:rPr>
          <w:noProof w:val="0"/>
        </w:rPr>
      </w:pPr>
      <w:r w:rsidRPr="007A15F4">
        <w:rPr>
          <w:noProof w:val="0"/>
        </w:rPr>
        <w:t xml:space="preserve">The program also provides a </w:t>
      </w:r>
      <w:r w:rsidRPr="007A15F4">
        <w:rPr>
          <w:b/>
          <w:noProof w:val="0"/>
        </w:rPr>
        <w:t>greater understanding within New Zealand about the benefits of the aid program and how it works</w:t>
      </w:r>
      <w:r w:rsidRPr="007A15F4">
        <w:rPr>
          <w:noProof w:val="0"/>
        </w:rPr>
        <w:t xml:space="preserve">. It is recognised that these are significant benefits to the program however articulating and measuring them is a challenge. </w:t>
      </w:r>
    </w:p>
    <w:p w14:paraId="59B0656E" w14:textId="77777777" w:rsidR="006C7AB0" w:rsidRPr="007A15F4" w:rsidRDefault="006C7AB0" w:rsidP="006C7AB0">
      <w:pPr>
        <w:rPr>
          <w:rFonts w:cs="Arial"/>
          <w:color w:val="000000"/>
          <w:szCs w:val="20"/>
          <w:lang w:val="en-AU"/>
        </w:rPr>
      </w:pPr>
      <w:r w:rsidRPr="007A15F4">
        <w:rPr>
          <w:rFonts w:cs="Arial"/>
          <w:color w:val="000000"/>
          <w:szCs w:val="20"/>
          <w:lang w:val="en-AU"/>
        </w:rPr>
        <w:br w:type="page"/>
      </w:r>
    </w:p>
    <w:p w14:paraId="6AB8AFB8" w14:textId="77777777" w:rsidR="00062AAA" w:rsidRPr="007A15F4" w:rsidRDefault="00062AAA" w:rsidP="00CA57E7">
      <w:pPr>
        <w:pStyle w:val="Heading2"/>
        <w:rPr>
          <w:lang w:val="en-AU"/>
        </w:rPr>
      </w:pPr>
      <w:bookmarkStart w:id="16" w:name="_Toc60846621"/>
      <w:bookmarkStart w:id="17" w:name="_Toc61356283"/>
      <w:bookmarkStart w:id="18" w:name="_Toc62029809"/>
      <w:bookmarkStart w:id="19" w:name="_Toc70068202"/>
      <w:bookmarkStart w:id="20" w:name="_Toc60846623"/>
      <w:bookmarkStart w:id="21" w:name="_Toc61356284"/>
      <w:r w:rsidRPr="007A15F4">
        <w:rPr>
          <w:lang w:val="en-AU"/>
        </w:rPr>
        <w:lastRenderedPageBreak/>
        <w:t>Canada, Volunteer Cooperation Program</w:t>
      </w:r>
      <w:bookmarkEnd w:id="16"/>
      <w:bookmarkEnd w:id="17"/>
      <w:bookmarkEnd w:id="18"/>
      <w:bookmarkEnd w:id="19"/>
    </w:p>
    <w:p w14:paraId="4A3A25BF" w14:textId="34403453" w:rsidR="00062AAA" w:rsidRDefault="00062AAA" w:rsidP="00CA57E7">
      <w:pPr>
        <w:pStyle w:val="Heading3"/>
        <w:rPr>
          <w:vertAlign w:val="superscript"/>
          <w:lang w:val="en-AU"/>
        </w:rPr>
      </w:pPr>
      <w:bookmarkStart w:id="22" w:name="_Toc62029810"/>
      <w:bookmarkStart w:id="23" w:name="_Toc70068203"/>
      <w:proofErr w:type="gramStart"/>
      <w:r w:rsidRPr="007A15F4">
        <w:rPr>
          <w:lang w:val="en-AU"/>
        </w:rPr>
        <w:t>At a glance</w:t>
      </w:r>
      <w:proofErr w:type="gramEnd"/>
      <w:r w:rsidRPr="007A15F4">
        <w:rPr>
          <w:rStyle w:val="FootnoteReference"/>
          <w:lang w:val="en-AU"/>
        </w:rPr>
        <w:footnoteReference w:id="22"/>
      </w:r>
      <w:bookmarkEnd w:id="22"/>
      <w:bookmarkEnd w:id="23"/>
      <w:r w:rsidRPr="007A15F4">
        <w:rPr>
          <w:vertAlign w:val="superscript"/>
          <w:lang w:val="en-AU"/>
        </w:rPr>
        <w:t xml:space="preserve"> </w:t>
      </w:r>
    </w:p>
    <w:p w14:paraId="68A42D61" w14:textId="225BFFC9" w:rsidR="00D11A92" w:rsidRPr="00D11A92" w:rsidRDefault="00D11A92" w:rsidP="00D11A92">
      <w:pPr>
        <w:tabs>
          <w:tab w:val="left" w:pos="3402"/>
        </w:tabs>
        <w:rPr>
          <w:b/>
          <w:bCs/>
          <w:lang w:val="en-AU"/>
        </w:rPr>
      </w:pPr>
      <w:r w:rsidRPr="00D11A92">
        <w:rPr>
          <w:b/>
          <w:bCs/>
          <w:lang w:val="en-AU"/>
        </w:rPr>
        <w:t>Funding period</w:t>
      </w:r>
      <w:r>
        <w:rPr>
          <w:b/>
          <w:bCs/>
          <w:lang w:val="en-AU"/>
        </w:rPr>
        <w:tab/>
      </w:r>
      <w:r w:rsidR="002E7166" w:rsidRPr="007A15F4">
        <w:t>2020-2027</w:t>
      </w:r>
    </w:p>
    <w:p w14:paraId="7D6DDDF1" w14:textId="5C6E0DF7" w:rsidR="00D11A92" w:rsidRPr="00D11A92" w:rsidRDefault="00D11A92" w:rsidP="00D11A92">
      <w:pPr>
        <w:tabs>
          <w:tab w:val="left" w:pos="3402"/>
        </w:tabs>
        <w:rPr>
          <w:b/>
          <w:bCs/>
          <w:lang w:val="en-AU"/>
        </w:rPr>
      </w:pPr>
      <w:r w:rsidRPr="00D11A92">
        <w:rPr>
          <w:b/>
          <w:bCs/>
          <w:lang w:val="en-AU"/>
        </w:rPr>
        <w:t xml:space="preserve">Annual budget </w:t>
      </w:r>
      <w:r>
        <w:rPr>
          <w:b/>
          <w:bCs/>
          <w:lang w:val="en-AU"/>
        </w:rPr>
        <w:tab/>
      </w:r>
      <w:r w:rsidR="002E7166" w:rsidRPr="007A15F4">
        <w:t>CAD60 million (AUD61 million)</w:t>
      </w:r>
    </w:p>
    <w:p w14:paraId="7AE8627B" w14:textId="7AA2E55A" w:rsidR="00D11A92" w:rsidRPr="00D11A92" w:rsidRDefault="00D11A92" w:rsidP="00D11A92">
      <w:pPr>
        <w:tabs>
          <w:tab w:val="left" w:pos="3402"/>
        </w:tabs>
        <w:rPr>
          <w:b/>
          <w:bCs/>
          <w:lang w:val="en-AU"/>
        </w:rPr>
      </w:pPr>
      <w:r w:rsidRPr="00D11A92">
        <w:rPr>
          <w:b/>
          <w:bCs/>
          <w:lang w:val="en-AU"/>
        </w:rPr>
        <w:t xml:space="preserve">Annual volunteer target </w:t>
      </w:r>
      <w:r>
        <w:rPr>
          <w:b/>
          <w:bCs/>
          <w:lang w:val="en-AU"/>
        </w:rPr>
        <w:tab/>
      </w:r>
      <w:r w:rsidR="002E7166" w:rsidRPr="007A15F4">
        <w:t>1400</w:t>
      </w:r>
    </w:p>
    <w:p w14:paraId="3CDF14D4" w14:textId="6D6C4AE3" w:rsidR="00B711BD" w:rsidRDefault="00D11A92" w:rsidP="00D11A92">
      <w:pPr>
        <w:tabs>
          <w:tab w:val="left" w:pos="3402"/>
        </w:tabs>
        <w:rPr>
          <w:b/>
          <w:bCs/>
          <w:lang w:val="en-AU"/>
        </w:rPr>
      </w:pPr>
      <w:r w:rsidRPr="00D11A92">
        <w:rPr>
          <w:b/>
          <w:bCs/>
          <w:lang w:val="en-AU"/>
        </w:rPr>
        <w:t xml:space="preserve">Reach </w:t>
      </w:r>
      <w:r>
        <w:rPr>
          <w:b/>
          <w:bCs/>
          <w:lang w:val="en-AU"/>
        </w:rPr>
        <w:tab/>
      </w:r>
      <w:r w:rsidR="002E7166" w:rsidRPr="007A15F4">
        <w:t>50 countries with a focus in Sub-Saharan Africa</w:t>
      </w:r>
    </w:p>
    <w:p w14:paraId="1E2410C6" w14:textId="37B1DF3C" w:rsidR="00D11A92" w:rsidRPr="002E7166" w:rsidRDefault="00D11A92" w:rsidP="002E7166">
      <w:pPr>
        <w:tabs>
          <w:tab w:val="left" w:pos="3402"/>
        </w:tabs>
        <w:rPr>
          <w:b/>
          <w:bCs/>
          <w:lang w:val="en-AU"/>
        </w:rPr>
      </w:pPr>
      <w:r w:rsidRPr="00D11A92">
        <w:rPr>
          <w:b/>
          <w:bCs/>
          <w:lang w:val="en-AU"/>
        </w:rPr>
        <w:t>Typical assignment length</w:t>
      </w:r>
      <w:r>
        <w:rPr>
          <w:b/>
          <w:bCs/>
          <w:lang w:val="en-AU"/>
        </w:rPr>
        <w:tab/>
      </w:r>
      <w:r w:rsidR="002E7166" w:rsidRPr="007A15F4">
        <w:t>2 weeks – 2 years</w:t>
      </w:r>
    </w:p>
    <w:p w14:paraId="53DED810" w14:textId="77777777" w:rsidR="00062AAA" w:rsidRPr="007A15F4" w:rsidRDefault="00062AAA" w:rsidP="00CA57E7">
      <w:pPr>
        <w:pStyle w:val="Heading3"/>
        <w:rPr>
          <w:lang w:val="en-AU"/>
        </w:rPr>
      </w:pPr>
      <w:bookmarkStart w:id="24" w:name="_Toc60846622"/>
      <w:bookmarkStart w:id="25" w:name="_Toc62029811"/>
      <w:bookmarkStart w:id="26" w:name="_Toc70068204"/>
      <w:r w:rsidRPr="007A15F4">
        <w:rPr>
          <w:lang w:val="en-AU"/>
        </w:rPr>
        <w:t>Program summary</w:t>
      </w:r>
      <w:bookmarkEnd w:id="24"/>
      <w:bookmarkEnd w:id="25"/>
      <w:bookmarkEnd w:id="26"/>
    </w:p>
    <w:p w14:paraId="5BC9D7FD" w14:textId="7A4C4EF7" w:rsidR="00597623" w:rsidRPr="007A15F4" w:rsidRDefault="00597623" w:rsidP="00CA57E7">
      <w:pPr>
        <w:pStyle w:val="BodyText"/>
        <w:spacing w:line="262" w:lineRule="auto"/>
        <w:rPr>
          <w:noProof w:val="0"/>
        </w:rPr>
      </w:pPr>
      <w:r w:rsidRPr="007A15F4">
        <w:rPr>
          <w:noProof w:val="0"/>
        </w:rPr>
        <w:t>Canada’s VCP provides opportunities for skilled Canadians to participate in Canada’s international development program. Global Affairs Canada financially contributes to 13 projects implemented by 15 volunteer partner organizations</w:t>
      </w:r>
      <w:r w:rsidRPr="007A15F4">
        <w:rPr>
          <w:rStyle w:val="FootnoteReference"/>
          <w:rFonts w:cs="Arial"/>
          <w:noProof w:val="0"/>
          <w:color w:val="000000"/>
        </w:rPr>
        <w:footnoteReference w:id="23"/>
      </w:r>
      <w:r w:rsidRPr="007A15F4">
        <w:rPr>
          <w:noProof w:val="0"/>
        </w:rPr>
        <w:t xml:space="preserve"> who recruit, </w:t>
      </w:r>
      <w:r w:rsidR="00FA6D7D" w:rsidRPr="007A15F4">
        <w:rPr>
          <w:noProof w:val="0"/>
        </w:rPr>
        <w:t>train,</w:t>
      </w:r>
      <w:r w:rsidRPr="007A15F4">
        <w:rPr>
          <w:noProof w:val="0"/>
        </w:rPr>
        <w:t xml:space="preserve"> and deploy a broad range of volunteers in developing countries. The program uses </w:t>
      </w:r>
      <w:r w:rsidR="00FA6D7D" w:rsidRPr="007A15F4">
        <w:rPr>
          <w:noProof w:val="0"/>
        </w:rPr>
        <w:t>several</w:t>
      </w:r>
      <w:r w:rsidRPr="007A15F4">
        <w:rPr>
          <w:b/>
          <w:noProof w:val="0"/>
        </w:rPr>
        <w:t xml:space="preserve"> approaches to volunteering </w:t>
      </w:r>
      <w:r w:rsidRPr="007A15F4">
        <w:rPr>
          <w:noProof w:val="0"/>
        </w:rPr>
        <w:t>including the ‘traditional’ North-South model, the South-North model, South-South model, and e-volunteering. These approaches have been included in previous iterations of the program however the VCP design stipulates that the vast majority (90</w:t>
      </w:r>
      <w:r w:rsidR="00EA310B" w:rsidRPr="007A15F4">
        <w:rPr>
          <w:noProof w:val="0"/>
        </w:rPr>
        <w:t>%</w:t>
      </w:r>
      <w:r w:rsidRPr="007A15F4">
        <w:rPr>
          <w:noProof w:val="0"/>
        </w:rPr>
        <w:t xml:space="preserve">) of placements are North-South, noting this proportion has been reduced </w:t>
      </w:r>
      <w:proofErr w:type="gramStart"/>
      <w:r w:rsidRPr="007A15F4">
        <w:rPr>
          <w:noProof w:val="0"/>
        </w:rPr>
        <w:t>in light of</w:t>
      </w:r>
      <w:proofErr w:type="gramEnd"/>
      <w:r w:rsidRPr="007A15F4">
        <w:rPr>
          <w:noProof w:val="0"/>
        </w:rPr>
        <w:t xml:space="preserve"> the COVID-19 pandemic. </w:t>
      </w:r>
    </w:p>
    <w:p w14:paraId="696FEE08" w14:textId="531E5BB2" w:rsidR="00597623" w:rsidRPr="007A15F4" w:rsidRDefault="00597623" w:rsidP="00CA57E7">
      <w:pPr>
        <w:spacing w:line="262" w:lineRule="auto"/>
        <w:rPr>
          <w:lang w:val="en-AU"/>
        </w:rPr>
      </w:pPr>
      <w:r w:rsidRPr="007A15F4">
        <w:rPr>
          <w:lang w:val="en-AU"/>
        </w:rPr>
        <w:t xml:space="preserve">The two overarching </w:t>
      </w:r>
      <w:r w:rsidRPr="007A15F4">
        <w:rPr>
          <w:b/>
          <w:lang w:val="en-AU"/>
        </w:rPr>
        <w:t>objectives</w:t>
      </w:r>
      <w:r w:rsidRPr="007A15F4">
        <w:rPr>
          <w:lang w:val="en-AU"/>
        </w:rPr>
        <w:t xml:space="preserve"> of the program are to build local capacity in</w:t>
      </w:r>
      <w:r w:rsidR="002D5132" w:rsidRPr="007A15F4">
        <w:rPr>
          <w:lang w:val="en-AU"/>
        </w:rPr>
        <w:t>-</w:t>
      </w:r>
      <w:r w:rsidRPr="007A15F4">
        <w:rPr>
          <w:lang w:val="en-AU"/>
        </w:rPr>
        <w:t xml:space="preserve">country and engage Canadians in international development within Canada. The second objective is thought to be furthered by the diverse number of Canadian volunteer partner organisations contracted to deliver the program. </w:t>
      </w:r>
    </w:p>
    <w:p w14:paraId="060BA30B" w14:textId="77777777" w:rsidR="00597623" w:rsidRPr="007A15F4" w:rsidRDefault="00597623" w:rsidP="00CA57E7">
      <w:pPr>
        <w:pStyle w:val="BodyText"/>
        <w:spacing w:line="262" w:lineRule="auto"/>
        <w:rPr>
          <w:b/>
          <w:noProof w:val="0"/>
        </w:rPr>
      </w:pPr>
      <w:r w:rsidRPr="007A15F4">
        <w:rPr>
          <w:noProof w:val="0"/>
        </w:rPr>
        <w:t>Placements can be over a short or long period, from two weeks to up to a year, and include pre-departure and re-integration training: assignment length can go up to two years. There are some virtual volunteering opportunities. The VCP (2020-2027) aims to deploy more than 10,000 Canadian volunteers to 50 developing countries.</w:t>
      </w:r>
      <w:r w:rsidRPr="007A15F4">
        <w:rPr>
          <w:rStyle w:val="FootnoteReference"/>
          <w:rFonts w:cs="Arial"/>
          <w:noProof w:val="0"/>
          <w:color w:val="000000"/>
        </w:rPr>
        <w:footnoteReference w:id="24"/>
      </w:r>
      <w:r w:rsidRPr="007A15F4">
        <w:rPr>
          <w:b/>
          <w:noProof w:val="0"/>
        </w:rPr>
        <w:t xml:space="preserve"> </w:t>
      </w:r>
    </w:p>
    <w:p w14:paraId="077A9353" w14:textId="32CB2537" w:rsidR="00597623" w:rsidRPr="007A15F4" w:rsidRDefault="00597623" w:rsidP="00CA57E7">
      <w:pPr>
        <w:pStyle w:val="BodyText"/>
        <w:spacing w:line="262" w:lineRule="auto"/>
        <w:rPr>
          <w:rFonts w:eastAsia="Times New Roman"/>
          <w:noProof w:val="0"/>
        </w:rPr>
      </w:pPr>
      <w:r w:rsidRPr="007A15F4">
        <w:rPr>
          <w:rFonts w:eastAsia="Times New Roman"/>
          <w:noProof w:val="0"/>
        </w:rPr>
        <w:t xml:space="preserve">All international development projects funded by Global Affairs Canada have a </w:t>
      </w:r>
      <w:r w:rsidRPr="1B98CDE6">
        <w:rPr>
          <w:rFonts w:eastAsia="Times New Roman"/>
          <w:b/>
          <w:bCs/>
          <w:noProof w:val="0"/>
        </w:rPr>
        <w:t>cost share component</w:t>
      </w:r>
      <w:r w:rsidRPr="007A15F4">
        <w:rPr>
          <w:rFonts w:eastAsia="Times New Roman"/>
          <w:noProof w:val="0"/>
        </w:rPr>
        <w:t xml:space="preserve"> of at least </w:t>
      </w:r>
      <w:r w:rsidR="00EA310B" w:rsidRPr="007A15F4">
        <w:rPr>
          <w:rFonts w:eastAsia="Times New Roman"/>
          <w:noProof w:val="0"/>
        </w:rPr>
        <w:t>five</w:t>
      </w:r>
      <w:r w:rsidRPr="007A15F4">
        <w:rPr>
          <w:rFonts w:eastAsia="Times New Roman"/>
          <w:noProof w:val="0"/>
        </w:rPr>
        <w:t xml:space="preserve"> per cent.</w:t>
      </w:r>
      <w:r w:rsidRPr="007A15F4">
        <w:rPr>
          <w:rStyle w:val="FootnoteReference"/>
          <w:rFonts w:eastAsia="Times New Roman" w:cs="Arial"/>
          <w:noProof w:val="0"/>
        </w:rPr>
        <w:footnoteReference w:id="25"/>
      </w:r>
      <w:r w:rsidRPr="007A15F4">
        <w:rPr>
          <w:rFonts w:eastAsia="Times New Roman"/>
          <w:noProof w:val="0"/>
        </w:rPr>
        <w:t xml:space="preserve"> </w:t>
      </w:r>
      <w:r w:rsidRPr="007A15F4">
        <w:rPr>
          <w:noProof w:val="0"/>
        </w:rPr>
        <w:t xml:space="preserve">For the VCP, it represents </w:t>
      </w:r>
      <w:r w:rsidR="007B23DE" w:rsidRPr="007A15F4">
        <w:rPr>
          <w:noProof w:val="0"/>
        </w:rPr>
        <w:t>a</w:t>
      </w:r>
      <w:r w:rsidRPr="007A15F4">
        <w:rPr>
          <w:noProof w:val="0"/>
        </w:rPr>
        <w:t>n approximate average of 41</w:t>
      </w:r>
      <w:r w:rsidR="00EA310B" w:rsidRPr="007A15F4">
        <w:rPr>
          <w:noProof w:val="0"/>
        </w:rPr>
        <w:t>%</w:t>
      </w:r>
      <w:r w:rsidRPr="007A15F4">
        <w:rPr>
          <w:noProof w:val="0"/>
        </w:rPr>
        <w:t xml:space="preserve"> because volunteer time is included as in-kind support and costed at up to CAD200 per day. Due to this large proportion of in-kind support from volunteers, the program is </w:t>
      </w:r>
      <w:r w:rsidRPr="007A15F4">
        <w:rPr>
          <w:rFonts w:eastAsia="Times New Roman"/>
          <w:noProof w:val="0"/>
        </w:rPr>
        <w:t xml:space="preserve">considered </w:t>
      </w:r>
      <w:r w:rsidRPr="1B98CDE6">
        <w:rPr>
          <w:rFonts w:eastAsia="Times New Roman"/>
          <w:b/>
          <w:bCs/>
          <w:noProof w:val="0"/>
        </w:rPr>
        <w:t>value for money</w:t>
      </w:r>
      <w:r w:rsidRPr="007A15F4">
        <w:rPr>
          <w:rFonts w:eastAsia="Times New Roman"/>
          <w:noProof w:val="0"/>
        </w:rPr>
        <w:t xml:space="preserve"> as this is significantly cheaper than programs that use technical assistance. The program does not collect an average cost per participant. Value for money is a consideration when choosing Canadian organisations to participate in the program.</w:t>
      </w:r>
    </w:p>
    <w:p w14:paraId="04727EB8" w14:textId="64D8B47F" w:rsidR="00597623" w:rsidRPr="007A15F4" w:rsidRDefault="00597623" w:rsidP="00597623">
      <w:pPr>
        <w:pStyle w:val="BodyText"/>
        <w:rPr>
          <w:noProof w:val="0"/>
        </w:rPr>
      </w:pPr>
      <w:r w:rsidRPr="007A15F4">
        <w:rPr>
          <w:noProof w:val="0"/>
        </w:rPr>
        <w:t xml:space="preserve">The program is </w:t>
      </w:r>
      <w:r w:rsidRPr="007A15F4">
        <w:rPr>
          <w:b/>
          <w:noProof w:val="0"/>
        </w:rPr>
        <w:t>not used as a diplomacy tool</w:t>
      </w:r>
      <w:r w:rsidRPr="007A15F4">
        <w:rPr>
          <w:noProof w:val="0"/>
        </w:rPr>
        <w:t>. The program recognises that volunteers living and working abroad tend to promote Canadian values</w:t>
      </w:r>
      <w:r w:rsidR="00714CDC" w:rsidRPr="007A15F4">
        <w:rPr>
          <w:noProof w:val="0"/>
        </w:rPr>
        <w:t>.</w:t>
      </w:r>
      <w:r w:rsidRPr="007A15F4">
        <w:rPr>
          <w:noProof w:val="0"/>
        </w:rPr>
        <w:t xml:space="preserve"> </w:t>
      </w:r>
      <w:r w:rsidR="00FA6D7D" w:rsidRPr="007A15F4">
        <w:rPr>
          <w:noProof w:val="0"/>
        </w:rPr>
        <w:t>However,</w:t>
      </w:r>
      <w:r w:rsidRPr="007A15F4">
        <w:rPr>
          <w:noProof w:val="0"/>
        </w:rPr>
        <w:t xml:space="preserve"> this is not the purpose of the program but an additional benefit, specifically where Canada does not have any diplomatic presence in</w:t>
      </w:r>
      <w:r w:rsidR="002D5132" w:rsidRPr="007A15F4">
        <w:rPr>
          <w:noProof w:val="0"/>
        </w:rPr>
        <w:t>-</w:t>
      </w:r>
      <w:r w:rsidRPr="007A15F4">
        <w:rPr>
          <w:noProof w:val="0"/>
        </w:rPr>
        <w:t>country</w:t>
      </w:r>
      <w:r w:rsidR="002D5132" w:rsidRPr="007A15F4">
        <w:rPr>
          <w:noProof w:val="0"/>
        </w:rPr>
        <w:t>,</w:t>
      </w:r>
      <w:r w:rsidRPr="007A15F4">
        <w:rPr>
          <w:noProof w:val="0"/>
        </w:rPr>
        <w:t xml:space="preserve"> as the program contributes to positive relationships in countries where Canada’s bilateral program is minimal.</w:t>
      </w:r>
    </w:p>
    <w:p w14:paraId="377408B9" w14:textId="1470DA95" w:rsidR="00597623" w:rsidRPr="007A15F4" w:rsidRDefault="00597623" w:rsidP="00597623">
      <w:pPr>
        <w:pStyle w:val="BodyText"/>
        <w:rPr>
          <w:noProof w:val="0"/>
        </w:rPr>
      </w:pPr>
      <w:r w:rsidRPr="007A15F4">
        <w:rPr>
          <w:noProof w:val="0"/>
        </w:rPr>
        <w:lastRenderedPageBreak/>
        <w:t xml:space="preserve">The large number of Canadian volunteer partner organisations has made it somewhat challenging to aggregate results at a program level. While the program shares a common program logic, each organisation has their own way of reporting against </w:t>
      </w:r>
      <w:r w:rsidR="00FA6D7D" w:rsidRPr="007A15F4">
        <w:rPr>
          <w:noProof w:val="0"/>
        </w:rPr>
        <w:t>indicators,</w:t>
      </w:r>
      <w:r w:rsidRPr="007A15F4">
        <w:rPr>
          <w:noProof w:val="0"/>
        </w:rPr>
        <w:t xml:space="preserve"> so it is difficult as a program to aggregate results. Th</w:t>
      </w:r>
      <w:r w:rsidR="00896C37" w:rsidRPr="007A15F4">
        <w:rPr>
          <w:noProof w:val="0"/>
        </w:rPr>
        <w:t>e</w:t>
      </w:r>
      <w:r w:rsidRPr="007A15F4">
        <w:rPr>
          <w:noProof w:val="0"/>
        </w:rPr>
        <w:t xml:space="preserve"> inten</w:t>
      </w:r>
      <w:r w:rsidR="00896C37" w:rsidRPr="007A15F4">
        <w:rPr>
          <w:noProof w:val="0"/>
        </w:rPr>
        <w:t xml:space="preserve">tion is </w:t>
      </w:r>
      <w:r w:rsidRPr="007A15F4">
        <w:rPr>
          <w:noProof w:val="0"/>
        </w:rPr>
        <w:t>to address</w:t>
      </w:r>
      <w:r w:rsidR="00DB5223" w:rsidRPr="007A15F4">
        <w:rPr>
          <w:noProof w:val="0"/>
        </w:rPr>
        <w:t xml:space="preserve"> this</w:t>
      </w:r>
      <w:r w:rsidRPr="007A15F4">
        <w:rPr>
          <w:noProof w:val="0"/>
        </w:rPr>
        <w:t xml:space="preserve"> in the new program. </w:t>
      </w:r>
    </w:p>
    <w:p w14:paraId="1F2DFC05" w14:textId="02926484" w:rsidR="00062AAA" w:rsidRPr="007A15F4" w:rsidRDefault="00062AAA">
      <w:pPr>
        <w:spacing w:before="0" w:after="0" w:line="240" w:lineRule="auto"/>
        <w:rPr>
          <w:rFonts w:eastAsia="Arial" w:cs="Times New Roman"/>
          <w:szCs w:val="20"/>
          <w:lang w:val="en-AU"/>
        </w:rPr>
      </w:pPr>
      <w:r w:rsidRPr="007A15F4">
        <w:rPr>
          <w:rFonts w:eastAsia="Arial" w:cs="Times New Roman"/>
          <w:szCs w:val="20"/>
          <w:lang w:val="en-AU"/>
        </w:rPr>
        <w:br w:type="page"/>
      </w:r>
    </w:p>
    <w:p w14:paraId="6CF557F4" w14:textId="04B3EF39" w:rsidR="005F3732" w:rsidRPr="007A15F4" w:rsidRDefault="005F3732" w:rsidP="00CA57E7">
      <w:pPr>
        <w:pStyle w:val="Heading2"/>
        <w:rPr>
          <w:lang w:val="en-AU"/>
        </w:rPr>
      </w:pPr>
      <w:bookmarkStart w:id="27" w:name="_Toc62029812"/>
      <w:bookmarkStart w:id="28" w:name="_Toc70068205"/>
      <w:bookmarkEnd w:id="20"/>
      <w:bookmarkEnd w:id="21"/>
      <w:r w:rsidRPr="007A15F4">
        <w:rPr>
          <w:lang w:val="en-AU"/>
        </w:rPr>
        <w:lastRenderedPageBreak/>
        <w:t>United Kingdom, International Citizen Service and Volunteer for Development programs</w:t>
      </w:r>
      <w:bookmarkEnd w:id="27"/>
      <w:bookmarkEnd w:id="28"/>
    </w:p>
    <w:p w14:paraId="1B3C2FAB" w14:textId="178FD8EE" w:rsidR="005F3732" w:rsidRDefault="005F3732" w:rsidP="00CA57E7">
      <w:pPr>
        <w:pStyle w:val="Heading3"/>
        <w:rPr>
          <w:lang w:val="en-AU"/>
        </w:rPr>
      </w:pPr>
      <w:bookmarkStart w:id="29" w:name="_Toc62029813"/>
      <w:bookmarkStart w:id="30" w:name="_Toc70068206"/>
      <w:proofErr w:type="gramStart"/>
      <w:r w:rsidRPr="007A15F4">
        <w:rPr>
          <w:lang w:val="en-AU"/>
        </w:rPr>
        <w:t>At a glance</w:t>
      </w:r>
      <w:proofErr w:type="gramEnd"/>
      <w:r w:rsidRPr="007A15F4">
        <w:rPr>
          <w:rStyle w:val="FootnoteReference"/>
          <w:rFonts w:cs="Arial"/>
          <w:szCs w:val="20"/>
          <w:lang w:val="en-AU"/>
        </w:rPr>
        <w:footnoteReference w:id="26"/>
      </w:r>
      <w:bookmarkEnd w:id="29"/>
      <w:bookmarkEnd w:id="30"/>
      <w:r w:rsidRPr="007A15F4">
        <w:rPr>
          <w:lang w:val="en-AU"/>
        </w:rPr>
        <w:t xml:space="preserve"> </w:t>
      </w:r>
    </w:p>
    <w:p w14:paraId="06912BFD" w14:textId="76784516" w:rsidR="00B711BD" w:rsidRDefault="00B711BD" w:rsidP="00184B18">
      <w:pPr>
        <w:tabs>
          <w:tab w:val="left" w:pos="2835"/>
          <w:tab w:val="left" w:pos="6521"/>
        </w:tabs>
        <w:rPr>
          <w:b/>
          <w:bCs/>
          <w:lang w:val="en-AU"/>
        </w:rPr>
      </w:pPr>
      <w:r w:rsidRPr="00D11A92">
        <w:rPr>
          <w:b/>
          <w:bCs/>
          <w:lang w:val="en-AU"/>
        </w:rPr>
        <w:t>Funding period</w:t>
      </w:r>
      <w:r>
        <w:rPr>
          <w:b/>
          <w:bCs/>
          <w:lang w:val="en-AU"/>
        </w:rPr>
        <w:tab/>
      </w:r>
      <w:r w:rsidR="00590C12" w:rsidRPr="007A15F4">
        <w:rPr>
          <w:rFonts w:cs="Arial"/>
        </w:rPr>
        <w:t>2015 – 2021</w:t>
      </w:r>
      <w:r w:rsidR="00590C12">
        <w:rPr>
          <w:b/>
          <w:bCs/>
          <w:lang w:val="en-AU"/>
        </w:rPr>
        <w:tab/>
      </w:r>
      <w:r w:rsidR="00184B18" w:rsidRPr="007A15F4">
        <w:rPr>
          <w:rFonts w:cs="Arial"/>
        </w:rPr>
        <w:t>2017-2021</w:t>
      </w:r>
    </w:p>
    <w:p w14:paraId="54932C04" w14:textId="185FF807" w:rsidR="00590C12" w:rsidRPr="00D11A92" w:rsidRDefault="00590C12" w:rsidP="00184B18">
      <w:pPr>
        <w:tabs>
          <w:tab w:val="left" w:pos="2835"/>
          <w:tab w:val="left" w:pos="6521"/>
        </w:tabs>
        <w:rPr>
          <w:b/>
          <w:bCs/>
          <w:lang w:val="en-AU"/>
        </w:rPr>
      </w:pPr>
      <w:r>
        <w:rPr>
          <w:b/>
          <w:bCs/>
          <w:lang w:val="en-AU"/>
        </w:rPr>
        <w:t>Volunteer stream</w:t>
      </w:r>
      <w:r w:rsidRPr="00590C12">
        <w:rPr>
          <w:rFonts w:cs="Arial"/>
        </w:rPr>
        <w:t xml:space="preserve"> </w:t>
      </w:r>
      <w:r>
        <w:rPr>
          <w:rFonts w:cs="Arial"/>
        </w:rPr>
        <w:tab/>
      </w:r>
      <w:r w:rsidRPr="007A15F4">
        <w:rPr>
          <w:rFonts w:cs="Arial"/>
        </w:rPr>
        <w:t>ICS2 (Youth Volunteering Scheme)</w:t>
      </w:r>
      <w:r w:rsidR="00050467">
        <w:rPr>
          <w:rFonts w:cs="Arial"/>
        </w:rPr>
        <w:tab/>
      </w:r>
      <w:r w:rsidR="00184B18" w:rsidRPr="007A15F4">
        <w:rPr>
          <w:rFonts w:cs="Arial"/>
        </w:rPr>
        <w:t>Volunteering for Development (V4D)</w:t>
      </w:r>
    </w:p>
    <w:p w14:paraId="0A51430F" w14:textId="7B59CE53" w:rsidR="00B711BD" w:rsidRPr="00D11A92" w:rsidRDefault="00B711BD" w:rsidP="00184B18">
      <w:pPr>
        <w:tabs>
          <w:tab w:val="left" w:pos="2835"/>
          <w:tab w:val="left" w:pos="6521"/>
        </w:tabs>
        <w:rPr>
          <w:b/>
          <w:bCs/>
          <w:lang w:val="en-AU"/>
        </w:rPr>
      </w:pPr>
      <w:r w:rsidRPr="00D11A92">
        <w:rPr>
          <w:b/>
          <w:bCs/>
          <w:lang w:val="en-AU"/>
        </w:rPr>
        <w:t xml:space="preserve">Annual budget </w:t>
      </w:r>
      <w:r>
        <w:rPr>
          <w:b/>
          <w:bCs/>
          <w:lang w:val="en-AU"/>
        </w:rPr>
        <w:tab/>
      </w:r>
      <w:r w:rsidR="00590C12" w:rsidRPr="007A15F4">
        <w:rPr>
          <w:rFonts w:cs="Arial"/>
          <w:bCs/>
        </w:rPr>
        <w:t>£21.1 million</w:t>
      </w:r>
      <w:r w:rsidR="00590C12" w:rsidRPr="007A15F4">
        <w:rPr>
          <w:rStyle w:val="FootnoteReference"/>
          <w:rFonts w:cs="Arial"/>
          <w:bCs/>
        </w:rPr>
        <w:footnoteReference w:id="27"/>
      </w:r>
      <w:r w:rsidR="00590C12" w:rsidRPr="007A15F4">
        <w:rPr>
          <w:rFonts w:cs="Arial"/>
          <w:bCs/>
        </w:rPr>
        <w:t xml:space="preserve"> (AUD35.4 million)</w:t>
      </w:r>
      <w:r w:rsidR="00590C12">
        <w:rPr>
          <w:b/>
          <w:bCs/>
          <w:lang w:val="en-AU"/>
        </w:rPr>
        <w:tab/>
      </w:r>
      <w:r w:rsidR="00184B18" w:rsidRPr="007A15F4">
        <w:rPr>
          <w:rFonts w:cs="Arial"/>
          <w:bCs/>
        </w:rPr>
        <w:t>£15.4 million</w:t>
      </w:r>
      <w:r w:rsidR="00184B18" w:rsidRPr="007A15F4">
        <w:rPr>
          <w:rStyle w:val="FootnoteReference"/>
          <w:rFonts w:cs="Arial"/>
          <w:bCs/>
        </w:rPr>
        <w:footnoteReference w:id="28"/>
      </w:r>
      <w:r w:rsidR="00184B18" w:rsidRPr="007A15F4">
        <w:rPr>
          <w:rFonts w:cs="Arial"/>
          <w:bCs/>
        </w:rPr>
        <w:t xml:space="preserve"> (AUD26.9 million)</w:t>
      </w:r>
    </w:p>
    <w:p w14:paraId="50609FDC" w14:textId="2D7EFA3F" w:rsidR="006750C6" w:rsidRDefault="00B711BD" w:rsidP="00184B18">
      <w:pPr>
        <w:pStyle w:val="BodyText"/>
        <w:tabs>
          <w:tab w:val="left" w:pos="2835"/>
          <w:tab w:val="left" w:pos="6521"/>
        </w:tabs>
        <w:spacing w:before="100" w:after="100"/>
        <w:rPr>
          <w:rFonts w:cs="Arial"/>
          <w:noProof w:val="0"/>
          <w:color w:val="000000"/>
        </w:rPr>
      </w:pPr>
      <w:r w:rsidRPr="00D11A92">
        <w:rPr>
          <w:b/>
          <w:bCs/>
        </w:rPr>
        <w:t xml:space="preserve">Annual volunteer target </w:t>
      </w:r>
      <w:r>
        <w:rPr>
          <w:b/>
          <w:bCs/>
        </w:rPr>
        <w:tab/>
      </w:r>
      <w:r w:rsidR="00590C12" w:rsidRPr="007A15F4">
        <w:rPr>
          <w:rFonts w:cs="Arial"/>
          <w:noProof w:val="0"/>
          <w:color w:val="000000"/>
        </w:rPr>
        <w:t>2015-2018: 7,000</w:t>
      </w:r>
      <w:r w:rsidR="006750C6">
        <w:rPr>
          <w:rFonts w:cs="Arial"/>
          <w:noProof w:val="0"/>
          <w:color w:val="000000"/>
        </w:rPr>
        <w:tab/>
      </w:r>
      <w:r w:rsidR="00184B18" w:rsidRPr="007A15F4">
        <w:rPr>
          <w:rFonts w:cs="Arial"/>
          <w:noProof w:val="0"/>
          <w:color w:val="000000"/>
        </w:rPr>
        <w:t>1300</w:t>
      </w:r>
      <w:r w:rsidR="00184B18" w:rsidRPr="007A15F4">
        <w:rPr>
          <w:rStyle w:val="FootnoteReference"/>
          <w:rFonts w:cs="Arial"/>
          <w:noProof w:val="0"/>
          <w:color w:val="000000"/>
        </w:rPr>
        <w:footnoteReference w:id="29"/>
      </w:r>
    </w:p>
    <w:p w14:paraId="6A864820" w14:textId="13BBD55C" w:rsidR="00B711BD" w:rsidRPr="006750C6" w:rsidRDefault="00184B18" w:rsidP="00184B18">
      <w:pPr>
        <w:pStyle w:val="BodyText"/>
        <w:tabs>
          <w:tab w:val="left" w:pos="2835"/>
          <w:tab w:val="left" w:pos="6521"/>
        </w:tabs>
        <w:spacing w:before="100" w:after="100"/>
        <w:rPr>
          <w:rFonts w:cs="Arial"/>
          <w:noProof w:val="0"/>
          <w:color w:val="000000"/>
        </w:rPr>
      </w:pPr>
      <w:r>
        <w:rPr>
          <w:rFonts w:cs="Arial"/>
          <w:noProof w:val="0"/>
          <w:color w:val="000000"/>
        </w:rPr>
        <w:tab/>
      </w:r>
      <w:r w:rsidR="00590C12" w:rsidRPr="007A15F4">
        <w:rPr>
          <w:rFonts w:cs="Arial"/>
          <w:noProof w:val="0"/>
          <w:color w:val="000000"/>
        </w:rPr>
        <w:t>2018-2020: 3,000</w:t>
      </w:r>
      <w:r w:rsidR="00590C12">
        <w:rPr>
          <w:b/>
          <w:bCs/>
        </w:rPr>
        <w:tab/>
      </w:r>
    </w:p>
    <w:p w14:paraId="3E62305A" w14:textId="373C9EEB" w:rsidR="006750C6" w:rsidRPr="006750C6" w:rsidRDefault="00590C12" w:rsidP="00184B18">
      <w:pPr>
        <w:tabs>
          <w:tab w:val="left" w:pos="2835"/>
          <w:tab w:val="left" w:pos="6521"/>
        </w:tabs>
        <w:rPr>
          <w:lang w:val="en-AU"/>
        </w:rPr>
      </w:pPr>
      <w:r>
        <w:rPr>
          <w:b/>
          <w:bCs/>
          <w:lang w:val="en-AU"/>
        </w:rPr>
        <w:t>Age range</w:t>
      </w:r>
      <w:r>
        <w:rPr>
          <w:b/>
          <w:bCs/>
          <w:lang w:val="en-AU"/>
        </w:rPr>
        <w:tab/>
      </w:r>
      <w:r w:rsidR="006750C6" w:rsidRPr="006750C6">
        <w:rPr>
          <w:lang w:val="en-AU"/>
        </w:rPr>
        <w:t>18–25-year-old volunteers</w:t>
      </w:r>
      <w:r w:rsidR="006750C6">
        <w:rPr>
          <w:lang w:val="en-AU"/>
        </w:rPr>
        <w:tab/>
      </w:r>
      <w:r w:rsidR="00184B18" w:rsidRPr="007A15F4">
        <w:rPr>
          <w:rFonts w:cs="Arial"/>
          <w:color w:val="000000"/>
        </w:rPr>
        <w:t>18+</w:t>
      </w:r>
    </w:p>
    <w:p w14:paraId="3774C883" w14:textId="7143AAA9" w:rsidR="00590C12" w:rsidRDefault="006750C6" w:rsidP="002E7166">
      <w:pPr>
        <w:tabs>
          <w:tab w:val="left" w:pos="2835"/>
          <w:tab w:val="left" w:pos="6521"/>
        </w:tabs>
        <w:ind w:left="6480" w:hanging="6480"/>
        <w:rPr>
          <w:b/>
          <w:bCs/>
          <w:lang w:val="en-AU"/>
        </w:rPr>
      </w:pPr>
      <w:r>
        <w:rPr>
          <w:lang w:val="en-AU"/>
        </w:rPr>
        <w:tab/>
      </w:r>
      <w:r w:rsidRPr="006750C6">
        <w:rPr>
          <w:lang w:val="en-AU"/>
        </w:rPr>
        <w:t>23-35-year-old Team Leaders</w:t>
      </w:r>
      <w:r w:rsidR="00590C12">
        <w:rPr>
          <w:b/>
          <w:bCs/>
          <w:lang w:val="en-AU"/>
        </w:rPr>
        <w:tab/>
      </w:r>
      <w:r w:rsidR="00184B18" w:rsidRPr="007A15F4">
        <w:rPr>
          <w:rFonts w:cs="Arial"/>
          <w:color w:val="000000"/>
        </w:rPr>
        <w:t>Typically mid to late career for international and national volunteers</w:t>
      </w:r>
    </w:p>
    <w:p w14:paraId="1F04C85F" w14:textId="77777777" w:rsidR="00050467" w:rsidRDefault="00B711BD" w:rsidP="00184B18">
      <w:pPr>
        <w:tabs>
          <w:tab w:val="left" w:pos="2835"/>
          <w:tab w:val="left" w:pos="6521"/>
        </w:tabs>
        <w:spacing w:after="0"/>
        <w:rPr>
          <w:rFonts w:cs="Arial"/>
          <w:color w:val="000000"/>
        </w:rPr>
      </w:pPr>
      <w:r w:rsidRPr="00D11A92">
        <w:rPr>
          <w:b/>
          <w:bCs/>
          <w:lang w:val="en-AU"/>
        </w:rPr>
        <w:t xml:space="preserve">Reach </w:t>
      </w:r>
      <w:r>
        <w:rPr>
          <w:b/>
          <w:bCs/>
          <w:lang w:val="en-AU"/>
        </w:rPr>
        <w:tab/>
      </w:r>
      <w:r w:rsidR="006750C6" w:rsidRPr="007A15F4">
        <w:rPr>
          <w:rFonts w:cs="Arial"/>
          <w:color w:val="000000"/>
        </w:rPr>
        <w:t xml:space="preserve">33 developing countries since 2015, </w:t>
      </w:r>
    </w:p>
    <w:p w14:paraId="3C89DDE0" w14:textId="57BECA28" w:rsidR="00B711BD" w:rsidRDefault="00050467" w:rsidP="00184B18">
      <w:pPr>
        <w:tabs>
          <w:tab w:val="left" w:pos="2835"/>
          <w:tab w:val="left" w:pos="6521"/>
        </w:tabs>
        <w:spacing w:before="0"/>
        <w:rPr>
          <w:b/>
          <w:bCs/>
          <w:lang w:val="en-AU"/>
        </w:rPr>
      </w:pPr>
      <w:r>
        <w:rPr>
          <w:rFonts w:cs="Arial"/>
          <w:color w:val="000000"/>
        </w:rPr>
        <w:tab/>
      </w:r>
      <w:r w:rsidR="006750C6" w:rsidRPr="007A15F4">
        <w:rPr>
          <w:rFonts w:cs="Arial"/>
          <w:color w:val="000000"/>
        </w:rPr>
        <w:t>now revised to seven</w:t>
      </w:r>
      <w:r w:rsidR="006750C6" w:rsidRPr="007A15F4">
        <w:rPr>
          <w:rStyle w:val="FootnoteReference"/>
          <w:rFonts w:cs="Arial"/>
          <w:color w:val="000000"/>
        </w:rPr>
        <w:footnoteReference w:id="30"/>
      </w:r>
      <w:r w:rsidR="00590C12">
        <w:rPr>
          <w:b/>
          <w:bCs/>
          <w:lang w:val="en-AU"/>
        </w:rPr>
        <w:tab/>
      </w:r>
      <w:r w:rsidR="002E7166" w:rsidRPr="007A15F4">
        <w:rPr>
          <w:rFonts w:cs="Arial"/>
          <w:color w:val="000000"/>
        </w:rPr>
        <w:t>24 developing countries</w:t>
      </w:r>
    </w:p>
    <w:p w14:paraId="1011A395" w14:textId="4FDAED93" w:rsidR="00B711BD" w:rsidRPr="00D11A92" w:rsidRDefault="00B711BD" w:rsidP="00184B18">
      <w:pPr>
        <w:tabs>
          <w:tab w:val="left" w:pos="2835"/>
          <w:tab w:val="left" w:pos="6521"/>
        </w:tabs>
        <w:rPr>
          <w:b/>
          <w:bCs/>
          <w:lang w:val="en-AU"/>
        </w:rPr>
      </w:pPr>
      <w:r w:rsidRPr="00D11A92">
        <w:rPr>
          <w:b/>
          <w:bCs/>
          <w:lang w:val="en-AU"/>
        </w:rPr>
        <w:t>Typical assignment length</w:t>
      </w:r>
      <w:r>
        <w:rPr>
          <w:b/>
          <w:bCs/>
          <w:lang w:val="en-AU"/>
        </w:rPr>
        <w:tab/>
      </w:r>
      <w:r w:rsidR="00050467" w:rsidRPr="007A15F4">
        <w:rPr>
          <w:rFonts w:cs="Arial"/>
          <w:color w:val="000000"/>
        </w:rPr>
        <w:t>12 weeks</w:t>
      </w:r>
      <w:r w:rsidR="00590C12">
        <w:rPr>
          <w:b/>
          <w:bCs/>
          <w:lang w:val="en-AU"/>
        </w:rPr>
        <w:tab/>
      </w:r>
      <w:r w:rsidR="002E7166" w:rsidRPr="007A15F4">
        <w:rPr>
          <w:rFonts w:cs="Arial"/>
          <w:color w:val="000000"/>
        </w:rPr>
        <w:t>1 month – 2 years</w:t>
      </w:r>
    </w:p>
    <w:p w14:paraId="6C793193" w14:textId="77777777" w:rsidR="005F3732" w:rsidRPr="007A15F4" w:rsidRDefault="005F3732" w:rsidP="00CA57E7">
      <w:pPr>
        <w:pStyle w:val="Heading3"/>
        <w:rPr>
          <w:lang w:val="en-AU"/>
        </w:rPr>
      </w:pPr>
      <w:bookmarkStart w:id="31" w:name="_Toc62029814"/>
      <w:bookmarkStart w:id="32" w:name="_Toc70068207"/>
      <w:r w:rsidRPr="007A15F4">
        <w:rPr>
          <w:lang w:val="en-AU"/>
        </w:rPr>
        <w:t>Program summary</w:t>
      </w:r>
      <w:bookmarkEnd w:id="31"/>
      <w:bookmarkEnd w:id="32"/>
    </w:p>
    <w:p w14:paraId="5CF604F4" w14:textId="27250BE4" w:rsidR="00597623" w:rsidRPr="007A15F4" w:rsidRDefault="00597623" w:rsidP="00597623">
      <w:pPr>
        <w:pStyle w:val="BodyText"/>
        <w:rPr>
          <w:noProof w:val="0"/>
        </w:rPr>
      </w:pPr>
      <w:r w:rsidRPr="007A15F4">
        <w:rPr>
          <w:noProof w:val="0"/>
        </w:rPr>
        <w:t>The UK’s FCDO</w:t>
      </w:r>
      <w:r w:rsidRPr="007A15F4">
        <w:rPr>
          <w:rStyle w:val="FootnoteReference"/>
          <w:rFonts w:cs="Arial"/>
          <w:noProof w:val="0"/>
          <w:color w:val="000000"/>
        </w:rPr>
        <w:footnoteReference w:id="31"/>
      </w:r>
      <w:r w:rsidRPr="007A15F4">
        <w:rPr>
          <w:noProof w:val="0"/>
        </w:rPr>
        <w:t xml:space="preserve"> provides two schemes for international volunteering: 1) International Citizen Service (ICS) Phase 2, the youth volunteering stream delivered by a contract (2015-2021), and 2) the </w:t>
      </w:r>
      <w:r w:rsidRPr="007A15F4">
        <w:rPr>
          <w:rFonts w:cs="Arial"/>
          <w:noProof w:val="0"/>
        </w:rPr>
        <w:t>Volunteering for Development (V4D) programme delivered through a grant mechanism</w:t>
      </w:r>
      <w:r w:rsidRPr="007A15F4">
        <w:rPr>
          <w:noProof w:val="0"/>
        </w:rPr>
        <w:t xml:space="preserve">. </w:t>
      </w:r>
      <w:r w:rsidRPr="007A15F4">
        <w:rPr>
          <w:rFonts w:cs="Arial"/>
          <w:noProof w:val="0"/>
          <w:color w:val="000000"/>
        </w:rPr>
        <w:t xml:space="preserve">ICS2 </w:t>
      </w:r>
      <w:r w:rsidR="00BF53BE" w:rsidRPr="007A15F4">
        <w:rPr>
          <w:rFonts w:cs="Arial"/>
          <w:noProof w:val="0"/>
          <w:color w:val="000000"/>
        </w:rPr>
        <w:t xml:space="preserve">came </w:t>
      </w:r>
      <w:r w:rsidRPr="007A15F4">
        <w:rPr>
          <w:rFonts w:cs="Arial"/>
          <w:noProof w:val="0"/>
          <w:color w:val="000000"/>
        </w:rPr>
        <w:t xml:space="preserve">to its planned end in February 2021. </w:t>
      </w:r>
      <w:r w:rsidRPr="007A15F4">
        <w:rPr>
          <w:noProof w:val="0"/>
        </w:rPr>
        <w:t xml:space="preserve">Both programmes are delivered by VSO, an international development organisation that specialises in volunteering and partnerships. The ICS is delivered in consortium with Restless Development and Raleigh International. </w:t>
      </w:r>
    </w:p>
    <w:p w14:paraId="6528F987" w14:textId="5345F907" w:rsidR="00597623" w:rsidRPr="007A15F4" w:rsidRDefault="00597623" w:rsidP="00597623">
      <w:pPr>
        <w:pStyle w:val="BodyText"/>
        <w:rPr>
          <w:noProof w:val="0"/>
        </w:rPr>
      </w:pPr>
      <w:r w:rsidRPr="007A15F4">
        <w:rPr>
          <w:noProof w:val="0"/>
        </w:rPr>
        <w:t xml:space="preserve">Launched in 2010, the ICS was intended to provide an opportunity for all </w:t>
      </w:r>
      <w:r w:rsidRPr="007A15F4">
        <w:rPr>
          <w:b/>
          <w:noProof w:val="0"/>
        </w:rPr>
        <w:t>young British people</w:t>
      </w:r>
      <w:r w:rsidRPr="007A15F4">
        <w:rPr>
          <w:noProof w:val="0"/>
        </w:rPr>
        <w:t xml:space="preserve">, regardless of background, to help tackle poverty locally and globally. This program supports young people from the UK and overseas (at a ratio of 1:1) to volunteer on 12-week placements that directly address the Sustainable Development Goals. A key aspect of the program is that British participants must </w:t>
      </w:r>
      <w:r w:rsidRPr="007A15F4">
        <w:rPr>
          <w:b/>
          <w:noProof w:val="0"/>
        </w:rPr>
        <w:t>fundraise</w:t>
      </w:r>
      <w:r w:rsidRPr="007A15F4">
        <w:rPr>
          <w:noProof w:val="0"/>
        </w:rPr>
        <w:t xml:space="preserve"> 10</w:t>
      </w:r>
      <w:r w:rsidR="00EA310B" w:rsidRPr="007A15F4">
        <w:rPr>
          <w:noProof w:val="0"/>
        </w:rPr>
        <w:t>%</w:t>
      </w:r>
      <w:r w:rsidRPr="007A15F4">
        <w:rPr>
          <w:noProof w:val="0"/>
        </w:rPr>
        <w:t xml:space="preserve"> of the assignment cost. All placements must achieve a positive contribution to poverty reduction and sustainable development outcomes in the host country, enhance the personal and social development of volunteer participants, and build skills for each volunteer so they better understand international development and act as agents of social change within their own communities and beyond. </w:t>
      </w:r>
    </w:p>
    <w:p w14:paraId="6FF997AB" w14:textId="366DCA77" w:rsidR="00597623" w:rsidRPr="007A15F4" w:rsidRDefault="00597623" w:rsidP="00597623">
      <w:pPr>
        <w:pStyle w:val="BodyText"/>
        <w:rPr>
          <w:noProof w:val="0"/>
        </w:rPr>
      </w:pPr>
      <w:r w:rsidRPr="007A15F4">
        <w:rPr>
          <w:noProof w:val="0"/>
        </w:rPr>
        <w:lastRenderedPageBreak/>
        <w:t xml:space="preserve">The V4D grant supports the delivery of the UK Aid strategy </w:t>
      </w:r>
      <w:r w:rsidR="00FA6D7D" w:rsidRPr="007A15F4">
        <w:rPr>
          <w:noProof w:val="0"/>
        </w:rPr>
        <w:t>using</w:t>
      </w:r>
      <w:r w:rsidRPr="007A15F4">
        <w:rPr>
          <w:noProof w:val="0"/>
        </w:rPr>
        <w:t xml:space="preserve"> British and international expertise to improve basic services and livelihoods for vulnerable and extremely poor people. In recent years V4D began using a </w:t>
      </w:r>
      <w:r w:rsidRPr="007A15F4">
        <w:rPr>
          <w:b/>
          <w:noProof w:val="0"/>
        </w:rPr>
        <w:t>blended model of volunteering</w:t>
      </w:r>
      <w:r w:rsidRPr="007A15F4">
        <w:rPr>
          <w:noProof w:val="0"/>
        </w:rPr>
        <w:t>, recruiting different types of volunteers (community, national, international, corporate, and youth) to deliver change. VSO programs are often designed to address specific issues and include different types of volunteers who each play a distinct but vital role.</w:t>
      </w:r>
      <w:r w:rsidRPr="007A15F4">
        <w:rPr>
          <w:rStyle w:val="FootnoteReference"/>
          <w:rFonts w:cs="Arial"/>
          <w:noProof w:val="0"/>
          <w:color w:val="000000"/>
        </w:rPr>
        <w:footnoteReference w:id="32"/>
      </w:r>
      <w:r w:rsidRPr="007A15F4">
        <w:rPr>
          <w:noProof w:val="0"/>
        </w:rPr>
        <w:t xml:space="preserve"> Volunteer placements can be as short as one month or </w:t>
      </w:r>
      <w:r w:rsidR="00FA6D7D">
        <w:rPr>
          <w:noProof w:val="0"/>
        </w:rPr>
        <w:t>up to</w:t>
      </w:r>
      <w:r w:rsidRPr="007A15F4">
        <w:rPr>
          <w:noProof w:val="0"/>
        </w:rPr>
        <w:t xml:space="preserve"> two years</w:t>
      </w:r>
      <w:r w:rsidR="00FA6D7D">
        <w:rPr>
          <w:noProof w:val="0"/>
        </w:rPr>
        <w:t xml:space="preserve"> long</w:t>
      </w:r>
      <w:r w:rsidRPr="007A15F4">
        <w:rPr>
          <w:noProof w:val="0"/>
        </w:rPr>
        <w:t>. Programmes utilise international and national volunteers.</w:t>
      </w:r>
      <w:r w:rsidR="0094793C" w:rsidRPr="007A15F4">
        <w:rPr>
          <w:noProof w:val="0"/>
        </w:rPr>
        <w:t xml:space="preserve"> </w:t>
      </w:r>
      <w:r w:rsidRPr="007A15F4">
        <w:rPr>
          <w:noProof w:val="0"/>
        </w:rPr>
        <w:t xml:space="preserve">The </w:t>
      </w:r>
      <w:r w:rsidRPr="007A15F4">
        <w:rPr>
          <w:b/>
          <w:noProof w:val="0"/>
        </w:rPr>
        <w:t>increased focus on local volunteers</w:t>
      </w:r>
      <w:r w:rsidRPr="007A15F4">
        <w:rPr>
          <w:noProof w:val="0"/>
        </w:rPr>
        <w:t xml:space="preserve"> (also called community volunteers) is based on lessons from humanitarian responses, where locally led volunteer responses are crucial.</w:t>
      </w:r>
      <w:r w:rsidRPr="007A15F4">
        <w:rPr>
          <w:rStyle w:val="FootnoteReference"/>
          <w:rFonts w:cs="Arial"/>
          <w:noProof w:val="0"/>
          <w:color w:val="000000"/>
        </w:rPr>
        <w:footnoteReference w:id="33"/>
      </w:r>
      <w:r w:rsidR="008729DF" w:rsidRPr="007A15F4">
        <w:rPr>
          <w:noProof w:val="0"/>
        </w:rPr>
        <w:t xml:space="preserve"> </w:t>
      </w:r>
    </w:p>
    <w:p w14:paraId="553C5CFA" w14:textId="008AF37D" w:rsidR="00597623" w:rsidRPr="007A15F4" w:rsidRDefault="00597623" w:rsidP="00597623">
      <w:pPr>
        <w:pStyle w:val="BodyText"/>
        <w:rPr>
          <w:noProof w:val="0"/>
        </w:rPr>
      </w:pPr>
      <w:r w:rsidRPr="007A15F4">
        <w:rPr>
          <w:b/>
          <w:noProof w:val="0"/>
        </w:rPr>
        <w:t>Value for money</w:t>
      </w:r>
      <w:r w:rsidRPr="007A15F4">
        <w:rPr>
          <w:noProof w:val="0"/>
        </w:rPr>
        <w:t xml:space="preserve"> is a key consideration of the program and is assessed based </w:t>
      </w:r>
      <w:r w:rsidR="00FA6D7D" w:rsidRPr="007A15F4">
        <w:rPr>
          <w:noProof w:val="0"/>
        </w:rPr>
        <w:t>on</w:t>
      </w:r>
      <w:r w:rsidRPr="007A15F4">
        <w:rPr>
          <w:noProof w:val="0"/>
        </w:rPr>
        <w:t xml:space="preserve"> efficiency, economy, </w:t>
      </w:r>
      <w:proofErr w:type="gramStart"/>
      <w:r w:rsidRPr="007A15F4">
        <w:rPr>
          <w:noProof w:val="0"/>
        </w:rPr>
        <w:t>effectiveness</w:t>
      </w:r>
      <w:proofErr w:type="gramEnd"/>
      <w:r w:rsidRPr="007A15F4">
        <w:rPr>
          <w:noProof w:val="0"/>
        </w:rPr>
        <w:t xml:space="preserve"> and equality. Attempts are made to keep costs low while recognising that some objectives require additional costs, for example ensuring diversity in program participants. As these programs use blended models of volunteering, some modalities are cheaper (e.g. local volunteers compared to international volunteers), so it is difficult to get a like for like comparison with other international volunteer programs or develop an average cost per participant.</w:t>
      </w:r>
      <w:r w:rsidRPr="007A15F4">
        <w:rPr>
          <w:rStyle w:val="FootnoteReference"/>
          <w:rFonts w:cs="Arial"/>
          <w:noProof w:val="0"/>
          <w:color w:val="000000"/>
        </w:rPr>
        <w:footnoteReference w:id="34"/>
      </w:r>
      <w:r w:rsidRPr="007A15F4">
        <w:rPr>
          <w:noProof w:val="0"/>
        </w:rPr>
        <w:t xml:space="preserve"> </w:t>
      </w:r>
    </w:p>
    <w:p w14:paraId="07C7C55B" w14:textId="5F9E545A" w:rsidR="00597623" w:rsidRPr="007A15F4" w:rsidRDefault="00597623" w:rsidP="1B98CDE6">
      <w:pPr>
        <w:rPr>
          <w:rFonts w:ascii="Calibri Light" w:hAnsi="Calibri Light"/>
          <w:i/>
          <w:iCs/>
          <w:lang w:val="en-AU" w:eastAsia="en-GB"/>
        </w:rPr>
      </w:pPr>
      <w:r w:rsidRPr="007A15F4">
        <w:rPr>
          <w:lang w:val="en-AU"/>
        </w:rPr>
        <w:t xml:space="preserve">The people-to-people links from V4D help to develop </w:t>
      </w:r>
      <w:r w:rsidRPr="1B98CDE6">
        <w:rPr>
          <w:b/>
          <w:bCs/>
          <w:lang w:val="en-AU"/>
        </w:rPr>
        <w:t xml:space="preserve">thriving partnerships with institutions </w:t>
      </w:r>
      <w:r w:rsidRPr="007A15F4">
        <w:rPr>
          <w:lang w:val="en-AU"/>
        </w:rPr>
        <w:t xml:space="preserve">both within the UK and overseas. Both </w:t>
      </w:r>
      <w:r w:rsidR="002D5132" w:rsidRPr="007A15F4">
        <w:rPr>
          <w:lang w:val="en-AU"/>
        </w:rPr>
        <w:t>programs</w:t>
      </w:r>
      <w:r w:rsidRPr="007A15F4">
        <w:rPr>
          <w:lang w:val="en-AU"/>
        </w:rPr>
        <w:t xml:space="preserve"> help to</w:t>
      </w:r>
      <w:r w:rsidRPr="1B98CDE6">
        <w:rPr>
          <w:b/>
          <w:bCs/>
          <w:lang w:val="en-AU"/>
        </w:rPr>
        <w:t xml:space="preserve"> demonstrate what UK Aid is delivering </w:t>
      </w:r>
      <w:r w:rsidRPr="007A15F4">
        <w:rPr>
          <w:lang w:val="en-AU"/>
        </w:rPr>
        <w:t xml:space="preserve">to the UK public. ICS and V4D volunteers bring new skills and </w:t>
      </w:r>
      <w:r w:rsidRPr="1B98CDE6">
        <w:rPr>
          <w:b/>
          <w:bCs/>
          <w:lang w:val="en-AU"/>
        </w:rPr>
        <w:t>knowledge back to the UK</w:t>
      </w:r>
      <w:r w:rsidRPr="007A15F4">
        <w:rPr>
          <w:lang w:val="en-AU"/>
        </w:rPr>
        <w:t xml:space="preserve"> after volunteers have completed their assignment, including the domestic social action element of ICS</w:t>
      </w:r>
      <w:r w:rsidR="006B65E3" w:rsidRPr="007A15F4">
        <w:rPr>
          <w:lang w:val="en-AU"/>
        </w:rPr>
        <w:t>,</w:t>
      </w:r>
      <w:r w:rsidRPr="007A15F4">
        <w:rPr>
          <w:lang w:val="en-AU"/>
        </w:rPr>
        <w:t xml:space="preserve"> “Action at Home”. The V4D program benefits from two-way skills transfer</w:t>
      </w:r>
      <w:r w:rsidR="006B65E3" w:rsidRPr="007A15F4">
        <w:rPr>
          <w:lang w:val="en-AU"/>
        </w:rPr>
        <w:t>. F</w:t>
      </w:r>
      <w:r w:rsidRPr="007A15F4">
        <w:rPr>
          <w:lang w:val="en-AU"/>
        </w:rPr>
        <w:t>or example</w:t>
      </w:r>
      <w:r w:rsidR="006B65E3" w:rsidRPr="007A15F4">
        <w:rPr>
          <w:lang w:val="en-AU"/>
        </w:rPr>
        <w:t>,</w:t>
      </w:r>
      <w:r w:rsidRPr="007A15F4">
        <w:rPr>
          <w:lang w:val="en-AU"/>
        </w:rPr>
        <w:t xml:space="preserve"> an educational tablet software developed for use in Malawi was later adopted in UK primary schools.</w:t>
      </w:r>
      <w:r w:rsidRPr="007A15F4">
        <w:rPr>
          <w:rStyle w:val="FootnoteReference"/>
          <w:rFonts w:cs="Arial"/>
          <w:color w:val="000000"/>
          <w:lang w:val="en-AU"/>
        </w:rPr>
        <w:footnoteReference w:id="35"/>
      </w:r>
      <w:r w:rsidRPr="007A15F4">
        <w:rPr>
          <w:lang w:val="en-AU"/>
        </w:rPr>
        <w:t xml:space="preserve"> </w:t>
      </w:r>
    </w:p>
    <w:p w14:paraId="15EAE211" w14:textId="77777777" w:rsidR="00597623" w:rsidRPr="007A15F4" w:rsidRDefault="00597623" w:rsidP="00597623">
      <w:pPr>
        <w:pStyle w:val="BodyText"/>
        <w:rPr>
          <w:noProof w:val="0"/>
        </w:rPr>
      </w:pPr>
      <w:r w:rsidRPr="007A15F4">
        <w:rPr>
          <w:noProof w:val="0"/>
        </w:rPr>
        <w:t>ICS has created a global network of socially active global citizens.</w:t>
      </w:r>
    </w:p>
    <w:p w14:paraId="6E83490A" w14:textId="77777777" w:rsidR="006C7AB0" w:rsidRPr="007A15F4" w:rsidRDefault="006C7AB0" w:rsidP="006C7AB0">
      <w:pPr>
        <w:rPr>
          <w:rFonts w:cs="Arial"/>
          <w:b/>
          <w:color w:val="000000"/>
          <w:szCs w:val="20"/>
          <w:lang w:val="en-AU"/>
        </w:rPr>
      </w:pPr>
      <w:r w:rsidRPr="007A15F4">
        <w:rPr>
          <w:rFonts w:cs="Arial"/>
          <w:color w:val="000000"/>
          <w:szCs w:val="20"/>
          <w:lang w:val="en-AU"/>
        </w:rPr>
        <w:br w:type="page"/>
      </w:r>
    </w:p>
    <w:p w14:paraId="115E349B" w14:textId="77777777" w:rsidR="00062AAA" w:rsidRPr="007A15F4" w:rsidRDefault="00062AAA" w:rsidP="00CA57E7">
      <w:pPr>
        <w:pStyle w:val="Heading2"/>
        <w:rPr>
          <w:lang w:val="en-AU"/>
        </w:rPr>
      </w:pPr>
      <w:bookmarkStart w:id="33" w:name="_Toc60846624"/>
      <w:bookmarkStart w:id="34" w:name="_Toc61356285"/>
      <w:bookmarkStart w:id="35" w:name="_Toc62029815"/>
      <w:bookmarkStart w:id="36" w:name="_Toc70068208"/>
      <w:bookmarkStart w:id="37" w:name="_Toc60846625"/>
      <w:r w:rsidRPr="007A15F4">
        <w:rPr>
          <w:lang w:val="en-AU"/>
        </w:rPr>
        <w:lastRenderedPageBreak/>
        <w:t>Norway, Norwegian Agency for Exchange Cooperation</w:t>
      </w:r>
      <w:bookmarkEnd w:id="33"/>
      <w:bookmarkEnd w:id="34"/>
      <w:bookmarkEnd w:id="35"/>
      <w:bookmarkEnd w:id="36"/>
    </w:p>
    <w:p w14:paraId="6614EA49" w14:textId="0FBD505E" w:rsidR="00062AAA" w:rsidRDefault="00062AAA" w:rsidP="00CA57E7">
      <w:pPr>
        <w:pStyle w:val="Heading3"/>
        <w:rPr>
          <w:lang w:val="en-AU"/>
        </w:rPr>
      </w:pPr>
      <w:bookmarkStart w:id="38" w:name="_Toc62029816"/>
      <w:bookmarkStart w:id="39" w:name="_Toc70068209"/>
      <w:proofErr w:type="gramStart"/>
      <w:r w:rsidRPr="007A15F4">
        <w:rPr>
          <w:lang w:val="en-AU"/>
        </w:rPr>
        <w:t>At a glance</w:t>
      </w:r>
      <w:proofErr w:type="gramEnd"/>
      <w:r w:rsidRPr="007A15F4">
        <w:rPr>
          <w:rStyle w:val="FootnoteReference"/>
          <w:rFonts w:cs="Arial"/>
          <w:szCs w:val="20"/>
          <w:lang w:val="en-AU"/>
        </w:rPr>
        <w:footnoteReference w:id="36"/>
      </w:r>
      <w:bookmarkEnd w:id="38"/>
      <w:bookmarkEnd w:id="39"/>
      <w:r w:rsidRPr="007A15F4">
        <w:rPr>
          <w:lang w:val="en-AU"/>
        </w:rPr>
        <w:t xml:space="preserve"> </w:t>
      </w:r>
    </w:p>
    <w:p w14:paraId="3C782BA9" w14:textId="134D07EC" w:rsidR="00B711BD" w:rsidRPr="00D11A92" w:rsidRDefault="00B711BD" w:rsidP="00B711BD">
      <w:pPr>
        <w:tabs>
          <w:tab w:val="left" w:pos="3402"/>
        </w:tabs>
        <w:rPr>
          <w:b/>
          <w:bCs/>
          <w:lang w:val="en-AU"/>
        </w:rPr>
      </w:pPr>
      <w:r w:rsidRPr="00D11A92">
        <w:rPr>
          <w:b/>
          <w:bCs/>
          <w:lang w:val="en-AU"/>
        </w:rPr>
        <w:t>Funding period</w:t>
      </w:r>
      <w:r>
        <w:rPr>
          <w:b/>
          <w:bCs/>
          <w:lang w:val="en-AU"/>
        </w:rPr>
        <w:tab/>
      </w:r>
      <w:r w:rsidRPr="007A15F4">
        <w:t>2019</w:t>
      </w:r>
    </w:p>
    <w:p w14:paraId="692FCCD5" w14:textId="1C8C5A9F" w:rsidR="00B711BD" w:rsidRPr="00D11A92" w:rsidRDefault="00B711BD" w:rsidP="00B711BD">
      <w:pPr>
        <w:tabs>
          <w:tab w:val="left" w:pos="3402"/>
        </w:tabs>
        <w:rPr>
          <w:b/>
          <w:bCs/>
          <w:lang w:val="en-AU"/>
        </w:rPr>
      </w:pPr>
      <w:r w:rsidRPr="00D11A92">
        <w:rPr>
          <w:b/>
          <w:bCs/>
          <w:lang w:val="en-AU"/>
        </w:rPr>
        <w:t xml:space="preserve">Annual budget </w:t>
      </w:r>
      <w:r>
        <w:rPr>
          <w:b/>
          <w:bCs/>
          <w:lang w:val="en-AU"/>
        </w:rPr>
        <w:tab/>
      </w:r>
      <w:r w:rsidRPr="007A15F4">
        <w:t>NOK200 (AUD30.6million)</w:t>
      </w:r>
    </w:p>
    <w:p w14:paraId="69D1EA6F" w14:textId="17ED7AA2" w:rsidR="00B711BD" w:rsidRPr="00D11A92" w:rsidRDefault="00B711BD" w:rsidP="00B711BD">
      <w:pPr>
        <w:tabs>
          <w:tab w:val="left" w:pos="3402"/>
        </w:tabs>
        <w:rPr>
          <w:b/>
          <w:bCs/>
          <w:lang w:val="en-AU"/>
        </w:rPr>
      </w:pPr>
      <w:r w:rsidRPr="00D11A92">
        <w:rPr>
          <w:b/>
          <w:bCs/>
          <w:lang w:val="en-AU"/>
        </w:rPr>
        <w:t xml:space="preserve">Annual volunteer target </w:t>
      </w:r>
      <w:r>
        <w:rPr>
          <w:b/>
          <w:bCs/>
          <w:lang w:val="en-AU"/>
        </w:rPr>
        <w:tab/>
      </w:r>
      <w:r w:rsidRPr="007A15F4">
        <w:rPr>
          <w:rFonts w:cs="Arial"/>
        </w:rPr>
        <w:t>1000</w:t>
      </w:r>
      <w:r w:rsidRPr="007A15F4">
        <w:rPr>
          <w:rStyle w:val="FootnoteReference"/>
          <w:rFonts w:cs="Arial"/>
        </w:rPr>
        <w:footnoteReference w:id="37"/>
      </w:r>
    </w:p>
    <w:p w14:paraId="351B831C" w14:textId="062DD29E" w:rsidR="00B711BD" w:rsidRDefault="00B711BD" w:rsidP="00B711BD">
      <w:pPr>
        <w:tabs>
          <w:tab w:val="left" w:pos="3402"/>
        </w:tabs>
        <w:rPr>
          <w:b/>
          <w:bCs/>
          <w:lang w:val="en-AU"/>
        </w:rPr>
      </w:pPr>
      <w:r>
        <w:rPr>
          <w:b/>
          <w:bCs/>
          <w:lang w:val="en-AU"/>
        </w:rPr>
        <w:t>Age range</w:t>
      </w:r>
      <w:r w:rsidRPr="00D11A92">
        <w:rPr>
          <w:b/>
          <w:bCs/>
          <w:lang w:val="en-AU"/>
        </w:rPr>
        <w:t xml:space="preserve"> </w:t>
      </w:r>
      <w:r>
        <w:rPr>
          <w:b/>
          <w:bCs/>
          <w:lang w:val="en-AU"/>
        </w:rPr>
        <w:tab/>
      </w:r>
      <w:r w:rsidRPr="007A15F4">
        <w:t>18 – 35 years</w:t>
      </w:r>
    </w:p>
    <w:p w14:paraId="7B819A64" w14:textId="6F6C6F90" w:rsidR="00B711BD" w:rsidRDefault="00B711BD" w:rsidP="00B711BD">
      <w:pPr>
        <w:tabs>
          <w:tab w:val="left" w:pos="3402"/>
        </w:tabs>
      </w:pPr>
      <w:r>
        <w:rPr>
          <w:b/>
          <w:bCs/>
          <w:lang w:val="en-AU"/>
        </w:rPr>
        <w:t>Reach</w:t>
      </w:r>
      <w:r>
        <w:rPr>
          <w:b/>
          <w:bCs/>
          <w:lang w:val="en-AU"/>
        </w:rPr>
        <w:tab/>
      </w:r>
      <w:r w:rsidRPr="007A15F4">
        <w:t>25 countries across African, Asia and Latin America</w:t>
      </w:r>
    </w:p>
    <w:p w14:paraId="31A55B56" w14:textId="50A7159F" w:rsidR="00B711BD" w:rsidRPr="00D11A92" w:rsidRDefault="00B711BD" w:rsidP="00B711BD">
      <w:pPr>
        <w:tabs>
          <w:tab w:val="left" w:pos="3402"/>
        </w:tabs>
        <w:rPr>
          <w:b/>
          <w:bCs/>
          <w:lang w:val="en-AU"/>
        </w:rPr>
      </w:pPr>
      <w:r w:rsidRPr="00D11A92">
        <w:rPr>
          <w:b/>
          <w:bCs/>
          <w:lang w:val="en-AU"/>
        </w:rPr>
        <w:t>Typical assignment length</w:t>
      </w:r>
      <w:r>
        <w:rPr>
          <w:b/>
          <w:bCs/>
          <w:lang w:val="en-AU"/>
        </w:rPr>
        <w:tab/>
      </w:r>
      <w:r w:rsidRPr="00B711BD">
        <w:rPr>
          <w:lang w:val="en-AU"/>
        </w:rPr>
        <w:t>12 months</w:t>
      </w:r>
    </w:p>
    <w:p w14:paraId="6CC0D354" w14:textId="77777777" w:rsidR="00B711BD" w:rsidRPr="00B711BD" w:rsidRDefault="00B711BD" w:rsidP="00B711BD">
      <w:pPr>
        <w:rPr>
          <w:lang w:val="en-AU"/>
        </w:rPr>
      </w:pPr>
    </w:p>
    <w:p w14:paraId="73FF7060" w14:textId="77777777" w:rsidR="00062AAA" w:rsidRPr="007A15F4" w:rsidRDefault="00062AAA" w:rsidP="00CA57E7">
      <w:pPr>
        <w:pStyle w:val="Heading3"/>
        <w:rPr>
          <w:rStyle w:val="A5"/>
          <w:rFonts w:cstheme="minorBidi"/>
          <w:color w:val="5482AB" w:themeColor="accent1"/>
          <w:sz w:val="24"/>
          <w:szCs w:val="16"/>
          <w:lang w:val="en-AU"/>
        </w:rPr>
      </w:pPr>
      <w:bookmarkStart w:id="40" w:name="_Toc61963219"/>
      <w:bookmarkStart w:id="41" w:name="_Toc62029817"/>
      <w:bookmarkStart w:id="42" w:name="_Toc70068210"/>
      <w:bookmarkEnd w:id="40"/>
      <w:r w:rsidRPr="00266F0F">
        <w:rPr>
          <w:rStyle w:val="A5"/>
          <w:rFonts w:cstheme="minorBidi"/>
          <w:color w:val="003478" w:themeColor="text2"/>
          <w:sz w:val="24"/>
          <w:szCs w:val="16"/>
          <w:lang w:val="en-AU"/>
        </w:rPr>
        <w:t>Project summary</w:t>
      </w:r>
      <w:bookmarkEnd w:id="41"/>
      <w:bookmarkEnd w:id="42"/>
    </w:p>
    <w:p w14:paraId="24F0D110" w14:textId="2B8E973A" w:rsidR="00597623" w:rsidRPr="007A15F4" w:rsidRDefault="00597623" w:rsidP="00597623">
      <w:pPr>
        <w:pStyle w:val="BodyText"/>
        <w:rPr>
          <w:rStyle w:val="A5"/>
          <w:rFonts w:cs="Arial"/>
          <w:noProof w:val="0"/>
          <w:sz w:val="20"/>
          <w:szCs w:val="20"/>
        </w:rPr>
      </w:pPr>
      <w:proofErr w:type="spellStart"/>
      <w:r w:rsidRPr="007A15F4">
        <w:rPr>
          <w:rStyle w:val="A5"/>
          <w:rFonts w:eastAsiaTheme="minorHAnsi" w:cs="Arial"/>
          <w:noProof w:val="0"/>
          <w:sz w:val="20"/>
          <w:szCs w:val="20"/>
        </w:rPr>
        <w:t>Norec</w:t>
      </w:r>
      <w:proofErr w:type="spellEnd"/>
      <w:r w:rsidRPr="007A15F4">
        <w:rPr>
          <w:rStyle w:val="A5"/>
          <w:rFonts w:eastAsiaTheme="minorHAnsi" w:cs="Arial"/>
          <w:noProof w:val="0"/>
          <w:sz w:val="20"/>
          <w:szCs w:val="20"/>
        </w:rPr>
        <w:t xml:space="preserve"> is an executive body under the Norwegian Ministry of Foreign Affairs. </w:t>
      </w:r>
      <w:r w:rsidRPr="007A15F4">
        <w:rPr>
          <w:rStyle w:val="A5"/>
          <w:rFonts w:cs="Arial"/>
          <w:noProof w:val="0"/>
          <w:sz w:val="20"/>
          <w:szCs w:val="20"/>
        </w:rPr>
        <w:t>They aim to</w:t>
      </w:r>
      <w:r w:rsidRPr="007A15F4">
        <w:rPr>
          <w:rStyle w:val="A5"/>
          <w:rFonts w:eastAsiaTheme="minorHAnsi" w:cs="Arial"/>
          <w:noProof w:val="0"/>
          <w:sz w:val="20"/>
          <w:szCs w:val="20"/>
        </w:rPr>
        <w:t xml:space="preserve"> </w:t>
      </w:r>
      <w:r w:rsidRPr="007A15F4">
        <w:rPr>
          <w:rStyle w:val="A5"/>
          <w:rFonts w:cs="Arial"/>
          <w:noProof w:val="0"/>
          <w:sz w:val="20"/>
          <w:szCs w:val="20"/>
        </w:rPr>
        <w:t>support the a</w:t>
      </w:r>
      <w:r w:rsidRPr="007A15F4">
        <w:rPr>
          <w:rStyle w:val="A5"/>
          <w:rFonts w:eastAsiaTheme="minorHAnsi" w:cs="Arial"/>
          <w:noProof w:val="0"/>
          <w:sz w:val="20"/>
          <w:szCs w:val="20"/>
        </w:rPr>
        <w:t>chieve</w:t>
      </w:r>
      <w:r w:rsidRPr="007A15F4">
        <w:rPr>
          <w:rStyle w:val="A5"/>
          <w:rFonts w:cs="Arial"/>
          <w:noProof w:val="0"/>
          <w:sz w:val="20"/>
          <w:szCs w:val="20"/>
        </w:rPr>
        <w:t>ment of</w:t>
      </w:r>
      <w:r w:rsidRPr="007A15F4">
        <w:rPr>
          <w:rStyle w:val="A5"/>
          <w:rFonts w:eastAsiaTheme="minorHAnsi" w:cs="Arial"/>
          <w:noProof w:val="0"/>
          <w:sz w:val="20"/>
          <w:szCs w:val="20"/>
        </w:rPr>
        <w:t xml:space="preserve"> the </w:t>
      </w:r>
      <w:hyperlink r:id="rId16" w:history="1">
        <w:r w:rsidRPr="007A15F4">
          <w:rPr>
            <w:rStyle w:val="A5"/>
            <w:rFonts w:eastAsiaTheme="minorHAnsi" w:cs="Arial"/>
            <w:noProof w:val="0"/>
            <w:sz w:val="20"/>
            <w:szCs w:val="20"/>
          </w:rPr>
          <w:t>overarching goals of Norw</w:t>
        </w:r>
        <w:r w:rsidRPr="007A15F4">
          <w:rPr>
            <w:rStyle w:val="A5"/>
            <w:rFonts w:cs="Arial"/>
            <w:noProof w:val="0"/>
            <w:sz w:val="20"/>
            <w:szCs w:val="20"/>
          </w:rPr>
          <w:t>ay’s</w:t>
        </w:r>
        <w:r w:rsidRPr="007A15F4">
          <w:rPr>
            <w:rStyle w:val="A5"/>
            <w:rFonts w:eastAsiaTheme="minorHAnsi" w:cs="Arial"/>
            <w:noProof w:val="0"/>
            <w:sz w:val="20"/>
            <w:szCs w:val="20"/>
          </w:rPr>
          <w:t xml:space="preserve"> development policy</w:t>
        </w:r>
      </w:hyperlink>
      <w:r w:rsidRPr="007A15F4">
        <w:rPr>
          <w:rStyle w:val="A5"/>
          <w:rFonts w:cs="Arial"/>
          <w:noProof w:val="0"/>
          <w:sz w:val="20"/>
          <w:szCs w:val="20"/>
        </w:rPr>
        <w:t>. This is done through</w:t>
      </w:r>
      <w:r w:rsidRPr="007A15F4">
        <w:rPr>
          <w:rStyle w:val="A5"/>
          <w:rFonts w:cs="Arial"/>
          <w:b/>
          <w:bCs/>
          <w:noProof w:val="0"/>
          <w:sz w:val="20"/>
          <w:szCs w:val="20"/>
        </w:rPr>
        <w:t xml:space="preserve"> facilitating reciprocal exchange of employees and volunteers</w:t>
      </w:r>
      <w:r w:rsidRPr="007A15F4">
        <w:rPr>
          <w:rStyle w:val="A5"/>
          <w:rFonts w:cs="Arial"/>
          <w:noProof w:val="0"/>
          <w:sz w:val="20"/>
          <w:szCs w:val="20"/>
        </w:rPr>
        <w:t xml:space="preserve"> with international partners across multiple sectors </w:t>
      </w:r>
      <w:r w:rsidR="004B5E84" w:rsidRPr="007A15F4">
        <w:rPr>
          <w:rStyle w:val="A5"/>
          <w:rFonts w:cs="Arial"/>
          <w:noProof w:val="0"/>
          <w:sz w:val="20"/>
          <w:szCs w:val="20"/>
        </w:rPr>
        <w:t xml:space="preserve">including </w:t>
      </w:r>
      <w:r w:rsidRPr="007A15F4">
        <w:rPr>
          <w:rStyle w:val="A5"/>
          <w:rFonts w:cs="Arial"/>
          <w:noProof w:val="0"/>
          <w:sz w:val="20"/>
          <w:szCs w:val="20"/>
        </w:rPr>
        <w:t xml:space="preserve">government, civil society, and the private sector. This model of exchange (as opposed to only sending individual experts from Norway) was launched in 2001 and is now integral to how the program contributes to the Sustainable Development Goals. A key component of the model is that the exchange is driven and managed by the partners themselves, while </w:t>
      </w:r>
      <w:proofErr w:type="spellStart"/>
      <w:r w:rsidRPr="007A15F4">
        <w:rPr>
          <w:rStyle w:val="A5"/>
          <w:rFonts w:cs="Arial"/>
          <w:noProof w:val="0"/>
          <w:sz w:val="20"/>
          <w:szCs w:val="20"/>
        </w:rPr>
        <w:t>Norec</w:t>
      </w:r>
      <w:proofErr w:type="spellEnd"/>
      <w:r w:rsidRPr="007A15F4">
        <w:rPr>
          <w:rStyle w:val="A5"/>
          <w:rFonts w:cs="Arial"/>
          <w:noProof w:val="0"/>
          <w:sz w:val="20"/>
          <w:szCs w:val="20"/>
        </w:rPr>
        <w:t xml:space="preserve"> facilitates the process. In 2018, </w:t>
      </w:r>
      <w:proofErr w:type="spellStart"/>
      <w:r w:rsidRPr="007A15F4">
        <w:rPr>
          <w:rStyle w:val="A5"/>
          <w:rFonts w:cs="Arial"/>
          <w:noProof w:val="0"/>
          <w:sz w:val="20"/>
          <w:szCs w:val="20"/>
        </w:rPr>
        <w:t>Norec</w:t>
      </w:r>
      <w:proofErr w:type="spellEnd"/>
      <w:r w:rsidRPr="007A15F4">
        <w:rPr>
          <w:rStyle w:val="A5"/>
          <w:rFonts w:cs="Arial"/>
          <w:noProof w:val="0"/>
          <w:sz w:val="20"/>
          <w:szCs w:val="20"/>
        </w:rPr>
        <w:t xml:space="preserve"> facilitated the exchange of more than 600 participants between partner organisations in Norway and across 25 countries in Africa, </w:t>
      </w:r>
      <w:r w:rsidR="00FA6D7D" w:rsidRPr="007A15F4">
        <w:rPr>
          <w:rStyle w:val="A5"/>
          <w:rFonts w:cs="Arial"/>
          <w:noProof w:val="0"/>
          <w:sz w:val="20"/>
          <w:szCs w:val="20"/>
        </w:rPr>
        <w:t>Asia,</w:t>
      </w:r>
      <w:r w:rsidRPr="007A15F4">
        <w:rPr>
          <w:rStyle w:val="A5"/>
          <w:rFonts w:cs="Arial"/>
          <w:noProof w:val="0"/>
          <w:sz w:val="20"/>
          <w:szCs w:val="20"/>
        </w:rPr>
        <w:t xml:space="preserve"> and Latin-America. All projects supported by </w:t>
      </w:r>
      <w:proofErr w:type="spellStart"/>
      <w:r w:rsidRPr="007A15F4">
        <w:rPr>
          <w:rStyle w:val="A5"/>
          <w:rFonts w:cs="Arial"/>
          <w:noProof w:val="0"/>
          <w:sz w:val="20"/>
          <w:szCs w:val="20"/>
        </w:rPr>
        <w:t>Norec</w:t>
      </w:r>
      <w:proofErr w:type="spellEnd"/>
      <w:r w:rsidRPr="007A15F4">
        <w:rPr>
          <w:rStyle w:val="A5"/>
          <w:rFonts w:cs="Arial"/>
          <w:noProof w:val="0"/>
          <w:sz w:val="20"/>
          <w:szCs w:val="20"/>
        </w:rPr>
        <w:t xml:space="preserve"> are initiated and established locally by the organisations involved. </w:t>
      </w:r>
    </w:p>
    <w:p w14:paraId="459110B4" w14:textId="48381A94" w:rsidR="00597623" w:rsidRPr="007A15F4" w:rsidRDefault="00597623" w:rsidP="00597623">
      <w:pPr>
        <w:pStyle w:val="BodyText"/>
        <w:rPr>
          <w:rStyle w:val="A5"/>
          <w:rFonts w:cs="Arial"/>
          <w:noProof w:val="0"/>
          <w:sz w:val="20"/>
          <w:szCs w:val="20"/>
        </w:rPr>
      </w:pPr>
      <w:proofErr w:type="spellStart"/>
      <w:r w:rsidRPr="007A15F4">
        <w:rPr>
          <w:rStyle w:val="A5"/>
          <w:rFonts w:cs="Arial"/>
          <w:noProof w:val="0"/>
          <w:sz w:val="20"/>
          <w:szCs w:val="20"/>
        </w:rPr>
        <w:t>Norec</w:t>
      </w:r>
      <w:proofErr w:type="spellEnd"/>
      <w:r w:rsidRPr="007A15F4">
        <w:rPr>
          <w:rStyle w:val="A5"/>
          <w:rFonts w:cs="Arial"/>
          <w:noProof w:val="0"/>
          <w:sz w:val="20"/>
          <w:szCs w:val="20"/>
        </w:rPr>
        <w:t xml:space="preserve"> uses a </w:t>
      </w:r>
      <w:r w:rsidRPr="007A15F4">
        <w:rPr>
          <w:rStyle w:val="A5"/>
          <w:rFonts w:cs="Arial"/>
          <w:b/>
          <w:bCs/>
          <w:noProof w:val="0"/>
          <w:sz w:val="20"/>
          <w:szCs w:val="20"/>
        </w:rPr>
        <w:t>mixture of approaches</w:t>
      </w:r>
      <w:r w:rsidRPr="007A15F4">
        <w:rPr>
          <w:rStyle w:val="A5"/>
          <w:rFonts w:cs="Arial"/>
          <w:noProof w:val="0"/>
          <w:sz w:val="20"/>
          <w:szCs w:val="20"/>
        </w:rPr>
        <w:t xml:space="preserve"> to facilitate their program, including North-South/South-North exchanges and South-South exchanges. South-South exchanges comprise more than 50</w:t>
      </w:r>
      <w:r w:rsidR="00EA310B" w:rsidRPr="007A15F4">
        <w:rPr>
          <w:rStyle w:val="A5"/>
          <w:rFonts w:cs="Arial"/>
          <w:noProof w:val="0"/>
          <w:sz w:val="20"/>
          <w:szCs w:val="20"/>
        </w:rPr>
        <w:t>%</w:t>
      </w:r>
      <w:r w:rsidRPr="007A15F4">
        <w:rPr>
          <w:rStyle w:val="A5"/>
          <w:rFonts w:cs="Arial"/>
          <w:noProof w:val="0"/>
          <w:sz w:val="20"/>
          <w:szCs w:val="20"/>
        </w:rPr>
        <w:t xml:space="preserve"> of </w:t>
      </w:r>
      <w:proofErr w:type="spellStart"/>
      <w:r w:rsidRPr="007A15F4">
        <w:rPr>
          <w:rStyle w:val="A5"/>
          <w:rFonts w:cs="Arial"/>
          <w:noProof w:val="0"/>
          <w:sz w:val="20"/>
          <w:szCs w:val="20"/>
        </w:rPr>
        <w:t>Norec's</w:t>
      </w:r>
      <w:proofErr w:type="spellEnd"/>
      <w:r w:rsidRPr="007A15F4">
        <w:rPr>
          <w:rStyle w:val="A5"/>
          <w:rFonts w:cs="Arial"/>
          <w:noProof w:val="0"/>
          <w:sz w:val="20"/>
          <w:szCs w:val="20"/>
        </w:rPr>
        <w:t xml:space="preserve"> program. Reciprocal exchange </w:t>
      </w:r>
      <w:r w:rsidR="00FA6D7D" w:rsidRPr="007A15F4">
        <w:rPr>
          <w:rStyle w:val="A5"/>
          <w:rFonts w:cs="Arial"/>
          <w:noProof w:val="0"/>
          <w:sz w:val="20"/>
          <w:szCs w:val="20"/>
        </w:rPr>
        <w:t>constitutes</w:t>
      </w:r>
      <w:r w:rsidRPr="007A15F4">
        <w:rPr>
          <w:rStyle w:val="A5"/>
          <w:rFonts w:cs="Arial"/>
          <w:noProof w:val="0"/>
          <w:sz w:val="20"/>
          <w:szCs w:val="20"/>
        </w:rPr>
        <w:t xml:space="preserve"> the foundation of the program, where each partner sends one or more participants each way for the purpose of mutual learning.</w:t>
      </w:r>
      <w:r w:rsidRPr="007A15F4">
        <w:rPr>
          <w:rStyle w:val="FootnoteReference"/>
          <w:rFonts w:cs="Arial"/>
          <w:noProof w:val="0"/>
          <w:color w:val="000000"/>
        </w:rPr>
        <w:footnoteReference w:id="38"/>
      </w:r>
    </w:p>
    <w:p w14:paraId="693AA493" w14:textId="77777777" w:rsidR="00597623" w:rsidRPr="007A15F4" w:rsidRDefault="00597623" w:rsidP="00597623">
      <w:pPr>
        <w:pStyle w:val="BodyText"/>
        <w:rPr>
          <w:rStyle w:val="A5"/>
          <w:rFonts w:cs="Arial"/>
          <w:noProof w:val="0"/>
          <w:sz w:val="20"/>
          <w:szCs w:val="20"/>
        </w:rPr>
      </w:pPr>
      <w:r w:rsidRPr="007A15F4">
        <w:rPr>
          <w:rStyle w:val="A5"/>
          <w:rFonts w:cs="Arial"/>
          <w:noProof w:val="0"/>
          <w:sz w:val="20"/>
          <w:szCs w:val="20"/>
        </w:rPr>
        <w:t xml:space="preserve">The program </w:t>
      </w:r>
      <w:r w:rsidRPr="007A15F4">
        <w:rPr>
          <w:rStyle w:val="A5"/>
          <w:rFonts w:cs="Arial"/>
          <w:b/>
          <w:noProof w:val="0"/>
          <w:sz w:val="20"/>
          <w:szCs w:val="20"/>
        </w:rPr>
        <w:t>does not operate with a cost per participant measure</w:t>
      </w:r>
      <w:r w:rsidRPr="007A15F4">
        <w:rPr>
          <w:rStyle w:val="A5"/>
          <w:rFonts w:cs="Arial"/>
          <w:noProof w:val="0"/>
          <w:sz w:val="20"/>
          <w:szCs w:val="20"/>
        </w:rPr>
        <w:t xml:space="preserve"> but instead looks at the impacts and ability of the design to reach intended goals. </w:t>
      </w:r>
      <w:proofErr w:type="spellStart"/>
      <w:r w:rsidRPr="007A15F4">
        <w:rPr>
          <w:rStyle w:val="A5"/>
          <w:rFonts w:cs="Arial"/>
          <w:noProof w:val="0"/>
          <w:sz w:val="20"/>
          <w:szCs w:val="20"/>
        </w:rPr>
        <w:t>Norec</w:t>
      </w:r>
      <w:proofErr w:type="spellEnd"/>
      <w:r w:rsidRPr="007A15F4">
        <w:rPr>
          <w:rStyle w:val="A5"/>
          <w:rFonts w:cs="Arial"/>
          <w:noProof w:val="0"/>
          <w:sz w:val="20"/>
          <w:szCs w:val="20"/>
        </w:rPr>
        <w:t xml:space="preserve"> said it would be possible to use the overall financial cost of the program and divide it by participants however this would be a crude measure.</w:t>
      </w:r>
      <w:r w:rsidRPr="007A15F4">
        <w:rPr>
          <w:rStyle w:val="FootnoteReference"/>
          <w:rFonts w:cs="Arial"/>
          <w:noProof w:val="0"/>
          <w:color w:val="000000"/>
        </w:rPr>
        <w:footnoteReference w:id="39"/>
      </w:r>
      <w:r w:rsidRPr="007A15F4">
        <w:rPr>
          <w:rStyle w:val="A5"/>
          <w:rFonts w:cs="Arial"/>
          <w:noProof w:val="0"/>
          <w:sz w:val="20"/>
          <w:szCs w:val="20"/>
        </w:rPr>
        <w:t xml:space="preserve"> </w:t>
      </w:r>
    </w:p>
    <w:p w14:paraId="782D45DB" w14:textId="4D15C99B" w:rsidR="006C7AB0" w:rsidRPr="007A15F4" w:rsidRDefault="00597623" w:rsidP="00CA57E7">
      <w:pPr>
        <w:rPr>
          <w:rFonts w:eastAsiaTheme="majorEastAsia"/>
          <w:color w:val="2A4055" w:themeColor="accent1" w:themeShade="7F"/>
          <w:lang w:val="en-AU"/>
        </w:rPr>
      </w:pPr>
      <w:r w:rsidRPr="007A15F4">
        <w:rPr>
          <w:rStyle w:val="A5"/>
          <w:rFonts w:cs="Arial"/>
          <w:sz w:val="20"/>
          <w:szCs w:val="20"/>
          <w:lang w:val="en-AU"/>
        </w:rPr>
        <w:t xml:space="preserve">The </w:t>
      </w:r>
      <w:r w:rsidR="00D65FC5" w:rsidRPr="007A15F4">
        <w:rPr>
          <w:rStyle w:val="A5"/>
          <w:rFonts w:cs="Arial"/>
          <w:sz w:val="20"/>
          <w:szCs w:val="20"/>
          <w:lang w:val="en-AU"/>
        </w:rPr>
        <w:t>focus</w:t>
      </w:r>
      <w:r w:rsidRPr="007A15F4">
        <w:rPr>
          <w:rStyle w:val="A5"/>
          <w:rFonts w:cs="Arial"/>
          <w:sz w:val="20"/>
          <w:szCs w:val="20"/>
          <w:lang w:val="en-AU"/>
        </w:rPr>
        <w:t xml:space="preserve"> of each assignment is cultural exchange. </w:t>
      </w:r>
      <w:r w:rsidR="00631EC8" w:rsidRPr="007A15F4">
        <w:rPr>
          <w:rStyle w:val="A5"/>
          <w:rFonts w:cs="Arial"/>
          <w:sz w:val="20"/>
          <w:szCs w:val="20"/>
          <w:lang w:val="en-AU"/>
        </w:rPr>
        <w:t>P</w:t>
      </w:r>
      <w:r w:rsidRPr="007A15F4">
        <w:rPr>
          <w:rStyle w:val="A5"/>
          <w:rFonts w:cs="Arial"/>
          <w:sz w:val="20"/>
          <w:szCs w:val="20"/>
          <w:lang w:val="en-AU"/>
        </w:rPr>
        <w:t>articipants in the North-South and South-North exchanges</w:t>
      </w:r>
      <w:r w:rsidRPr="007A15F4">
        <w:rPr>
          <w:rStyle w:val="A5"/>
          <w:rFonts w:cs="Arial"/>
          <w:b/>
          <w:bCs/>
          <w:sz w:val="20"/>
          <w:szCs w:val="20"/>
          <w:lang w:val="en-AU"/>
        </w:rPr>
        <w:t xml:space="preserve"> share Norwegian values and culture</w:t>
      </w:r>
      <w:r w:rsidRPr="007A15F4">
        <w:rPr>
          <w:rStyle w:val="A5"/>
          <w:rFonts w:cs="Arial"/>
          <w:sz w:val="20"/>
          <w:szCs w:val="20"/>
          <w:lang w:val="en-AU"/>
        </w:rPr>
        <w:t xml:space="preserve"> through the cultural exchange. In the South-South exchanges, exposure to Norwegian values and culture is limited. Cultural exchanges enhance </w:t>
      </w:r>
      <w:r w:rsidRPr="007A15F4">
        <w:rPr>
          <w:rStyle w:val="A5"/>
          <w:rFonts w:cs="Arial"/>
          <w:b/>
          <w:bCs/>
          <w:sz w:val="20"/>
          <w:szCs w:val="20"/>
          <w:lang w:val="en-AU"/>
        </w:rPr>
        <w:t>people-to-people links</w:t>
      </w:r>
      <w:r w:rsidRPr="007A15F4">
        <w:rPr>
          <w:rStyle w:val="A5"/>
          <w:rFonts w:cs="Arial"/>
          <w:bCs/>
          <w:sz w:val="20"/>
          <w:szCs w:val="20"/>
          <w:lang w:val="en-AU"/>
        </w:rPr>
        <w:t xml:space="preserve">, which is </w:t>
      </w:r>
      <w:r w:rsidRPr="007A15F4">
        <w:rPr>
          <w:rStyle w:val="A5"/>
          <w:rFonts w:cs="Arial"/>
          <w:sz w:val="20"/>
          <w:szCs w:val="20"/>
          <w:lang w:val="en-AU"/>
        </w:rPr>
        <w:t>especially the case when most participants are youth. Their participation in the program tends to be a life shaping experience which fosters strong bonds and affiliations with a second country and tends to result in participants having a global citizen mindset.</w:t>
      </w:r>
      <w:r w:rsidRPr="007A15F4">
        <w:rPr>
          <w:rStyle w:val="FootnoteReference"/>
          <w:rFonts w:cs="Arial"/>
          <w:color w:val="000000"/>
          <w:szCs w:val="20"/>
          <w:lang w:val="en-AU"/>
        </w:rPr>
        <w:footnoteReference w:id="40"/>
      </w:r>
      <w:r w:rsidRPr="007A15F4">
        <w:rPr>
          <w:rStyle w:val="A5"/>
          <w:rFonts w:cs="Arial"/>
          <w:sz w:val="20"/>
          <w:szCs w:val="20"/>
          <w:lang w:val="en-AU"/>
        </w:rPr>
        <w:t xml:space="preserve"> The program is set up to facilitate two-way information exchange and mutual learning</w:t>
      </w:r>
      <w:r w:rsidR="00DD6265" w:rsidRPr="007A15F4">
        <w:rPr>
          <w:rStyle w:val="A5"/>
          <w:rFonts w:cs="Arial"/>
          <w:sz w:val="20"/>
          <w:szCs w:val="20"/>
          <w:lang w:val="en-AU"/>
        </w:rPr>
        <w:t>,</w:t>
      </w:r>
      <w:r w:rsidRPr="007A15F4">
        <w:rPr>
          <w:rStyle w:val="A5"/>
          <w:rFonts w:cs="Arial"/>
          <w:sz w:val="20"/>
          <w:szCs w:val="20"/>
          <w:lang w:val="en-AU"/>
        </w:rPr>
        <w:t xml:space="preserve"> and challenge the perception that learning only goes from North to South.</w:t>
      </w:r>
      <w:r w:rsidR="006C7AB0" w:rsidRPr="007A15F4">
        <w:rPr>
          <w:lang w:val="en-AU"/>
        </w:rPr>
        <w:br w:type="page"/>
      </w:r>
    </w:p>
    <w:p w14:paraId="7BDDD977" w14:textId="77777777" w:rsidR="006C7AB0" w:rsidRPr="007A15F4" w:rsidRDefault="006C7AB0" w:rsidP="006C7AB0">
      <w:pPr>
        <w:pStyle w:val="Heading1"/>
        <w:rPr>
          <w:lang w:val="en-AU"/>
        </w:rPr>
      </w:pPr>
      <w:bookmarkStart w:id="43" w:name="_Toc61356286"/>
      <w:bookmarkStart w:id="44" w:name="_Toc70068211"/>
      <w:bookmarkEnd w:id="37"/>
      <w:r w:rsidRPr="007A15F4">
        <w:rPr>
          <w:lang w:val="en-AU"/>
        </w:rPr>
        <w:lastRenderedPageBreak/>
        <w:t>Changes in 2020: Adapting to COVID-19</w:t>
      </w:r>
      <w:bookmarkEnd w:id="43"/>
      <w:bookmarkEnd w:id="44"/>
    </w:p>
    <w:p w14:paraId="08ECB4A0" w14:textId="57E42ECD" w:rsidR="006C7AB0" w:rsidRPr="007A15F4" w:rsidRDefault="006C7AB0" w:rsidP="006C7AB0">
      <w:pPr>
        <w:pStyle w:val="BodyText"/>
        <w:rPr>
          <w:noProof w:val="0"/>
        </w:rPr>
      </w:pPr>
      <w:r w:rsidRPr="007A15F4">
        <w:rPr>
          <w:noProof w:val="0"/>
        </w:rPr>
        <w:t xml:space="preserve">As a result of the COVID-19 pandemic, all donors interviewed said they have made huge modifications to their volunteer programs. Most notably, volunteers have been </w:t>
      </w:r>
      <w:r w:rsidRPr="007A15F4">
        <w:rPr>
          <w:b/>
          <w:noProof w:val="0"/>
        </w:rPr>
        <w:t>repatriated</w:t>
      </w:r>
      <w:r w:rsidRPr="007A15F4">
        <w:rPr>
          <w:noProof w:val="0"/>
        </w:rPr>
        <w:t xml:space="preserve"> to their home countries and new volunteer deployments have been </w:t>
      </w:r>
      <w:r w:rsidRPr="007A15F4">
        <w:rPr>
          <w:b/>
          <w:noProof w:val="0"/>
        </w:rPr>
        <w:t>put on hold indefinitely</w:t>
      </w:r>
      <w:r w:rsidRPr="007A15F4">
        <w:rPr>
          <w:noProof w:val="0"/>
        </w:rPr>
        <w:t xml:space="preserve">. </w:t>
      </w:r>
      <w:r w:rsidR="00062AAA" w:rsidRPr="007A15F4">
        <w:rPr>
          <w:noProof w:val="0"/>
        </w:rPr>
        <w:t xml:space="preserve">Remote </w:t>
      </w:r>
      <w:r w:rsidRPr="007A15F4">
        <w:rPr>
          <w:noProof w:val="0"/>
        </w:rPr>
        <w:t>volunteering (</w:t>
      </w:r>
      <w:r w:rsidR="00062AAA" w:rsidRPr="007A15F4">
        <w:rPr>
          <w:noProof w:val="0"/>
        </w:rPr>
        <w:t xml:space="preserve">sometimes referred to as </w:t>
      </w:r>
      <w:r w:rsidRPr="007A15F4">
        <w:rPr>
          <w:noProof w:val="0"/>
        </w:rPr>
        <w:t>e</w:t>
      </w:r>
      <w:r w:rsidR="00062AAA" w:rsidRPr="007A15F4">
        <w:rPr>
          <w:noProof w:val="0"/>
        </w:rPr>
        <w:t>-</w:t>
      </w:r>
      <w:r w:rsidRPr="007A15F4">
        <w:rPr>
          <w:noProof w:val="0"/>
        </w:rPr>
        <w:t xml:space="preserve">volunteering) emerged as another prominent theme. Most programs have enhanced the opportunities for full time, </w:t>
      </w:r>
      <w:r w:rsidRPr="007A15F4">
        <w:rPr>
          <w:b/>
          <w:noProof w:val="0"/>
        </w:rPr>
        <w:t>remote volunteering</w:t>
      </w:r>
      <w:r w:rsidRPr="007A15F4">
        <w:rPr>
          <w:noProof w:val="0"/>
        </w:rPr>
        <w:t xml:space="preserve"> and some donors are considering how this model can be continued and potentially expanded in a post COVID-19 setting. All donors acknowledged the value in face-to-face volunteering as a core aspect of relationship building and people-to-people links.</w:t>
      </w:r>
      <w:r w:rsidR="008729DF" w:rsidRPr="007A15F4">
        <w:rPr>
          <w:noProof w:val="0"/>
        </w:rPr>
        <w:t xml:space="preserve"> </w:t>
      </w:r>
    </w:p>
    <w:p w14:paraId="7BDA247B" w14:textId="4E2B08A5" w:rsidR="006C7AB0" w:rsidRPr="007A15F4" w:rsidRDefault="006C7AB0" w:rsidP="006C7AB0">
      <w:pPr>
        <w:pStyle w:val="BodyText"/>
        <w:rPr>
          <w:noProof w:val="0"/>
        </w:rPr>
      </w:pPr>
      <w:r>
        <w:rPr>
          <w:noProof w:val="0"/>
        </w:rPr>
        <w:t>Another theme emerging from the interviews was that programs that use a suite of models did not experience the same level of ‘shut-down’ during the pandemic as those who implement a traditional North-South volunteering approach. Some suggested that alternate models of volunteering, for example South-North, South-South, or local volunteering</w:t>
      </w:r>
      <w:r w:rsidR="00BB348D">
        <w:rPr>
          <w:noProof w:val="0"/>
        </w:rPr>
        <w:t>,</w:t>
      </w:r>
      <w:r>
        <w:rPr>
          <w:noProof w:val="0"/>
        </w:rPr>
        <w:t xml:space="preserve"> demonstrate a commitment to the </w:t>
      </w:r>
      <w:r w:rsidRPr="093618CD">
        <w:rPr>
          <w:b/>
          <w:bCs/>
          <w:noProof w:val="0"/>
        </w:rPr>
        <w:t>localisation agenda</w:t>
      </w:r>
      <w:r>
        <w:rPr>
          <w:noProof w:val="0"/>
        </w:rPr>
        <w:t xml:space="preserve"> and a more sustainable and locally</w:t>
      </w:r>
      <w:r w:rsidR="00417291">
        <w:rPr>
          <w:noProof w:val="0"/>
        </w:rPr>
        <w:t xml:space="preserve"> </w:t>
      </w:r>
      <w:r>
        <w:rPr>
          <w:noProof w:val="0"/>
        </w:rPr>
        <w:t xml:space="preserve">led approach to programming. </w:t>
      </w:r>
      <w:r w:rsidR="003B367C">
        <w:rPr>
          <w:noProof w:val="0"/>
        </w:rPr>
        <w:t xml:space="preserve">However recent research from FORUM suggests that there hasn’t always been an equal </w:t>
      </w:r>
      <w:r w:rsidR="00D54222">
        <w:rPr>
          <w:noProof w:val="0"/>
        </w:rPr>
        <w:t>commitment</w:t>
      </w:r>
      <w:r w:rsidR="003B367C">
        <w:rPr>
          <w:noProof w:val="0"/>
        </w:rPr>
        <w:t xml:space="preserve"> of care and support for volunteers participating in </w:t>
      </w:r>
      <w:r w:rsidR="00D54222">
        <w:rPr>
          <w:noProof w:val="0"/>
        </w:rPr>
        <w:t>South-South programs, for example willingness to repatriate them during the COVID-19 pandemic.</w:t>
      </w:r>
      <w:r w:rsidR="00D54222">
        <w:rPr>
          <w:rStyle w:val="FootnoteReference"/>
          <w:noProof w:val="0"/>
        </w:rPr>
        <w:footnoteReference w:id="41"/>
      </w:r>
      <w:r w:rsidR="00D54222">
        <w:rPr>
          <w:noProof w:val="0"/>
        </w:rPr>
        <w:t xml:space="preserve"> </w:t>
      </w:r>
    </w:p>
    <w:p w14:paraId="12EDAE85" w14:textId="77777777" w:rsidR="002D079E" w:rsidRPr="007A15F4" w:rsidRDefault="002D079E" w:rsidP="00CA57E7">
      <w:pPr>
        <w:pStyle w:val="Heading2"/>
        <w:rPr>
          <w:rStyle w:val="Heading5Char"/>
          <w:rFonts w:eastAsiaTheme="minorEastAsia" w:cstheme="minorBidi"/>
          <w:color w:val="003478"/>
          <w:sz w:val="32"/>
          <w:lang w:val="en-AU"/>
        </w:rPr>
      </w:pPr>
      <w:bookmarkStart w:id="45" w:name="_Toc62029819"/>
      <w:bookmarkStart w:id="46" w:name="_Toc70068212"/>
      <w:r w:rsidRPr="007A15F4">
        <w:rPr>
          <w:rStyle w:val="Heading5Char"/>
          <w:rFonts w:eastAsiaTheme="minorEastAsia" w:cstheme="minorBidi"/>
          <w:color w:val="003478"/>
          <w:sz w:val="32"/>
          <w:lang w:val="en-AU"/>
        </w:rPr>
        <w:t>New Zealand COVID-19 Response</w:t>
      </w:r>
      <w:bookmarkEnd w:id="45"/>
      <w:bookmarkEnd w:id="46"/>
    </w:p>
    <w:p w14:paraId="6B7C70FA" w14:textId="0E65FBDC" w:rsidR="00597623" w:rsidRPr="007A15F4" w:rsidRDefault="00597623" w:rsidP="00597623">
      <w:pPr>
        <w:pStyle w:val="BodyText"/>
        <w:rPr>
          <w:noProof w:val="0"/>
        </w:rPr>
      </w:pPr>
      <w:r w:rsidRPr="007A15F4">
        <w:rPr>
          <w:noProof w:val="0"/>
        </w:rPr>
        <w:t>The deployment of volunteers is temporarily on hold due to COVID-19 restrictions. All volunteers in country were repatriated to New Zealand in March 2020 due to the risks of the pandemic and impending border closures. Some repatriated volunteers have continue</w:t>
      </w:r>
      <w:r w:rsidR="006B0746" w:rsidRPr="007A15F4">
        <w:rPr>
          <w:noProof w:val="0"/>
        </w:rPr>
        <w:t>d</w:t>
      </w:r>
      <w:r w:rsidRPr="007A15F4">
        <w:rPr>
          <w:noProof w:val="0"/>
        </w:rPr>
        <w:t xml:space="preserve"> aspects of their assignments remotely from New Zealand. The e-volunteering component of the program, which has been part of the program since 2013, has now expanded due to COVID-19. </w:t>
      </w:r>
      <w:r w:rsidR="00FA6D7D" w:rsidRPr="007A15F4">
        <w:rPr>
          <w:noProof w:val="0"/>
        </w:rPr>
        <w:t>However,</w:t>
      </w:r>
      <w:r w:rsidRPr="007A15F4">
        <w:rPr>
          <w:noProof w:val="0"/>
        </w:rPr>
        <w:t xml:space="preserve"> this still relies on an established relationship with the partner organisation. Volunteers are continuing to be recruited and added to a ‘talent pool’ of prospective volunteers that will be deployed when possible. However given the uncertainty of the future, the program is not expecting an immediate return to the number of volunteers sent prior to the pandemic and is looking into innovative ways to continue to build people-to-people links and work with Pacific and Timor</w:t>
      </w:r>
      <w:r w:rsidR="006858F3" w:rsidRPr="007A15F4">
        <w:rPr>
          <w:noProof w:val="0"/>
        </w:rPr>
        <w:t>-</w:t>
      </w:r>
      <w:r w:rsidRPr="007A15F4">
        <w:rPr>
          <w:noProof w:val="0"/>
        </w:rPr>
        <w:t xml:space="preserve">Leste communities. </w:t>
      </w:r>
    </w:p>
    <w:p w14:paraId="120DADC9" w14:textId="3194F8A9" w:rsidR="006C7AB0" w:rsidRPr="007A15F4" w:rsidRDefault="006C7AB0" w:rsidP="00CA57E7">
      <w:pPr>
        <w:pStyle w:val="Heading2"/>
        <w:rPr>
          <w:lang w:val="en-AU"/>
        </w:rPr>
      </w:pPr>
      <w:bookmarkStart w:id="47" w:name="_Toc70068213"/>
      <w:r w:rsidRPr="007A15F4">
        <w:rPr>
          <w:rStyle w:val="Heading5Char"/>
          <w:rFonts w:eastAsiaTheme="minorEastAsia" w:cstheme="minorBidi"/>
          <w:color w:val="003478"/>
          <w:sz w:val="32"/>
          <w:lang w:val="en-AU"/>
        </w:rPr>
        <w:t>Canada COVID-19 Response</w:t>
      </w:r>
      <w:bookmarkEnd w:id="47"/>
    </w:p>
    <w:p w14:paraId="2E0C3A7E" w14:textId="3FF27FF7" w:rsidR="00597623" w:rsidRDefault="00597623" w:rsidP="00597623">
      <w:pPr>
        <w:pStyle w:val="BodyText"/>
        <w:rPr>
          <w:noProof w:val="0"/>
        </w:rPr>
      </w:pPr>
      <w:r w:rsidRPr="007A15F4">
        <w:rPr>
          <w:noProof w:val="0"/>
        </w:rPr>
        <w:t>Having recently undergone a new design, the decision was made to continue the program but to do so more flexibly. The pandemic resulted in repatriating Canadian volunteers and pausing the deployment of new Canadian volunteers. The pandemic created some unexpected opportunities to operationalise the localisation agenda. For example, the target of 90</w:t>
      </w:r>
      <w:r w:rsidR="00EA310B" w:rsidRPr="007A15F4">
        <w:rPr>
          <w:noProof w:val="0"/>
        </w:rPr>
        <w:t>%</w:t>
      </w:r>
      <w:r w:rsidRPr="007A15F4">
        <w:rPr>
          <w:noProof w:val="0"/>
        </w:rPr>
        <w:t xml:space="preserve"> North-South volunteers has been relaxed, there is an increase in e-volunteering taking place, South-South volunteering, and even local volunteering (which is not a part of the current program design) is continuing. Further, thematic funds are being used more flexibly to support local organisations. The program expects to learn lessons from these adaptations however the intention is that these are temporary measures and once international travel can resume, the program will continue under the current design.</w:t>
      </w:r>
      <w:r w:rsidR="008729DF" w:rsidRPr="007A15F4">
        <w:rPr>
          <w:noProof w:val="0"/>
        </w:rPr>
        <w:t xml:space="preserve"> </w:t>
      </w:r>
    </w:p>
    <w:p w14:paraId="55240823" w14:textId="77777777" w:rsidR="00AB0B38" w:rsidRPr="007A15F4" w:rsidRDefault="00AB0B38" w:rsidP="00597623">
      <w:pPr>
        <w:pStyle w:val="BodyText"/>
        <w:rPr>
          <w:noProof w:val="0"/>
        </w:rPr>
      </w:pPr>
    </w:p>
    <w:p w14:paraId="030F09A7" w14:textId="77777777" w:rsidR="006C7AB0" w:rsidRPr="007A15F4" w:rsidRDefault="006C7AB0" w:rsidP="00CA57E7">
      <w:pPr>
        <w:pStyle w:val="Heading2"/>
        <w:rPr>
          <w:rStyle w:val="Heading5Char"/>
          <w:rFonts w:eastAsiaTheme="minorEastAsia" w:cstheme="minorBidi"/>
          <w:color w:val="003478"/>
          <w:sz w:val="32"/>
          <w:lang w:val="en-AU"/>
        </w:rPr>
      </w:pPr>
      <w:bookmarkStart w:id="48" w:name="_Toc70068214"/>
      <w:r w:rsidRPr="007A15F4">
        <w:rPr>
          <w:rStyle w:val="Heading5Char"/>
          <w:rFonts w:eastAsiaTheme="minorEastAsia" w:cstheme="minorBidi"/>
          <w:color w:val="003478"/>
          <w:sz w:val="32"/>
          <w:lang w:val="en-AU"/>
        </w:rPr>
        <w:lastRenderedPageBreak/>
        <w:t>UK COVID-19 Response</w:t>
      </w:r>
      <w:bookmarkEnd w:id="48"/>
    </w:p>
    <w:p w14:paraId="20AE2CD9" w14:textId="6C189FD6" w:rsidR="00597623" w:rsidRPr="007A15F4" w:rsidRDefault="00597623" w:rsidP="093618CD">
      <w:pPr>
        <w:pStyle w:val="BodyText"/>
        <w:rPr>
          <w:b/>
          <w:bCs/>
          <w:noProof w:val="0"/>
        </w:rPr>
      </w:pPr>
      <w:r>
        <w:rPr>
          <w:noProof w:val="0"/>
        </w:rPr>
        <w:t>The ICS2 program is no longer operating overseas placements due to the pandemic. Between March 2020 and the closure of the current phase in Febru</w:t>
      </w:r>
      <w:r w:rsidR="001F45D0">
        <w:rPr>
          <w:noProof w:val="0"/>
        </w:rPr>
        <w:t>a</w:t>
      </w:r>
      <w:r>
        <w:rPr>
          <w:noProof w:val="0"/>
        </w:rPr>
        <w:t xml:space="preserve">ry 2020, it has instead empowered ICS volunteers and alumni from the UK and developing countries to help respond to COVID-19 in their home country. The V4D program has been able to continue some operations, for example through community and local volunteering, even in times of restricted movement. </w:t>
      </w:r>
      <w:r w:rsidRPr="093618CD">
        <w:rPr>
          <w:rFonts w:eastAsiaTheme="minorEastAsia" w:cs="Arial"/>
          <w:noProof w:val="0"/>
        </w:rPr>
        <w:t xml:space="preserve">Some international volunteers remained on placement through the pandemic, providing crucial support to vulnerable communities. </w:t>
      </w:r>
      <w:r>
        <w:rPr>
          <w:noProof w:val="0"/>
        </w:rPr>
        <w:t xml:space="preserve">This is seen as an unintended benefit of using a suite of volunteering methods. In responding to COVID-19, V4D has increased the contribution of these volunteers while others continue to work remotely, after having returned to their home country. Many former ICS volunteers are using skills developed on placement in developing countries to support the UK COVID-19 response, demonstrating the value of UK Aid. VSO is adapting their approach and developing innovative ways of remote and online volunteering due to the pandemic. </w:t>
      </w:r>
    </w:p>
    <w:p w14:paraId="0658D984" w14:textId="424F0ED2" w:rsidR="006C7AB0" w:rsidRPr="007A15F4" w:rsidRDefault="006C7AB0" w:rsidP="00CA57E7">
      <w:pPr>
        <w:pStyle w:val="Heading2"/>
        <w:rPr>
          <w:rStyle w:val="Heading5Char"/>
          <w:rFonts w:eastAsiaTheme="minorEastAsia" w:cstheme="minorBidi"/>
          <w:color w:val="003478"/>
          <w:sz w:val="32"/>
          <w:lang w:val="en-AU"/>
        </w:rPr>
      </w:pPr>
      <w:bookmarkStart w:id="49" w:name="_Toc70068215"/>
      <w:r w:rsidRPr="007A15F4">
        <w:rPr>
          <w:rStyle w:val="Heading5Char"/>
          <w:rFonts w:eastAsiaTheme="minorEastAsia" w:cstheme="minorBidi"/>
          <w:color w:val="003478"/>
          <w:sz w:val="32"/>
          <w:lang w:val="en-AU"/>
        </w:rPr>
        <w:t>Norway COVID-19 response</w:t>
      </w:r>
      <w:bookmarkEnd w:id="49"/>
    </w:p>
    <w:p w14:paraId="3A96AC0D" w14:textId="4A5CBF23" w:rsidR="00597623" w:rsidRPr="007A15F4" w:rsidRDefault="00597623" w:rsidP="00597623">
      <w:pPr>
        <w:pStyle w:val="BodyText"/>
        <w:rPr>
          <w:noProof w:val="0"/>
        </w:rPr>
      </w:pPr>
      <w:r>
        <w:rPr>
          <w:noProof w:val="0"/>
        </w:rPr>
        <w:t>Almost all Norwegian participants living abroad under this program returned to Norway in early 2020. However approximately 70</w:t>
      </w:r>
      <w:r w:rsidR="00EA310B">
        <w:rPr>
          <w:noProof w:val="0"/>
        </w:rPr>
        <w:t>%</w:t>
      </w:r>
      <w:r>
        <w:rPr>
          <w:noProof w:val="0"/>
        </w:rPr>
        <w:t xml:space="preserve"> of the South-South participants continued their exchanges</w:t>
      </w:r>
      <w:r w:rsidR="00785B1A">
        <w:rPr>
          <w:noProof w:val="0"/>
        </w:rPr>
        <w:t>,</w:t>
      </w:r>
      <w:r>
        <w:rPr>
          <w:noProof w:val="0"/>
        </w:rPr>
        <w:t xml:space="preserve"> as did </w:t>
      </w:r>
      <w:r w:rsidR="00FA6D7D">
        <w:rPr>
          <w:noProof w:val="0"/>
        </w:rPr>
        <w:t>most</w:t>
      </w:r>
      <w:r>
        <w:rPr>
          <w:noProof w:val="0"/>
        </w:rPr>
        <w:t xml:space="preserve"> South-North </w:t>
      </w:r>
      <w:r w:rsidR="00FA6D7D">
        <w:rPr>
          <w:noProof w:val="0"/>
        </w:rPr>
        <w:t>participants</w:t>
      </w:r>
      <w:r>
        <w:rPr>
          <w:noProof w:val="0"/>
        </w:rPr>
        <w:t xml:space="preserve"> who were living in Norway. The pandemic has shown that, to some extent, remote volunteering can be a substitute to physical travel, which has the added benefit of reducing the carbon footprint of the program. </w:t>
      </w:r>
      <w:r w:rsidR="00FA6D7D">
        <w:rPr>
          <w:noProof w:val="0"/>
        </w:rPr>
        <w:t>However,</w:t>
      </w:r>
      <w:r>
        <w:rPr>
          <w:noProof w:val="0"/>
        </w:rPr>
        <w:t xml:space="preserve"> </w:t>
      </w:r>
      <w:proofErr w:type="spellStart"/>
      <w:r>
        <w:rPr>
          <w:noProof w:val="0"/>
        </w:rPr>
        <w:t>Norec</w:t>
      </w:r>
      <w:proofErr w:type="spellEnd"/>
      <w:r>
        <w:rPr>
          <w:noProof w:val="0"/>
        </w:rPr>
        <w:t xml:space="preserve"> noted that physical exchange, while currently on hold, is still very much a core aspect of the program and likely to resume when international travel is possible. The pandemic has meant that there is more digital capacity building, which is likely to remain a large part of the program going forward. </w:t>
      </w:r>
    </w:p>
    <w:p w14:paraId="415349D6" w14:textId="6CFD51D3" w:rsidR="00597623" w:rsidRPr="007A15F4" w:rsidRDefault="00597623" w:rsidP="00597623">
      <w:pPr>
        <w:pStyle w:val="BodyText"/>
        <w:rPr>
          <w:noProof w:val="0"/>
        </w:rPr>
      </w:pPr>
      <w:r w:rsidRPr="007A15F4">
        <w:rPr>
          <w:noProof w:val="0"/>
        </w:rPr>
        <w:t>All donors agreed that these unprecedented times have forced them to critically assess how their volunteer programs are responding to local needs and examine how to further implement the localisation agenda.</w:t>
      </w:r>
      <w:r w:rsidR="008729DF" w:rsidRPr="007A15F4">
        <w:rPr>
          <w:noProof w:val="0"/>
        </w:rPr>
        <w:t xml:space="preserve"> </w:t>
      </w:r>
    </w:p>
    <w:p w14:paraId="08690627" w14:textId="77777777" w:rsidR="006C7AB0" w:rsidRPr="007A15F4" w:rsidRDefault="006C7AB0" w:rsidP="006C7AB0">
      <w:pPr>
        <w:rPr>
          <w:rFonts w:eastAsiaTheme="majorEastAsia" w:cs="Arial"/>
          <w:color w:val="2A4055" w:themeColor="accent1" w:themeShade="7F"/>
          <w:szCs w:val="20"/>
          <w:lang w:val="en-AU"/>
        </w:rPr>
      </w:pPr>
      <w:r w:rsidRPr="007A15F4">
        <w:rPr>
          <w:rFonts w:cs="Arial"/>
          <w:szCs w:val="20"/>
          <w:lang w:val="en-AU"/>
        </w:rPr>
        <w:br w:type="page"/>
      </w:r>
    </w:p>
    <w:p w14:paraId="4F95BE8B" w14:textId="3BB340FD" w:rsidR="006C7AB0" w:rsidRPr="007A15F4" w:rsidRDefault="006C7AB0" w:rsidP="006C7AB0">
      <w:pPr>
        <w:pStyle w:val="Heading1"/>
        <w:rPr>
          <w:lang w:val="en-AU"/>
        </w:rPr>
      </w:pPr>
      <w:bookmarkStart w:id="50" w:name="_Toc61356287"/>
      <w:bookmarkStart w:id="51" w:name="_Toc70068216"/>
      <w:r w:rsidRPr="007A15F4">
        <w:rPr>
          <w:lang w:val="en-AU"/>
        </w:rPr>
        <w:lastRenderedPageBreak/>
        <w:t>Trends and future directions in international volunteering</w:t>
      </w:r>
      <w:bookmarkEnd w:id="50"/>
      <w:bookmarkEnd w:id="51"/>
    </w:p>
    <w:p w14:paraId="438EC711" w14:textId="25A365EE" w:rsidR="006C7AB0" w:rsidRPr="007A15F4" w:rsidRDefault="006C7AB0" w:rsidP="006C7AB0">
      <w:pPr>
        <w:pStyle w:val="BodyText"/>
        <w:rPr>
          <w:noProof w:val="0"/>
          <w:lang w:eastAsia="en-AU"/>
        </w:rPr>
      </w:pPr>
      <w:r w:rsidRPr="007A15F4">
        <w:rPr>
          <w:noProof w:val="0"/>
          <w:lang w:eastAsia="en-AU"/>
        </w:rPr>
        <w:t>There are two typical ways to think about international volunteering and service (IVS)</w:t>
      </w:r>
      <w:r w:rsidRPr="007A15F4">
        <w:rPr>
          <w:rStyle w:val="FootnoteReference"/>
          <w:rFonts w:cs="Arial"/>
          <w:i/>
          <w:noProof w:val="0"/>
          <w:lang w:eastAsia="en-AU"/>
        </w:rPr>
        <w:footnoteReference w:id="42"/>
      </w:r>
      <w:r w:rsidRPr="007A15F4">
        <w:rPr>
          <w:noProof w:val="0"/>
          <w:lang w:eastAsia="en-AU"/>
        </w:rPr>
        <w:t xml:space="preserve"> programs:</w:t>
      </w:r>
    </w:p>
    <w:p w14:paraId="608B19F5" w14:textId="3C54F09C" w:rsidR="006C7AB0" w:rsidRPr="007A15F4" w:rsidRDefault="006C7AB0" w:rsidP="006C7AB0">
      <w:pPr>
        <w:pStyle w:val="Quote"/>
        <w:rPr>
          <w:lang w:val="en-AU" w:eastAsia="en-AU"/>
        </w:rPr>
      </w:pPr>
      <w:r w:rsidRPr="007A15F4">
        <w:rPr>
          <w:lang w:val="en-AU" w:eastAsia="en-AU"/>
        </w:rPr>
        <w:t>Proponents suggest that IVS encourages large numbers of ordinary people to get</w:t>
      </w:r>
      <w:r w:rsidR="00FA6D7D">
        <w:rPr>
          <w:lang w:val="en-AU" w:eastAsia="en-AU"/>
        </w:rPr>
        <w:br/>
      </w:r>
      <w:r w:rsidRPr="007A15F4">
        <w:rPr>
          <w:lang w:val="en-AU" w:eastAsia="en-AU"/>
        </w:rPr>
        <w:t xml:space="preserve"> involved in global affairs, and to promote global peace, international understanding,</w:t>
      </w:r>
      <w:r w:rsidR="00FA6D7D">
        <w:rPr>
          <w:lang w:val="en-AU" w:eastAsia="en-AU"/>
        </w:rPr>
        <w:br/>
      </w:r>
      <w:r w:rsidRPr="007A15F4">
        <w:rPr>
          <w:lang w:val="en-AU" w:eastAsia="en-AU"/>
        </w:rPr>
        <w:t xml:space="preserve">and make tangible contributions to the well-being of people around the world. </w:t>
      </w:r>
      <w:r w:rsidR="00FA6D7D">
        <w:rPr>
          <w:lang w:val="en-AU" w:eastAsia="en-AU"/>
        </w:rPr>
        <w:br/>
      </w:r>
      <w:r w:rsidRPr="007A15F4">
        <w:rPr>
          <w:lang w:val="en-AU" w:eastAsia="en-AU"/>
        </w:rPr>
        <w:t xml:space="preserve">Critics contend that IVS tends toward imperialism, reinforcing existing inequalities, </w:t>
      </w:r>
      <w:r w:rsidR="00FA6D7D">
        <w:rPr>
          <w:lang w:val="en-AU" w:eastAsia="en-AU"/>
        </w:rPr>
        <w:br/>
      </w:r>
      <w:r w:rsidRPr="007A15F4">
        <w:rPr>
          <w:lang w:val="en-AU" w:eastAsia="en-AU"/>
        </w:rPr>
        <w:t>or at best, is ineffective in the face of grave global challenges.</w:t>
      </w:r>
      <w:r w:rsidRPr="007A15F4">
        <w:rPr>
          <w:rStyle w:val="FootnoteReference"/>
          <w:rFonts w:cs="Arial"/>
          <w:szCs w:val="20"/>
          <w:lang w:val="en-AU" w:eastAsia="en-AU"/>
        </w:rPr>
        <w:footnoteReference w:id="43"/>
      </w:r>
    </w:p>
    <w:p w14:paraId="3D86AC46" w14:textId="64CA6CE5" w:rsidR="006C7AB0" w:rsidRPr="007A15F4" w:rsidRDefault="006C7AB0" w:rsidP="006C7AB0">
      <w:pPr>
        <w:pStyle w:val="BodyText"/>
        <w:rPr>
          <w:noProof w:val="0"/>
          <w:lang w:eastAsia="en-AU"/>
        </w:rPr>
      </w:pPr>
      <w:r w:rsidRPr="007A15F4">
        <w:rPr>
          <w:noProof w:val="0"/>
          <w:lang w:eastAsia="en-AU"/>
        </w:rPr>
        <w:t xml:space="preserve">In the supporters’ scenario, benefits are felt by both receiving organisations and communities as well as the volunteers themselves. </w:t>
      </w:r>
      <w:r w:rsidR="00FA6D7D" w:rsidRPr="007A15F4">
        <w:rPr>
          <w:noProof w:val="0"/>
          <w:lang w:eastAsia="en-AU"/>
        </w:rPr>
        <w:t>However,</w:t>
      </w:r>
      <w:r w:rsidRPr="007A15F4">
        <w:rPr>
          <w:noProof w:val="0"/>
          <w:lang w:eastAsia="en-AU"/>
        </w:rPr>
        <w:t xml:space="preserve"> in the critics’ scenario, host organisations and communities receive little benefit from international volunteers. Instead volunteers and sending countries gain ‘an international perspective and a career boost’</w:t>
      </w:r>
      <w:r w:rsidRPr="007A15F4">
        <w:rPr>
          <w:rStyle w:val="FootnoteReference"/>
          <w:rFonts w:cs="Arial"/>
          <w:i/>
          <w:noProof w:val="0"/>
        </w:rPr>
        <w:t xml:space="preserve"> </w:t>
      </w:r>
      <w:r w:rsidRPr="007A15F4">
        <w:rPr>
          <w:noProof w:val="0"/>
          <w:lang w:eastAsia="en-AU"/>
        </w:rPr>
        <w:t>which maintains the status quo and does nothing to reduce poverty.</w:t>
      </w:r>
      <w:r w:rsidRPr="007A15F4">
        <w:rPr>
          <w:rStyle w:val="FootnoteReference"/>
          <w:rFonts w:cs="Arial"/>
          <w:iCs/>
          <w:noProof w:val="0"/>
          <w:lang w:eastAsia="en-AU"/>
        </w:rPr>
        <w:footnoteReference w:id="44"/>
      </w:r>
      <w:r w:rsidRPr="007A15F4">
        <w:rPr>
          <w:noProof w:val="0"/>
          <w:lang w:eastAsia="en-AU"/>
        </w:rPr>
        <w:t xml:space="preserve"> Running parallel to this is the 2030 Agenda for Sustainable Development, the operationalisation of the localisation agenda and the Doing Development Differently manifesto, which all challenge the charity approach to aid and development. The next obvious question is: ‘</w:t>
      </w:r>
      <w:r w:rsidRPr="007A15F4">
        <w:rPr>
          <w:i/>
          <w:noProof w:val="0"/>
          <w:lang w:eastAsia="en-AU"/>
        </w:rPr>
        <w:t>What does all of this mean for international volunteering and the Australian Volunteers Program?’</w:t>
      </w:r>
      <w:r w:rsidRPr="007A15F4">
        <w:rPr>
          <w:noProof w:val="0"/>
          <w:lang w:eastAsia="en-AU"/>
        </w:rPr>
        <w:t xml:space="preserve"> </w:t>
      </w:r>
    </w:p>
    <w:p w14:paraId="7AF549F2" w14:textId="452031F2" w:rsidR="006C7AB0" w:rsidRPr="007A15F4" w:rsidRDefault="006C7AB0" w:rsidP="006C7AB0">
      <w:pPr>
        <w:pStyle w:val="BodyText"/>
        <w:rPr>
          <w:noProof w:val="0"/>
          <w:lang w:eastAsia="en-AU"/>
        </w:rPr>
      </w:pPr>
      <w:r w:rsidRPr="007A15F4">
        <w:rPr>
          <w:noProof w:val="0"/>
          <w:lang w:eastAsia="en-AU"/>
        </w:rPr>
        <w:t xml:space="preserve">The United Nations Volunteer (UNV) 2018 State of the World’s Volunteerism Report focusses on the </w:t>
      </w:r>
      <w:r w:rsidRPr="007A15F4">
        <w:rPr>
          <w:b/>
          <w:noProof w:val="0"/>
          <w:lang w:eastAsia="en-AU"/>
        </w:rPr>
        <w:t>benefits of local volunteering</w:t>
      </w:r>
      <w:r w:rsidRPr="007A15F4">
        <w:rPr>
          <w:noProof w:val="0"/>
          <w:lang w:eastAsia="en-AU"/>
        </w:rPr>
        <w:t xml:space="preserve"> and its ability to strengthen community resilience.</w:t>
      </w:r>
      <w:r w:rsidRPr="007A15F4">
        <w:rPr>
          <w:rStyle w:val="FootnoteReference"/>
          <w:rFonts w:eastAsia="Times New Roman" w:cs="Arial"/>
          <w:noProof w:val="0"/>
          <w:lang w:eastAsia="en-AU"/>
        </w:rPr>
        <w:footnoteReference w:id="45"/>
      </w:r>
      <w:r w:rsidRPr="007A15F4">
        <w:rPr>
          <w:noProof w:val="0"/>
          <w:lang w:eastAsia="en-AU"/>
        </w:rPr>
        <w:t xml:space="preserve"> </w:t>
      </w:r>
      <w:r w:rsidR="00B61235" w:rsidRPr="007A15F4">
        <w:rPr>
          <w:noProof w:val="0"/>
          <w:lang w:eastAsia="en-AU"/>
        </w:rPr>
        <w:t>T</w:t>
      </w:r>
      <w:r w:rsidRPr="007A15F4">
        <w:rPr>
          <w:noProof w:val="0"/>
          <w:lang w:eastAsia="en-AU"/>
        </w:rPr>
        <w:t>he International Federation of Red Cross</w:t>
      </w:r>
      <w:r w:rsidR="00D5148A" w:rsidRPr="007A15F4">
        <w:rPr>
          <w:noProof w:val="0"/>
          <w:lang w:eastAsia="en-AU"/>
        </w:rPr>
        <w:t xml:space="preserve"> and Red Crescent Societies’ (IFRC)</w:t>
      </w:r>
      <w:r w:rsidRPr="007A15F4">
        <w:rPr>
          <w:noProof w:val="0"/>
          <w:lang w:eastAsia="en-AU"/>
        </w:rPr>
        <w:t xml:space="preserve"> 2018 Global Review on Volunteering discusses the opportunities of ‘glo</w:t>
      </w:r>
      <w:r w:rsidR="0039385D">
        <w:rPr>
          <w:noProof w:val="0"/>
          <w:lang w:eastAsia="en-AU"/>
        </w:rPr>
        <w:t>b</w:t>
      </w:r>
      <w:r w:rsidRPr="007A15F4">
        <w:rPr>
          <w:noProof w:val="0"/>
          <w:lang w:eastAsia="en-AU"/>
        </w:rPr>
        <w:t xml:space="preserve">alisation’ and addressing interconnected issues as a global community rather than using only local volunteering. However they also recognise that there is no single picture of volunteering and one of the significant challenges is the </w:t>
      </w:r>
      <w:r w:rsidRPr="007A15F4">
        <w:rPr>
          <w:b/>
          <w:noProof w:val="0"/>
          <w:lang w:eastAsia="en-AU"/>
        </w:rPr>
        <w:t>lack of diversity</w:t>
      </w:r>
      <w:r w:rsidRPr="007A15F4">
        <w:rPr>
          <w:noProof w:val="0"/>
          <w:lang w:eastAsia="en-AU"/>
        </w:rPr>
        <w:t xml:space="preserve"> in the base of volunteers to represent the communities they support.</w:t>
      </w:r>
      <w:r w:rsidRPr="007A15F4">
        <w:rPr>
          <w:rStyle w:val="FootnoteReference"/>
          <w:rFonts w:eastAsia="Times New Roman" w:cs="Arial"/>
          <w:noProof w:val="0"/>
          <w:lang w:eastAsia="en-AU"/>
        </w:rPr>
        <w:footnoteReference w:id="46"/>
      </w:r>
      <w:r w:rsidRPr="007A15F4">
        <w:rPr>
          <w:noProof w:val="0"/>
          <w:lang w:eastAsia="en-AU"/>
        </w:rPr>
        <w:t xml:space="preserve"> One suggestion to address this is to provide increased opportunities for local involvement as well as reimburse those who participate, specifically those with caring responsibilities or </w:t>
      </w:r>
      <w:r w:rsidR="00B61235" w:rsidRPr="007A15F4">
        <w:rPr>
          <w:noProof w:val="0"/>
          <w:lang w:eastAsia="en-AU"/>
        </w:rPr>
        <w:t xml:space="preserve">those </w:t>
      </w:r>
      <w:r w:rsidRPr="007A15F4">
        <w:rPr>
          <w:noProof w:val="0"/>
          <w:lang w:eastAsia="en-AU"/>
        </w:rPr>
        <w:t>living in the Global South.</w:t>
      </w:r>
      <w:r w:rsidRPr="007A15F4">
        <w:rPr>
          <w:rStyle w:val="FootnoteReference"/>
          <w:rFonts w:eastAsia="Times New Roman" w:cs="Arial"/>
          <w:noProof w:val="0"/>
          <w:lang w:eastAsia="en-AU"/>
        </w:rPr>
        <w:footnoteReference w:id="47"/>
      </w:r>
      <w:r w:rsidRPr="007A15F4">
        <w:rPr>
          <w:noProof w:val="0"/>
          <w:lang w:eastAsia="en-AU"/>
        </w:rPr>
        <w:t xml:space="preserve"> </w:t>
      </w:r>
    </w:p>
    <w:p w14:paraId="652B4E67" w14:textId="64E7B715" w:rsidR="006C7AB0" w:rsidRPr="007A15F4" w:rsidRDefault="006C7AB0" w:rsidP="006C7AB0">
      <w:pPr>
        <w:pStyle w:val="BodyText"/>
        <w:rPr>
          <w:noProof w:val="0"/>
          <w:lang w:eastAsia="en-AU"/>
        </w:rPr>
      </w:pPr>
      <w:r w:rsidRPr="007A15F4">
        <w:rPr>
          <w:noProof w:val="0"/>
          <w:lang w:eastAsia="en-AU"/>
        </w:rPr>
        <w:t xml:space="preserve">Compounding this lack of diversity are the multifaceted and complex challenges facing our increasingly networked world and the importance for Australian and </w:t>
      </w:r>
      <w:r w:rsidR="00091883" w:rsidRPr="007A15F4">
        <w:rPr>
          <w:noProof w:val="0"/>
          <w:lang w:eastAsia="en-AU"/>
        </w:rPr>
        <w:t>i</w:t>
      </w:r>
      <w:r w:rsidRPr="007A15F4">
        <w:rPr>
          <w:noProof w:val="0"/>
          <w:lang w:eastAsia="en-AU"/>
        </w:rPr>
        <w:t>nternational NGOs to adapt.</w:t>
      </w:r>
      <w:r w:rsidRPr="007A15F4">
        <w:rPr>
          <w:rStyle w:val="FootnoteReference"/>
          <w:rFonts w:eastAsia="Times New Roman" w:cs="Arial"/>
          <w:noProof w:val="0"/>
          <w:lang w:eastAsia="en-AU"/>
        </w:rPr>
        <w:footnoteReference w:id="48"/>
      </w:r>
      <w:r w:rsidRPr="007A15F4">
        <w:rPr>
          <w:noProof w:val="0"/>
          <w:lang w:eastAsia="en-AU"/>
        </w:rPr>
        <w:t xml:space="preserve"> This is relevant for volunteer</w:t>
      </w:r>
      <w:r w:rsidR="00A63CD8" w:rsidRPr="007A15F4">
        <w:rPr>
          <w:noProof w:val="0"/>
          <w:lang w:eastAsia="en-AU"/>
        </w:rPr>
        <w:t>-</w:t>
      </w:r>
      <w:r w:rsidR="009704EE" w:rsidRPr="007A15F4">
        <w:rPr>
          <w:noProof w:val="0"/>
          <w:lang w:eastAsia="en-AU"/>
        </w:rPr>
        <w:t xml:space="preserve">sending </w:t>
      </w:r>
      <w:r w:rsidRPr="007A15F4">
        <w:rPr>
          <w:noProof w:val="0"/>
          <w:lang w:eastAsia="en-AU"/>
        </w:rPr>
        <w:t>organisations (and the donors who fund them) given that ‘if we don’t adapt…we risk running irrelevant programs, unwanted by the communities we work within’</w:t>
      </w:r>
      <w:r w:rsidR="002E72D5" w:rsidRPr="007A15F4">
        <w:rPr>
          <w:noProof w:val="0"/>
          <w:lang w:eastAsia="en-AU"/>
        </w:rPr>
        <w:t>.</w:t>
      </w:r>
      <w:r w:rsidRPr="007A15F4">
        <w:rPr>
          <w:rStyle w:val="FootnoteReference"/>
          <w:rFonts w:eastAsia="Times New Roman" w:cs="Arial"/>
          <w:noProof w:val="0"/>
          <w:lang w:eastAsia="en-AU"/>
        </w:rPr>
        <w:footnoteReference w:id="49"/>
      </w:r>
      <w:r w:rsidRPr="007A15F4">
        <w:rPr>
          <w:noProof w:val="0"/>
          <w:lang w:eastAsia="en-AU"/>
        </w:rPr>
        <w:t xml:space="preserve"> Krishnan contends that responding to this requires </w:t>
      </w:r>
      <w:r w:rsidRPr="093618CD">
        <w:rPr>
          <w:b/>
          <w:bCs/>
          <w:noProof w:val="0"/>
          <w:lang w:eastAsia="en-AU"/>
        </w:rPr>
        <w:t>genuine implementation of the localisation agenda</w:t>
      </w:r>
      <w:r w:rsidRPr="007A15F4">
        <w:rPr>
          <w:noProof w:val="0"/>
          <w:lang w:eastAsia="en-AU"/>
        </w:rPr>
        <w:t xml:space="preserve"> where NGOs </w:t>
      </w:r>
      <w:r w:rsidRPr="093618CD">
        <w:rPr>
          <w:b/>
          <w:bCs/>
          <w:noProof w:val="0"/>
          <w:lang w:eastAsia="en-AU"/>
        </w:rPr>
        <w:t>facilitate an enabling environment</w:t>
      </w:r>
      <w:r w:rsidRPr="007A15F4">
        <w:rPr>
          <w:noProof w:val="0"/>
          <w:lang w:eastAsia="en-AU"/>
        </w:rPr>
        <w:t xml:space="preserve"> that allows </w:t>
      </w:r>
      <w:r w:rsidRPr="007A15F4">
        <w:rPr>
          <w:noProof w:val="0"/>
          <w:lang w:eastAsia="en-AU"/>
        </w:rPr>
        <w:lastRenderedPageBreak/>
        <w:t xml:space="preserve">emerging economies to implement their own development and aid programs. This argument aligns with the increased focus on </w:t>
      </w:r>
      <w:r w:rsidRPr="093618CD">
        <w:rPr>
          <w:b/>
          <w:bCs/>
          <w:noProof w:val="0"/>
          <w:lang w:eastAsia="en-AU"/>
        </w:rPr>
        <w:t>local volunteering</w:t>
      </w:r>
      <w:r w:rsidRPr="007A15F4">
        <w:rPr>
          <w:noProof w:val="0"/>
          <w:lang w:eastAsia="en-AU"/>
        </w:rPr>
        <w:t xml:space="preserve"> </w:t>
      </w:r>
      <w:r w:rsidR="0039385D" w:rsidRPr="007A15F4">
        <w:rPr>
          <w:noProof w:val="0"/>
          <w:lang w:eastAsia="en-AU"/>
        </w:rPr>
        <w:t>to</w:t>
      </w:r>
      <w:r w:rsidRPr="007A15F4">
        <w:rPr>
          <w:noProof w:val="0"/>
          <w:lang w:eastAsia="en-AU"/>
        </w:rPr>
        <w:t xml:space="preserve"> further locally</w:t>
      </w:r>
      <w:r w:rsidR="00417291" w:rsidRPr="007A15F4">
        <w:rPr>
          <w:noProof w:val="0"/>
          <w:lang w:eastAsia="en-AU"/>
        </w:rPr>
        <w:t xml:space="preserve"> </w:t>
      </w:r>
      <w:r w:rsidRPr="007A15F4">
        <w:rPr>
          <w:noProof w:val="0"/>
          <w:lang w:eastAsia="en-AU"/>
        </w:rPr>
        <w:t xml:space="preserve">led and demand driven development. </w:t>
      </w:r>
      <w:r w:rsidR="0039385D" w:rsidRPr="007A15F4">
        <w:rPr>
          <w:noProof w:val="0"/>
          <w:lang w:eastAsia="en-AU"/>
        </w:rPr>
        <w:t>However,</w:t>
      </w:r>
      <w:r w:rsidRPr="007A15F4">
        <w:rPr>
          <w:noProof w:val="0"/>
          <w:lang w:eastAsia="en-AU"/>
        </w:rPr>
        <w:t xml:space="preserve"> the UNV report warns against local solutions being the panacea to addressing marginalisation and stresses that all solutions, including those that involve volunteering</w:t>
      </w:r>
      <w:r w:rsidR="00B61235" w:rsidRPr="007A15F4">
        <w:rPr>
          <w:noProof w:val="0"/>
          <w:lang w:eastAsia="en-AU"/>
        </w:rPr>
        <w:t>,</w:t>
      </w:r>
      <w:r w:rsidRPr="007A15F4">
        <w:rPr>
          <w:noProof w:val="0"/>
          <w:lang w:eastAsia="en-AU"/>
        </w:rPr>
        <w:t xml:space="preserve"> require a nuanced response.</w:t>
      </w:r>
      <w:r w:rsidRPr="007A15F4">
        <w:rPr>
          <w:rStyle w:val="FootnoteReference"/>
          <w:rFonts w:eastAsia="Times New Roman" w:cs="Arial"/>
          <w:noProof w:val="0"/>
          <w:lang w:eastAsia="en-AU"/>
        </w:rPr>
        <w:footnoteReference w:id="50"/>
      </w:r>
      <w:r w:rsidRPr="007A15F4">
        <w:rPr>
          <w:noProof w:val="0"/>
          <w:lang w:eastAsia="en-AU"/>
        </w:rPr>
        <w:t xml:space="preserve"> </w:t>
      </w:r>
    </w:p>
    <w:p w14:paraId="41AC8E6F" w14:textId="718A9A12" w:rsidR="006C7AB0" w:rsidRPr="007A15F4" w:rsidRDefault="006C7AB0" w:rsidP="006C7AB0">
      <w:pPr>
        <w:pStyle w:val="BodyText"/>
        <w:rPr>
          <w:noProof w:val="0"/>
          <w:lang w:eastAsia="en-AU"/>
        </w:rPr>
      </w:pPr>
      <w:r w:rsidRPr="007A15F4">
        <w:rPr>
          <w:noProof w:val="0"/>
          <w:lang w:eastAsia="en-AU"/>
        </w:rPr>
        <w:t xml:space="preserve">An overview of the literature also uncovered </w:t>
      </w:r>
      <w:r w:rsidRPr="093618CD">
        <w:rPr>
          <w:b/>
          <w:bCs/>
          <w:noProof w:val="0"/>
          <w:lang w:eastAsia="en-AU"/>
        </w:rPr>
        <w:t>volunteering trends in Australia</w:t>
      </w:r>
      <w:r w:rsidRPr="007A15F4">
        <w:rPr>
          <w:noProof w:val="0"/>
          <w:lang w:eastAsia="en-AU"/>
        </w:rPr>
        <w:t xml:space="preserve">. Curtin University found that while time spent volunteering is decreasing, ‘micro-volunteering’ is becoming more popular as this allows people to commit for </w:t>
      </w:r>
      <w:r w:rsidR="00B61235" w:rsidRPr="007A15F4">
        <w:rPr>
          <w:noProof w:val="0"/>
          <w:lang w:eastAsia="en-AU"/>
        </w:rPr>
        <w:t xml:space="preserve">a </w:t>
      </w:r>
      <w:r w:rsidRPr="007A15F4">
        <w:rPr>
          <w:noProof w:val="0"/>
          <w:lang w:eastAsia="en-AU"/>
        </w:rPr>
        <w:t>short period of time. The study also notes that the motivation for younger volunteers is to develop their own skills and employability whereas older people volunteered to utilise their skills, engage socially and give back.</w:t>
      </w:r>
      <w:r w:rsidRPr="007A15F4">
        <w:rPr>
          <w:rStyle w:val="FootnoteReference"/>
          <w:rFonts w:eastAsia="Times New Roman" w:cs="Arial"/>
          <w:noProof w:val="0"/>
          <w:lang w:eastAsia="en-AU"/>
        </w:rPr>
        <w:footnoteReference w:id="51"/>
      </w:r>
      <w:r w:rsidRPr="007A15F4">
        <w:rPr>
          <w:noProof w:val="0"/>
          <w:lang w:eastAsia="en-AU"/>
        </w:rPr>
        <w:t xml:space="preserve"> The 2016 State of Volunteering in Australia report confirms a strong commitment to volunteering and willingness to continue. However the roles people want to volunteer in and the roles that are offered are not well aligned.</w:t>
      </w:r>
      <w:r w:rsidRPr="007A15F4">
        <w:rPr>
          <w:rStyle w:val="FootnoteReference"/>
          <w:rFonts w:eastAsia="Times New Roman" w:cs="Arial"/>
          <w:noProof w:val="0"/>
          <w:lang w:eastAsia="en-AU"/>
        </w:rPr>
        <w:footnoteReference w:id="52"/>
      </w:r>
      <w:r w:rsidRPr="007A15F4">
        <w:rPr>
          <w:noProof w:val="0"/>
          <w:lang w:eastAsia="en-AU"/>
        </w:rPr>
        <w:t xml:space="preserve"> The report also showed an </w:t>
      </w:r>
      <w:r w:rsidRPr="093618CD">
        <w:rPr>
          <w:b/>
          <w:bCs/>
          <w:noProof w:val="0"/>
          <w:lang w:eastAsia="en-AU"/>
        </w:rPr>
        <w:t>increase in informal volunteering,</w:t>
      </w:r>
      <w:r w:rsidRPr="007A15F4">
        <w:rPr>
          <w:noProof w:val="0"/>
          <w:lang w:eastAsia="en-AU"/>
        </w:rPr>
        <w:t xml:space="preserve"> which is similar to the IFRC’s finding that the majority of volunteering is done outside of formal institutions. This has been made possible through technological advances and social media. Individuals are drawn to these flatter structures, which some see as more dynamic, impactful, and effective.</w:t>
      </w:r>
      <w:r w:rsidRPr="007A15F4">
        <w:rPr>
          <w:rStyle w:val="FootnoteReference"/>
          <w:rFonts w:eastAsia="Times New Roman" w:cs="Arial"/>
          <w:noProof w:val="0"/>
          <w:lang w:eastAsia="en-AU"/>
        </w:rPr>
        <w:footnoteReference w:id="53"/>
      </w:r>
      <w:r w:rsidRPr="007A15F4">
        <w:rPr>
          <w:noProof w:val="0"/>
          <w:lang w:eastAsia="en-AU"/>
        </w:rPr>
        <w:t xml:space="preserve"> </w:t>
      </w:r>
    </w:p>
    <w:p w14:paraId="13E0FF0F" w14:textId="2BE94A36" w:rsidR="006C7AB0" w:rsidRPr="007A15F4" w:rsidRDefault="006C7AB0" w:rsidP="006C7AB0">
      <w:pPr>
        <w:pStyle w:val="BodyText"/>
        <w:rPr>
          <w:noProof w:val="0"/>
          <w:lang w:eastAsia="en-AU"/>
        </w:rPr>
      </w:pPr>
      <w:r w:rsidRPr="007A15F4">
        <w:rPr>
          <w:noProof w:val="0"/>
          <w:lang w:eastAsia="en-AU"/>
        </w:rPr>
        <w:t xml:space="preserve">Both the desk review and donor interviews for this comparative analysis revealed a general uncertainty about the future of international volunteering. Despite this, there were some common themes as well as consensus among donors that the COVID-19 pandemic has forced a discussion about </w:t>
      </w:r>
      <w:r w:rsidRPr="007A15F4">
        <w:rPr>
          <w:b/>
          <w:noProof w:val="0"/>
          <w:lang w:eastAsia="en-AU"/>
        </w:rPr>
        <w:t>different ways to deliver volunteer programs</w:t>
      </w:r>
      <w:r w:rsidRPr="007A15F4">
        <w:rPr>
          <w:noProof w:val="0"/>
          <w:lang w:eastAsia="en-AU"/>
        </w:rPr>
        <w:t xml:space="preserve">, specifically the use of remote volunteering, how programs can better implement the localisation agenda, and how programs adapt to and manage unprecedented change. Supporting the focus on the </w:t>
      </w:r>
      <w:r w:rsidRPr="007A15F4">
        <w:rPr>
          <w:b/>
          <w:noProof w:val="0"/>
          <w:lang w:eastAsia="en-AU"/>
        </w:rPr>
        <w:t>localisation agenda</w:t>
      </w:r>
      <w:r w:rsidRPr="007A15F4">
        <w:rPr>
          <w:noProof w:val="0"/>
          <w:lang w:eastAsia="en-AU"/>
        </w:rPr>
        <w:t xml:space="preserve"> are the results from the ‘Perspectives on COVID-19’ survey.</w:t>
      </w:r>
      <w:r w:rsidRPr="007A15F4">
        <w:rPr>
          <w:rStyle w:val="FootnoteReference"/>
          <w:rFonts w:eastAsia="Times New Roman" w:cs="Arial"/>
          <w:noProof w:val="0"/>
          <w:lang w:eastAsia="en-AU"/>
        </w:rPr>
        <w:footnoteReference w:id="54"/>
      </w:r>
      <w:r w:rsidRPr="007A15F4">
        <w:rPr>
          <w:noProof w:val="0"/>
          <w:lang w:eastAsia="en-AU"/>
        </w:rPr>
        <w:t xml:space="preserve"> In this survey, both volunteer</w:t>
      </w:r>
      <w:r w:rsidR="000138D2" w:rsidRPr="007A15F4">
        <w:rPr>
          <w:noProof w:val="0"/>
          <w:lang w:eastAsia="en-AU"/>
        </w:rPr>
        <w:t>-</w:t>
      </w:r>
      <w:r w:rsidR="009704EE" w:rsidRPr="007A15F4">
        <w:rPr>
          <w:noProof w:val="0"/>
          <w:lang w:eastAsia="en-AU"/>
        </w:rPr>
        <w:t xml:space="preserve">sending </w:t>
      </w:r>
      <w:r w:rsidRPr="007A15F4">
        <w:rPr>
          <w:noProof w:val="0"/>
          <w:lang w:eastAsia="en-AU"/>
        </w:rPr>
        <w:t xml:space="preserve">organisations and volunteers reported the expected decline of in-person volunteering and the volunteer organisations that facilitate these programs. They also reported that this decline will likely be replaced by an </w:t>
      </w:r>
      <w:r w:rsidRPr="007A15F4">
        <w:rPr>
          <w:b/>
          <w:noProof w:val="0"/>
          <w:lang w:eastAsia="en-AU"/>
        </w:rPr>
        <w:t>increase in national and local volunteering</w:t>
      </w:r>
      <w:r w:rsidRPr="007A15F4">
        <w:rPr>
          <w:noProof w:val="0"/>
          <w:lang w:eastAsia="en-AU"/>
        </w:rPr>
        <w:t xml:space="preserve"> rather than online volunteering post COVID-19. </w:t>
      </w:r>
    </w:p>
    <w:p w14:paraId="375D82B7" w14:textId="3924901B" w:rsidR="006C7AB0" w:rsidRPr="007A15F4" w:rsidRDefault="006C7AB0" w:rsidP="006C7AB0">
      <w:pPr>
        <w:pStyle w:val="BodyText"/>
        <w:rPr>
          <w:noProof w:val="0"/>
          <w:lang w:eastAsia="en-AU"/>
        </w:rPr>
      </w:pPr>
      <w:r w:rsidRPr="093618CD">
        <w:rPr>
          <w:noProof w:val="0"/>
          <w:lang w:eastAsia="en-AU"/>
        </w:rPr>
        <w:t xml:space="preserve">The increase and support of local volunteering is a constant theme in the literature and one that is currently being explored through the </w:t>
      </w:r>
      <w:r w:rsidR="00B61235" w:rsidRPr="093618CD">
        <w:rPr>
          <w:b/>
          <w:bCs/>
          <w:noProof w:val="0"/>
          <w:lang w:eastAsia="en-AU"/>
        </w:rPr>
        <w:t>A</w:t>
      </w:r>
      <w:r w:rsidR="00C14943" w:rsidRPr="093618CD">
        <w:rPr>
          <w:b/>
          <w:bCs/>
          <w:noProof w:val="0"/>
          <w:lang w:eastAsia="en-AU"/>
        </w:rPr>
        <w:t>ustralian Volunteer</w:t>
      </w:r>
      <w:r w:rsidR="004A12DB" w:rsidRPr="093618CD">
        <w:rPr>
          <w:b/>
          <w:bCs/>
          <w:noProof w:val="0"/>
          <w:lang w:eastAsia="en-AU"/>
        </w:rPr>
        <w:t>s</w:t>
      </w:r>
      <w:r w:rsidR="00C14943" w:rsidRPr="093618CD">
        <w:rPr>
          <w:b/>
          <w:bCs/>
          <w:noProof w:val="0"/>
          <w:lang w:eastAsia="en-AU"/>
        </w:rPr>
        <w:t xml:space="preserve"> Program</w:t>
      </w:r>
      <w:r w:rsidRPr="093618CD">
        <w:rPr>
          <w:b/>
          <w:bCs/>
          <w:noProof w:val="0"/>
          <w:lang w:eastAsia="en-AU"/>
        </w:rPr>
        <w:t xml:space="preserve"> Innovation Fund</w:t>
      </w:r>
      <w:r w:rsidRPr="093618CD">
        <w:rPr>
          <w:noProof w:val="0"/>
          <w:lang w:eastAsia="en-AU"/>
        </w:rPr>
        <w:t xml:space="preserve">. One of the roles of the Innovation Fund is to trial new ideas to complement the traditional North-South model of volunteering used by the </w:t>
      </w:r>
      <w:r w:rsidR="00C14943" w:rsidRPr="093618CD">
        <w:rPr>
          <w:noProof w:val="0"/>
          <w:lang w:eastAsia="en-AU"/>
        </w:rPr>
        <w:t>program</w:t>
      </w:r>
      <w:r w:rsidRPr="093618CD">
        <w:rPr>
          <w:noProof w:val="0"/>
          <w:lang w:eastAsia="en-AU"/>
        </w:rPr>
        <w:t xml:space="preserve">. Volunteering for Development (Vol4Dev) is a work stream under the </w:t>
      </w:r>
      <w:r w:rsidR="00B61235" w:rsidRPr="093618CD">
        <w:rPr>
          <w:noProof w:val="0"/>
          <w:lang w:eastAsia="en-AU"/>
        </w:rPr>
        <w:t>A</w:t>
      </w:r>
      <w:r w:rsidR="00C14943" w:rsidRPr="093618CD">
        <w:rPr>
          <w:noProof w:val="0"/>
          <w:lang w:eastAsia="en-AU"/>
        </w:rPr>
        <w:t>ustralian Volunteer</w:t>
      </w:r>
      <w:r w:rsidR="004A12DB" w:rsidRPr="093618CD">
        <w:rPr>
          <w:noProof w:val="0"/>
          <w:lang w:eastAsia="en-AU"/>
        </w:rPr>
        <w:t>s</w:t>
      </w:r>
      <w:r w:rsidR="00C14943" w:rsidRPr="093618CD">
        <w:rPr>
          <w:noProof w:val="0"/>
          <w:lang w:eastAsia="en-AU"/>
        </w:rPr>
        <w:t xml:space="preserve"> Program</w:t>
      </w:r>
      <w:r w:rsidRPr="093618CD">
        <w:rPr>
          <w:noProof w:val="0"/>
          <w:lang w:eastAsia="en-AU"/>
        </w:rPr>
        <w:t xml:space="preserve"> Innovation Fund, which began in early 2020 and accelerated in response to the COVID-19 pandemic. Vol4Dev explores the key question of ‘</w:t>
      </w:r>
      <w:r w:rsidRPr="093618CD">
        <w:rPr>
          <w:i/>
          <w:iCs/>
          <w:noProof w:val="0"/>
          <w:lang w:eastAsia="en-AU"/>
        </w:rPr>
        <w:t>How might the Australian Volunteers Program create and support alternative forms of volunteering, or support volunteerism?’</w:t>
      </w:r>
      <w:r w:rsidRPr="093618CD">
        <w:rPr>
          <w:noProof w:val="0"/>
          <w:lang w:eastAsia="en-AU"/>
        </w:rPr>
        <w:t xml:space="preserve"> The</w:t>
      </w:r>
      <w:r>
        <w:rPr>
          <w:noProof w:val="0"/>
        </w:rPr>
        <w:t xml:space="preserve"> </w:t>
      </w:r>
      <w:r w:rsidRPr="093618CD">
        <w:rPr>
          <w:noProof w:val="0"/>
          <w:lang w:eastAsia="en-AU"/>
        </w:rPr>
        <w:t xml:space="preserve">Innovation Fund is </w:t>
      </w:r>
      <w:r w:rsidRPr="093618CD">
        <w:rPr>
          <w:b/>
          <w:bCs/>
          <w:noProof w:val="0"/>
          <w:lang w:eastAsia="en-AU"/>
        </w:rPr>
        <w:t xml:space="preserve">currently supporting </w:t>
      </w:r>
      <w:r w:rsidR="00CD0E04" w:rsidRPr="093618CD">
        <w:rPr>
          <w:b/>
          <w:bCs/>
          <w:noProof w:val="0"/>
          <w:lang w:eastAsia="en-AU"/>
        </w:rPr>
        <w:t>1</w:t>
      </w:r>
      <w:r w:rsidR="00CD0E04">
        <w:rPr>
          <w:b/>
          <w:bCs/>
          <w:noProof w:val="0"/>
          <w:lang w:eastAsia="en-AU"/>
        </w:rPr>
        <w:t>0</w:t>
      </w:r>
      <w:r w:rsidR="00CD0E04" w:rsidRPr="093618CD">
        <w:rPr>
          <w:b/>
          <w:bCs/>
          <w:noProof w:val="0"/>
          <w:lang w:eastAsia="en-AU"/>
        </w:rPr>
        <w:t xml:space="preserve"> </w:t>
      </w:r>
      <w:r w:rsidRPr="093618CD">
        <w:rPr>
          <w:b/>
          <w:bCs/>
          <w:noProof w:val="0"/>
          <w:lang w:eastAsia="en-AU"/>
        </w:rPr>
        <w:t>different ideas</w:t>
      </w:r>
      <w:r w:rsidRPr="093618CD">
        <w:rPr>
          <w:noProof w:val="0"/>
          <w:lang w:eastAsia="en-AU"/>
        </w:rPr>
        <w:t xml:space="preserve"> for how the </w:t>
      </w:r>
      <w:r w:rsidR="00C14943" w:rsidRPr="093618CD">
        <w:rPr>
          <w:noProof w:val="0"/>
          <w:lang w:eastAsia="en-AU"/>
        </w:rPr>
        <w:t>Australian Volunteers Program</w:t>
      </w:r>
      <w:r w:rsidRPr="093618CD">
        <w:rPr>
          <w:noProof w:val="0"/>
          <w:lang w:eastAsia="en-AU"/>
        </w:rPr>
        <w:t xml:space="preserve"> might use </w:t>
      </w:r>
      <w:r w:rsidRPr="093618CD">
        <w:rPr>
          <w:b/>
          <w:bCs/>
          <w:noProof w:val="0"/>
          <w:lang w:eastAsia="en-AU"/>
        </w:rPr>
        <w:t>alternate models of volunteering</w:t>
      </w:r>
      <w:r w:rsidRPr="093618CD">
        <w:rPr>
          <w:noProof w:val="0"/>
          <w:lang w:eastAsia="en-AU"/>
        </w:rPr>
        <w:t>, including ideas that will further explore the themes around local volunteering, youth volunteering and supporting national volunteering infrastructure</w:t>
      </w:r>
      <w:r w:rsidR="0048351B" w:rsidRPr="093618CD">
        <w:rPr>
          <w:noProof w:val="0"/>
          <w:lang w:eastAsia="en-AU"/>
        </w:rPr>
        <w:t>,</w:t>
      </w:r>
      <w:r w:rsidRPr="093618CD">
        <w:rPr>
          <w:noProof w:val="0"/>
          <w:lang w:eastAsia="en-AU"/>
        </w:rPr>
        <w:t xml:space="preserve"> among others. </w:t>
      </w:r>
    </w:p>
    <w:p w14:paraId="72BFF8BE" w14:textId="05194293" w:rsidR="006C7AB0" w:rsidRPr="007A15F4" w:rsidRDefault="006C7AB0" w:rsidP="006C7AB0">
      <w:pPr>
        <w:pStyle w:val="BodyText"/>
        <w:rPr>
          <w:noProof w:val="0"/>
          <w:lang w:eastAsia="en-AU"/>
        </w:rPr>
      </w:pPr>
      <w:r w:rsidRPr="007A15F4">
        <w:rPr>
          <w:noProof w:val="0"/>
          <w:lang w:eastAsia="en-AU"/>
        </w:rPr>
        <w:t xml:space="preserve">Canada, the </w:t>
      </w:r>
      <w:r w:rsidR="0039385D" w:rsidRPr="007A15F4">
        <w:rPr>
          <w:noProof w:val="0"/>
          <w:lang w:eastAsia="en-AU"/>
        </w:rPr>
        <w:t>UK,</w:t>
      </w:r>
      <w:r w:rsidRPr="007A15F4">
        <w:rPr>
          <w:noProof w:val="0"/>
          <w:lang w:eastAsia="en-AU"/>
        </w:rPr>
        <w:t xml:space="preserve"> and Norway are already using a suite of volunteering/exchange approaches. This has arguably resulted in increased</w:t>
      </w:r>
      <w:r w:rsidRPr="007A15F4">
        <w:rPr>
          <w:b/>
          <w:noProof w:val="0"/>
          <w:lang w:eastAsia="en-AU"/>
        </w:rPr>
        <w:t xml:space="preserve"> resilience to the impacts of COVID-19</w:t>
      </w:r>
      <w:r w:rsidRPr="007A15F4">
        <w:rPr>
          <w:noProof w:val="0"/>
          <w:lang w:eastAsia="en-AU"/>
        </w:rPr>
        <w:t xml:space="preserve"> in a larger proportion of their programs.</w:t>
      </w:r>
      <w:r w:rsidRPr="007A15F4">
        <w:rPr>
          <w:rStyle w:val="FootnoteReference"/>
          <w:rFonts w:eastAsia="Times New Roman" w:cs="Arial"/>
          <w:noProof w:val="0"/>
          <w:lang w:eastAsia="en-AU"/>
        </w:rPr>
        <w:footnoteReference w:id="55"/>
      </w:r>
      <w:r w:rsidRPr="007A15F4">
        <w:rPr>
          <w:noProof w:val="0"/>
          <w:lang w:eastAsia="en-AU"/>
        </w:rPr>
        <w:t xml:space="preserve"> While some assignments supported by Australia and New Zealand were able to pivot or continue, this did not occur to </w:t>
      </w:r>
      <w:r w:rsidRPr="007A15F4">
        <w:rPr>
          <w:noProof w:val="0"/>
          <w:lang w:eastAsia="en-AU"/>
        </w:rPr>
        <w:lastRenderedPageBreak/>
        <w:t xml:space="preserve">the same extent given the reliance on the North-South model of volunteering and decision to return volunteers to their home countries. It could be argued that reliance on the North-South model of volunteering in the </w:t>
      </w:r>
      <w:r w:rsidR="00C14943" w:rsidRPr="007A15F4">
        <w:rPr>
          <w:noProof w:val="0"/>
          <w:lang w:eastAsia="en-AU"/>
        </w:rPr>
        <w:t>program</w:t>
      </w:r>
      <w:r w:rsidRPr="007A15F4">
        <w:rPr>
          <w:noProof w:val="0"/>
          <w:lang w:eastAsia="en-AU"/>
        </w:rPr>
        <w:t xml:space="preserve"> makes it less resilient to unprecedented change</w:t>
      </w:r>
      <w:r w:rsidR="009704EE" w:rsidRPr="007A15F4">
        <w:rPr>
          <w:noProof w:val="0"/>
          <w:lang w:eastAsia="en-AU"/>
        </w:rPr>
        <w:t>s</w:t>
      </w:r>
      <w:r w:rsidRPr="007A15F4">
        <w:rPr>
          <w:noProof w:val="0"/>
          <w:lang w:eastAsia="en-AU"/>
        </w:rPr>
        <w:t xml:space="preserve"> like that experienced in 2020 </w:t>
      </w:r>
      <w:proofErr w:type="gramStart"/>
      <w:r w:rsidRPr="007A15F4">
        <w:rPr>
          <w:noProof w:val="0"/>
          <w:lang w:eastAsia="en-AU"/>
        </w:rPr>
        <w:t>as a result of</w:t>
      </w:r>
      <w:proofErr w:type="gramEnd"/>
      <w:r w:rsidRPr="007A15F4">
        <w:rPr>
          <w:noProof w:val="0"/>
          <w:lang w:eastAsia="en-AU"/>
        </w:rPr>
        <w:t xml:space="preserve"> the COVID-19 pandemic. </w:t>
      </w:r>
      <w:r w:rsidR="0039385D" w:rsidRPr="007A15F4">
        <w:rPr>
          <w:noProof w:val="0"/>
          <w:lang w:eastAsia="en-AU"/>
        </w:rPr>
        <w:t>However,</w:t>
      </w:r>
      <w:r w:rsidRPr="007A15F4">
        <w:rPr>
          <w:noProof w:val="0"/>
          <w:lang w:eastAsia="en-AU"/>
        </w:rPr>
        <w:t xml:space="preserve"> a counter point is the </w:t>
      </w:r>
      <w:r w:rsidR="00B61235" w:rsidRPr="007A15F4">
        <w:rPr>
          <w:noProof w:val="0"/>
          <w:lang w:eastAsia="en-AU"/>
        </w:rPr>
        <w:t xml:space="preserve">existence of the </w:t>
      </w:r>
      <w:r w:rsidR="00650CA5" w:rsidRPr="007A15F4">
        <w:rPr>
          <w:noProof w:val="0"/>
          <w:lang w:eastAsia="en-AU"/>
        </w:rPr>
        <w:t>Australian Volunteer</w:t>
      </w:r>
      <w:r w:rsidR="00DE26FF" w:rsidRPr="007A15F4">
        <w:rPr>
          <w:noProof w:val="0"/>
          <w:lang w:eastAsia="en-AU"/>
        </w:rPr>
        <w:t>s</w:t>
      </w:r>
      <w:r w:rsidR="00650CA5" w:rsidRPr="007A15F4">
        <w:rPr>
          <w:noProof w:val="0"/>
          <w:lang w:eastAsia="en-AU"/>
        </w:rPr>
        <w:t xml:space="preserve"> P</w:t>
      </w:r>
      <w:r w:rsidR="00C14943" w:rsidRPr="007A15F4">
        <w:rPr>
          <w:noProof w:val="0"/>
          <w:lang w:eastAsia="en-AU"/>
        </w:rPr>
        <w:t>rogram</w:t>
      </w:r>
      <w:r w:rsidRPr="007A15F4">
        <w:rPr>
          <w:noProof w:val="0"/>
          <w:lang w:eastAsia="en-AU"/>
        </w:rPr>
        <w:t>’s Innovation Fund, which has been able to quickly adapt to trial new approaches to volunteering at an appropriate scale. The Innovation Fund is used to develop an evidence base that supports taking ideas to scale, which is an effective way of responding to emerging challenges.</w:t>
      </w:r>
    </w:p>
    <w:p w14:paraId="401F0EB3" w14:textId="01F3C7C1" w:rsidR="006C7AB0" w:rsidRPr="007A15F4" w:rsidRDefault="006C7AB0" w:rsidP="006C7AB0">
      <w:pPr>
        <w:pStyle w:val="BodyText"/>
        <w:rPr>
          <w:noProof w:val="0"/>
          <w:lang w:eastAsia="en-AU"/>
        </w:rPr>
      </w:pPr>
      <w:r w:rsidRPr="007A15F4">
        <w:rPr>
          <w:noProof w:val="0"/>
          <w:lang w:eastAsia="en-AU"/>
        </w:rPr>
        <w:t xml:space="preserve">Another structure within the </w:t>
      </w:r>
      <w:r w:rsidR="00C14943" w:rsidRPr="007A15F4">
        <w:rPr>
          <w:noProof w:val="0"/>
          <w:lang w:eastAsia="en-AU"/>
        </w:rPr>
        <w:t>program</w:t>
      </w:r>
      <w:r w:rsidRPr="007A15F4">
        <w:rPr>
          <w:noProof w:val="0"/>
          <w:lang w:eastAsia="en-AU"/>
        </w:rPr>
        <w:t xml:space="preserve"> that supports its ability to respond to change is the </w:t>
      </w:r>
      <w:r w:rsidRPr="007A15F4">
        <w:rPr>
          <w:b/>
          <w:noProof w:val="0"/>
          <w:lang w:eastAsia="en-AU"/>
        </w:rPr>
        <w:t xml:space="preserve">embedded and comprehensive monitoring, </w:t>
      </w:r>
      <w:r w:rsidR="0039385D" w:rsidRPr="007A15F4">
        <w:rPr>
          <w:b/>
          <w:noProof w:val="0"/>
          <w:lang w:eastAsia="en-AU"/>
        </w:rPr>
        <w:t>evaluation,</w:t>
      </w:r>
      <w:r w:rsidRPr="007A15F4">
        <w:rPr>
          <w:b/>
          <w:noProof w:val="0"/>
          <w:lang w:eastAsia="en-AU"/>
        </w:rPr>
        <w:t xml:space="preserve"> and learning</w:t>
      </w:r>
      <w:r w:rsidRPr="007A15F4">
        <w:rPr>
          <w:noProof w:val="0"/>
          <w:lang w:eastAsia="en-AU"/>
        </w:rPr>
        <w:t xml:space="preserve"> (MEL) system. This is a standout amongst other donor programs</w:t>
      </w:r>
      <w:r w:rsidR="00C33210" w:rsidRPr="007A15F4">
        <w:rPr>
          <w:noProof w:val="0"/>
          <w:lang w:eastAsia="en-AU"/>
        </w:rPr>
        <w:t>. A</w:t>
      </w:r>
      <w:r w:rsidRPr="007A15F4">
        <w:rPr>
          <w:noProof w:val="0"/>
          <w:lang w:eastAsia="en-AU"/>
        </w:rPr>
        <w:t xml:space="preserve"> common challenge discussed during the interviews was data collection, </w:t>
      </w:r>
      <w:r w:rsidR="0039385D" w:rsidRPr="007A15F4">
        <w:rPr>
          <w:noProof w:val="0"/>
          <w:lang w:eastAsia="en-AU"/>
        </w:rPr>
        <w:t>triangulation,</w:t>
      </w:r>
      <w:r w:rsidRPr="007A15F4">
        <w:rPr>
          <w:noProof w:val="0"/>
          <w:lang w:eastAsia="en-AU"/>
        </w:rPr>
        <w:t xml:space="preserve"> and aggregation, specifically when assessing people-to-people links and improved diplomatic relations. Th</w:t>
      </w:r>
      <w:r w:rsidR="00D500FB" w:rsidRPr="007A15F4">
        <w:rPr>
          <w:noProof w:val="0"/>
          <w:lang w:eastAsia="en-AU"/>
        </w:rPr>
        <w:t>e Australian Volunteer</w:t>
      </w:r>
      <w:r w:rsidR="00DE26FF" w:rsidRPr="007A15F4">
        <w:rPr>
          <w:noProof w:val="0"/>
          <w:lang w:eastAsia="en-AU"/>
        </w:rPr>
        <w:t>s</w:t>
      </w:r>
      <w:r w:rsidR="00D500FB" w:rsidRPr="007A15F4">
        <w:rPr>
          <w:noProof w:val="0"/>
          <w:lang w:eastAsia="en-AU"/>
        </w:rPr>
        <w:t xml:space="preserve"> Program’s MEL</w:t>
      </w:r>
      <w:r w:rsidRPr="007A15F4">
        <w:rPr>
          <w:noProof w:val="0"/>
          <w:lang w:eastAsia="en-AU"/>
        </w:rPr>
        <w:t xml:space="preserve"> system will provide the evidence needed to understand the impacts of the program and </w:t>
      </w:r>
      <w:r w:rsidR="009704EE" w:rsidRPr="007A15F4">
        <w:rPr>
          <w:noProof w:val="0"/>
          <w:lang w:eastAsia="en-AU"/>
        </w:rPr>
        <w:t xml:space="preserve">its </w:t>
      </w:r>
      <w:r w:rsidRPr="007A15F4">
        <w:rPr>
          <w:noProof w:val="0"/>
          <w:lang w:eastAsia="en-AU"/>
        </w:rPr>
        <w:t xml:space="preserve">contribution towards end of program outcomes, and therefore </w:t>
      </w:r>
      <w:r w:rsidR="00DE26FF" w:rsidRPr="007A15F4">
        <w:rPr>
          <w:noProof w:val="0"/>
          <w:lang w:eastAsia="en-AU"/>
        </w:rPr>
        <w:t xml:space="preserve">form </w:t>
      </w:r>
      <w:r w:rsidRPr="007A15F4">
        <w:rPr>
          <w:noProof w:val="0"/>
          <w:lang w:eastAsia="en-AU"/>
        </w:rPr>
        <w:t>an excellent basis for decision making about the future of the program and adapting to a changing external environment.</w:t>
      </w:r>
    </w:p>
    <w:p w14:paraId="6CCD161D" w14:textId="05F3F3D8" w:rsidR="006C7AB0" w:rsidRPr="007A15F4" w:rsidRDefault="006C7AB0" w:rsidP="00CA57E7">
      <w:pPr>
        <w:pStyle w:val="BodyText"/>
        <w:rPr>
          <w:noProof w:val="0"/>
          <w:lang w:eastAsia="en-AU"/>
        </w:rPr>
      </w:pPr>
      <w:r w:rsidRPr="007A15F4">
        <w:rPr>
          <w:noProof w:val="0"/>
          <w:lang w:eastAsia="en-AU"/>
        </w:rPr>
        <w:t xml:space="preserve">In the words of Powell and </w:t>
      </w:r>
      <w:proofErr w:type="spellStart"/>
      <w:r w:rsidRPr="007A15F4">
        <w:rPr>
          <w:noProof w:val="0"/>
          <w:lang w:eastAsia="en-AU"/>
        </w:rPr>
        <w:t>Bratovic</w:t>
      </w:r>
      <w:proofErr w:type="spellEnd"/>
      <w:r w:rsidRPr="007A15F4">
        <w:rPr>
          <w:noProof w:val="0"/>
          <w:lang w:eastAsia="en-AU"/>
        </w:rPr>
        <w:t xml:space="preserve"> </w:t>
      </w:r>
      <w:r w:rsidR="0039385D">
        <w:rPr>
          <w:noProof w:val="0"/>
          <w:lang w:eastAsia="en-AU"/>
        </w:rPr>
        <w:t>‘</w:t>
      </w:r>
      <w:r w:rsidRPr="007A15F4">
        <w:rPr>
          <w:noProof w:val="0"/>
          <w:lang w:eastAsia="en-AU"/>
        </w:rPr>
        <w:t>you get the impact you program for</w:t>
      </w:r>
      <w:r w:rsidR="0039385D">
        <w:rPr>
          <w:noProof w:val="0"/>
          <w:lang w:eastAsia="en-AU"/>
        </w:rPr>
        <w:t>’</w:t>
      </w:r>
      <w:r w:rsidRPr="007A15F4">
        <w:rPr>
          <w:noProof w:val="0"/>
          <w:lang w:eastAsia="en-AU"/>
        </w:rPr>
        <w:t>.</w:t>
      </w:r>
      <w:r w:rsidRPr="007A15F4">
        <w:rPr>
          <w:rStyle w:val="FootnoteReference"/>
          <w:rFonts w:eastAsia="Times New Roman" w:cs="Arial"/>
          <w:noProof w:val="0"/>
          <w:lang w:eastAsia="en-AU"/>
        </w:rPr>
        <w:footnoteReference w:id="56"/>
      </w:r>
      <w:r w:rsidR="008729DF" w:rsidRPr="007A15F4">
        <w:rPr>
          <w:rStyle w:val="FootnoteReference"/>
          <w:rFonts w:cs="Arial"/>
          <w:noProof w:val="0"/>
        </w:rPr>
        <w:t xml:space="preserve"> </w:t>
      </w:r>
      <w:r w:rsidRPr="007A15F4">
        <w:rPr>
          <w:noProof w:val="0"/>
          <w:lang w:eastAsia="en-AU"/>
        </w:rPr>
        <w:t xml:space="preserve">The </w:t>
      </w:r>
      <w:r w:rsidR="00B61235" w:rsidRPr="007A15F4">
        <w:rPr>
          <w:noProof w:val="0"/>
          <w:lang w:eastAsia="en-AU"/>
        </w:rPr>
        <w:t>A</w:t>
      </w:r>
      <w:r w:rsidR="00C14943" w:rsidRPr="007A15F4">
        <w:rPr>
          <w:noProof w:val="0"/>
          <w:lang w:eastAsia="en-AU"/>
        </w:rPr>
        <w:t>ustralian Volunteers Program</w:t>
      </w:r>
      <w:r w:rsidRPr="007A15F4">
        <w:rPr>
          <w:noProof w:val="0"/>
          <w:lang w:eastAsia="en-AU"/>
        </w:rPr>
        <w:t xml:space="preserve"> uses a tried and tested modality that has been achieving its ‘win-win’ objectives of supporting development while strengthening people-to-people links for more than 60 years. This is not to say that the program has remained stagnant. While the method of sending skilled Australians overseas has not changed, the program has evolved significantly and adapted to the changing global landscape. Its comprehensive MEL system and institutionalised approach to innovation means it is </w:t>
      </w:r>
      <w:r w:rsidRPr="007A15F4">
        <w:rPr>
          <w:b/>
          <w:noProof w:val="0"/>
          <w:lang w:eastAsia="en-AU"/>
        </w:rPr>
        <w:t>well placed to adapt to future challenges</w:t>
      </w:r>
      <w:r w:rsidRPr="007A15F4">
        <w:rPr>
          <w:noProof w:val="0"/>
          <w:lang w:eastAsia="en-AU"/>
        </w:rPr>
        <w:t xml:space="preserve"> in the volunteering sector.</w:t>
      </w:r>
    </w:p>
    <w:p w14:paraId="420BE673" w14:textId="60A15F89" w:rsidR="00511E02" w:rsidRPr="007A15F4" w:rsidRDefault="00511E02" w:rsidP="00DC3EBD">
      <w:pPr>
        <w:pStyle w:val="Annexheading"/>
        <w:rPr>
          <w:lang w:val="en-AU"/>
        </w:rPr>
      </w:pPr>
      <w:r w:rsidRPr="007A15F4">
        <w:rPr>
          <w:lang w:val="en-AU"/>
        </w:rPr>
        <w:br w:type="page"/>
      </w:r>
      <w:r w:rsidRPr="007A15F4">
        <w:rPr>
          <w:lang w:val="en-AU"/>
        </w:rPr>
        <w:lastRenderedPageBreak/>
        <w:t xml:space="preserve">Annex </w:t>
      </w:r>
      <w:r w:rsidR="00DC3EBD" w:rsidRPr="007A15F4">
        <w:rPr>
          <w:lang w:val="en-AU"/>
        </w:rPr>
        <w:t>A</w:t>
      </w:r>
      <w:r w:rsidRPr="007A15F4">
        <w:rPr>
          <w:lang w:val="en-AU"/>
        </w:rPr>
        <w:t xml:space="preserve"> </w:t>
      </w:r>
    </w:p>
    <w:p w14:paraId="3F128AA7" w14:textId="4248A5C2" w:rsidR="006C7AB0" w:rsidRPr="007A15F4" w:rsidRDefault="00DC3EBD" w:rsidP="00DC3EBD">
      <w:pPr>
        <w:pStyle w:val="Annextitle"/>
        <w:rPr>
          <w:noProof w:val="0"/>
        </w:rPr>
      </w:pPr>
      <w:r w:rsidRPr="007A15F4">
        <w:rPr>
          <w:noProof w:val="0"/>
        </w:rPr>
        <w:t>Interview questions for donor interviews</w:t>
      </w:r>
    </w:p>
    <w:p w14:paraId="455E0AE6" w14:textId="77777777" w:rsidR="006C7AB0" w:rsidRPr="007A15F4" w:rsidRDefault="006C7AB0" w:rsidP="006C7AB0">
      <w:pPr>
        <w:rPr>
          <w:rFonts w:cs="Arial"/>
          <w:b/>
          <w:color w:val="000000"/>
          <w:szCs w:val="20"/>
          <w:lang w:val="en-AU"/>
        </w:rPr>
      </w:pPr>
    </w:p>
    <w:p w14:paraId="5C4AD2B2" w14:textId="40ED262C" w:rsidR="006C7AB0" w:rsidRPr="007A15F4" w:rsidRDefault="006C7AB0" w:rsidP="00DC3EBD">
      <w:pPr>
        <w:pStyle w:val="ListBullet"/>
        <w:rPr>
          <w:noProof w:val="0"/>
          <w:lang w:val="en-AU"/>
        </w:rPr>
      </w:pPr>
      <w:r w:rsidRPr="007A15F4">
        <w:rPr>
          <w:noProof w:val="0"/>
          <w:lang w:val="en-AU"/>
        </w:rPr>
        <w:t>Please provide a brief overview of your volunteer/exchange program, including any distinguishing features (e.g. desired outcomes, modalities, partners, sources of funding)</w:t>
      </w:r>
    </w:p>
    <w:p w14:paraId="7BD557F0" w14:textId="77777777" w:rsidR="00DC3EBD" w:rsidRPr="007A15F4" w:rsidRDefault="006C7AB0" w:rsidP="00DC3EBD">
      <w:pPr>
        <w:pStyle w:val="ListBullet"/>
        <w:rPr>
          <w:rStyle w:val="LineNumber"/>
          <w:noProof w:val="0"/>
          <w:lang w:val="en-AU"/>
        </w:rPr>
      </w:pPr>
      <w:r w:rsidRPr="007A15F4">
        <w:rPr>
          <w:rStyle w:val="LineNumber"/>
          <w:noProof w:val="0"/>
          <w:lang w:val="en-AU"/>
        </w:rPr>
        <w:t>Please outline your agencies’ views on the relationship between volunteering and soft power / diplomatic influence</w:t>
      </w:r>
    </w:p>
    <w:p w14:paraId="025504E2" w14:textId="10A99B68" w:rsidR="006C7AB0" w:rsidRPr="007A15F4" w:rsidRDefault="006C7AB0" w:rsidP="00DC3EBD">
      <w:pPr>
        <w:pStyle w:val="ListBullet"/>
        <w:numPr>
          <w:ilvl w:val="1"/>
          <w:numId w:val="26"/>
        </w:numPr>
        <w:rPr>
          <w:rStyle w:val="LineNumber"/>
          <w:noProof w:val="0"/>
          <w:lang w:val="en-AU"/>
        </w:rPr>
      </w:pPr>
      <w:r w:rsidRPr="007A15F4">
        <w:rPr>
          <w:rStyle w:val="LineNumber"/>
          <w:noProof w:val="0"/>
          <w:lang w:val="en-AU"/>
        </w:rPr>
        <w:t xml:space="preserve">How is this expressed in the design of the program? </w:t>
      </w:r>
    </w:p>
    <w:p w14:paraId="12A8F83E" w14:textId="77777777" w:rsidR="006C7AB0" w:rsidRPr="007A15F4" w:rsidRDefault="006C7AB0" w:rsidP="00DC3EBD">
      <w:pPr>
        <w:pStyle w:val="ListBullet"/>
        <w:rPr>
          <w:rStyle w:val="LineNumber"/>
          <w:noProof w:val="0"/>
          <w:lang w:val="en-AU"/>
        </w:rPr>
      </w:pPr>
      <w:r w:rsidRPr="007A15F4">
        <w:rPr>
          <w:rStyle w:val="LineNumber"/>
          <w:noProof w:val="0"/>
          <w:lang w:val="en-AU"/>
        </w:rPr>
        <w:t>Please outline how the program design considers efficiency and value for money</w:t>
      </w:r>
    </w:p>
    <w:p w14:paraId="261EA88B" w14:textId="3FE744E6" w:rsidR="006C7AB0" w:rsidRPr="007A15F4" w:rsidRDefault="006C7AB0" w:rsidP="00DC3EBD">
      <w:pPr>
        <w:pStyle w:val="ListBullet"/>
        <w:numPr>
          <w:ilvl w:val="1"/>
          <w:numId w:val="26"/>
        </w:numPr>
        <w:rPr>
          <w:rStyle w:val="LineNumber"/>
          <w:noProof w:val="0"/>
          <w:lang w:val="en-AU"/>
        </w:rPr>
      </w:pPr>
      <w:r w:rsidRPr="007A15F4">
        <w:rPr>
          <w:rStyle w:val="LineNumber"/>
          <w:noProof w:val="0"/>
          <w:lang w:val="en-AU"/>
        </w:rPr>
        <w:t>Does your agency have data on the average cost of program expenses per volunteer/participant? Can this be shared with the evaluation team?</w:t>
      </w:r>
    </w:p>
    <w:p w14:paraId="0134ABD9" w14:textId="77777777" w:rsidR="006C7AB0" w:rsidRPr="007A15F4" w:rsidRDefault="006C7AB0" w:rsidP="00DC3EBD">
      <w:pPr>
        <w:pStyle w:val="ListBullet"/>
        <w:rPr>
          <w:rStyle w:val="LineNumber"/>
          <w:noProof w:val="0"/>
          <w:lang w:val="en-AU"/>
        </w:rPr>
      </w:pPr>
      <w:r w:rsidRPr="007A15F4">
        <w:rPr>
          <w:rStyle w:val="LineNumber"/>
          <w:noProof w:val="0"/>
          <w:lang w:val="en-AU"/>
        </w:rPr>
        <w:t xml:space="preserve">What changes/adaptations, if any, has your program made due to the COVID-19 pandemic and/or other global movements e.g. the localisation agenda? </w:t>
      </w:r>
    </w:p>
    <w:p w14:paraId="1C7D4BB5" w14:textId="5E511643" w:rsidR="006C7AB0" w:rsidRPr="007A15F4" w:rsidRDefault="006C7AB0" w:rsidP="00DC3EBD">
      <w:pPr>
        <w:pStyle w:val="ListBullet"/>
        <w:numPr>
          <w:ilvl w:val="1"/>
          <w:numId w:val="26"/>
        </w:numPr>
        <w:rPr>
          <w:rStyle w:val="LineNumber"/>
          <w:noProof w:val="0"/>
          <w:lang w:val="en-AU"/>
        </w:rPr>
      </w:pPr>
      <w:r w:rsidRPr="007A15F4">
        <w:rPr>
          <w:rStyle w:val="LineNumber"/>
          <w:noProof w:val="0"/>
          <w:lang w:val="en-AU"/>
        </w:rPr>
        <w:t>Will these be ongoing?</w:t>
      </w:r>
    </w:p>
    <w:p w14:paraId="0DCE2A5C" w14:textId="77777777" w:rsidR="006C7AB0" w:rsidRPr="007A15F4" w:rsidRDefault="006C7AB0" w:rsidP="00DC3EBD">
      <w:pPr>
        <w:pStyle w:val="ListBullet"/>
        <w:rPr>
          <w:noProof w:val="0"/>
          <w:lang w:val="en-AU"/>
        </w:rPr>
      </w:pPr>
      <w:r w:rsidRPr="007A15F4">
        <w:rPr>
          <w:noProof w:val="0"/>
          <w:lang w:val="en-AU"/>
        </w:rPr>
        <w:t xml:space="preserve">What does your agency see as the future direction of volunteering? </w:t>
      </w:r>
    </w:p>
    <w:p w14:paraId="71F0D46F" w14:textId="77777777" w:rsidR="006C7AB0" w:rsidRPr="007A15F4" w:rsidRDefault="006C7AB0" w:rsidP="00511E02">
      <w:pPr>
        <w:pStyle w:val="Annextitle"/>
        <w:rPr>
          <w:noProof w:val="0"/>
        </w:rPr>
      </w:pPr>
    </w:p>
    <w:sectPr w:rsidR="006C7AB0" w:rsidRPr="007A15F4" w:rsidSect="00CA57E7">
      <w:pgSz w:w="12240" w:h="15840"/>
      <w:pgMar w:top="1440" w:right="1080" w:bottom="1440" w:left="1080" w:header="648" w:footer="648"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E9CA8" w14:textId="77777777" w:rsidR="00474E71" w:rsidRDefault="00474E71" w:rsidP="00A15B44">
      <w:r>
        <w:separator/>
      </w:r>
    </w:p>
    <w:p w14:paraId="5E5CB6FD" w14:textId="77777777" w:rsidR="00474E71" w:rsidRDefault="00474E71" w:rsidP="00A15B44"/>
  </w:endnote>
  <w:endnote w:type="continuationSeparator" w:id="0">
    <w:p w14:paraId="5D2D60F3" w14:textId="77777777" w:rsidR="00474E71" w:rsidRDefault="00474E71" w:rsidP="00A15B44">
      <w:r>
        <w:continuationSeparator/>
      </w:r>
    </w:p>
    <w:p w14:paraId="30ED2D1C" w14:textId="77777777" w:rsidR="00474E71" w:rsidRDefault="00474E71" w:rsidP="00A15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otham Rounded Book">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70077"/>
      <w:docPartObj>
        <w:docPartGallery w:val="Page Numbers (Bottom of Page)"/>
        <w:docPartUnique/>
      </w:docPartObj>
    </w:sdtPr>
    <w:sdtEndPr>
      <w:rPr>
        <w:noProof/>
        <w:sz w:val="18"/>
        <w:szCs w:val="18"/>
      </w:rPr>
    </w:sdtEndPr>
    <w:sdtContent>
      <w:p w14:paraId="11FF127A" w14:textId="77777777" w:rsidR="00AB0B38" w:rsidRPr="00511E02" w:rsidRDefault="00AB0B38"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Pr="00511E02">
          <w:rPr>
            <w:noProof/>
            <w:sz w:val="18"/>
            <w:szCs w:val="18"/>
          </w:rPr>
          <w:t>2</w:t>
        </w:r>
        <w:r w:rsidRPr="00511E02">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732751"/>
      <w:docPartObj>
        <w:docPartGallery w:val="Page Numbers (Bottom of Page)"/>
        <w:docPartUnique/>
      </w:docPartObj>
    </w:sdtPr>
    <w:sdtEndPr>
      <w:rPr>
        <w:noProof/>
        <w:sz w:val="18"/>
        <w:szCs w:val="18"/>
      </w:rPr>
    </w:sdtEndPr>
    <w:sdtContent>
      <w:p w14:paraId="6D7FFD50" w14:textId="5FDF441A" w:rsidR="00AB0B38" w:rsidRPr="00511E02" w:rsidRDefault="00AB0B38"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Pr>
            <w:noProof/>
            <w:sz w:val="18"/>
            <w:szCs w:val="18"/>
          </w:rPr>
          <w:t>iv</w:t>
        </w:r>
        <w:r w:rsidRPr="00511E0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AB0B38" w14:paraId="53C0DE67" w14:textId="77777777" w:rsidTr="093618CD">
      <w:tc>
        <w:tcPr>
          <w:tcW w:w="4118" w:type="dxa"/>
        </w:tcPr>
        <w:p w14:paraId="637296D0" w14:textId="77777777" w:rsidR="00AB0B38" w:rsidRDefault="00AB0B38" w:rsidP="00A15B44">
          <w:pPr>
            <w:pStyle w:val="Footer"/>
          </w:pPr>
          <w:r>
            <w:rPr>
              <w:noProof/>
              <w:lang w:val="en-AU" w:eastAsia="en-AU"/>
            </w:rPr>
            <w:drawing>
              <wp:anchor distT="0" distB="0" distL="114300" distR="114300" simplePos="0" relativeHeight="251657216" behindDoc="0" locked="0" layoutInCell="1" allowOverlap="1" wp14:anchorId="31DE196E" wp14:editId="03B3FDD6">
                <wp:simplePos x="752475" y="8915400"/>
                <wp:positionH relativeFrom="margin">
                  <wp:align>left</wp:align>
                </wp:positionH>
                <wp:positionV relativeFrom="margin">
                  <wp:align>center</wp:align>
                </wp:positionV>
                <wp:extent cx="847725" cy="238125"/>
                <wp:effectExtent l="0" t="0" r="9525"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3E10A3D9" w14:textId="77777777" w:rsidR="00AB0B38" w:rsidRPr="001676C3" w:rsidRDefault="00AB0B38" w:rsidP="00A15B44">
          <w:pPr>
            <w:pStyle w:val="Footer"/>
          </w:pPr>
          <w:r w:rsidRPr="001676C3">
            <w:fldChar w:fldCharType="begin"/>
          </w:r>
          <w:r w:rsidRPr="001676C3">
            <w:instrText xml:space="preserve"> PAGE   \* MERGEFORMAT </w:instrText>
          </w:r>
          <w:r w:rsidRPr="001676C3">
            <w:fldChar w:fldCharType="separate"/>
          </w:r>
          <w:r>
            <w:rPr>
              <w:noProof/>
            </w:rPr>
            <w:t>i</w:t>
          </w:r>
          <w:r w:rsidRPr="001676C3">
            <w:fldChar w:fldCharType="end"/>
          </w:r>
        </w:p>
      </w:tc>
      <w:tc>
        <w:tcPr>
          <w:tcW w:w="4119" w:type="dxa"/>
          <w:vAlign w:val="center"/>
        </w:tcPr>
        <w:p w14:paraId="1F6A8018" w14:textId="77777777" w:rsidR="00AB0B38" w:rsidRDefault="00AB0B38" w:rsidP="00A15B44">
          <w:pPr>
            <w:pStyle w:val="Footer"/>
          </w:pPr>
          <w:r>
            <w:t>Footer Information</w:t>
          </w:r>
        </w:p>
      </w:tc>
    </w:tr>
  </w:tbl>
  <w:p w14:paraId="2920EC69" w14:textId="77777777" w:rsidR="00AB0B38" w:rsidRDefault="00AB0B38" w:rsidP="00A15B44">
    <w:pPr>
      <w:pStyle w:val="Footer"/>
    </w:pPr>
  </w:p>
  <w:p w14:paraId="6F1A4D8F" w14:textId="77777777" w:rsidR="00AB0B38" w:rsidRPr="00203C5B" w:rsidRDefault="00AB0B38" w:rsidP="00A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7ED2" w14:textId="77777777" w:rsidR="00474E71" w:rsidRDefault="00474E71" w:rsidP="00A15B44">
      <w:r>
        <w:separator/>
      </w:r>
    </w:p>
  </w:footnote>
  <w:footnote w:type="continuationSeparator" w:id="0">
    <w:p w14:paraId="2420A71E" w14:textId="77777777" w:rsidR="00474E71" w:rsidRDefault="00474E71" w:rsidP="00A15B44">
      <w:r>
        <w:continuationSeparator/>
      </w:r>
    </w:p>
    <w:p w14:paraId="13B7E086" w14:textId="77777777" w:rsidR="00474E71" w:rsidRDefault="00474E71" w:rsidP="00A15B44"/>
  </w:footnote>
  <w:footnote w:id="1">
    <w:p w14:paraId="0DA23FF6" w14:textId="77777777" w:rsidR="00AB0B38" w:rsidRPr="0057598F" w:rsidRDefault="00AB0B38" w:rsidP="00CA57E7">
      <w:pPr>
        <w:autoSpaceDE w:val="0"/>
        <w:autoSpaceDN w:val="0"/>
        <w:adjustRightInd w:val="0"/>
        <w:spacing w:before="80" w:after="0" w:line="240" w:lineRule="auto"/>
        <w:rPr>
          <w:rFonts w:eastAsia="Times New Roman" w:cs="Arial"/>
          <w:sz w:val="18"/>
          <w:szCs w:val="18"/>
          <w:lang w:eastAsia="en-AU"/>
        </w:rPr>
      </w:pPr>
      <w:r w:rsidRPr="0057598F">
        <w:rPr>
          <w:rStyle w:val="FootnoteReference"/>
          <w:rFonts w:cs="Arial"/>
          <w:sz w:val="18"/>
          <w:szCs w:val="18"/>
        </w:rPr>
        <w:footnoteRef/>
      </w:r>
      <w:r w:rsidRPr="0057598F">
        <w:rPr>
          <w:rFonts w:cs="Arial"/>
          <w:sz w:val="18"/>
          <w:szCs w:val="18"/>
        </w:rPr>
        <w:t xml:space="preserve"> North-South volunteering or exchange refers to the traditional model of sending skilled individuals from a developed country to a low</w:t>
      </w:r>
      <w:r>
        <w:rPr>
          <w:rFonts w:cs="Arial"/>
          <w:sz w:val="18"/>
          <w:szCs w:val="18"/>
        </w:rPr>
        <w:t>-</w:t>
      </w:r>
      <w:r w:rsidRPr="0057598F">
        <w:rPr>
          <w:rFonts w:cs="Arial"/>
          <w:sz w:val="18"/>
          <w:szCs w:val="18"/>
        </w:rPr>
        <w:t xml:space="preserve"> or middle-income country to share skills and knowledge. </w:t>
      </w:r>
    </w:p>
  </w:footnote>
  <w:footnote w:id="2">
    <w:p w14:paraId="247C7126" w14:textId="3F79A459" w:rsidR="00AB0B38" w:rsidRPr="0057598F" w:rsidRDefault="00AB0B38" w:rsidP="00CA57E7">
      <w:pPr>
        <w:pStyle w:val="FootnoteText"/>
        <w:spacing w:before="80"/>
        <w:rPr>
          <w:rFonts w:cs="Arial"/>
          <w:sz w:val="18"/>
          <w:szCs w:val="18"/>
        </w:rPr>
      </w:pPr>
      <w:r w:rsidRPr="0057598F">
        <w:rPr>
          <w:rStyle w:val="FootnoteReference"/>
          <w:rFonts w:cs="Arial"/>
          <w:sz w:val="18"/>
          <w:szCs w:val="18"/>
        </w:rPr>
        <w:footnoteRef/>
      </w:r>
      <w:r w:rsidRPr="0057598F">
        <w:rPr>
          <w:rFonts w:cs="Arial"/>
          <w:sz w:val="18"/>
          <w:szCs w:val="18"/>
        </w:rPr>
        <w:t xml:space="preserve"> ‘South-South and Triangular Cooperation in Action’, Norec 2019.</w:t>
      </w:r>
      <w:r>
        <w:rPr>
          <w:rFonts w:cs="Arial"/>
          <w:sz w:val="18"/>
          <w:szCs w:val="18"/>
        </w:rPr>
        <w:t xml:space="preserve"> </w:t>
      </w:r>
    </w:p>
  </w:footnote>
  <w:footnote w:id="3">
    <w:p w14:paraId="550D7BCC" w14:textId="77777777" w:rsidR="00AB0B38" w:rsidRPr="0057598F" w:rsidRDefault="00AB0B38" w:rsidP="00CA57E7">
      <w:pPr>
        <w:pStyle w:val="FootnoteText"/>
        <w:spacing w:before="80"/>
        <w:rPr>
          <w:rFonts w:cs="Arial"/>
          <w:sz w:val="18"/>
          <w:szCs w:val="18"/>
        </w:rPr>
      </w:pPr>
      <w:r w:rsidRPr="0057598F">
        <w:rPr>
          <w:rStyle w:val="FootnoteReference"/>
          <w:rFonts w:cs="Arial"/>
          <w:sz w:val="18"/>
          <w:szCs w:val="18"/>
        </w:rPr>
        <w:footnoteRef/>
      </w:r>
      <w:r w:rsidRPr="0057598F">
        <w:rPr>
          <w:rFonts w:cs="Arial"/>
          <w:sz w:val="18"/>
          <w:szCs w:val="18"/>
        </w:rPr>
        <w:t xml:space="preserve"> South-North volunteering or exchange refers to participants from a low- or middle-income country traveling to a developed country (usually the donor country) to </w:t>
      </w:r>
      <w:r>
        <w:rPr>
          <w:rFonts w:cs="Arial"/>
          <w:sz w:val="18"/>
          <w:szCs w:val="18"/>
        </w:rPr>
        <w:t>share</w:t>
      </w:r>
      <w:r w:rsidRPr="0057598F">
        <w:rPr>
          <w:rFonts w:cs="Arial"/>
          <w:sz w:val="18"/>
          <w:szCs w:val="18"/>
        </w:rPr>
        <w:t xml:space="preserve"> skills and knowledge. </w:t>
      </w:r>
    </w:p>
  </w:footnote>
  <w:footnote w:id="4">
    <w:p w14:paraId="01531568" w14:textId="77777777" w:rsidR="00AB0B38" w:rsidRPr="0057598F" w:rsidRDefault="00AB0B38" w:rsidP="00CA57E7">
      <w:pPr>
        <w:pStyle w:val="FootnoteText"/>
        <w:spacing w:before="80"/>
        <w:rPr>
          <w:rFonts w:cs="Arial"/>
          <w:sz w:val="18"/>
          <w:szCs w:val="18"/>
        </w:rPr>
      </w:pPr>
      <w:r w:rsidRPr="0057598F">
        <w:rPr>
          <w:rStyle w:val="FootnoteReference"/>
          <w:rFonts w:cs="Arial"/>
          <w:sz w:val="18"/>
          <w:szCs w:val="18"/>
        </w:rPr>
        <w:footnoteRef/>
      </w:r>
      <w:r w:rsidRPr="0057598F">
        <w:rPr>
          <w:rFonts w:cs="Arial"/>
          <w:sz w:val="18"/>
          <w:szCs w:val="18"/>
        </w:rPr>
        <w:t xml:space="preserve"> South-South volunteering</w:t>
      </w:r>
      <w:r>
        <w:rPr>
          <w:rFonts w:cs="Arial"/>
          <w:sz w:val="18"/>
          <w:szCs w:val="18"/>
        </w:rPr>
        <w:t xml:space="preserve"> or exchange</w:t>
      </w:r>
      <w:r w:rsidRPr="0057598F">
        <w:rPr>
          <w:rFonts w:cs="Arial"/>
          <w:sz w:val="18"/>
          <w:szCs w:val="18"/>
        </w:rPr>
        <w:t xml:space="preserve"> refers to an individual from a low- or middle-income country travelling to another low- or middle-income country </w:t>
      </w:r>
      <w:r>
        <w:rPr>
          <w:rFonts w:cs="Arial"/>
          <w:sz w:val="18"/>
          <w:szCs w:val="18"/>
        </w:rPr>
        <w:t>to share skills and knowledge</w:t>
      </w:r>
      <w:r w:rsidRPr="0057598F">
        <w:rPr>
          <w:rFonts w:cs="Arial"/>
          <w:sz w:val="18"/>
          <w:szCs w:val="18"/>
        </w:rPr>
        <w:t xml:space="preserve">. </w:t>
      </w:r>
    </w:p>
  </w:footnote>
  <w:footnote w:id="5">
    <w:p w14:paraId="6B68F784" w14:textId="77777777" w:rsidR="00AB0B38" w:rsidRPr="0057598F" w:rsidRDefault="00AB0B38" w:rsidP="00CA57E7">
      <w:pPr>
        <w:pStyle w:val="FootnoteText"/>
        <w:spacing w:before="80"/>
        <w:rPr>
          <w:rFonts w:cs="Arial"/>
          <w:sz w:val="18"/>
          <w:szCs w:val="18"/>
        </w:rPr>
      </w:pPr>
      <w:r w:rsidRPr="0057598F">
        <w:rPr>
          <w:rStyle w:val="FootnoteReference"/>
          <w:rFonts w:cs="Arial"/>
          <w:sz w:val="18"/>
          <w:szCs w:val="18"/>
        </w:rPr>
        <w:footnoteRef/>
      </w:r>
      <w:r w:rsidRPr="0057598F">
        <w:rPr>
          <w:rFonts w:cs="Arial"/>
          <w:sz w:val="18"/>
          <w:szCs w:val="18"/>
        </w:rPr>
        <w:t xml:space="preserve"> Local volunteering (also called community volunteering or national volunteering) involves nationals from their home country undertaking volunteering. </w:t>
      </w:r>
    </w:p>
  </w:footnote>
  <w:footnote w:id="6">
    <w:p w14:paraId="4E5ABF6C" w14:textId="77777777" w:rsidR="00AB0B38" w:rsidRPr="006A5063" w:rsidRDefault="00AB0B38" w:rsidP="00CA57E7">
      <w:pPr>
        <w:pStyle w:val="FootnoteText"/>
        <w:spacing w:before="80"/>
        <w:rPr>
          <w:rFonts w:cs="Arial"/>
          <w:sz w:val="16"/>
          <w:szCs w:val="16"/>
        </w:rPr>
      </w:pPr>
      <w:r w:rsidRPr="006A5063">
        <w:rPr>
          <w:rStyle w:val="FootnoteReference"/>
          <w:rFonts w:cs="Arial"/>
          <w:sz w:val="16"/>
          <w:szCs w:val="16"/>
        </w:rPr>
        <w:footnoteRef/>
      </w:r>
      <w:r w:rsidRPr="006A5063">
        <w:rPr>
          <w:rFonts w:cs="Arial"/>
          <w:sz w:val="16"/>
          <w:szCs w:val="16"/>
        </w:rPr>
        <w:t xml:space="preserve"> Australian Government, Department of Foreign Affairs and Trade (DFAT). ‘History of International Volunteering in Australia.’ Accessed online 4 January 2021, </w:t>
      </w:r>
      <w:hyperlink r:id="rId1" w:history="1">
        <w:r w:rsidRPr="006A5063">
          <w:rPr>
            <w:rStyle w:val="Hyperlink"/>
            <w:rFonts w:cs="Arial"/>
            <w:sz w:val="16"/>
            <w:szCs w:val="16"/>
          </w:rPr>
          <w:t>https://www.dfat.gov.au/people-to-people/volunteers/about-the-program/Pages/history</w:t>
        </w:r>
      </w:hyperlink>
    </w:p>
  </w:footnote>
  <w:footnote w:id="7">
    <w:p w14:paraId="0A6E5FCA" w14:textId="77777777" w:rsidR="00AB0B38" w:rsidRPr="006A5063" w:rsidRDefault="00AB0B38" w:rsidP="00CA57E7">
      <w:pPr>
        <w:pStyle w:val="FootnoteText"/>
        <w:spacing w:before="80"/>
        <w:rPr>
          <w:rFonts w:cs="Arial"/>
          <w:sz w:val="16"/>
          <w:szCs w:val="16"/>
        </w:rPr>
      </w:pPr>
      <w:r w:rsidRPr="006A5063">
        <w:rPr>
          <w:rStyle w:val="FootnoteReference"/>
          <w:rFonts w:cs="Arial"/>
          <w:sz w:val="16"/>
          <w:szCs w:val="16"/>
        </w:rPr>
        <w:footnoteRef/>
      </w:r>
      <w:r w:rsidRPr="006A5063">
        <w:rPr>
          <w:rFonts w:cs="Arial"/>
          <w:sz w:val="16"/>
          <w:szCs w:val="16"/>
        </w:rPr>
        <w:t xml:space="preserve"> Interviews with donors: Norwegian Agency for Exchange Cooperation (Norec, Norway), Foreign Commonwealth and Development Office (FCDO, UK), Ministry of Foreign Affairs and Trade (MFAT, New Zealand) and Global Affairs Canada (GAF, Canada) December 2020.</w:t>
      </w:r>
    </w:p>
  </w:footnote>
  <w:footnote w:id="8">
    <w:p w14:paraId="475D7BC9" w14:textId="77777777" w:rsidR="00AB0B38" w:rsidRPr="006A5063" w:rsidRDefault="00AB0B38" w:rsidP="00CA57E7">
      <w:pPr>
        <w:autoSpaceDE w:val="0"/>
        <w:autoSpaceDN w:val="0"/>
        <w:adjustRightInd w:val="0"/>
        <w:spacing w:before="80" w:after="0" w:line="240" w:lineRule="auto"/>
        <w:rPr>
          <w:rFonts w:eastAsia="Times New Roman" w:cs="Arial"/>
          <w:sz w:val="16"/>
          <w:szCs w:val="16"/>
          <w:lang w:eastAsia="en-AU"/>
        </w:rPr>
      </w:pPr>
      <w:r w:rsidRPr="006A5063">
        <w:rPr>
          <w:rStyle w:val="FootnoteReference"/>
          <w:rFonts w:cs="Arial"/>
          <w:sz w:val="16"/>
          <w:szCs w:val="16"/>
        </w:rPr>
        <w:footnoteRef/>
      </w:r>
      <w:r w:rsidRPr="006A5063">
        <w:rPr>
          <w:rFonts w:cs="Arial"/>
          <w:sz w:val="16"/>
          <w:szCs w:val="16"/>
        </w:rPr>
        <w:t xml:space="preserve"> North-South volunteering or exchange refers to the traditional model of sending skilled individuals from a developed country to a low- or middle-income country to share skills and knowledge. This model tends to imply that the expertise is usually one way. Margaret S. Sherraden, Benjamin Lough, and Amanda Moore McBride. ‘Effects of International Volunteering and Service: Individual and Institutional Predictors.’ </w:t>
      </w:r>
      <w:r w:rsidRPr="006A5063">
        <w:rPr>
          <w:rFonts w:cs="Arial"/>
          <w:i/>
          <w:sz w:val="16"/>
          <w:szCs w:val="16"/>
        </w:rPr>
        <w:t>Voluntas</w:t>
      </w:r>
      <w:r w:rsidRPr="006A5063">
        <w:rPr>
          <w:rFonts w:cs="Arial"/>
          <w:sz w:val="16"/>
          <w:szCs w:val="16"/>
        </w:rPr>
        <w:t xml:space="preserve">, issue 19, 2008: 395-421 </w:t>
      </w:r>
    </w:p>
  </w:footnote>
  <w:footnote w:id="9">
    <w:p w14:paraId="686298B9" w14:textId="77777777" w:rsidR="00AB0B38" w:rsidRPr="006A5063" w:rsidRDefault="00AB0B38" w:rsidP="00CA57E7">
      <w:pPr>
        <w:pStyle w:val="FootnoteText"/>
        <w:spacing w:before="80"/>
        <w:rPr>
          <w:rFonts w:cs="Arial"/>
          <w:sz w:val="16"/>
          <w:szCs w:val="16"/>
        </w:rPr>
      </w:pPr>
      <w:r w:rsidRPr="006A5063">
        <w:rPr>
          <w:rStyle w:val="FootnoteReference"/>
          <w:rFonts w:cs="Arial"/>
          <w:sz w:val="16"/>
          <w:szCs w:val="16"/>
        </w:rPr>
        <w:footnoteRef/>
      </w:r>
      <w:r w:rsidRPr="006A5063">
        <w:rPr>
          <w:rFonts w:cs="Arial"/>
          <w:sz w:val="16"/>
          <w:szCs w:val="16"/>
        </w:rPr>
        <w:t xml:space="preserve"> South-North volunteering or exchange refers to participants from a low- or middle-income country traveling to a developed country (usually the donor country) to exchange skills and knowledge. </w:t>
      </w:r>
    </w:p>
  </w:footnote>
  <w:footnote w:id="10">
    <w:p w14:paraId="2989CEB8" w14:textId="77777777" w:rsidR="00AB0B38" w:rsidRPr="006A5063" w:rsidRDefault="00AB0B38" w:rsidP="00CA57E7">
      <w:pPr>
        <w:pStyle w:val="FootnoteText"/>
        <w:spacing w:before="80"/>
        <w:rPr>
          <w:rFonts w:cs="Arial"/>
          <w:sz w:val="16"/>
          <w:szCs w:val="16"/>
        </w:rPr>
      </w:pPr>
      <w:r w:rsidRPr="006A5063">
        <w:rPr>
          <w:rStyle w:val="FootnoteReference"/>
          <w:rFonts w:cs="Arial"/>
          <w:sz w:val="16"/>
          <w:szCs w:val="16"/>
        </w:rPr>
        <w:footnoteRef/>
      </w:r>
      <w:r w:rsidRPr="006A5063">
        <w:rPr>
          <w:rFonts w:cs="Arial"/>
          <w:sz w:val="16"/>
          <w:szCs w:val="16"/>
        </w:rPr>
        <w:t xml:space="preserve"> South-South co-operation as defined by the Organisation for Economic Co-operation and Development (OECD) refers to the sharing of knowledge and resources between, typically, middle-income countries with the aim of identifying effective practices. Taken from OECD.org. ‘Task Team on South-South Cooperation’ accessed online 4 January 2021 </w:t>
      </w:r>
      <w:hyperlink r:id="rId2" w:history="1">
        <w:r w:rsidRPr="006A5063">
          <w:rPr>
            <w:rStyle w:val="Hyperlink"/>
            <w:rFonts w:cs="Arial"/>
            <w:sz w:val="16"/>
            <w:szCs w:val="16"/>
          </w:rPr>
          <w:t>https://www.oecd.org/dac/effectiveness/taskteamonSouth-Southco-operation.htm</w:t>
        </w:r>
      </w:hyperlink>
      <w:r w:rsidRPr="006A5063">
        <w:rPr>
          <w:rFonts w:cs="Arial"/>
          <w:sz w:val="16"/>
          <w:szCs w:val="16"/>
        </w:rPr>
        <w:t xml:space="preserve">. In relation to volunteering or exchange this refers to an individual from a low- or middle-income country travelling to another low- or middle-income country for the purpose of participating in the program. </w:t>
      </w:r>
    </w:p>
  </w:footnote>
  <w:footnote w:id="11">
    <w:p w14:paraId="26CC36B2" w14:textId="77777777" w:rsidR="00AB0B38" w:rsidRPr="006A5063" w:rsidRDefault="00AB0B38" w:rsidP="00CA57E7">
      <w:pPr>
        <w:pStyle w:val="FootnoteText"/>
        <w:spacing w:before="80"/>
        <w:rPr>
          <w:rFonts w:eastAsia="Times New Roman" w:cs="Arial"/>
          <w:color w:val="333333"/>
          <w:sz w:val="16"/>
          <w:szCs w:val="16"/>
          <w:lang w:eastAsia="en-AU"/>
        </w:rPr>
      </w:pPr>
      <w:r w:rsidRPr="006A5063">
        <w:rPr>
          <w:rStyle w:val="FootnoteReference"/>
          <w:rFonts w:cs="Arial"/>
          <w:sz w:val="16"/>
          <w:szCs w:val="16"/>
        </w:rPr>
        <w:footnoteRef/>
      </w:r>
      <w:r w:rsidRPr="006A5063">
        <w:rPr>
          <w:rStyle w:val="FootnoteReference"/>
          <w:rFonts w:cs="Arial"/>
          <w:sz w:val="16"/>
          <w:szCs w:val="16"/>
        </w:rPr>
        <w:t xml:space="preserve"> </w:t>
      </w:r>
      <w:r w:rsidRPr="006A5063">
        <w:rPr>
          <w:rFonts w:cs="Arial"/>
          <w:sz w:val="16"/>
          <w:szCs w:val="16"/>
        </w:rPr>
        <w:t xml:space="preserve">Triangular cooperation as defined by the OECD refers to a beneficiary partner seeking support to tackle a specific development challenge; the pivotal partner having proven experience in the issue, and sharing its resources, knowledge and expertise; and the facilitating partner helping connect the beneficiary and the pivotal partners, supporting their collaboration financially and technically. Taken from OECD.org. ‘Triangular cooperation’ accessed online 4 January 2021 </w:t>
      </w:r>
      <w:hyperlink r:id="rId3" w:anchor="ourWork" w:history="1">
        <w:r w:rsidRPr="006A5063">
          <w:rPr>
            <w:rStyle w:val="Hyperlink"/>
            <w:rFonts w:cs="Arial"/>
            <w:sz w:val="16"/>
            <w:szCs w:val="16"/>
          </w:rPr>
          <w:t>http://www.oecd.org/dac/triangular-cooperation/#ourWork</w:t>
        </w:r>
      </w:hyperlink>
      <w:r w:rsidRPr="006A5063">
        <w:rPr>
          <w:rFonts w:cs="Arial"/>
          <w:sz w:val="16"/>
          <w:szCs w:val="16"/>
        </w:rPr>
        <w:t xml:space="preserve">. </w:t>
      </w:r>
    </w:p>
  </w:footnote>
  <w:footnote w:id="12">
    <w:p w14:paraId="035B19F1" w14:textId="77777777" w:rsidR="00AB0B38" w:rsidRPr="0057598F" w:rsidRDefault="00AB0B38" w:rsidP="00CA57E7">
      <w:pPr>
        <w:pStyle w:val="FootnoteText"/>
        <w:spacing w:before="80"/>
        <w:rPr>
          <w:rFonts w:cs="Arial"/>
          <w:sz w:val="18"/>
          <w:szCs w:val="18"/>
        </w:rPr>
      </w:pPr>
      <w:r w:rsidRPr="006A5063">
        <w:rPr>
          <w:rStyle w:val="FootnoteReference"/>
          <w:rFonts w:cs="Arial"/>
          <w:sz w:val="16"/>
          <w:szCs w:val="16"/>
        </w:rPr>
        <w:footnoteRef/>
      </w:r>
      <w:r w:rsidRPr="006A5063">
        <w:rPr>
          <w:rFonts w:cs="Arial"/>
          <w:sz w:val="16"/>
          <w:szCs w:val="16"/>
        </w:rPr>
        <w:t xml:space="preserve"> Local volunteering (also called community volunteering or national volunteering) involves nationals from their home country undertaking volunteering. </w:t>
      </w:r>
    </w:p>
  </w:footnote>
  <w:footnote w:id="13">
    <w:p w14:paraId="490B630C" w14:textId="2C2D4E06" w:rsidR="00AB0B38" w:rsidRPr="00FA6D7D" w:rsidRDefault="00AB0B38" w:rsidP="00CA57E7">
      <w:pPr>
        <w:spacing w:before="80" w:after="0"/>
        <w:rPr>
          <w:rFonts w:cs="Arial"/>
          <w:sz w:val="16"/>
          <w:szCs w:val="16"/>
        </w:rPr>
      </w:pPr>
      <w:r w:rsidRPr="00FA6D7D">
        <w:rPr>
          <w:rStyle w:val="FootnoteReference"/>
          <w:rFonts w:cs="Arial"/>
          <w:sz w:val="16"/>
          <w:szCs w:val="16"/>
        </w:rPr>
        <w:footnoteRef/>
      </w:r>
      <w:r w:rsidRPr="00FA6D7D">
        <w:rPr>
          <w:rFonts w:cs="Arial"/>
          <w:sz w:val="16"/>
          <w:szCs w:val="16"/>
        </w:rPr>
        <w:t xml:space="preserve"> These organisations included: the OSB; the Australian Expert Services Overseas Program; the Paulian Lay Missionary Service; Interserve; Thailand-Australia Youth Ambassadors Program (also managed by OSB); FORESIGHT; Fred Hollows Foundation; The Australian Cranio-Maxillo Facial; and Médecins Sans Frontières.</w:t>
      </w:r>
    </w:p>
  </w:footnote>
  <w:footnote w:id="14">
    <w:p w14:paraId="68E21576" w14:textId="3A7642D6" w:rsidR="00AB0B38" w:rsidRPr="0057598F" w:rsidRDefault="00AB0B38" w:rsidP="00CA57E7">
      <w:pPr>
        <w:pStyle w:val="FootnoteText"/>
        <w:spacing w:before="80"/>
        <w:rPr>
          <w:rFonts w:cs="Arial"/>
          <w:sz w:val="18"/>
          <w:szCs w:val="18"/>
        </w:rPr>
      </w:pPr>
      <w:r w:rsidRPr="00FA6D7D">
        <w:rPr>
          <w:rStyle w:val="FootnoteReference"/>
          <w:rFonts w:cs="Arial"/>
          <w:sz w:val="16"/>
          <w:szCs w:val="16"/>
        </w:rPr>
        <w:footnoteRef/>
      </w:r>
      <w:r w:rsidRPr="00FA6D7D">
        <w:rPr>
          <w:rFonts w:cs="Arial"/>
          <w:sz w:val="16"/>
          <w:szCs w:val="16"/>
        </w:rPr>
        <w:t xml:space="preserve"> DFAT. ‘History of International Volunteering in Australia.’ Accessed online 4 January 2021, </w:t>
      </w:r>
      <w:hyperlink r:id="rId4" w:history="1">
        <w:r w:rsidRPr="00FA6D7D">
          <w:rPr>
            <w:rStyle w:val="Hyperlink"/>
            <w:rFonts w:cs="Arial"/>
            <w:sz w:val="16"/>
            <w:szCs w:val="16"/>
          </w:rPr>
          <w:t>https://www.dfat.gov.au/people-to-people/volunteers/about-the-program/Pages/history</w:t>
        </w:r>
      </w:hyperlink>
    </w:p>
  </w:footnote>
  <w:footnote w:id="15">
    <w:p w14:paraId="05BFABDB" w14:textId="77777777" w:rsidR="00C53B26" w:rsidRPr="00FA6D7D" w:rsidRDefault="00C53B26"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Partner organisations include: Canadian Executive Service Organisation (CESO), Co-operative Development Foundation of Canada (CDFC), Centre for International Studies and Cooperation (CECI), Crossroads International, Cuso International, Foundation Paul Gérin-Lajoie (French) (consortium with Éducation Internationale and Fédération des Cégeps), International Bureau for Children’s Rights, Oxfam-Québec (French), SUCO (French), UPA Développement international (French), Veterinians Without Borders, WUSC (World University Service of Canada), and Youth Challenge International. </w:t>
      </w:r>
    </w:p>
  </w:footnote>
  <w:footnote w:id="16">
    <w:p w14:paraId="28EA26A0" w14:textId="77777777" w:rsidR="00C53B26" w:rsidRPr="00FA6D7D" w:rsidRDefault="00C53B26"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The ICS2 is the youth stream of the UK’s volunteering program and delivered by VSO in consortium </w:t>
      </w:r>
      <w:r w:rsidRPr="00FA6D7D">
        <w:rPr>
          <w:rFonts w:cs="Arial"/>
          <w:color w:val="000000"/>
          <w:sz w:val="16"/>
          <w:szCs w:val="16"/>
        </w:rPr>
        <w:t xml:space="preserve">with Restless Development and Raleigh International. </w:t>
      </w:r>
    </w:p>
  </w:footnote>
  <w:footnote w:id="17">
    <w:p w14:paraId="038D7055" w14:textId="77777777" w:rsidR="00C53B26" w:rsidRPr="00FA6D7D" w:rsidRDefault="00C53B26"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Norec does reference volunteers on their website but in an interview for this evaluation (December 2020) said their exchange participants aren’t considered volunteers.</w:t>
      </w:r>
    </w:p>
  </w:footnote>
  <w:footnote w:id="18">
    <w:p w14:paraId="1A1EBF17" w14:textId="512F7353" w:rsidR="00C53B26" w:rsidRPr="0057598F" w:rsidRDefault="00C53B26" w:rsidP="00CA57E7">
      <w:pPr>
        <w:pStyle w:val="FootnoteText"/>
        <w:spacing w:before="80"/>
        <w:rPr>
          <w:rFonts w:cs="Arial"/>
          <w:sz w:val="18"/>
          <w:szCs w:val="18"/>
        </w:rPr>
      </w:pPr>
      <w:r w:rsidRPr="00FA6D7D">
        <w:rPr>
          <w:rStyle w:val="FootnoteReference"/>
          <w:rFonts w:cs="Arial"/>
          <w:sz w:val="16"/>
          <w:szCs w:val="16"/>
        </w:rPr>
        <w:footnoteRef/>
      </w:r>
      <w:r w:rsidRPr="00FA6D7D">
        <w:rPr>
          <w:rFonts w:cs="Arial"/>
          <w:sz w:val="16"/>
          <w:szCs w:val="16"/>
        </w:rPr>
        <w:t xml:space="preserve"> Support for national volunteering is occurring as part of the COVID-19 response however is not included in the current design of Canada’s VCP. </w:t>
      </w:r>
    </w:p>
  </w:footnote>
  <w:footnote w:id="19">
    <w:p w14:paraId="38BF3EEB" w14:textId="110C7D82"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VSA’s Annual Review: ‘A world with thriving communities. Highlights of our work in the Pacific and beyond, July 2019</w:t>
      </w:r>
      <w:r>
        <w:rPr>
          <w:rFonts w:cs="Arial"/>
          <w:sz w:val="16"/>
          <w:szCs w:val="16"/>
        </w:rPr>
        <w:t xml:space="preserve">–30 </w:t>
      </w:r>
      <w:r w:rsidRPr="00FA6D7D">
        <w:rPr>
          <w:rFonts w:cs="Arial"/>
          <w:sz w:val="16"/>
          <w:szCs w:val="16"/>
        </w:rPr>
        <w:t>June 2020’. VSA.</w:t>
      </w:r>
    </w:p>
  </w:footnote>
  <w:footnote w:id="20">
    <w:p w14:paraId="7758B649" w14:textId="77777777" w:rsidR="00AB0B38" w:rsidRPr="006C7AB0" w:rsidRDefault="00AB0B38" w:rsidP="00CA57E7">
      <w:pPr>
        <w:spacing w:before="80" w:after="0"/>
        <w:rPr>
          <w:rFonts w:cs="Arial"/>
          <w:color w:val="000000"/>
          <w:sz w:val="18"/>
          <w:szCs w:val="18"/>
        </w:rPr>
      </w:pPr>
      <w:r w:rsidRPr="00FA6D7D">
        <w:rPr>
          <w:rStyle w:val="FootnoteReference"/>
          <w:rFonts w:cs="Arial"/>
          <w:sz w:val="16"/>
          <w:szCs w:val="16"/>
        </w:rPr>
        <w:footnoteRef/>
      </w:r>
      <w:r w:rsidRPr="00FA6D7D">
        <w:rPr>
          <w:rFonts w:cs="Arial"/>
          <w:sz w:val="16"/>
          <w:szCs w:val="16"/>
        </w:rPr>
        <w:t xml:space="preserve"> Cited on VSA ‘About VSA’. Accessed online 4 January 2021 at </w:t>
      </w:r>
      <w:hyperlink r:id="rId5" w:history="1">
        <w:r w:rsidRPr="00FA6D7D">
          <w:rPr>
            <w:rStyle w:val="Hyperlink"/>
            <w:rFonts w:cs="Arial"/>
            <w:sz w:val="16"/>
            <w:szCs w:val="16"/>
          </w:rPr>
          <w:t>https://vsa.org.nz/about-vsa/</w:t>
        </w:r>
      </w:hyperlink>
      <w:r w:rsidRPr="00FA6D7D">
        <w:rPr>
          <w:rStyle w:val="Hyperlink"/>
          <w:rFonts w:cs="Arial"/>
          <w:sz w:val="16"/>
          <w:szCs w:val="16"/>
        </w:rPr>
        <w:t>.</w:t>
      </w:r>
      <w:r w:rsidRPr="00FA6D7D">
        <w:rPr>
          <w:rFonts w:cs="Arial"/>
          <w:sz w:val="16"/>
          <w:szCs w:val="16"/>
        </w:rPr>
        <w:t xml:space="preserve"> </w:t>
      </w:r>
    </w:p>
  </w:footnote>
  <w:footnote w:id="21">
    <w:p w14:paraId="21560941" w14:textId="77777777" w:rsidR="00AB0B38" w:rsidRPr="00FA6D7D" w:rsidRDefault="00AB0B38" w:rsidP="00597623">
      <w:pPr>
        <w:pStyle w:val="FootnoteText"/>
        <w:rPr>
          <w:rFonts w:cs="Arial"/>
          <w:sz w:val="16"/>
          <w:szCs w:val="16"/>
        </w:rPr>
      </w:pPr>
      <w:r w:rsidRPr="00FA6D7D">
        <w:rPr>
          <w:rStyle w:val="FootnoteReference"/>
          <w:rFonts w:cs="Arial"/>
          <w:sz w:val="16"/>
          <w:szCs w:val="16"/>
        </w:rPr>
        <w:footnoteRef/>
      </w:r>
      <w:r w:rsidRPr="00FA6D7D">
        <w:rPr>
          <w:rFonts w:cs="Arial"/>
          <w:sz w:val="16"/>
          <w:szCs w:val="16"/>
        </w:rPr>
        <w:t xml:space="preserve"> Interview with MFAT, (December 2020). </w:t>
      </w:r>
    </w:p>
  </w:footnote>
  <w:footnote w:id="22">
    <w:p w14:paraId="5CF95C96" w14:textId="05665371" w:rsidR="00AB0B38" w:rsidRPr="00FA6D7D" w:rsidRDefault="00AB0B38" w:rsidP="00AE0F1C">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Government of Canada. ‘Volunteer Cooperation Program.’ Accessed online 4 January 2021 </w:t>
      </w:r>
      <w:hyperlink r:id="rId6" w:history="1">
        <w:r w:rsidRPr="00FA6D7D">
          <w:rPr>
            <w:rStyle w:val="Hyperlink"/>
            <w:rFonts w:cs="Arial"/>
            <w:sz w:val="16"/>
            <w:szCs w:val="16"/>
          </w:rPr>
          <w:t>https://www.international.gc.ca/world-monde/study_work_travel-etude_travail_voyage/volunteer_cooperation_program-programme_cooperation_volontaire.aspx?lang=eng</w:t>
        </w:r>
      </w:hyperlink>
      <w:r w:rsidRPr="00FA6D7D">
        <w:rPr>
          <w:sz w:val="16"/>
          <w:szCs w:val="16"/>
        </w:rPr>
        <w:t xml:space="preserve"> </w:t>
      </w:r>
      <w:r w:rsidRPr="00FA6D7D">
        <w:rPr>
          <w:rFonts w:cs="Arial"/>
          <w:sz w:val="16"/>
          <w:szCs w:val="16"/>
        </w:rPr>
        <w:t>and interview with Global Affairs Canada (December 2020).</w:t>
      </w:r>
    </w:p>
  </w:footnote>
  <w:footnote w:id="23">
    <w:p w14:paraId="2B04E882" w14:textId="77777777"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CESO, CDFC, CECI, Crossroads International, Cuso International, Foundation Paul Gérin-Lajoie (French) (consortium with Éducation Internationale and Fédération des Cégeps), International Bureau for Children’s Rights, Oxfam-Québec (French), SUCO (French), UPA Développement international (French), Veterinians Without Borders, WUSC, Youth Challenge International.</w:t>
      </w:r>
    </w:p>
  </w:footnote>
  <w:footnote w:id="24">
    <w:p w14:paraId="76587F8A" w14:textId="35F30066"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Style w:val="FootnoteReference"/>
          <w:rFonts w:cs="Arial"/>
          <w:sz w:val="16"/>
          <w:szCs w:val="16"/>
        </w:rPr>
        <w:t xml:space="preserve"> </w:t>
      </w:r>
      <w:r w:rsidRPr="00FA6D7D">
        <w:rPr>
          <w:rFonts w:cs="Arial"/>
          <w:sz w:val="16"/>
          <w:szCs w:val="16"/>
        </w:rPr>
        <w:t xml:space="preserve">Government of Canada. ‘Volunteer Cooperation Program.’ Accessed online 4 January 2021 </w:t>
      </w:r>
      <w:hyperlink r:id="rId7" w:history="1">
        <w:r w:rsidRPr="00FA6D7D">
          <w:rPr>
            <w:rStyle w:val="Hyperlink"/>
            <w:rFonts w:cs="Arial"/>
            <w:sz w:val="16"/>
            <w:szCs w:val="16"/>
          </w:rPr>
          <w:t>https://www.international.gc.ca/world-monde/study_work_travel-etude_travail_voyage/volunteer_cooperation_program-programme_cooperation_volontaire.aspx?lang=eng</w:t>
        </w:r>
      </w:hyperlink>
      <w:r w:rsidRPr="00FA6D7D">
        <w:rPr>
          <w:rFonts w:cs="Arial"/>
          <w:sz w:val="16"/>
          <w:szCs w:val="16"/>
        </w:rPr>
        <w:t xml:space="preserve">  </w:t>
      </w:r>
    </w:p>
  </w:footnote>
  <w:footnote w:id="25">
    <w:p w14:paraId="3C21D9CD" w14:textId="46631781" w:rsidR="00AB0B38" w:rsidRPr="0057598F" w:rsidRDefault="00AB0B38" w:rsidP="00CA57E7">
      <w:pPr>
        <w:pStyle w:val="FootnoteText"/>
        <w:spacing w:before="80"/>
        <w:rPr>
          <w:rFonts w:cs="Arial"/>
          <w:sz w:val="18"/>
          <w:szCs w:val="18"/>
        </w:rPr>
      </w:pPr>
      <w:r w:rsidRPr="00FA6D7D">
        <w:rPr>
          <w:rStyle w:val="FootnoteReference"/>
          <w:rFonts w:cs="Arial"/>
          <w:sz w:val="16"/>
          <w:szCs w:val="16"/>
        </w:rPr>
        <w:footnoteRef/>
      </w:r>
      <w:r w:rsidRPr="00FA6D7D">
        <w:rPr>
          <w:rStyle w:val="FootnoteReference"/>
          <w:rFonts w:cs="Arial"/>
          <w:sz w:val="16"/>
          <w:szCs w:val="16"/>
        </w:rPr>
        <w:t xml:space="preserve"> </w:t>
      </w:r>
      <w:r w:rsidRPr="00FA6D7D">
        <w:rPr>
          <w:rFonts w:cs="Arial"/>
          <w:sz w:val="16"/>
          <w:szCs w:val="16"/>
        </w:rPr>
        <w:t xml:space="preserve">Government of Canada. ‘Policy on Cost-Sharing for Grant and Non-Repayable Contribution Agreements’ July 2019. Accessed online 4 January 2021 </w:t>
      </w:r>
      <w:hyperlink r:id="rId8" w:history="1">
        <w:r w:rsidRPr="00FA6D7D">
          <w:rPr>
            <w:rStyle w:val="Hyperlink"/>
            <w:rFonts w:cs="Arial"/>
            <w:sz w:val="16"/>
            <w:szCs w:val="16"/>
          </w:rPr>
          <w:t>https://www.international.gc.ca/development-developpement/partners-partenaires/bt-oa/cost_sharing-partage_couts.aspx?lang=eng</w:t>
        </w:r>
      </w:hyperlink>
      <w:r w:rsidRPr="00FA6D7D">
        <w:rPr>
          <w:rFonts w:cs="Arial"/>
          <w:sz w:val="16"/>
          <w:szCs w:val="16"/>
        </w:rPr>
        <w:t xml:space="preserve"> </w:t>
      </w:r>
    </w:p>
  </w:footnote>
  <w:footnote w:id="26">
    <w:p w14:paraId="23A45BAD" w14:textId="6C88EBFE"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International Citizen Service Phase 2, United Kingdom, Foreign Commonwealth and Development Office, Development Tracker, Annual Review 2020. Accessed online, 4 January 2021 </w:t>
      </w:r>
      <w:hyperlink r:id="rId9" w:history="1">
        <w:r w:rsidRPr="00FA6D7D">
          <w:rPr>
            <w:rStyle w:val="Hyperlink"/>
            <w:rFonts w:cs="Arial"/>
            <w:sz w:val="16"/>
            <w:szCs w:val="16"/>
          </w:rPr>
          <w:t>https://devtracker.fcdo.gov.uk/projects/GB-1-204894/documents</w:t>
        </w:r>
      </w:hyperlink>
      <w:r w:rsidRPr="00FA6D7D">
        <w:rPr>
          <w:rFonts w:cs="Arial"/>
          <w:sz w:val="16"/>
          <w:szCs w:val="16"/>
        </w:rPr>
        <w:t xml:space="preserve"> and Volunteers for Development, United Kingdom, FCDO, Development Tracker, Annual Review 2020. Accessed online, 4 January 2021 </w:t>
      </w:r>
      <w:hyperlink r:id="rId10" w:history="1">
        <w:r w:rsidRPr="00FA6D7D">
          <w:rPr>
            <w:rStyle w:val="Hyperlink"/>
            <w:rFonts w:cs="Arial"/>
            <w:sz w:val="16"/>
            <w:szCs w:val="16"/>
          </w:rPr>
          <w:t>https://devtracker.fcdo.gov.uk/projects/GB-GOV-1-300083/documents</w:t>
        </w:r>
      </w:hyperlink>
      <w:r w:rsidRPr="00FA6D7D">
        <w:rPr>
          <w:rStyle w:val="Hyperlink"/>
          <w:rFonts w:cs="Arial"/>
          <w:sz w:val="16"/>
          <w:szCs w:val="16"/>
        </w:rPr>
        <w:t>.</w:t>
      </w:r>
    </w:p>
  </w:footnote>
  <w:footnote w:id="27">
    <w:p w14:paraId="15F397EF" w14:textId="77777777" w:rsidR="00590C12" w:rsidRPr="00FA6D7D" w:rsidRDefault="00590C12" w:rsidP="00590C12">
      <w:pPr>
        <w:pStyle w:val="FootnoteText"/>
        <w:spacing w:before="0"/>
        <w:rPr>
          <w:sz w:val="16"/>
          <w:szCs w:val="16"/>
          <w:lang w:val="en-GB"/>
        </w:rPr>
      </w:pPr>
    </w:p>
  </w:footnote>
  <w:footnote w:id="28">
    <w:p w14:paraId="3F4D4E26" w14:textId="77777777" w:rsidR="00184B18" w:rsidRPr="00FA6D7D" w:rsidRDefault="00184B18" w:rsidP="00184B18">
      <w:pPr>
        <w:pStyle w:val="FootnoteText"/>
        <w:spacing w:before="40"/>
        <w:rPr>
          <w:sz w:val="16"/>
          <w:szCs w:val="16"/>
          <w:lang w:val="en-GB"/>
        </w:rPr>
      </w:pPr>
      <w:r w:rsidRPr="00FA6D7D">
        <w:rPr>
          <w:rStyle w:val="FootnoteReference"/>
          <w:sz w:val="16"/>
          <w:szCs w:val="16"/>
        </w:rPr>
        <w:footnoteRef/>
      </w:r>
      <w:r w:rsidRPr="00FA6D7D">
        <w:rPr>
          <w:sz w:val="16"/>
          <w:szCs w:val="16"/>
        </w:rPr>
        <w:t xml:space="preserve"> </w:t>
      </w:r>
      <w:r w:rsidRPr="00FA6D7D">
        <w:rPr>
          <w:sz w:val="16"/>
          <w:szCs w:val="16"/>
          <w:lang w:val="en-GB"/>
        </w:rPr>
        <w:t xml:space="preserve">Average over four years </w:t>
      </w:r>
    </w:p>
  </w:footnote>
  <w:footnote w:id="29">
    <w:p w14:paraId="7B52FD1A" w14:textId="77777777" w:rsidR="00184B18" w:rsidRPr="00FA6D7D" w:rsidRDefault="00184B18" w:rsidP="00184B18">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w:t>
      </w:r>
      <w:r w:rsidRPr="00FA6D7D">
        <w:rPr>
          <w:rFonts w:cs="Arial"/>
          <w:color w:val="000000"/>
          <w:sz w:val="16"/>
          <w:szCs w:val="16"/>
        </w:rPr>
        <w:t xml:space="preserve">Approximately three quarters of expert participants are national volunteers and one quarter international volunteer participants (from the UK). </w:t>
      </w:r>
    </w:p>
  </w:footnote>
  <w:footnote w:id="30">
    <w:p w14:paraId="11798413" w14:textId="77777777" w:rsidR="006750C6" w:rsidRPr="00FA6D7D" w:rsidRDefault="006750C6" w:rsidP="006750C6">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w:t>
      </w:r>
      <w:r w:rsidRPr="00FA6D7D">
        <w:rPr>
          <w:rFonts w:eastAsia="Yu Mincho" w:cs="Arial"/>
          <w:color w:val="000000"/>
          <w:sz w:val="16"/>
          <w:szCs w:val="16"/>
        </w:rPr>
        <w:t>Bangladesh, Cambodia, Nepal, Kenya, Tanzania, Uganda and Zambia.</w:t>
      </w:r>
    </w:p>
  </w:footnote>
  <w:footnote w:id="31">
    <w:p w14:paraId="6EEF6DE1" w14:textId="77777777" w:rsidR="00AB0B38" w:rsidRPr="0057598F" w:rsidRDefault="00AB0B38" w:rsidP="00CA57E7">
      <w:pPr>
        <w:pStyle w:val="FootnoteText"/>
        <w:spacing w:before="80"/>
        <w:rPr>
          <w:rFonts w:cs="Arial"/>
          <w:sz w:val="18"/>
          <w:szCs w:val="18"/>
        </w:rPr>
      </w:pPr>
      <w:r w:rsidRPr="00FA6D7D">
        <w:rPr>
          <w:rStyle w:val="FootnoteReference"/>
          <w:rFonts w:cs="Arial"/>
          <w:sz w:val="16"/>
          <w:szCs w:val="16"/>
        </w:rPr>
        <w:footnoteRef/>
      </w:r>
      <w:r w:rsidRPr="00FA6D7D">
        <w:rPr>
          <w:rFonts w:cs="Arial"/>
          <w:sz w:val="16"/>
          <w:szCs w:val="16"/>
        </w:rPr>
        <w:t xml:space="preserve"> FCDO represents the merge of two previous government bodies: </w:t>
      </w:r>
      <w:r w:rsidRPr="00FA6D7D">
        <w:rPr>
          <w:rFonts w:cs="Arial"/>
          <w:color w:val="000000"/>
          <w:sz w:val="16"/>
          <w:szCs w:val="16"/>
        </w:rPr>
        <w:t xml:space="preserve">Department for International Development and the Foreign and Commonwealth Office. The merge occurred in September 2020. </w:t>
      </w:r>
    </w:p>
  </w:footnote>
  <w:footnote w:id="32">
    <w:p w14:paraId="72574A6B" w14:textId="77777777"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Janet Clark, ‘Harnessing blended volunteering to reduce harmful traditional practices’, March 2020, VSO. </w:t>
      </w:r>
    </w:p>
  </w:footnote>
  <w:footnote w:id="33">
    <w:p w14:paraId="19CEEA7A" w14:textId="77777777"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Interview with FCDO (December 2020).</w:t>
      </w:r>
    </w:p>
  </w:footnote>
  <w:footnote w:id="34">
    <w:p w14:paraId="32060AAF" w14:textId="77777777"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Ibid. </w:t>
      </w:r>
    </w:p>
  </w:footnote>
  <w:footnote w:id="35">
    <w:p w14:paraId="2CD4B68A" w14:textId="77777777" w:rsidR="00AB0B38" w:rsidRPr="0057598F" w:rsidRDefault="00AB0B38" w:rsidP="00CA57E7">
      <w:pPr>
        <w:pStyle w:val="FootnoteText"/>
        <w:spacing w:before="80"/>
        <w:rPr>
          <w:rFonts w:cs="Arial"/>
          <w:sz w:val="18"/>
          <w:szCs w:val="18"/>
        </w:rPr>
      </w:pPr>
      <w:r w:rsidRPr="00FA6D7D">
        <w:rPr>
          <w:rStyle w:val="FootnoteReference"/>
          <w:rFonts w:cs="Arial"/>
          <w:sz w:val="16"/>
          <w:szCs w:val="16"/>
        </w:rPr>
        <w:footnoteRef/>
      </w:r>
      <w:r w:rsidRPr="00FA6D7D">
        <w:rPr>
          <w:rFonts w:cs="Arial"/>
          <w:sz w:val="16"/>
          <w:szCs w:val="16"/>
        </w:rPr>
        <w:t xml:space="preserve"> Ibid. </w:t>
      </w:r>
    </w:p>
  </w:footnote>
  <w:footnote w:id="36">
    <w:p w14:paraId="3368C565" w14:textId="77777777"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Norec, Yearly Report (2018). Accessed online, 4 January 2021, </w:t>
      </w:r>
      <w:hyperlink r:id="rId11" w:history="1">
        <w:r w:rsidRPr="00FA6D7D">
          <w:rPr>
            <w:rStyle w:val="Hyperlink"/>
            <w:rFonts w:cs="Arial"/>
            <w:sz w:val="16"/>
            <w:szCs w:val="16"/>
          </w:rPr>
          <w:t>https://www.norec.no/en/about-norec/organisation/reports/</w:t>
        </w:r>
      </w:hyperlink>
      <w:r w:rsidRPr="00FA6D7D">
        <w:rPr>
          <w:rFonts w:cs="Arial"/>
          <w:sz w:val="16"/>
          <w:szCs w:val="16"/>
        </w:rPr>
        <w:t xml:space="preserve"> </w:t>
      </w:r>
    </w:p>
  </w:footnote>
  <w:footnote w:id="37">
    <w:p w14:paraId="0C866462" w14:textId="77777777" w:rsidR="00B711BD" w:rsidRPr="00FA6D7D" w:rsidRDefault="00B711BD" w:rsidP="00B711BD">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In the last few years Norec has reached between 600 and 700 participants. This target was part of their vision for 2023 however is unlikely to be achieved given the impacts of the COVID-19 pandemic on the program. </w:t>
      </w:r>
    </w:p>
  </w:footnote>
  <w:footnote w:id="38">
    <w:p w14:paraId="7059B73A" w14:textId="32CF3341"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‘South-South and Triangular Cooperation in Action’, Norec (2019). </w:t>
      </w:r>
    </w:p>
  </w:footnote>
  <w:footnote w:id="39">
    <w:p w14:paraId="3CD72767" w14:textId="77777777" w:rsidR="00AB0B38" w:rsidRPr="00FA6D7D" w:rsidRDefault="00AB0B38" w:rsidP="00CA57E7">
      <w:pPr>
        <w:pStyle w:val="FootnoteText"/>
        <w:spacing w:before="80"/>
        <w:rPr>
          <w:rFonts w:cs="Arial"/>
          <w:sz w:val="16"/>
          <w:szCs w:val="16"/>
        </w:rPr>
      </w:pPr>
      <w:r w:rsidRPr="00FA6D7D">
        <w:rPr>
          <w:rStyle w:val="FootnoteReference"/>
          <w:rFonts w:cs="Arial"/>
          <w:sz w:val="16"/>
          <w:szCs w:val="16"/>
        </w:rPr>
        <w:footnoteRef/>
      </w:r>
      <w:r w:rsidRPr="00FA6D7D">
        <w:rPr>
          <w:rFonts w:cs="Arial"/>
          <w:sz w:val="16"/>
          <w:szCs w:val="16"/>
        </w:rPr>
        <w:t xml:space="preserve"> Interview with Norec (December 2020).</w:t>
      </w:r>
    </w:p>
  </w:footnote>
  <w:footnote w:id="40">
    <w:p w14:paraId="250F73A9" w14:textId="77777777" w:rsidR="00AB0B38" w:rsidRPr="0057598F" w:rsidRDefault="00AB0B38" w:rsidP="00CA57E7">
      <w:pPr>
        <w:pStyle w:val="FootnoteText"/>
        <w:spacing w:before="80"/>
        <w:rPr>
          <w:rFonts w:cs="Arial"/>
          <w:sz w:val="18"/>
          <w:szCs w:val="18"/>
        </w:rPr>
      </w:pPr>
      <w:r w:rsidRPr="00FA6D7D">
        <w:rPr>
          <w:rStyle w:val="FootnoteReference"/>
          <w:rFonts w:cs="Arial"/>
          <w:sz w:val="16"/>
          <w:szCs w:val="16"/>
        </w:rPr>
        <w:footnoteRef/>
      </w:r>
      <w:r w:rsidRPr="00FA6D7D">
        <w:rPr>
          <w:rFonts w:cs="Arial"/>
          <w:sz w:val="16"/>
          <w:szCs w:val="16"/>
        </w:rPr>
        <w:t xml:space="preserve"> Ibid. </w:t>
      </w:r>
    </w:p>
  </w:footnote>
  <w:footnote w:id="41">
    <w:p w14:paraId="63F790C2" w14:textId="6B11A381" w:rsidR="00AB0B38" w:rsidRPr="00A26ECE" w:rsidRDefault="00AB0B38" w:rsidP="00AB0B38">
      <w:pPr>
        <w:pStyle w:val="FootnoteText"/>
        <w:rPr>
          <w:sz w:val="14"/>
          <w:szCs w:val="14"/>
          <w:lang w:val="en-AU"/>
        </w:rPr>
      </w:pPr>
      <w:r w:rsidRPr="00A26ECE">
        <w:rPr>
          <w:rStyle w:val="FootnoteReference"/>
          <w:sz w:val="16"/>
          <w:szCs w:val="16"/>
        </w:rPr>
        <w:footnoteRef/>
      </w:r>
      <w:r w:rsidRPr="00A26ECE">
        <w:rPr>
          <w:sz w:val="16"/>
          <w:szCs w:val="16"/>
        </w:rPr>
        <w:t xml:space="preserve"> </w:t>
      </w:r>
      <w:r w:rsidRPr="00AB0B38">
        <w:rPr>
          <w:sz w:val="16"/>
          <w:szCs w:val="16"/>
        </w:rPr>
        <w:t>Perold, H, Mati, JM, Allum, C, &amp; Lough, BJ (2021)</w:t>
      </w:r>
      <w:r>
        <w:rPr>
          <w:sz w:val="16"/>
          <w:szCs w:val="16"/>
        </w:rPr>
        <w:t>. ‘</w:t>
      </w:r>
      <w:r w:rsidRPr="00AB0B38">
        <w:rPr>
          <w:sz w:val="16"/>
          <w:szCs w:val="16"/>
        </w:rPr>
        <w:t>COVID-19 and the Future of Volunteering for Development. Part 1: Research Report. Findings from a study conducted for the International Forum for Volunteering in Development</w:t>
      </w:r>
      <w:r>
        <w:rPr>
          <w:sz w:val="16"/>
          <w:szCs w:val="16"/>
        </w:rPr>
        <w:t>’.</w:t>
      </w:r>
      <w:r w:rsidRPr="00AB0B38">
        <w:rPr>
          <w:sz w:val="16"/>
          <w:szCs w:val="16"/>
        </w:rPr>
        <w:t xml:space="preserve"> International Forum for Volunteering in Development. </w:t>
      </w:r>
      <w:r>
        <w:rPr>
          <w:sz w:val="16"/>
          <w:szCs w:val="16"/>
        </w:rPr>
        <w:t xml:space="preserve">Accessed online 23 April 2021 </w:t>
      </w:r>
      <w:hyperlink r:id="rId12" w:history="1">
        <w:r w:rsidRPr="00ED75D9">
          <w:rPr>
            <w:rStyle w:val="Hyperlink"/>
            <w:sz w:val="16"/>
            <w:szCs w:val="16"/>
          </w:rPr>
          <w:t>https://forum-ids.org/covid-19-and-the-future-of-volunteering-for-development-research-report</w:t>
        </w:r>
      </w:hyperlink>
      <w:r>
        <w:rPr>
          <w:sz w:val="16"/>
          <w:szCs w:val="16"/>
        </w:rPr>
        <w:t xml:space="preserve"> </w:t>
      </w:r>
    </w:p>
  </w:footnote>
  <w:footnote w:id="42">
    <w:p w14:paraId="5C1523AC" w14:textId="148366BA"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IVS is defined as ‘an organized period of engagement and contribution to society by volunteers who work across an international border, in another country, or countries. IVS may be sponsored by public or private organizations, it is recognized and valued by society, and volunteers receive little or no monetary compensation. This definition excludes volunteering within national boundaries, as well as mutual aid and military service. Sherraden 2001, as cited in Margaret S. Sherraden, Benjamin Lough, and Amanda M. McBride. “Effects of International Volunteering and Service: Individual and Institutional Predictors.” </w:t>
      </w:r>
      <w:r w:rsidRPr="0039385D">
        <w:rPr>
          <w:rFonts w:cs="Arial"/>
          <w:i/>
          <w:sz w:val="16"/>
          <w:szCs w:val="16"/>
        </w:rPr>
        <w:t>Voluntas</w:t>
      </w:r>
      <w:r w:rsidRPr="0039385D">
        <w:rPr>
          <w:rFonts w:cs="Arial"/>
          <w:sz w:val="16"/>
          <w:szCs w:val="16"/>
        </w:rPr>
        <w:t>, issue 19, 2008, p. 398.</w:t>
      </w:r>
    </w:p>
  </w:footnote>
  <w:footnote w:id="43">
    <w:p w14:paraId="320659CC" w14:textId="77777777"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Ibid, citing UNV 2002 and Brav et al 2002; Roberts 2004; Simpson 2004; Plews and Stuart 2007. </w:t>
      </w:r>
    </w:p>
  </w:footnote>
  <w:footnote w:id="44">
    <w:p w14:paraId="38AFB88F" w14:textId="77777777"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Ibid p. 414</w:t>
      </w:r>
    </w:p>
  </w:footnote>
  <w:footnote w:id="45">
    <w:p w14:paraId="48480A6F" w14:textId="77777777"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UNV State of the World’s Volunteerism Report: The thread that binds. Volunteerism and community resilience, 2018. Accessed online 10 January </w:t>
      </w:r>
      <w:hyperlink r:id="rId13" w:history="1">
        <w:r w:rsidRPr="0039385D">
          <w:rPr>
            <w:rStyle w:val="Hyperlink"/>
            <w:rFonts w:cs="Arial"/>
            <w:sz w:val="16"/>
            <w:szCs w:val="16"/>
          </w:rPr>
          <w:t>https://www.unv.org/sites/default/files/UNV_SWVR_2018_English_WEB.pdf</w:t>
        </w:r>
      </w:hyperlink>
      <w:r w:rsidRPr="0039385D">
        <w:rPr>
          <w:rFonts w:cs="Arial"/>
          <w:sz w:val="16"/>
          <w:szCs w:val="16"/>
        </w:rPr>
        <w:t xml:space="preserve"> </w:t>
      </w:r>
    </w:p>
  </w:footnote>
  <w:footnote w:id="46">
    <w:p w14:paraId="0EC51EEA" w14:textId="51EE0E91"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IFRC Global Review on Volunteering, Geneva 2016. Accessed online 10 January </w:t>
      </w:r>
      <w:hyperlink r:id="rId14" w:history="1">
        <w:r w:rsidRPr="0039385D">
          <w:rPr>
            <w:rStyle w:val="Hyperlink"/>
            <w:rFonts w:cs="Arial"/>
            <w:sz w:val="16"/>
            <w:szCs w:val="16"/>
          </w:rPr>
          <w:t>https://www.ifrc.org/Global/Documents/Secretariat/1301100-Global%20Review%20on%20Volunteering%20Report_EN-LR.pdf</w:t>
        </w:r>
      </w:hyperlink>
      <w:r w:rsidRPr="0039385D">
        <w:rPr>
          <w:rFonts w:cs="Arial"/>
          <w:sz w:val="16"/>
          <w:szCs w:val="16"/>
        </w:rPr>
        <w:t xml:space="preserve"> </w:t>
      </w:r>
    </w:p>
  </w:footnote>
  <w:footnote w:id="47">
    <w:p w14:paraId="3B3FC1A3" w14:textId="77777777"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Shaun Hazeldine, ‘Rethinking the future of volunteering?’ Thought Pieces, December 5, 2018. Accessed online on 4 January 2021 </w:t>
      </w:r>
      <w:hyperlink r:id="rId15" w:history="1">
        <w:r w:rsidRPr="0039385D">
          <w:rPr>
            <w:rStyle w:val="Hyperlink"/>
            <w:rFonts w:cs="Arial"/>
            <w:sz w:val="16"/>
            <w:szCs w:val="16"/>
          </w:rPr>
          <w:t>https://future-rcrc.com/2018/12/05/rethinking-the-future-of-volunteering/</w:t>
        </w:r>
      </w:hyperlink>
      <w:r w:rsidRPr="0039385D">
        <w:rPr>
          <w:rFonts w:cs="Arial"/>
          <w:sz w:val="16"/>
          <w:szCs w:val="16"/>
        </w:rPr>
        <w:t xml:space="preserve"> </w:t>
      </w:r>
    </w:p>
  </w:footnote>
  <w:footnote w:id="48">
    <w:p w14:paraId="17F460C3" w14:textId="10089DC1" w:rsidR="00AB0B38" w:rsidRPr="0057598F" w:rsidRDefault="00AB0B38" w:rsidP="00CA57E7">
      <w:pPr>
        <w:pStyle w:val="FootnoteText"/>
        <w:spacing w:before="80"/>
        <w:rPr>
          <w:rFonts w:cs="Arial"/>
          <w:sz w:val="18"/>
          <w:szCs w:val="18"/>
        </w:rPr>
      </w:pPr>
      <w:r w:rsidRPr="0039385D">
        <w:rPr>
          <w:rStyle w:val="FootnoteReference"/>
          <w:rFonts w:cs="Arial"/>
          <w:sz w:val="16"/>
          <w:szCs w:val="16"/>
        </w:rPr>
        <w:footnoteRef/>
      </w:r>
      <w:r w:rsidRPr="0039385D">
        <w:rPr>
          <w:rFonts w:cs="Arial"/>
          <w:sz w:val="16"/>
          <w:szCs w:val="16"/>
        </w:rPr>
        <w:t xml:space="preserve"> Aarathi Krishnan, ‘Localisation and the future of Australian NGOs and INGOs’, Australian Centre for International Development National Conference 2016: Australia Ahead of the Curve. An Agenda for International Development to 2025: a compilation of think pieces. </w:t>
      </w:r>
    </w:p>
  </w:footnote>
  <w:footnote w:id="49">
    <w:p w14:paraId="1530C473" w14:textId="77777777" w:rsidR="00AB0B38" w:rsidRPr="0057598F" w:rsidRDefault="00AB0B38" w:rsidP="00CA57E7">
      <w:pPr>
        <w:pStyle w:val="FootnoteText"/>
        <w:spacing w:before="80"/>
        <w:rPr>
          <w:rFonts w:cs="Arial"/>
          <w:sz w:val="18"/>
          <w:szCs w:val="18"/>
        </w:rPr>
      </w:pPr>
      <w:r w:rsidRPr="0057598F">
        <w:rPr>
          <w:rStyle w:val="FootnoteReference"/>
          <w:rFonts w:cs="Arial"/>
          <w:sz w:val="18"/>
          <w:szCs w:val="18"/>
        </w:rPr>
        <w:footnoteRef/>
      </w:r>
      <w:r w:rsidRPr="0057598F">
        <w:rPr>
          <w:rFonts w:cs="Arial"/>
          <w:sz w:val="18"/>
          <w:szCs w:val="18"/>
        </w:rPr>
        <w:t xml:space="preserve"> Ibid. </w:t>
      </w:r>
    </w:p>
  </w:footnote>
  <w:footnote w:id="50">
    <w:p w14:paraId="0AED3EAE" w14:textId="77777777"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UNV State of the World’s Volunteerism Report, ‘The thread that binds, Volunteerism and community resilience’, 2018. Accessed online 10 January </w:t>
      </w:r>
      <w:hyperlink r:id="rId16" w:history="1">
        <w:r w:rsidRPr="0039385D">
          <w:rPr>
            <w:rStyle w:val="Hyperlink"/>
            <w:rFonts w:cs="Arial"/>
            <w:sz w:val="16"/>
            <w:szCs w:val="16"/>
          </w:rPr>
          <w:t>https://www.unv.org/sites/default/files/UNV_SWVR_2018_English_WEB.pdf</w:t>
        </w:r>
      </w:hyperlink>
    </w:p>
  </w:footnote>
  <w:footnote w:id="51">
    <w:p w14:paraId="4A8A56F4" w14:textId="77777777"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Volunteering Trends Study, Curtin University, Western Australia and Chorus, 2019. Accessed online 10 January 2021 </w:t>
      </w:r>
      <w:hyperlink r:id="rId17" w:history="1">
        <w:r w:rsidRPr="0039385D">
          <w:rPr>
            <w:rStyle w:val="Hyperlink"/>
            <w:rFonts w:cs="Arial"/>
            <w:sz w:val="16"/>
            <w:szCs w:val="16"/>
          </w:rPr>
          <w:t>https://www.volunteeringwa.org.au/news/Volunteering-Trends-Study-2019</w:t>
        </w:r>
      </w:hyperlink>
      <w:r w:rsidRPr="0039385D">
        <w:rPr>
          <w:rFonts w:cs="Arial"/>
          <w:sz w:val="16"/>
          <w:szCs w:val="16"/>
        </w:rPr>
        <w:t xml:space="preserve"> </w:t>
      </w:r>
    </w:p>
  </w:footnote>
  <w:footnote w:id="52">
    <w:p w14:paraId="38369BE4" w14:textId="3598A0B9"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Volunteering Australia and PricewaterhouseCoopers. ‘State of Volunteering in Australia: Help Create Happiness’, April 2016. Accessed online 10 January </w:t>
      </w:r>
      <w:hyperlink r:id="rId18" w:history="1">
        <w:r w:rsidRPr="0039385D">
          <w:rPr>
            <w:rStyle w:val="Hyperlink"/>
            <w:rFonts w:cs="Arial"/>
            <w:sz w:val="16"/>
            <w:szCs w:val="16"/>
          </w:rPr>
          <w:t>https://www.volunteeringaustralia.org/wp-content/uploads/State-of-Volunteering-in-Australia-full-report.pdf</w:t>
        </w:r>
      </w:hyperlink>
      <w:r w:rsidRPr="0039385D">
        <w:rPr>
          <w:rFonts w:cs="Arial"/>
          <w:sz w:val="16"/>
          <w:szCs w:val="16"/>
        </w:rPr>
        <w:t xml:space="preserve"> </w:t>
      </w:r>
    </w:p>
  </w:footnote>
  <w:footnote w:id="53">
    <w:p w14:paraId="22075E16" w14:textId="77777777"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IFRC Global Review on Volunteering, Geneva 2016. Accessed online 10 January </w:t>
      </w:r>
      <w:hyperlink r:id="rId19" w:history="1">
        <w:r w:rsidRPr="0039385D">
          <w:rPr>
            <w:rStyle w:val="Hyperlink"/>
            <w:rFonts w:cs="Arial"/>
            <w:sz w:val="16"/>
            <w:szCs w:val="16"/>
          </w:rPr>
          <w:t>https://www.ifrc.org/Global/Documents/Secretariat/1301100-Global%20Review%20on%20Volunteering%20Report_EN-LR.pdf</w:t>
        </w:r>
      </w:hyperlink>
    </w:p>
  </w:footnote>
  <w:footnote w:id="54">
    <w:p w14:paraId="0FB126D2" w14:textId="77777777" w:rsidR="00AB0B38" w:rsidRPr="0057598F" w:rsidRDefault="00AB0B38" w:rsidP="00CA57E7">
      <w:pPr>
        <w:pStyle w:val="FootnoteText"/>
        <w:spacing w:before="80"/>
        <w:rPr>
          <w:rFonts w:cs="Arial"/>
          <w:sz w:val="18"/>
          <w:szCs w:val="18"/>
        </w:rPr>
      </w:pPr>
      <w:r w:rsidRPr="0039385D">
        <w:rPr>
          <w:rStyle w:val="FootnoteReference"/>
          <w:rFonts w:cs="Arial"/>
          <w:sz w:val="16"/>
          <w:szCs w:val="16"/>
        </w:rPr>
        <w:footnoteRef/>
      </w:r>
      <w:r w:rsidRPr="0039385D">
        <w:rPr>
          <w:rFonts w:cs="Arial"/>
          <w:sz w:val="16"/>
          <w:szCs w:val="16"/>
        </w:rPr>
        <w:t xml:space="preserve"> Interim Report: Perspectives on COVID-19. The experience of volunteers and volunteering involving organisations in the 2020 Pandemic. Perold, Allum, Lough, and Mati. October 2020.</w:t>
      </w:r>
    </w:p>
  </w:footnote>
  <w:footnote w:id="55">
    <w:p w14:paraId="1A2AFBF1" w14:textId="3A137E15"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For example, Norway and the UK’s programs have high proportions of local, South-South and/or south-north methods that reduced their need to repatriate as many volunteers occurred in the Australian Volunteers Program response to the COVID-19 pandemic. </w:t>
      </w:r>
    </w:p>
  </w:footnote>
  <w:footnote w:id="56">
    <w:p w14:paraId="7E10021F" w14:textId="3B5AA81B" w:rsidR="00AB0B38" w:rsidRPr="0039385D" w:rsidRDefault="00AB0B38" w:rsidP="00CA57E7">
      <w:pPr>
        <w:pStyle w:val="FootnoteText"/>
        <w:spacing w:before="80"/>
        <w:rPr>
          <w:rFonts w:cs="Arial"/>
          <w:sz w:val="16"/>
          <w:szCs w:val="16"/>
        </w:rPr>
      </w:pPr>
      <w:r w:rsidRPr="0039385D">
        <w:rPr>
          <w:rStyle w:val="FootnoteReference"/>
          <w:rFonts w:cs="Arial"/>
          <w:sz w:val="16"/>
          <w:szCs w:val="16"/>
        </w:rPr>
        <w:footnoteRef/>
      </w:r>
      <w:r w:rsidRPr="0039385D">
        <w:rPr>
          <w:rFonts w:cs="Arial"/>
          <w:sz w:val="16"/>
          <w:szCs w:val="16"/>
        </w:rPr>
        <w:t xml:space="preserve"> Powell and Bratovic (2007) as cited in Margaret S. Sherraden, Benjamin Lough, and Amanda M. McBride. “Effects of International Volunteering and Service: Individual and Institutional Predictors.” </w:t>
      </w:r>
      <w:r w:rsidRPr="0039385D">
        <w:rPr>
          <w:rFonts w:cs="Arial"/>
          <w:i/>
          <w:sz w:val="16"/>
          <w:szCs w:val="16"/>
        </w:rPr>
        <w:t>Voluntas</w:t>
      </w:r>
      <w:r w:rsidRPr="0039385D">
        <w:rPr>
          <w:rFonts w:cs="Arial"/>
          <w:sz w:val="16"/>
          <w:szCs w:val="16"/>
        </w:rPr>
        <w:t>, issue 19, 2008, p. 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5F6C" w14:textId="35FCD9C3" w:rsidR="00AB0B38" w:rsidRPr="0005759B" w:rsidRDefault="00AB0B38" w:rsidP="0005759B">
    <w:pPr>
      <w:pStyle w:val="Header"/>
      <w:jc w:val="right"/>
      <w:rPr>
        <w:bCs/>
        <w:color w:val="003478" w:themeColor="text2"/>
        <w:sz w:val="18"/>
        <w:szCs w:val="18"/>
      </w:rPr>
    </w:pPr>
    <w:r w:rsidRPr="0005759B">
      <w:rPr>
        <w:bCs/>
        <w:color w:val="003478" w:themeColor="text2"/>
        <w:sz w:val="18"/>
        <w:szCs w:val="18"/>
      </w:rPr>
      <w:t>The international experience with government volunteer programs: a comparative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8D86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EE845E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4CC7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F0DF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DC41A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8005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5B264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A267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058CD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158D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F6A1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196935"/>
    <w:multiLevelType w:val="multilevel"/>
    <w:tmpl w:val="DBA87A80"/>
    <w:numStyleLink w:val="Headings"/>
  </w:abstractNum>
  <w:abstractNum w:abstractNumId="13"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5" w15:restartNumberingAfterBreak="0">
    <w:nsid w:val="0AE528EE"/>
    <w:multiLevelType w:val="multilevel"/>
    <w:tmpl w:val="DBA87A80"/>
    <w:numStyleLink w:val="Headings"/>
  </w:abstractNum>
  <w:abstractNum w:abstractNumId="16" w15:restartNumberingAfterBreak="0">
    <w:nsid w:val="0F7F1DCC"/>
    <w:multiLevelType w:val="multilevel"/>
    <w:tmpl w:val="B54C9C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color w:val="003478"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FE66DAD"/>
    <w:multiLevelType w:val="multilevel"/>
    <w:tmpl w:val="85941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7157C"/>
    <w:multiLevelType w:val="multilevel"/>
    <w:tmpl w:val="DBA87A80"/>
    <w:numStyleLink w:val="Headings"/>
  </w:abstractNum>
  <w:abstractNum w:abstractNumId="19" w15:restartNumberingAfterBreak="0">
    <w:nsid w:val="221252E9"/>
    <w:multiLevelType w:val="hybridMultilevel"/>
    <w:tmpl w:val="D2AA83AA"/>
    <w:lvl w:ilvl="0" w:tplc="A2AC078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430C4"/>
    <w:multiLevelType w:val="multilevel"/>
    <w:tmpl w:val="4BAEBAE4"/>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2007A6"/>
    <w:multiLevelType w:val="multilevel"/>
    <w:tmpl w:val="8B7226FC"/>
    <w:lvl w:ilvl="0">
      <w:start w:val="1"/>
      <w:numFmt w:val="bullet"/>
      <w:lvlText w:val=""/>
      <w:lvlJc w:val="left"/>
      <w:pPr>
        <w:tabs>
          <w:tab w:val="num" w:pos="360"/>
        </w:tabs>
        <w:ind w:left="360"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521694"/>
    <w:multiLevelType w:val="multilevel"/>
    <w:tmpl w:val="B3D8ECF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A537B9"/>
    <w:multiLevelType w:val="multilevel"/>
    <w:tmpl w:val="48F4448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BC16CB"/>
    <w:multiLevelType w:val="multilevel"/>
    <w:tmpl w:val="6D827146"/>
    <w:lvl w:ilvl="0">
      <w:start w:val="1"/>
      <w:numFmt w:val="bullet"/>
      <w:lvlText w:val=""/>
      <w:lvlJc w:val="left"/>
      <w:pPr>
        <w:tabs>
          <w:tab w:val="num" w:pos="504"/>
        </w:tabs>
        <w:ind w:left="504"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9806B6"/>
    <w:multiLevelType w:val="multilevel"/>
    <w:tmpl w:val="6CBE3E6E"/>
    <w:lvl w:ilvl="0">
      <w:start w:val="1"/>
      <w:numFmt w:val="bullet"/>
      <w:lvlText w:val=""/>
      <w:lvlJc w:val="left"/>
      <w:pPr>
        <w:tabs>
          <w:tab w:val="num" w:pos="288"/>
        </w:tabs>
        <w:ind w:left="288" w:hanging="14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6E42CB"/>
    <w:multiLevelType w:val="multilevel"/>
    <w:tmpl w:val="2EDAD2F0"/>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183C96"/>
    <w:multiLevelType w:val="multilevel"/>
    <w:tmpl w:val="0C30FB44"/>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3C16A5"/>
    <w:multiLevelType w:val="hybridMultilevel"/>
    <w:tmpl w:val="1CFEA0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692375"/>
    <w:multiLevelType w:val="multilevel"/>
    <w:tmpl w:val="9A702E88"/>
    <w:lvl w:ilvl="0">
      <w:start w:val="1"/>
      <w:numFmt w:val="bullet"/>
      <w:lvlText w:val=""/>
      <w:lvlJc w:val="left"/>
      <w:pPr>
        <w:tabs>
          <w:tab w:val="num" w:pos="288"/>
        </w:tabs>
        <w:ind w:left="288"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3056F"/>
    <w:multiLevelType w:val="multilevel"/>
    <w:tmpl w:val="DBA87A80"/>
    <w:numStyleLink w:val="Headings"/>
  </w:abstractNum>
  <w:abstractNum w:abstractNumId="31" w15:restartNumberingAfterBreak="0">
    <w:nsid w:val="47316EE0"/>
    <w:multiLevelType w:val="multilevel"/>
    <w:tmpl w:val="0E809C86"/>
    <w:lvl w:ilvl="0">
      <w:start w:val="1"/>
      <w:numFmt w:val="bullet"/>
      <w:lvlText w:val="o"/>
      <w:lvlJc w:val="left"/>
      <w:pPr>
        <w:tabs>
          <w:tab w:val="num" w:pos="288"/>
        </w:tabs>
        <w:ind w:left="288" w:hanging="216"/>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352E67"/>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B73F71"/>
    <w:multiLevelType w:val="multilevel"/>
    <w:tmpl w:val="D1BCCD52"/>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854147"/>
    <w:multiLevelType w:val="hybridMultilevel"/>
    <w:tmpl w:val="3E18ABF8"/>
    <w:lvl w:ilvl="0" w:tplc="51EC3B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64164A"/>
    <w:multiLevelType w:val="multilevel"/>
    <w:tmpl w:val="2C2A9B5E"/>
    <w:lvl w:ilvl="0">
      <w:start w:val="1"/>
      <w:numFmt w:val="bullet"/>
      <w:lvlText w:val=""/>
      <w:lvlJc w:val="left"/>
      <w:pPr>
        <w:tabs>
          <w:tab w:val="num" w:pos="504"/>
        </w:tabs>
        <w:ind w:left="504"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F5AD1"/>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212D8D"/>
    <w:multiLevelType w:val="multilevel"/>
    <w:tmpl w:val="DBA87A80"/>
    <w:numStyleLink w:val="Headings"/>
  </w:abstractNum>
  <w:abstractNum w:abstractNumId="38" w15:restartNumberingAfterBreak="0">
    <w:nsid w:val="680D0DC8"/>
    <w:multiLevelType w:val="multilevel"/>
    <w:tmpl w:val="5420D8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A7971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7D715B"/>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E4776C"/>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D60438"/>
    <w:multiLevelType w:val="multilevel"/>
    <w:tmpl w:val="DBA87A80"/>
    <w:numStyleLink w:val="Headings"/>
  </w:abstractNum>
  <w:abstractNum w:abstractNumId="43" w15:restartNumberingAfterBreak="0">
    <w:nsid w:val="7BC75D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B00090"/>
    <w:multiLevelType w:val="multilevel"/>
    <w:tmpl w:val="3C423C5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0357DF"/>
    <w:multiLevelType w:val="hybridMultilevel"/>
    <w:tmpl w:val="6AE440A6"/>
    <w:lvl w:ilvl="0" w:tplc="0409000F">
      <w:start w:val="1"/>
      <w:numFmt w:val="decimal"/>
      <w:pStyle w:val="List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C7CB1"/>
    <w:multiLevelType w:val="multilevel"/>
    <w:tmpl w:val="C12C2774"/>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7"/>
  </w:num>
  <w:num w:numId="14">
    <w:abstractNumId w:val="43"/>
  </w:num>
  <w:num w:numId="15">
    <w:abstractNumId w:val="21"/>
  </w:num>
  <w:num w:numId="16">
    <w:abstractNumId w:val="29"/>
  </w:num>
  <w:num w:numId="17">
    <w:abstractNumId w:val="25"/>
  </w:num>
  <w:num w:numId="18">
    <w:abstractNumId w:val="27"/>
  </w:num>
  <w:num w:numId="19">
    <w:abstractNumId w:val="11"/>
  </w:num>
  <w:num w:numId="20">
    <w:abstractNumId w:val="20"/>
  </w:num>
  <w:num w:numId="21">
    <w:abstractNumId w:val="46"/>
  </w:num>
  <w:num w:numId="22">
    <w:abstractNumId w:val="33"/>
  </w:num>
  <w:num w:numId="23">
    <w:abstractNumId w:val="31"/>
  </w:num>
  <w:num w:numId="24">
    <w:abstractNumId w:val="44"/>
  </w:num>
  <w:num w:numId="25">
    <w:abstractNumId w:val="24"/>
  </w:num>
  <w:num w:numId="26">
    <w:abstractNumId w:val="45"/>
  </w:num>
  <w:num w:numId="27">
    <w:abstractNumId w:val="22"/>
  </w:num>
  <w:num w:numId="28">
    <w:abstractNumId w:val="41"/>
  </w:num>
  <w:num w:numId="29">
    <w:abstractNumId w:val="40"/>
  </w:num>
  <w:num w:numId="30">
    <w:abstractNumId w:val="32"/>
  </w:num>
  <w:num w:numId="31">
    <w:abstractNumId w:val="36"/>
  </w:num>
  <w:num w:numId="32">
    <w:abstractNumId w:val="26"/>
  </w:num>
  <w:num w:numId="33">
    <w:abstractNumId w:val="13"/>
  </w:num>
  <w:num w:numId="34">
    <w:abstractNumId w:val="23"/>
  </w:num>
  <w:num w:numId="35">
    <w:abstractNumId w:val="19"/>
  </w:num>
  <w:num w:numId="36">
    <w:abstractNumId w:val="39"/>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2"/>
  </w:num>
  <w:num w:numId="41">
    <w:abstractNumId w:val="18"/>
  </w:num>
  <w:num w:numId="42">
    <w:abstractNumId w:val="37"/>
  </w:num>
  <w:num w:numId="43">
    <w:abstractNumId w:val="15"/>
  </w:num>
  <w:num w:numId="44">
    <w:abstractNumId w:val="42"/>
  </w:num>
  <w:num w:numId="45">
    <w:abstractNumId w:val="38"/>
  </w:num>
  <w:num w:numId="46">
    <w:abstractNumId w:val="28"/>
  </w:num>
  <w:num w:numId="47">
    <w:abstractNumId w:val="16"/>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85"/>
    <w:rsid w:val="00002AFD"/>
    <w:rsid w:val="000110B7"/>
    <w:rsid w:val="000124E9"/>
    <w:rsid w:val="000138D2"/>
    <w:rsid w:val="0001395D"/>
    <w:rsid w:val="00023F96"/>
    <w:rsid w:val="00027FD3"/>
    <w:rsid w:val="000470B7"/>
    <w:rsid w:val="00050467"/>
    <w:rsid w:val="00050ECB"/>
    <w:rsid w:val="00050F6D"/>
    <w:rsid w:val="000532E4"/>
    <w:rsid w:val="0005759B"/>
    <w:rsid w:val="000603CF"/>
    <w:rsid w:val="00062AAA"/>
    <w:rsid w:val="00063DFE"/>
    <w:rsid w:val="00064DDB"/>
    <w:rsid w:val="000705B5"/>
    <w:rsid w:val="00071AD8"/>
    <w:rsid w:val="000742B7"/>
    <w:rsid w:val="00077498"/>
    <w:rsid w:val="00081DEE"/>
    <w:rsid w:val="00085800"/>
    <w:rsid w:val="00091883"/>
    <w:rsid w:val="000A7024"/>
    <w:rsid w:val="000B7D7A"/>
    <w:rsid w:val="000C5240"/>
    <w:rsid w:val="000C6A1B"/>
    <w:rsid w:val="000D1FC2"/>
    <w:rsid w:val="000D2CDF"/>
    <w:rsid w:val="000D3B6A"/>
    <w:rsid w:val="000E1556"/>
    <w:rsid w:val="000E15BC"/>
    <w:rsid w:val="000E222F"/>
    <w:rsid w:val="000F75A3"/>
    <w:rsid w:val="00105F72"/>
    <w:rsid w:val="001077A6"/>
    <w:rsid w:val="00120223"/>
    <w:rsid w:val="0012054A"/>
    <w:rsid w:val="001229A4"/>
    <w:rsid w:val="00132E94"/>
    <w:rsid w:val="00142DA9"/>
    <w:rsid w:val="00142E65"/>
    <w:rsid w:val="00144CA6"/>
    <w:rsid w:val="0015277C"/>
    <w:rsid w:val="001540FF"/>
    <w:rsid w:val="001676C3"/>
    <w:rsid w:val="00167886"/>
    <w:rsid w:val="001708FB"/>
    <w:rsid w:val="0017091C"/>
    <w:rsid w:val="00184B18"/>
    <w:rsid w:val="00186C25"/>
    <w:rsid w:val="00190662"/>
    <w:rsid w:val="0019145F"/>
    <w:rsid w:val="00191879"/>
    <w:rsid w:val="001A240D"/>
    <w:rsid w:val="001A2D3A"/>
    <w:rsid w:val="001A5CD6"/>
    <w:rsid w:val="001A6D97"/>
    <w:rsid w:val="001B2E68"/>
    <w:rsid w:val="001C04C9"/>
    <w:rsid w:val="001C0A15"/>
    <w:rsid w:val="001C36DA"/>
    <w:rsid w:val="001C5F5E"/>
    <w:rsid w:val="001C731F"/>
    <w:rsid w:val="001D07BA"/>
    <w:rsid w:val="001D2103"/>
    <w:rsid w:val="001D2ACC"/>
    <w:rsid w:val="001D4ECA"/>
    <w:rsid w:val="001E5C83"/>
    <w:rsid w:val="001F3242"/>
    <w:rsid w:val="001F45D0"/>
    <w:rsid w:val="001F7F47"/>
    <w:rsid w:val="00203C5B"/>
    <w:rsid w:val="00203E2E"/>
    <w:rsid w:val="002052CD"/>
    <w:rsid w:val="00220E9D"/>
    <w:rsid w:val="00223C5E"/>
    <w:rsid w:val="00225268"/>
    <w:rsid w:val="00236637"/>
    <w:rsid w:val="0024107B"/>
    <w:rsid w:val="002437E0"/>
    <w:rsid w:val="00243DFA"/>
    <w:rsid w:val="00251B6D"/>
    <w:rsid w:val="00255B7D"/>
    <w:rsid w:val="00260F5C"/>
    <w:rsid w:val="002625DF"/>
    <w:rsid w:val="002632F4"/>
    <w:rsid w:val="002635B7"/>
    <w:rsid w:val="0026574B"/>
    <w:rsid w:val="00266F0F"/>
    <w:rsid w:val="002707ED"/>
    <w:rsid w:val="00277908"/>
    <w:rsid w:val="00280ADB"/>
    <w:rsid w:val="0028595A"/>
    <w:rsid w:val="00295A44"/>
    <w:rsid w:val="002972C4"/>
    <w:rsid w:val="002A1C1F"/>
    <w:rsid w:val="002A2ACE"/>
    <w:rsid w:val="002A58D3"/>
    <w:rsid w:val="002B03DD"/>
    <w:rsid w:val="002C724F"/>
    <w:rsid w:val="002D079E"/>
    <w:rsid w:val="002D1964"/>
    <w:rsid w:val="002D25B2"/>
    <w:rsid w:val="002D4971"/>
    <w:rsid w:val="002D5132"/>
    <w:rsid w:val="002E09A0"/>
    <w:rsid w:val="002E5863"/>
    <w:rsid w:val="002E7166"/>
    <w:rsid w:val="002E72D5"/>
    <w:rsid w:val="002F3E52"/>
    <w:rsid w:val="002F6B72"/>
    <w:rsid w:val="002F6B88"/>
    <w:rsid w:val="00300705"/>
    <w:rsid w:val="00300840"/>
    <w:rsid w:val="00303113"/>
    <w:rsid w:val="00304A61"/>
    <w:rsid w:val="0030560E"/>
    <w:rsid w:val="00311315"/>
    <w:rsid w:val="00316461"/>
    <w:rsid w:val="003260E5"/>
    <w:rsid w:val="003305E1"/>
    <w:rsid w:val="00333A09"/>
    <w:rsid w:val="00337AD1"/>
    <w:rsid w:val="00340465"/>
    <w:rsid w:val="00342D4C"/>
    <w:rsid w:val="00345215"/>
    <w:rsid w:val="00345E64"/>
    <w:rsid w:val="00362A6A"/>
    <w:rsid w:val="003630F9"/>
    <w:rsid w:val="00372674"/>
    <w:rsid w:val="00385E31"/>
    <w:rsid w:val="003909AE"/>
    <w:rsid w:val="0039385D"/>
    <w:rsid w:val="003938E8"/>
    <w:rsid w:val="0039536F"/>
    <w:rsid w:val="003A2505"/>
    <w:rsid w:val="003A400C"/>
    <w:rsid w:val="003B3673"/>
    <w:rsid w:val="003B367C"/>
    <w:rsid w:val="003B5CAB"/>
    <w:rsid w:val="003C1455"/>
    <w:rsid w:val="003C3936"/>
    <w:rsid w:val="003C42D3"/>
    <w:rsid w:val="003D3391"/>
    <w:rsid w:val="003D6704"/>
    <w:rsid w:val="003D6D8C"/>
    <w:rsid w:val="003E3EDC"/>
    <w:rsid w:val="003E3FA9"/>
    <w:rsid w:val="003E42A4"/>
    <w:rsid w:val="003E5A77"/>
    <w:rsid w:val="003F3355"/>
    <w:rsid w:val="003F7AB0"/>
    <w:rsid w:val="00405700"/>
    <w:rsid w:val="004144CB"/>
    <w:rsid w:val="00417291"/>
    <w:rsid w:val="00427220"/>
    <w:rsid w:val="00430A31"/>
    <w:rsid w:val="00430AF2"/>
    <w:rsid w:val="00431F77"/>
    <w:rsid w:val="00433C37"/>
    <w:rsid w:val="00443719"/>
    <w:rsid w:val="00444441"/>
    <w:rsid w:val="00446A2C"/>
    <w:rsid w:val="00450DDA"/>
    <w:rsid w:val="004547C6"/>
    <w:rsid w:val="00455F95"/>
    <w:rsid w:val="00460B3D"/>
    <w:rsid w:val="00464372"/>
    <w:rsid w:val="00474B55"/>
    <w:rsid w:val="00474E71"/>
    <w:rsid w:val="0048351B"/>
    <w:rsid w:val="00483D9D"/>
    <w:rsid w:val="00485EB4"/>
    <w:rsid w:val="0048786E"/>
    <w:rsid w:val="00490C18"/>
    <w:rsid w:val="004A0003"/>
    <w:rsid w:val="004A12DB"/>
    <w:rsid w:val="004B5E84"/>
    <w:rsid w:val="004B6860"/>
    <w:rsid w:val="004D2117"/>
    <w:rsid w:val="004D34A8"/>
    <w:rsid w:val="004D46A9"/>
    <w:rsid w:val="004D7879"/>
    <w:rsid w:val="004E3E5E"/>
    <w:rsid w:val="004F184B"/>
    <w:rsid w:val="00511E02"/>
    <w:rsid w:val="00534000"/>
    <w:rsid w:val="00547B59"/>
    <w:rsid w:val="00550EBE"/>
    <w:rsid w:val="00574C27"/>
    <w:rsid w:val="005753EF"/>
    <w:rsid w:val="00576BC9"/>
    <w:rsid w:val="00590C12"/>
    <w:rsid w:val="005960EA"/>
    <w:rsid w:val="00597623"/>
    <w:rsid w:val="0059DD8D"/>
    <w:rsid w:val="005A1A84"/>
    <w:rsid w:val="005B0A92"/>
    <w:rsid w:val="005B26A0"/>
    <w:rsid w:val="005B5308"/>
    <w:rsid w:val="005B6D41"/>
    <w:rsid w:val="005C4852"/>
    <w:rsid w:val="005D330C"/>
    <w:rsid w:val="005D6E35"/>
    <w:rsid w:val="005E30FF"/>
    <w:rsid w:val="005E33B3"/>
    <w:rsid w:val="005E3A68"/>
    <w:rsid w:val="005E603A"/>
    <w:rsid w:val="005F3732"/>
    <w:rsid w:val="00603FC6"/>
    <w:rsid w:val="006045FC"/>
    <w:rsid w:val="0060558B"/>
    <w:rsid w:val="006167F5"/>
    <w:rsid w:val="0061756F"/>
    <w:rsid w:val="00626816"/>
    <w:rsid w:val="0063043F"/>
    <w:rsid w:val="00631EC8"/>
    <w:rsid w:val="00636090"/>
    <w:rsid w:val="00641C27"/>
    <w:rsid w:val="00644357"/>
    <w:rsid w:val="006456B0"/>
    <w:rsid w:val="00650CA5"/>
    <w:rsid w:val="00652F5D"/>
    <w:rsid w:val="00657CB5"/>
    <w:rsid w:val="006661C2"/>
    <w:rsid w:val="00666C98"/>
    <w:rsid w:val="00670CC8"/>
    <w:rsid w:val="006750C6"/>
    <w:rsid w:val="00680571"/>
    <w:rsid w:val="006858F3"/>
    <w:rsid w:val="006921C8"/>
    <w:rsid w:val="00693037"/>
    <w:rsid w:val="006A14D7"/>
    <w:rsid w:val="006A5063"/>
    <w:rsid w:val="006B0746"/>
    <w:rsid w:val="006B65E3"/>
    <w:rsid w:val="006C01ED"/>
    <w:rsid w:val="006C6E0C"/>
    <w:rsid w:val="006C7AB0"/>
    <w:rsid w:val="006D0505"/>
    <w:rsid w:val="006E2392"/>
    <w:rsid w:val="006F2493"/>
    <w:rsid w:val="00714CDC"/>
    <w:rsid w:val="007506C1"/>
    <w:rsid w:val="00757BEA"/>
    <w:rsid w:val="00765321"/>
    <w:rsid w:val="0076552D"/>
    <w:rsid w:val="00767DD0"/>
    <w:rsid w:val="00774F92"/>
    <w:rsid w:val="00785B1A"/>
    <w:rsid w:val="00786838"/>
    <w:rsid w:val="00790CFB"/>
    <w:rsid w:val="007A15F4"/>
    <w:rsid w:val="007A624D"/>
    <w:rsid w:val="007A78E8"/>
    <w:rsid w:val="007B0044"/>
    <w:rsid w:val="007B059B"/>
    <w:rsid w:val="007B23DE"/>
    <w:rsid w:val="007B6F65"/>
    <w:rsid w:val="007B7265"/>
    <w:rsid w:val="007C224B"/>
    <w:rsid w:val="007C2B9B"/>
    <w:rsid w:val="007C3928"/>
    <w:rsid w:val="007C59B3"/>
    <w:rsid w:val="007C619C"/>
    <w:rsid w:val="007E00F1"/>
    <w:rsid w:val="007E1677"/>
    <w:rsid w:val="007E23B3"/>
    <w:rsid w:val="007E36E3"/>
    <w:rsid w:val="007E502B"/>
    <w:rsid w:val="007E6009"/>
    <w:rsid w:val="007F1504"/>
    <w:rsid w:val="007F75C2"/>
    <w:rsid w:val="007F7EF1"/>
    <w:rsid w:val="0080095F"/>
    <w:rsid w:val="0080715F"/>
    <w:rsid w:val="00807270"/>
    <w:rsid w:val="00821B82"/>
    <w:rsid w:val="00830744"/>
    <w:rsid w:val="00833F23"/>
    <w:rsid w:val="00836894"/>
    <w:rsid w:val="008402CD"/>
    <w:rsid w:val="00842385"/>
    <w:rsid w:val="00850554"/>
    <w:rsid w:val="008508DE"/>
    <w:rsid w:val="00855A95"/>
    <w:rsid w:val="008713B1"/>
    <w:rsid w:val="008729DF"/>
    <w:rsid w:val="0087620D"/>
    <w:rsid w:val="00892A95"/>
    <w:rsid w:val="0089672B"/>
    <w:rsid w:val="00896C37"/>
    <w:rsid w:val="008A7CF2"/>
    <w:rsid w:val="008B686D"/>
    <w:rsid w:val="008B7F2E"/>
    <w:rsid w:val="008C33A5"/>
    <w:rsid w:val="008C6157"/>
    <w:rsid w:val="008C7E7A"/>
    <w:rsid w:val="008D06A2"/>
    <w:rsid w:val="008D3176"/>
    <w:rsid w:val="008D4692"/>
    <w:rsid w:val="008E34F6"/>
    <w:rsid w:val="008E5717"/>
    <w:rsid w:val="008E583D"/>
    <w:rsid w:val="008F2A65"/>
    <w:rsid w:val="00901B07"/>
    <w:rsid w:val="009034FB"/>
    <w:rsid w:val="0090446B"/>
    <w:rsid w:val="0090466F"/>
    <w:rsid w:val="0090487B"/>
    <w:rsid w:val="009117E7"/>
    <w:rsid w:val="00912ACE"/>
    <w:rsid w:val="00915BE4"/>
    <w:rsid w:val="00915D2B"/>
    <w:rsid w:val="009173AF"/>
    <w:rsid w:val="009207F1"/>
    <w:rsid w:val="009214D8"/>
    <w:rsid w:val="00922958"/>
    <w:rsid w:val="0092303A"/>
    <w:rsid w:val="009247C8"/>
    <w:rsid w:val="00927F4D"/>
    <w:rsid w:val="009320AC"/>
    <w:rsid w:val="00933114"/>
    <w:rsid w:val="009444C5"/>
    <w:rsid w:val="009472A0"/>
    <w:rsid w:val="0094793C"/>
    <w:rsid w:val="009503A4"/>
    <w:rsid w:val="00951A5B"/>
    <w:rsid w:val="00952D07"/>
    <w:rsid w:val="00953173"/>
    <w:rsid w:val="00954982"/>
    <w:rsid w:val="00955030"/>
    <w:rsid w:val="00957E81"/>
    <w:rsid w:val="009704EE"/>
    <w:rsid w:val="00970D1C"/>
    <w:rsid w:val="00971E76"/>
    <w:rsid w:val="00984253"/>
    <w:rsid w:val="00984281"/>
    <w:rsid w:val="0099108C"/>
    <w:rsid w:val="00991F92"/>
    <w:rsid w:val="00997EBD"/>
    <w:rsid w:val="009A404D"/>
    <w:rsid w:val="009A4821"/>
    <w:rsid w:val="009A6F9D"/>
    <w:rsid w:val="009A7AB7"/>
    <w:rsid w:val="009A7DA1"/>
    <w:rsid w:val="009C1376"/>
    <w:rsid w:val="009C4613"/>
    <w:rsid w:val="009D1991"/>
    <w:rsid w:val="009D747E"/>
    <w:rsid w:val="009D79C6"/>
    <w:rsid w:val="009E3988"/>
    <w:rsid w:val="009E472F"/>
    <w:rsid w:val="009F7AAD"/>
    <w:rsid w:val="00A02207"/>
    <w:rsid w:val="00A06DB1"/>
    <w:rsid w:val="00A10CFA"/>
    <w:rsid w:val="00A15B44"/>
    <w:rsid w:val="00A16038"/>
    <w:rsid w:val="00A20297"/>
    <w:rsid w:val="00A209E9"/>
    <w:rsid w:val="00A219E0"/>
    <w:rsid w:val="00A22AF0"/>
    <w:rsid w:val="00A26ECE"/>
    <w:rsid w:val="00A325F0"/>
    <w:rsid w:val="00A32DBB"/>
    <w:rsid w:val="00A3598E"/>
    <w:rsid w:val="00A41AAD"/>
    <w:rsid w:val="00A4483A"/>
    <w:rsid w:val="00A45E37"/>
    <w:rsid w:val="00A51939"/>
    <w:rsid w:val="00A5369D"/>
    <w:rsid w:val="00A61A7F"/>
    <w:rsid w:val="00A63CD8"/>
    <w:rsid w:val="00A74564"/>
    <w:rsid w:val="00A75F51"/>
    <w:rsid w:val="00A761CC"/>
    <w:rsid w:val="00A85521"/>
    <w:rsid w:val="00A87E2D"/>
    <w:rsid w:val="00A91893"/>
    <w:rsid w:val="00AA3CA7"/>
    <w:rsid w:val="00AA5D91"/>
    <w:rsid w:val="00AA68A6"/>
    <w:rsid w:val="00AB0B38"/>
    <w:rsid w:val="00AB607B"/>
    <w:rsid w:val="00AB7199"/>
    <w:rsid w:val="00AB7835"/>
    <w:rsid w:val="00AC4C38"/>
    <w:rsid w:val="00AC5860"/>
    <w:rsid w:val="00AD02AE"/>
    <w:rsid w:val="00AD52B9"/>
    <w:rsid w:val="00AE0F1C"/>
    <w:rsid w:val="00AF1158"/>
    <w:rsid w:val="00AF4E1D"/>
    <w:rsid w:val="00B1193F"/>
    <w:rsid w:val="00B20142"/>
    <w:rsid w:val="00B21AE2"/>
    <w:rsid w:val="00B24EB2"/>
    <w:rsid w:val="00B33E23"/>
    <w:rsid w:val="00B36F58"/>
    <w:rsid w:val="00B405F6"/>
    <w:rsid w:val="00B4150E"/>
    <w:rsid w:val="00B42582"/>
    <w:rsid w:val="00B447CD"/>
    <w:rsid w:val="00B45E14"/>
    <w:rsid w:val="00B46404"/>
    <w:rsid w:val="00B52B44"/>
    <w:rsid w:val="00B535A3"/>
    <w:rsid w:val="00B61235"/>
    <w:rsid w:val="00B6468F"/>
    <w:rsid w:val="00B6487F"/>
    <w:rsid w:val="00B711BD"/>
    <w:rsid w:val="00B75B16"/>
    <w:rsid w:val="00B92440"/>
    <w:rsid w:val="00BB348D"/>
    <w:rsid w:val="00BB3EEB"/>
    <w:rsid w:val="00BC0B6A"/>
    <w:rsid w:val="00BD07FC"/>
    <w:rsid w:val="00BE1341"/>
    <w:rsid w:val="00BE7E7F"/>
    <w:rsid w:val="00BF45F6"/>
    <w:rsid w:val="00BF53BE"/>
    <w:rsid w:val="00BF5B86"/>
    <w:rsid w:val="00C072EB"/>
    <w:rsid w:val="00C12D7A"/>
    <w:rsid w:val="00C14943"/>
    <w:rsid w:val="00C16B79"/>
    <w:rsid w:val="00C24A21"/>
    <w:rsid w:val="00C33210"/>
    <w:rsid w:val="00C36425"/>
    <w:rsid w:val="00C36DCE"/>
    <w:rsid w:val="00C4266C"/>
    <w:rsid w:val="00C42890"/>
    <w:rsid w:val="00C5393E"/>
    <w:rsid w:val="00C53B26"/>
    <w:rsid w:val="00C54610"/>
    <w:rsid w:val="00C617EB"/>
    <w:rsid w:val="00C64E66"/>
    <w:rsid w:val="00C70E31"/>
    <w:rsid w:val="00C72B2B"/>
    <w:rsid w:val="00C76299"/>
    <w:rsid w:val="00C7665F"/>
    <w:rsid w:val="00C92D8A"/>
    <w:rsid w:val="00C92DD3"/>
    <w:rsid w:val="00CA1685"/>
    <w:rsid w:val="00CA57E7"/>
    <w:rsid w:val="00CB5E81"/>
    <w:rsid w:val="00CC2EE6"/>
    <w:rsid w:val="00CC3132"/>
    <w:rsid w:val="00CC7192"/>
    <w:rsid w:val="00CD0E04"/>
    <w:rsid w:val="00CD40CE"/>
    <w:rsid w:val="00CD5D0A"/>
    <w:rsid w:val="00CE0B45"/>
    <w:rsid w:val="00CE0E84"/>
    <w:rsid w:val="00CE22B6"/>
    <w:rsid w:val="00CE4AF6"/>
    <w:rsid w:val="00CE631E"/>
    <w:rsid w:val="00CF204E"/>
    <w:rsid w:val="00D017CB"/>
    <w:rsid w:val="00D03126"/>
    <w:rsid w:val="00D11A92"/>
    <w:rsid w:val="00D17EFE"/>
    <w:rsid w:val="00D20235"/>
    <w:rsid w:val="00D20996"/>
    <w:rsid w:val="00D21D25"/>
    <w:rsid w:val="00D353B0"/>
    <w:rsid w:val="00D3611F"/>
    <w:rsid w:val="00D47724"/>
    <w:rsid w:val="00D500FB"/>
    <w:rsid w:val="00D50D45"/>
    <w:rsid w:val="00D5148A"/>
    <w:rsid w:val="00D54222"/>
    <w:rsid w:val="00D5720B"/>
    <w:rsid w:val="00D623C9"/>
    <w:rsid w:val="00D65FC5"/>
    <w:rsid w:val="00D73C6C"/>
    <w:rsid w:val="00D84120"/>
    <w:rsid w:val="00D87D3C"/>
    <w:rsid w:val="00D87FCC"/>
    <w:rsid w:val="00D9540B"/>
    <w:rsid w:val="00DA0600"/>
    <w:rsid w:val="00DA53E4"/>
    <w:rsid w:val="00DB05F6"/>
    <w:rsid w:val="00DB3A18"/>
    <w:rsid w:val="00DB3EB2"/>
    <w:rsid w:val="00DB50F0"/>
    <w:rsid w:val="00DB5223"/>
    <w:rsid w:val="00DB56C3"/>
    <w:rsid w:val="00DB657D"/>
    <w:rsid w:val="00DB6B93"/>
    <w:rsid w:val="00DC3EBD"/>
    <w:rsid w:val="00DD3132"/>
    <w:rsid w:val="00DD6265"/>
    <w:rsid w:val="00DE01D7"/>
    <w:rsid w:val="00DE26FF"/>
    <w:rsid w:val="00DE302E"/>
    <w:rsid w:val="00DE37F4"/>
    <w:rsid w:val="00DF22EB"/>
    <w:rsid w:val="00DF67F5"/>
    <w:rsid w:val="00DF76BE"/>
    <w:rsid w:val="00E01DEB"/>
    <w:rsid w:val="00E02516"/>
    <w:rsid w:val="00E249E8"/>
    <w:rsid w:val="00E27B53"/>
    <w:rsid w:val="00E3045F"/>
    <w:rsid w:val="00E338BC"/>
    <w:rsid w:val="00E35CD3"/>
    <w:rsid w:val="00E5000C"/>
    <w:rsid w:val="00E5354E"/>
    <w:rsid w:val="00E55AAB"/>
    <w:rsid w:val="00E567EE"/>
    <w:rsid w:val="00E56EED"/>
    <w:rsid w:val="00E57815"/>
    <w:rsid w:val="00E60EFF"/>
    <w:rsid w:val="00E61439"/>
    <w:rsid w:val="00E62823"/>
    <w:rsid w:val="00E656A9"/>
    <w:rsid w:val="00E70D2E"/>
    <w:rsid w:val="00E728DC"/>
    <w:rsid w:val="00E766C7"/>
    <w:rsid w:val="00E76A37"/>
    <w:rsid w:val="00EA0B9D"/>
    <w:rsid w:val="00EA310B"/>
    <w:rsid w:val="00EA619F"/>
    <w:rsid w:val="00EB6946"/>
    <w:rsid w:val="00ED064A"/>
    <w:rsid w:val="00ED68AE"/>
    <w:rsid w:val="00EF0BA5"/>
    <w:rsid w:val="00EF4A73"/>
    <w:rsid w:val="00EF4E98"/>
    <w:rsid w:val="00EF5008"/>
    <w:rsid w:val="00EF6ACE"/>
    <w:rsid w:val="00F0266C"/>
    <w:rsid w:val="00F04468"/>
    <w:rsid w:val="00F10DAF"/>
    <w:rsid w:val="00F13AE6"/>
    <w:rsid w:val="00F162A1"/>
    <w:rsid w:val="00F22309"/>
    <w:rsid w:val="00F23084"/>
    <w:rsid w:val="00F256A6"/>
    <w:rsid w:val="00F26E04"/>
    <w:rsid w:val="00F31074"/>
    <w:rsid w:val="00F32881"/>
    <w:rsid w:val="00F35D8E"/>
    <w:rsid w:val="00F6284A"/>
    <w:rsid w:val="00F67D52"/>
    <w:rsid w:val="00F71D27"/>
    <w:rsid w:val="00F74B25"/>
    <w:rsid w:val="00F75EAA"/>
    <w:rsid w:val="00F83C77"/>
    <w:rsid w:val="00F83F5F"/>
    <w:rsid w:val="00F859C6"/>
    <w:rsid w:val="00F8760C"/>
    <w:rsid w:val="00F914EF"/>
    <w:rsid w:val="00FA00DE"/>
    <w:rsid w:val="00FA4A07"/>
    <w:rsid w:val="00FA6D7D"/>
    <w:rsid w:val="00FB197B"/>
    <w:rsid w:val="00FB1D71"/>
    <w:rsid w:val="00FB2B7B"/>
    <w:rsid w:val="00FC3E42"/>
    <w:rsid w:val="00FC5D48"/>
    <w:rsid w:val="00FC626D"/>
    <w:rsid w:val="00FC63B9"/>
    <w:rsid w:val="00FC69B0"/>
    <w:rsid w:val="00FD59E0"/>
    <w:rsid w:val="00FF1006"/>
    <w:rsid w:val="00FF15C5"/>
    <w:rsid w:val="081D130D"/>
    <w:rsid w:val="093618CD"/>
    <w:rsid w:val="0C4A6F00"/>
    <w:rsid w:val="11B6DDC9"/>
    <w:rsid w:val="195C7B4F"/>
    <w:rsid w:val="1B98CDE6"/>
    <w:rsid w:val="1E8A15F8"/>
    <w:rsid w:val="2D8E8D64"/>
    <w:rsid w:val="4B73CFFB"/>
    <w:rsid w:val="4D99BCBC"/>
    <w:rsid w:val="60A09638"/>
    <w:rsid w:val="6FCF4482"/>
    <w:rsid w:val="73A79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fillcolor="none [3212]"/>
    </o:shapedefaults>
    <o:shapelayout v:ext="edit">
      <o:idmap v:ext="edit" data="1"/>
    </o:shapelayout>
  </w:shapeDefaults>
  <w:decimalSymbol w:val="."/>
  <w:listSeparator w:val=","/>
  <w14:docId w14:val="241C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B44"/>
    <w:pPr>
      <w:spacing w:before="120" w:after="120" w:line="264" w:lineRule="auto"/>
    </w:pPr>
    <w:rPr>
      <w:rFonts w:ascii="Arial" w:hAnsi="Arial"/>
      <w:sz w:val="20"/>
    </w:rPr>
  </w:style>
  <w:style w:type="paragraph" w:styleId="Heading1">
    <w:name w:val="heading 1"/>
    <w:basedOn w:val="Annexheading"/>
    <w:next w:val="Normal"/>
    <w:link w:val="Heading1Char"/>
    <w:uiPriority w:val="1"/>
    <w:qFormat/>
    <w:rsid w:val="00511E02"/>
    <w:pPr>
      <w:numPr>
        <w:numId w:val="47"/>
      </w:numPr>
      <w:spacing w:before="400" w:after="200"/>
      <w:outlineLvl w:val="0"/>
    </w:pPr>
  </w:style>
  <w:style w:type="paragraph" w:styleId="Heading2">
    <w:name w:val="heading 2"/>
    <w:basedOn w:val="Heading1"/>
    <w:next w:val="Normal"/>
    <w:link w:val="Heading2Char"/>
    <w:uiPriority w:val="1"/>
    <w:qFormat/>
    <w:rsid w:val="00F26E04"/>
    <w:pPr>
      <w:numPr>
        <w:ilvl w:val="1"/>
      </w:numPr>
      <w:spacing w:before="360"/>
      <w:ind w:left="851" w:hanging="851"/>
      <w:outlineLvl w:val="1"/>
    </w:pPr>
    <w:rPr>
      <w:sz w:val="32"/>
      <w:szCs w:val="20"/>
    </w:rPr>
  </w:style>
  <w:style w:type="paragraph" w:styleId="Heading3">
    <w:name w:val="heading 3"/>
    <w:basedOn w:val="Heading2"/>
    <w:next w:val="Normal"/>
    <w:link w:val="Heading3Char"/>
    <w:uiPriority w:val="1"/>
    <w:qFormat/>
    <w:rsid w:val="00266F0F"/>
    <w:pPr>
      <w:numPr>
        <w:ilvl w:val="2"/>
      </w:numPr>
      <w:spacing w:before="240"/>
      <w:ind w:left="851" w:hanging="851"/>
      <w:outlineLvl w:val="2"/>
    </w:pPr>
    <w:rPr>
      <w:color w:val="003478" w:themeColor="text2"/>
      <w:sz w:val="24"/>
      <w:szCs w:val="16"/>
    </w:rPr>
  </w:style>
  <w:style w:type="paragraph" w:styleId="Heading4">
    <w:name w:val="heading 4"/>
    <w:basedOn w:val="Heading3"/>
    <w:next w:val="Normal"/>
    <w:link w:val="Heading4Char"/>
    <w:uiPriority w:val="1"/>
    <w:qFormat/>
    <w:rsid w:val="0092303A"/>
    <w:pPr>
      <w:numPr>
        <w:ilvl w:val="3"/>
      </w:numPr>
      <w:outlineLvl w:val="3"/>
    </w:pPr>
    <w:rPr>
      <w:bCs w:val="0"/>
      <w:iCs/>
      <w:color w:val="000000" w:themeColor="text1"/>
    </w:rPr>
  </w:style>
  <w:style w:type="paragraph" w:styleId="Heading5">
    <w:name w:val="heading 5"/>
    <w:basedOn w:val="Normal"/>
    <w:next w:val="Normal"/>
    <w:link w:val="Heading5Char"/>
    <w:uiPriority w:val="9"/>
    <w:semiHidden/>
    <w:qFormat/>
    <w:rsid w:val="0001395D"/>
    <w:pPr>
      <w:keepNext/>
      <w:keepLines/>
      <w:numPr>
        <w:ilvl w:val="4"/>
        <w:numId w:val="47"/>
      </w:numPr>
      <w:tabs>
        <w:tab w:val="num" w:pos="360"/>
      </w:tabs>
      <w:ind w:left="0" w:firstLine="0"/>
      <w:outlineLvl w:val="4"/>
    </w:pPr>
    <w:rPr>
      <w:rFonts w:eastAsiaTheme="majorEastAsia" w:cstheme="majorBidi"/>
      <w:color w:val="2A4055" w:themeColor="accent1" w:themeShade="7F"/>
    </w:rPr>
  </w:style>
  <w:style w:type="paragraph" w:styleId="Heading6">
    <w:name w:val="heading 6"/>
    <w:basedOn w:val="Normal"/>
    <w:next w:val="Normal"/>
    <w:link w:val="Heading6Char"/>
    <w:uiPriority w:val="9"/>
    <w:semiHidden/>
    <w:qFormat/>
    <w:rsid w:val="0001395D"/>
    <w:pPr>
      <w:keepNext/>
      <w:keepLines/>
      <w:numPr>
        <w:ilvl w:val="5"/>
        <w:numId w:val="47"/>
      </w:numPr>
      <w:outlineLvl w:val="5"/>
    </w:pPr>
    <w:rPr>
      <w:rFonts w:eastAsiaTheme="majorEastAsia" w:cstheme="majorBidi"/>
      <w:i/>
      <w:iCs/>
      <w:color w:val="2A4055" w:themeColor="accent1" w:themeShade="7F"/>
    </w:rPr>
  </w:style>
  <w:style w:type="paragraph" w:styleId="Heading7">
    <w:name w:val="heading 7"/>
    <w:basedOn w:val="Normal"/>
    <w:next w:val="Normal"/>
    <w:link w:val="Heading7Char"/>
    <w:uiPriority w:val="9"/>
    <w:semiHidden/>
    <w:qFormat/>
    <w:rsid w:val="0001395D"/>
    <w:pPr>
      <w:keepNext/>
      <w:keepLines/>
      <w:numPr>
        <w:ilvl w:val="6"/>
        <w:numId w:val="47"/>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numPr>
        <w:ilvl w:val="7"/>
        <w:numId w:val="47"/>
      </w:numP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numPr>
        <w:ilvl w:val="8"/>
        <w:numId w:val="47"/>
      </w:numPr>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30FF"/>
    <w:pPr>
      <w:pBdr>
        <w:bottom w:val="single" w:sz="4" w:space="5" w:color="003478"/>
      </w:pBdr>
      <w:tabs>
        <w:tab w:val="center" w:pos="4320"/>
        <w:tab w:val="right" w:pos="8640"/>
      </w:tabs>
      <w:spacing w:after="0"/>
    </w:pPr>
  </w:style>
  <w:style w:type="character" w:customStyle="1" w:styleId="HeaderChar">
    <w:name w:val="Header Char"/>
    <w:basedOn w:val="DefaultParagraphFont"/>
    <w:link w:val="Header"/>
    <w:uiPriority w:val="99"/>
    <w:rsid w:val="005E30FF"/>
    <w:rPr>
      <w:rFonts w:ascii="Arial" w:hAnsi="Arial"/>
      <w:sz w:val="20"/>
    </w:rPr>
  </w:style>
  <w:style w:type="paragraph" w:styleId="Footer">
    <w:name w:val="footer"/>
    <w:basedOn w:val="Normal"/>
    <w:link w:val="FooterChar"/>
    <w:uiPriority w:val="99"/>
    <w:rsid w:val="00C24A21"/>
    <w:pPr>
      <w:pBdr>
        <w:top w:val="single" w:sz="4" w:space="5" w:color="003478"/>
      </w:pBdr>
      <w:tabs>
        <w:tab w:val="center" w:pos="4320"/>
        <w:tab w:val="right" w:pos="8640"/>
      </w:tabs>
      <w:spacing w:after="0"/>
    </w:pPr>
  </w:style>
  <w:style w:type="character" w:customStyle="1" w:styleId="FooterChar">
    <w:name w:val="Footer Char"/>
    <w:basedOn w:val="DefaultParagraphFont"/>
    <w:link w:val="Footer"/>
    <w:uiPriority w:val="99"/>
    <w:rsid w:val="00C24A21"/>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511E02"/>
    <w:rPr>
      <w:rFonts w:ascii="Arial" w:hAnsi="Arial"/>
      <w:b/>
      <w:bCs/>
      <w:color w:val="003478"/>
      <w:sz w:val="44"/>
      <w:szCs w:val="44"/>
    </w:rPr>
  </w:style>
  <w:style w:type="character" w:customStyle="1" w:styleId="Heading2Char">
    <w:name w:val="Heading 2 Char"/>
    <w:basedOn w:val="DefaultParagraphFont"/>
    <w:link w:val="Heading2"/>
    <w:uiPriority w:val="1"/>
    <w:rsid w:val="00F26E04"/>
    <w:rPr>
      <w:rFonts w:ascii="Arial" w:hAnsi="Arial"/>
      <w:b/>
      <w:bCs/>
      <w:color w:val="003478"/>
      <w:sz w:val="32"/>
      <w:szCs w:val="20"/>
    </w:rPr>
  </w:style>
  <w:style w:type="character" w:customStyle="1" w:styleId="Heading3Char">
    <w:name w:val="Heading 3 Char"/>
    <w:basedOn w:val="DefaultParagraphFont"/>
    <w:link w:val="Heading3"/>
    <w:uiPriority w:val="1"/>
    <w:rsid w:val="00266F0F"/>
    <w:rPr>
      <w:rFonts w:ascii="Arial" w:hAnsi="Arial"/>
      <w:b/>
      <w:bCs/>
      <w:color w:val="003478" w:themeColor="text2"/>
      <w:szCs w:val="16"/>
    </w:rPr>
  </w:style>
  <w:style w:type="character" w:customStyle="1" w:styleId="Heading4Char">
    <w:name w:val="Heading 4 Char"/>
    <w:basedOn w:val="DefaultParagraphFont"/>
    <w:link w:val="Heading4"/>
    <w:uiPriority w:val="1"/>
    <w:rsid w:val="00EF0BA5"/>
    <w:rPr>
      <w:rFonts w:ascii="Arial" w:eastAsiaTheme="majorEastAsia" w:hAnsi="Arial" w:cstheme="majorBidi"/>
      <w:b/>
      <w:iCs/>
      <w:color w:val="000000" w:themeColor="text1"/>
      <w:szCs w:val="28"/>
    </w:rPr>
  </w:style>
  <w:style w:type="character" w:customStyle="1" w:styleId="Heading5Char">
    <w:name w:val="Heading 5 Char"/>
    <w:basedOn w:val="DefaultParagraphFont"/>
    <w:link w:val="Heading5"/>
    <w:uiPriority w:val="9"/>
    <w:rsid w:val="002B03DD"/>
    <w:rPr>
      <w:rFonts w:ascii="Arial" w:eastAsiaTheme="majorEastAsia" w:hAnsi="Arial" w:cstheme="majorBidi"/>
      <w:color w:val="2A4055"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A4055"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aliases w:val="TOC Annex Title Heading"/>
    <w:basedOn w:val="Normal"/>
    <w:next w:val="Normal"/>
    <w:uiPriority w:val="39"/>
    <w:unhideWhenUsed/>
    <w:qFormat/>
    <w:rsid w:val="00A15B44"/>
    <w:pPr>
      <w:spacing w:before="400" w:after="200"/>
    </w:pPr>
    <w:rPr>
      <w:b/>
      <w:bCs/>
      <w:color w:val="003478"/>
      <w:sz w:val="44"/>
      <w:szCs w:val="44"/>
    </w:rPr>
  </w:style>
  <w:style w:type="paragraph" w:styleId="TOC1">
    <w:name w:val="toc 1"/>
    <w:basedOn w:val="Normal"/>
    <w:next w:val="Normal"/>
    <w:uiPriority w:val="39"/>
    <w:unhideWhenUsed/>
    <w:rsid w:val="00A51939"/>
    <w:pPr>
      <w:tabs>
        <w:tab w:val="right" w:leader="dot" w:pos="10070"/>
      </w:tabs>
      <w:spacing w:before="240"/>
      <w:ind w:left="567" w:hanging="567"/>
    </w:pPr>
    <w:rPr>
      <w:rFonts w:asciiTheme="minorHAnsi" w:hAnsiTheme="minorHAnsi" w:cstheme="minorHAnsi"/>
      <w:b/>
      <w:bCs/>
      <w:noProof/>
      <w:szCs w:val="20"/>
    </w:rPr>
  </w:style>
  <w:style w:type="paragraph" w:styleId="TOC2">
    <w:name w:val="toc 2"/>
    <w:basedOn w:val="TOC1"/>
    <w:next w:val="Normal"/>
    <w:autoRedefine/>
    <w:uiPriority w:val="39"/>
    <w:unhideWhenUsed/>
    <w:rsid w:val="00A51939"/>
    <w:pPr>
      <w:spacing w:before="120"/>
      <w:ind w:left="992"/>
    </w:pPr>
    <w:rPr>
      <w:rFonts w:asciiTheme="majorHAnsi" w:hAnsiTheme="majorHAnsi" w:cstheme="majorHAnsi"/>
      <w:b w:val="0"/>
      <w:bCs w:val="0"/>
    </w:rPr>
  </w:style>
  <w:style w:type="paragraph" w:styleId="TOC3">
    <w:name w:val="toc 3"/>
    <w:basedOn w:val="TOC2"/>
    <w:next w:val="Normal"/>
    <w:autoRedefine/>
    <w:uiPriority w:val="39"/>
    <w:unhideWhenUsed/>
    <w:rsid w:val="00A51939"/>
    <w:pPr>
      <w:spacing w:before="0"/>
      <w:ind w:left="1701" w:hanging="708"/>
    </w:pPr>
  </w:style>
  <w:style w:type="paragraph" w:styleId="TOC4">
    <w:name w:val="toc 4"/>
    <w:basedOn w:val="TOC3"/>
    <w:next w:val="Normal"/>
    <w:autoRedefine/>
    <w:uiPriority w:val="39"/>
    <w:unhideWhenUsed/>
    <w:rsid w:val="008F2A65"/>
    <w:pPr>
      <w:ind w:left="600"/>
    </w:pPr>
  </w:style>
  <w:style w:type="paragraph" w:styleId="TOC5">
    <w:name w:val="toc 5"/>
    <w:basedOn w:val="Normal"/>
    <w:next w:val="Normal"/>
    <w:autoRedefine/>
    <w:uiPriority w:val="39"/>
    <w:semiHidden/>
    <w:rsid w:val="005D330C"/>
    <w:pPr>
      <w:spacing w:before="0" w:after="0"/>
      <w:ind w:left="800"/>
    </w:pPr>
    <w:rPr>
      <w:rFonts w:asciiTheme="minorHAnsi" w:hAnsiTheme="minorHAnsi" w:cstheme="minorHAnsi"/>
      <w:szCs w:val="20"/>
    </w:rPr>
  </w:style>
  <w:style w:type="paragraph" w:styleId="TOC6">
    <w:name w:val="toc 6"/>
    <w:basedOn w:val="Normal"/>
    <w:next w:val="Normal"/>
    <w:autoRedefine/>
    <w:uiPriority w:val="39"/>
    <w:semiHidden/>
    <w:rsid w:val="005D330C"/>
    <w:pPr>
      <w:spacing w:before="0" w:after="0"/>
      <w:ind w:left="1000"/>
    </w:pPr>
    <w:rPr>
      <w:rFonts w:asciiTheme="minorHAnsi" w:hAnsiTheme="minorHAnsi" w:cstheme="minorHAnsi"/>
      <w:szCs w:val="20"/>
    </w:rPr>
  </w:style>
  <w:style w:type="paragraph" w:styleId="TOC7">
    <w:name w:val="toc 7"/>
    <w:basedOn w:val="Normal"/>
    <w:next w:val="Normal"/>
    <w:autoRedefine/>
    <w:uiPriority w:val="39"/>
    <w:semiHidden/>
    <w:rsid w:val="005D330C"/>
    <w:pPr>
      <w:spacing w:before="0" w:after="0"/>
      <w:ind w:left="1200"/>
    </w:pPr>
    <w:rPr>
      <w:rFonts w:asciiTheme="minorHAnsi" w:hAnsiTheme="minorHAnsi" w:cstheme="minorHAnsi"/>
      <w:szCs w:val="20"/>
    </w:rPr>
  </w:style>
  <w:style w:type="paragraph" w:styleId="TOC8">
    <w:name w:val="toc 8"/>
    <w:basedOn w:val="Normal"/>
    <w:next w:val="Normal"/>
    <w:autoRedefine/>
    <w:uiPriority w:val="39"/>
    <w:semiHidden/>
    <w:rsid w:val="005D330C"/>
    <w:pPr>
      <w:spacing w:before="0" w:after="0"/>
      <w:ind w:left="1400"/>
    </w:pPr>
    <w:rPr>
      <w:rFonts w:asciiTheme="minorHAnsi" w:hAnsiTheme="minorHAnsi" w:cstheme="minorHAnsi"/>
      <w:szCs w:val="20"/>
    </w:rPr>
  </w:style>
  <w:style w:type="paragraph" w:styleId="TOC9">
    <w:name w:val="toc 9"/>
    <w:basedOn w:val="Normal"/>
    <w:next w:val="Normal"/>
    <w:autoRedefine/>
    <w:uiPriority w:val="39"/>
    <w:semiHidden/>
    <w:rsid w:val="005D330C"/>
    <w:pPr>
      <w:spacing w:before="0" w:after="0"/>
      <w:ind w:left="1600"/>
    </w:pPr>
    <w:rPr>
      <w:rFonts w:asciiTheme="minorHAnsi" w:hAnsiTheme="minorHAnsi" w:cstheme="minorHAnsi"/>
      <w:szCs w:val="20"/>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511E02"/>
    <w:pPr>
      <w:numPr>
        <w:numId w:val="26"/>
      </w:numPr>
      <w:spacing w:after="60"/>
    </w:pPr>
    <w:rPr>
      <w:noProof/>
    </w:rPr>
  </w:style>
  <w:style w:type="paragraph" w:styleId="ListBullet2">
    <w:name w:val="List Bullet 2"/>
    <w:basedOn w:val="ListBullet"/>
    <w:next w:val="ListBullet"/>
    <w:uiPriority w:val="4"/>
    <w:unhideWhenUsed/>
    <w:rsid w:val="00511E02"/>
    <w:pPr>
      <w:numPr>
        <w:ilvl w:val="1"/>
        <w:numId w:val="32"/>
      </w:numPr>
      <w:tabs>
        <w:tab w:val="clear" w:pos="1440"/>
      </w:tabs>
      <w:ind w:left="567" w:hanging="283"/>
    </w:pPr>
  </w:style>
  <w:style w:type="paragraph" w:styleId="ListBullet3">
    <w:name w:val="List Bullet 3"/>
    <w:basedOn w:val="ListBullet"/>
    <w:uiPriority w:val="4"/>
    <w:unhideWhenUsed/>
    <w:rsid w:val="00511E02"/>
    <w:pPr>
      <w:numPr>
        <w:ilvl w:val="2"/>
        <w:numId w:val="24"/>
      </w:numPr>
      <w:tabs>
        <w:tab w:val="clear" w:pos="2160"/>
      </w:tabs>
      <w:ind w:left="851" w:hanging="284"/>
    </w:pPr>
  </w:style>
  <w:style w:type="paragraph" w:styleId="ListBullet4">
    <w:name w:val="List Bullet 4"/>
    <w:basedOn w:val="ListBullet"/>
    <w:uiPriority w:val="4"/>
    <w:unhideWhenUsed/>
    <w:rsid w:val="001C0A15"/>
    <w:pPr>
      <w:numPr>
        <w:ilvl w:val="3"/>
        <w:numId w:val="24"/>
      </w:numPr>
    </w:pPr>
  </w:style>
  <w:style w:type="paragraph" w:styleId="ListBullet5">
    <w:name w:val="List Bullet 5"/>
    <w:basedOn w:val="ListBullet"/>
    <w:uiPriority w:val="4"/>
    <w:unhideWhenUsed/>
    <w:rsid w:val="001C0A15"/>
    <w:pPr>
      <w:numPr>
        <w:ilvl w:val="4"/>
        <w:numId w:val="24"/>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5E30FF"/>
    <w:rPr>
      <w:i/>
      <w:iCs/>
      <w:color w:val="003478"/>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9"/>
      </w:numPr>
      <w:spacing w:after="0"/>
    </w:pPr>
  </w:style>
  <w:style w:type="paragraph" w:customStyle="1" w:styleId="TableBullet2">
    <w:name w:val="Table Bullet 2"/>
    <w:basedOn w:val="ListBullet2"/>
    <w:uiPriority w:val="6"/>
    <w:qFormat/>
    <w:rsid w:val="005B26A0"/>
    <w:pPr>
      <w:numPr>
        <w:ilvl w:val="0"/>
        <w:numId w:val="33"/>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ACCDD" w:themeColor="accent1" w:themeTint="66"/>
        <w:insideV w:val="single" w:sz="4" w:space="0" w:color="BACCDD"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5E30FF"/>
    <w:rPr>
      <w:b/>
      <w:bCs/>
      <w:color w:val="003478"/>
    </w:rPr>
  </w:style>
  <w:style w:type="character" w:customStyle="1" w:styleId="IntenseEmphasisBlue">
    <w:name w:val="Intense Emphasis Blue"/>
    <w:basedOn w:val="IntenseEmphasis"/>
    <w:uiPriority w:val="3"/>
    <w:qFormat/>
    <w:rsid w:val="005E30FF"/>
    <w:rPr>
      <w:b/>
      <w:bCs/>
      <w:i/>
      <w:iCs/>
      <w:color w:val="003478"/>
    </w:rPr>
  </w:style>
  <w:style w:type="numbering" w:customStyle="1" w:styleId="Headings">
    <w:name w:val="Headings"/>
    <w:uiPriority w:val="99"/>
    <w:rsid w:val="00E35CD3"/>
    <w:pPr>
      <w:numPr>
        <w:numId w:val="37"/>
      </w:numPr>
    </w:pPr>
  </w:style>
  <w:style w:type="paragraph" w:customStyle="1" w:styleId="CoverSheetTitle">
    <w:name w:val="Cover Sheet Title"/>
    <w:basedOn w:val="Normal"/>
    <w:qFormat/>
    <w:rsid w:val="005E30FF"/>
    <w:pPr>
      <w:spacing w:line="240" w:lineRule="auto"/>
    </w:pPr>
    <w:rPr>
      <w:b/>
      <w:color w:val="003478"/>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5E30FF"/>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Normal">
    <w:name w:val="Tt Normal"/>
    <w:uiPriority w:val="1"/>
    <w:qFormat/>
    <w:rsid w:val="00D9540B"/>
    <w:pPr>
      <w:spacing w:after="120" w:line="260" w:lineRule="exact"/>
    </w:pPr>
    <w:rPr>
      <w:rFonts w:ascii="Arial" w:hAnsi="Arial"/>
      <w:sz w:val="20"/>
    </w:rPr>
  </w:style>
  <w:style w:type="table" w:customStyle="1" w:styleId="TableGrid1">
    <w:name w:val="Table Grid1"/>
    <w:basedOn w:val="TableNormal"/>
    <w:next w:val="TableGrid"/>
    <w:uiPriority w:val="59"/>
    <w:rsid w:val="00F31074"/>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126"/>
    <w:pPr>
      <w:spacing w:before="2000" w:after="0" w:line="240" w:lineRule="auto"/>
    </w:pPr>
    <w:rPr>
      <w:rFonts w:eastAsia="Times New Roman" w:cs="Times New Roman"/>
      <w:b/>
      <w:noProof/>
      <w:color w:val="003478"/>
      <w:spacing w:val="5"/>
      <w:kern w:val="28"/>
      <w:sz w:val="48"/>
      <w:szCs w:val="52"/>
      <w:lang w:eastAsia="fr-CA"/>
    </w:rPr>
  </w:style>
  <w:style w:type="character" w:customStyle="1" w:styleId="TitleChar">
    <w:name w:val="Title Char"/>
    <w:basedOn w:val="DefaultParagraphFont"/>
    <w:link w:val="Title"/>
    <w:uiPriority w:val="10"/>
    <w:rsid w:val="00D03126"/>
    <w:rPr>
      <w:rFonts w:ascii="Arial" w:eastAsia="Times New Roman" w:hAnsi="Arial" w:cs="Times New Roman"/>
      <w:b/>
      <w:noProof/>
      <w:color w:val="003478"/>
      <w:spacing w:val="5"/>
      <w:kern w:val="28"/>
      <w:sz w:val="48"/>
      <w:szCs w:val="52"/>
      <w:lang w:eastAsia="fr-CA"/>
    </w:rPr>
  </w:style>
  <w:style w:type="paragraph" w:customStyle="1" w:styleId="Subtitlecover">
    <w:name w:val="Subtitle cover"/>
    <w:uiPriority w:val="1"/>
    <w:qFormat/>
    <w:rsid w:val="0076552D"/>
    <w:pPr>
      <w:spacing w:before="300" w:after="1200"/>
    </w:pPr>
    <w:rPr>
      <w:rFonts w:ascii="Arial" w:eastAsia="Times New Roman" w:hAnsi="Arial" w:cs="Times New Roman"/>
      <w:b/>
      <w:bCs/>
      <w:noProof/>
      <w:color w:val="605340"/>
      <w:szCs w:val="28"/>
      <w:lang w:eastAsia="fr-CA"/>
    </w:rPr>
  </w:style>
  <w:style w:type="paragraph" w:customStyle="1" w:styleId="Datecover">
    <w:name w:val="Date cover"/>
    <w:uiPriority w:val="1"/>
    <w:qFormat/>
    <w:rsid w:val="00A15B44"/>
    <w:pPr>
      <w:spacing w:before="9000"/>
    </w:pPr>
    <w:rPr>
      <w:rFonts w:ascii="Arial" w:eastAsia="Times New Roman" w:hAnsi="Arial" w:cs="Times New Roman"/>
      <w:b/>
      <w:bCs/>
      <w:color w:val="605340"/>
      <w:sz w:val="22"/>
      <w:szCs w:val="22"/>
      <w:lang w:val="en-CA"/>
    </w:rPr>
  </w:style>
  <w:style w:type="paragraph" w:customStyle="1" w:styleId="Acknowledgementstatement">
    <w:name w:val="Acknowledgement statement"/>
    <w:uiPriority w:val="1"/>
    <w:qFormat/>
    <w:rsid w:val="00A15B44"/>
    <w:pPr>
      <w:framePr w:hSpace="180" w:wrap="around" w:vAnchor="text" w:hAnchor="margin" w:y="339"/>
      <w:spacing w:before="400"/>
    </w:pPr>
    <w:rPr>
      <w:rFonts w:ascii="Arial" w:eastAsia="Times New Roman" w:hAnsi="Arial" w:cs="Times New Roman"/>
      <w:color w:val="605340"/>
      <w:sz w:val="18"/>
      <w:szCs w:val="18"/>
      <w:lang w:val="en-CA"/>
    </w:rPr>
  </w:style>
  <w:style w:type="paragraph" w:customStyle="1" w:styleId="Annexheading">
    <w:name w:val="Annex heading"/>
    <w:uiPriority w:val="1"/>
    <w:qFormat/>
    <w:rsid w:val="00A15B44"/>
    <w:rPr>
      <w:rFonts w:ascii="Arial" w:hAnsi="Arial"/>
      <w:b/>
      <w:bCs/>
      <w:color w:val="003478"/>
      <w:sz w:val="44"/>
      <w:szCs w:val="44"/>
    </w:rPr>
  </w:style>
  <w:style w:type="table" w:styleId="GridTable1Light-Accent1">
    <w:name w:val="Grid Table 1 Light Accent 1"/>
    <w:basedOn w:val="TableNormal"/>
    <w:uiPriority w:val="46"/>
    <w:rsid w:val="00A15B44"/>
    <w:tblPr>
      <w:tblStyleRowBandSize w:val="1"/>
      <w:tblStyleColBandSize w:val="1"/>
      <w:tblBorders>
        <w:top w:val="single" w:sz="4" w:space="0" w:color="BACCDD" w:themeColor="accent1" w:themeTint="66"/>
        <w:left w:val="single" w:sz="4" w:space="0" w:color="BACCDD" w:themeColor="accent1" w:themeTint="66"/>
        <w:bottom w:val="single" w:sz="4" w:space="0" w:color="BACCDD" w:themeColor="accent1" w:themeTint="66"/>
        <w:right w:val="single" w:sz="4" w:space="0" w:color="BACCDD" w:themeColor="accent1" w:themeTint="66"/>
        <w:insideH w:val="single" w:sz="4" w:space="0" w:color="BACCDD" w:themeColor="accent1" w:themeTint="66"/>
        <w:insideV w:val="single" w:sz="4" w:space="0" w:color="BACCDD" w:themeColor="accent1" w:themeTint="66"/>
      </w:tblBorders>
    </w:tblPr>
    <w:tblStylePr w:type="firstRow">
      <w:rPr>
        <w:b/>
        <w:bCs/>
      </w:rPr>
      <w:tblPr/>
      <w:tcPr>
        <w:tcBorders>
          <w:bottom w:val="single" w:sz="12" w:space="0" w:color="98B3CC" w:themeColor="accent1" w:themeTint="99"/>
        </w:tcBorders>
      </w:tcPr>
    </w:tblStylePr>
    <w:tblStylePr w:type="lastRow">
      <w:rPr>
        <w:b/>
        <w:bCs/>
      </w:rPr>
      <w:tblPr/>
      <w:tcPr>
        <w:tcBorders>
          <w:top w:val="double" w:sz="2" w:space="0" w:color="98B3CC" w:themeColor="accent1" w:themeTint="99"/>
        </w:tcBorders>
      </w:tcPr>
    </w:tblStylePr>
    <w:tblStylePr w:type="firstCol">
      <w:rPr>
        <w:b/>
        <w:bCs/>
      </w:rPr>
    </w:tblStylePr>
    <w:tblStylePr w:type="lastCol">
      <w:rPr>
        <w:b/>
        <w:bCs/>
      </w:rPr>
    </w:tblStylePr>
  </w:style>
  <w:style w:type="table" w:customStyle="1" w:styleId="TetraTech">
    <w:name w:val="Tetra Tech"/>
    <w:basedOn w:val="TableNormal"/>
    <w:uiPriority w:val="99"/>
    <w:rsid w:val="00CC7192"/>
    <w:rPr>
      <w:rFonts w:ascii="Arial" w:hAnsi="Arial"/>
      <w:sz w:val="20"/>
    </w:rPr>
    <w:tblPr>
      <w:tblBorders>
        <w:top w:val="single" w:sz="4" w:space="0" w:color="98B3CC" w:themeColor="accent1" w:themeTint="99"/>
        <w:bottom w:val="single" w:sz="4" w:space="0" w:color="98B3CC" w:themeColor="accent1" w:themeTint="99"/>
        <w:insideH w:val="single" w:sz="4" w:space="0" w:color="98B3CC" w:themeColor="accent1" w:themeTint="99"/>
      </w:tblBorders>
    </w:tblPr>
    <w:tcPr>
      <w:vAlign w:val="center"/>
    </w:tcPr>
    <w:tblStylePr w:type="firstRow">
      <w:pPr>
        <w:jc w:val="left"/>
      </w:pPr>
      <w:rPr>
        <w:rFonts w:asciiTheme="minorHAnsi" w:hAnsiTheme="minorHAnsi"/>
        <w:b/>
        <w:color w:val="5482AB" w:themeColor="accent1"/>
        <w:sz w:val="20"/>
      </w:rPr>
      <w:tblPr/>
      <w:tcPr>
        <w:tcBorders>
          <w:top w:val="nil"/>
          <w:bottom w:val="single" w:sz="4" w:space="0" w:color="98B3CC" w:themeColor="accent1" w:themeTint="99"/>
          <w:insideH w:val="nil"/>
          <w:insideV w:val="nil"/>
        </w:tcBorders>
        <w:shd w:val="clear" w:color="auto" w:fill="FFFFFF" w:themeFill="background1"/>
      </w:tcPr>
    </w:tblStylePr>
    <w:tblStylePr w:type="firstCol">
      <w:rPr>
        <w:rFonts w:asciiTheme="minorHAnsi" w:hAnsiTheme="minorHAnsi"/>
        <w:b w:val="0"/>
        <w:sz w:val="20"/>
      </w:rPr>
    </w:tblStylePr>
  </w:style>
  <w:style w:type="paragraph" w:styleId="ListNumber">
    <w:name w:val="List Number"/>
    <w:basedOn w:val="Normal"/>
    <w:uiPriority w:val="99"/>
    <w:semiHidden/>
    <w:rsid w:val="00511E02"/>
    <w:pPr>
      <w:contextualSpacing/>
    </w:pPr>
  </w:style>
  <w:style w:type="paragraph" w:styleId="BodyText">
    <w:name w:val="Body Text"/>
    <w:link w:val="BodyTextChar"/>
    <w:qFormat/>
    <w:rsid w:val="00511E02"/>
    <w:pPr>
      <w:spacing w:before="140" w:after="140" w:line="264" w:lineRule="auto"/>
    </w:pPr>
    <w:rPr>
      <w:rFonts w:ascii="Arial" w:eastAsia="Arial" w:hAnsi="Arial" w:cs="Times New Roman"/>
      <w:noProof/>
      <w:sz w:val="20"/>
      <w:szCs w:val="20"/>
      <w:lang w:val="en-AU"/>
    </w:rPr>
  </w:style>
  <w:style w:type="character" w:customStyle="1" w:styleId="BodyTextChar">
    <w:name w:val="Body Text Char"/>
    <w:basedOn w:val="DefaultParagraphFont"/>
    <w:link w:val="BodyText"/>
    <w:rsid w:val="00511E02"/>
    <w:rPr>
      <w:rFonts w:ascii="Arial" w:eastAsia="Arial" w:hAnsi="Arial" w:cs="Times New Roman"/>
      <w:noProof/>
      <w:sz w:val="20"/>
      <w:szCs w:val="20"/>
      <w:lang w:val="en-AU"/>
    </w:rPr>
  </w:style>
  <w:style w:type="paragraph" w:customStyle="1" w:styleId="BigText">
    <w:name w:val="Big Text"/>
    <w:basedOn w:val="BodyText"/>
    <w:uiPriority w:val="3"/>
    <w:qFormat/>
    <w:rsid w:val="00511E02"/>
    <w:pPr>
      <w:spacing w:after="200"/>
    </w:pPr>
    <w:rPr>
      <w:color w:val="003478" w:themeColor="text2"/>
      <w:sz w:val="24"/>
      <w:szCs w:val="28"/>
    </w:rPr>
  </w:style>
  <w:style w:type="paragraph" w:customStyle="1" w:styleId="SourceText">
    <w:name w:val="Source Text"/>
    <w:basedOn w:val="Normal"/>
    <w:next w:val="BodyText"/>
    <w:uiPriority w:val="3"/>
    <w:qFormat/>
    <w:rsid w:val="00511E02"/>
    <w:pPr>
      <w:spacing w:after="240"/>
    </w:pPr>
    <w:rPr>
      <w:rFonts w:eastAsia="Arial" w:cs="Times New Roman"/>
      <w:sz w:val="18"/>
      <w:szCs w:val="14"/>
      <w:lang w:val="en-AU"/>
    </w:rPr>
  </w:style>
  <w:style w:type="paragraph" w:customStyle="1" w:styleId="TableHeading">
    <w:name w:val="Table Heading"/>
    <w:uiPriority w:val="2"/>
    <w:qFormat/>
    <w:rsid w:val="00511E02"/>
    <w:pPr>
      <w:keepNext/>
      <w:keepLines/>
      <w:spacing w:before="480" w:after="120"/>
      <w:contextualSpacing/>
    </w:pPr>
    <w:rPr>
      <w:rFonts w:ascii="Arial" w:eastAsia="Arial" w:hAnsi="Arial" w:cs="Times New Roman"/>
      <w:b/>
      <w:sz w:val="20"/>
      <w:szCs w:val="20"/>
      <w:lang w:val="en-AU"/>
    </w:rPr>
  </w:style>
  <w:style w:type="table" w:customStyle="1" w:styleId="Coffey2">
    <w:name w:val="Coffey 2"/>
    <w:basedOn w:val="TableNormal"/>
    <w:uiPriority w:val="99"/>
    <w:rsid w:val="00511E02"/>
    <w:pPr>
      <w:spacing w:before="120" w:after="120"/>
    </w:pPr>
    <w:rPr>
      <w:rFonts w:ascii="Arial" w:eastAsia="Arial" w:hAnsi="Arial"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F" w:themeFill="text2" w:themeFillTint="33"/>
      <w:vAlign w:val="center"/>
    </w:tcPr>
    <w:tblStylePr w:type="firstRow">
      <w:pPr>
        <w:wordWrap/>
        <w:spacing w:beforeLines="0" w:before="120" w:beforeAutospacing="0" w:afterLines="0" w:after="120" w:afterAutospacing="0" w:line="240" w:lineRule="auto"/>
        <w:contextualSpacing w:val="0"/>
        <w:jc w:val="left"/>
      </w:pPr>
      <w:rPr>
        <w:rFonts w:ascii="Arial Bold" w:hAnsi="Arial Bold"/>
        <w:b/>
        <w:color w:val="FFFFFF" w:themeColor="background1"/>
        <w:sz w:val="20"/>
      </w:rPr>
      <w:tblPr/>
      <w:tcPr>
        <w:shd w:val="clear" w:color="auto" w:fill="003478" w:themeFill="text2"/>
        <w:vAlign w:val="center"/>
      </w:tcPr>
    </w:tblStylePr>
  </w:style>
  <w:style w:type="paragraph" w:customStyle="1" w:styleId="Annextitle">
    <w:name w:val="Annex title"/>
    <w:uiPriority w:val="1"/>
    <w:qFormat/>
    <w:rsid w:val="00511E02"/>
    <w:pPr>
      <w:spacing w:before="200" w:after="120"/>
    </w:pPr>
    <w:rPr>
      <w:rFonts w:ascii="Arial" w:eastAsia="Arial" w:hAnsi="Arial" w:cs="Times New Roman"/>
      <w:b/>
      <w:bCs/>
      <w:noProof/>
      <w:sz w:val="20"/>
      <w:szCs w:val="20"/>
      <w:lang w:val="en-AU"/>
    </w:rPr>
  </w:style>
  <w:style w:type="table" w:styleId="PlainTable1">
    <w:name w:val="Plain Table 1"/>
    <w:basedOn w:val="TableNormal"/>
    <w:uiPriority w:val="41"/>
    <w:rsid w:val="006C7AB0"/>
    <w:rPr>
      <w:rFonts w:eastAsiaTheme="minorHAnsi"/>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6C7AB0"/>
    <w:rPr>
      <w:rFonts w:cs="Gotham Rounded Book"/>
      <w:color w:val="000000"/>
      <w:sz w:val="22"/>
      <w:szCs w:val="22"/>
    </w:rPr>
  </w:style>
  <w:style w:type="paragraph" w:styleId="CommentText">
    <w:name w:val="annotation text"/>
    <w:basedOn w:val="Normal"/>
    <w:link w:val="CommentTextChar"/>
    <w:uiPriority w:val="99"/>
    <w:semiHidden/>
    <w:unhideWhenUsed/>
    <w:rsid w:val="006C7AB0"/>
    <w:pPr>
      <w:spacing w:before="0" w:after="160" w:line="240" w:lineRule="auto"/>
    </w:pPr>
    <w:rPr>
      <w:rFonts w:asciiTheme="minorHAnsi" w:eastAsiaTheme="minorHAnsi" w:hAnsiTheme="minorHAnsi"/>
      <w:szCs w:val="20"/>
      <w:lang w:val="en-AU"/>
    </w:rPr>
  </w:style>
  <w:style w:type="character" w:customStyle="1" w:styleId="CommentTextChar">
    <w:name w:val="Comment Text Char"/>
    <w:basedOn w:val="DefaultParagraphFont"/>
    <w:link w:val="CommentText"/>
    <w:uiPriority w:val="99"/>
    <w:semiHidden/>
    <w:rsid w:val="006C7AB0"/>
    <w:rPr>
      <w:rFonts w:eastAsiaTheme="minorHAnsi"/>
      <w:sz w:val="20"/>
      <w:szCs w:val="20"/>
      <w:lang w:val="en-AU"/>
    </w:rPr>
  </w:style>
  <w:style w:type="paragraph" w:styleId="Quote">
    <w:name w:val="Quote"/>
    <w:basedOn w:val="Normal"/>
    <w:next w:val="Normal"/>
    <w:link w:val="QuoteChar"/>
    <w:uiPriority w:val="29"/>
    <w:qFormat/>
    <w:rsid w:val="006C7A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7AB0"/>
    <w:rPr>
      <w:rFonts w:ascii="Arial" w:hAnsi="Arial"/>
      <w:i/>
      <w:iCs/>
      <w:color w:val="404040" w:themeColor="text1" w:themeTint="BF"/>
      <w:sz w:val="20"/>
    </w:rPr>
  </w:style>
  <w:style w:type="paragraph" w:styleId="List">
    <w:name w:val="List"/>
    <w:basedOn w:val="Normal"/>
    <w:uiPriority w:val="99"/>
    <w:unhideWhenUsed/>
    <w:rsid w:val="00DC3EBD"/>
    <w:pPr>
      <w:ind w:left="360" w:hanging="360"/>
      <w:contextualSpacing/>
    </w:pPr>
  </w:style>
  <w:style w:type="paragraph" w:styleId="List2">
    <w:name w:val="List 2"/>
    <w:basedOn w:val="Normal"/>
    <w:uiPriority w:val="99"/>
    <w:unhideWhenUsed/>
    <w:rsid w:val="00DC3EBD"/>
    <w:pPr>
      <w:ind w:left="720" w:hanging="360"/>
      <w:contextualSpacing/>
    </w:pPr>
  </w:style>
  <w:style w:type="character" w:styleId="LineNumber">
    <w:name w:val="line number"/>
    <w:basedOn w:val="DefaultParagraphFont"/>
    <w:uiPriority w:val="99"/>
    <w:unhideWhenUsed/>
    <w:rsid w:val="00DC3EBD"/>
  </w:style>
  <w:style w:type="character" w:styleId="FollowedHyperlink">
    <w:name w:val="FollowedHyperlink"/>
    <w:basedOn w:val="DefaultParagraphFont"/>
    <w:uiPriority w:val="99"/>
    <w:semiHidden/>
    <w:unhideWhenUsed/>
    <w:rsid w:val="00D87FCC"/>
    <w:rPr>
      <w:color w:val="800080" w:themeColor="followedHyperlink"/>
      <w:u w:val="single"/>
    </w:rPr>
  </w:style>
  <w:style w:type="paragraph" w:customStyle="1" w:styleId="Pa9">
    <w:name w:val="Pa9"/>
    <w:basedOn w:val="Normal"/>
    <w:next w:val="Normal"/>
    <w:uiPriority w:val="99"/>
    <w:rsid w:val="00B61235"/>
    <w:pPr>
      <w:autoSpaceDE w:val="0"/>
      <w:autoSpaceDN w:val="0"/>
      <w:adjustRightInd w:val="0"/>
      <w:spacing w:before="0" w:after="0" w:line="181" w:lineRule="atLeast"/>
    </w:pPr>
    <w:rPr>
      <w:rFonts w:ascii="Helvetica LT Std" w:eastAsia="Arial" w:hAnsi="Helvetica LT Std" w:cs="Times New Roman"/>
      <w:sz w:val="24"/>
      <w:lang w:val="en-AU" w:eastAsia="en-AU"/>
    </w:rPr>
  </w:style>
  <w:style w:type="character" w:customStyle="1" w:styleId="A2">
    <w:name w:val="A2"/>
    <w:uiPriority w:val="99"/>
    <w:rsid w:val="00B61235"/>
    <w:rPr>
      <w:rFonts w:cs="Helvetica LT Std"/>
      <w:color w:val="FFFFFF"/>
      <w:sz w:val="21"/>
      <w:szCs w:val="21"/>
    </w:rPr>
  </w:style>
  <w:style w:type="character" w:styleId="CommentReference">
    <w:name w:val="annotation reference"/>
    <w:basedOn w:val="DefaultParagraphFont"/>
    <w:uiPriority w:val="99"/>
    <w:semiHidden/>
    <w:unhideWhenUsed/>
    <w:rsid w:val="00BF45F6"/>
    <w:rPr>
      <w:sz w:val="16"/>
      <w:szCs w:val="16"/>
    </w:rPr>
  </w:style>
  <w:style w:type="paragraph" w:styleId="CommentSubject">
    <w:name w:val="annotation subject"/>
    <w:basedOn w:val="CommentText"/>
    <w:next w:val="CommentText"/>
    <w:link w:val="CommentSubjectChar"/>
    <w:uiPriority w:val="99"/>
    <w:semiHidden/>
    <w:unhideWhenUsed/>
    <w:rsid w:val="00BF45F6"/>
    <w:pPr>
      <w:spacing w:before="120" w:after="120"/>
    </w:pPr>
    <w:rPr>
      <w:rFonts w:ascii="Arial" w:eastAsiaTheme="minorEastAsia" w:hAnsi="Arial"/>
      <w:b/>
      <w:bCs/>
      <w:lang w:val="en-US"/>
    </w:rPr>
  </w:style>
  <w:style w:type="character" w:customStyle="1" w:styleId="CommentSubjectChar">
    <w:name w:val="Comment Subject Char"/>
    <w:basedOn w:val="CommentTextChar"/>
    <w:link w:val="CommentSubject"/>
    <w:uiPriority w:val="99"/>
    <w:semiHidden/>
    <w:rsid w:val="00BF45F6"/>
    <w:rPr>
      <w:rFonts w:ascii="Arial" w:eastAsiaTheme="minorHAnsi" w:hAnsi="Arial"/>
      <w:b/>
      <w:bCs/>
      <w:sz w:val="20"/>
      <w:szCs w:val="20"/>
      <w:lang w:val="en-AU"/>
    </w:rPr>
  </w:style>
  <w:style w:type="character" w:customStyle="1" w:styleId="UnresolvedMention1">
    <w:name w:val="Unresolved Mention1"/>
    <w:basedOn w:val="DefaultParagraphFont"/>
    <w:uiPriority w:val="99"/>
    <w:semiHidden/>
    <w:unhideWhenUsed/>
    <w:rsid w:val="00AE0F1C"/>
    <w:rPr>
      <w:color w:val="605E5C"/>
      <w:shd w:val="clear" w:color="auto" w:fill="E1DFDD"/>
    </w:rPr>
  </w:style>
  <w:style w:type="character" w:styleId="UnresolvedMention">
    <w:name w:val="Unresolved Mention"/>
    <w:basedOn w:val="DefaultParagraphFont"/>
    <w:uiPriority w:val="99"/>
    <w:semiHidden/>
    <w:unhideWhenUsed/>
    <w:rsid w:val="00AB0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22788085">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1023627755">
      <w:bodyDiv w:val="1"/>
      <w:marLeft w:val="0"/>
      <w:marRight w:val="0"/>
      <w:marTop w:val="0"/>
      <w:marBottom w:val="0"/>
      <w:divBdr>
        <w:top w:val="none" w:sz="0" w:space="0" w:color="auto"/>
        <w:left w:val="none" w:sz="0" w:space="0" w:color="auto"/>
        <w:bottom w:val="none" w:sz="0" w:space="0" w:color="auto"/>
        <w:right w:val="none" w:sz="0" w:space="0" w:color="auto"/>
      </w:divBdr>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gjeringen.no/no/tema/utenrikssaker/utviklingssamarbeid/id11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www.international.gc.ca/development-developpement/partners-partenaires/bt-oa/cost_sharing-partage_couts.aspx?lang=eng" TargetMode="External"/><Relationship Id="rId13" Type="http://schemas.openxmlformats.org/officeDocument/2006/relationships/hyperlink" Target="https://www.unv.org/sites/default/files/UNV_SWVR_2018_English_WEB.pdf" TargetMode="External"/><Relationship Id="rId18" Type="http://schemas.openxmlformats.org/officeDocument/2006/relationships/hyperlink" Target="https://www.volunteeringaustralia.org/wp-content/uploads/State-of-Volunteering-in-Australia-full-report.pdf" TargetMode="External"/><Relationship Id="rId3" Type="http://schemas.openxmlformats.org/officeDocument/2006/relationships/hyperlink" Target="http://www.oecd.org/dac/triangular-cooperation/" TargetMode="External"/><Relationship Id="rId7" Type="http://schemas.openxmlformats.org/officeDocument/2006/relationships/hyperlink" Target="https://www.international.gc.ca/world-monde/study_work_travel-etude_travail_voyage/volunteer_cooperation_program-programme_cooperation_volontaire.aspx?lang=eng" TargetMode="External"/><Relationship Id="rId12" Type="http://schemas.openxmlformats.org/officeDocument/2006/relationships/hyperlink" Target="https://forum-ids.org/covid-19-and-the-future-of-volunteering-for-development-research-report" TargetMode="External"/><Relationship Id="rId17" Type="http://schemas.openxmlformats.org/officeDocument/2006/relationships/hyperlink" Target="https://www.volunteeringwa.org.au/news/Volunteering-Trends-Study-2019" TargetMode="External"/><Relationship Id="rId2" Type="http://schemas.openxmlformats.org/officeDocument/2006/relationships/hyperlink" Target="https://www.oecd.org/dac/effectiveness/taskteamonsouth-southco-operation.htm" TargetMode="External"/><Relationship Id="rId16" Type="http://schemas.openxmlformats.org/officeDocument/2006/relationships/hyperlink" Target="https://www.unv.org/sites/default/files/UNV_SWVR_2018_English_WEB.pdf" TargetMode="External"/><Relationship Id="rId1" Type="http://schemas.openxmlformats.org/officeDocument/2006/relationships/hyperlink" Target="https://www.dfat.gov.au/people-to-people/volunteers/about-the-program/Pages/history" TargetMode="External"/><Relationship Id="rId6" Type="http://schemas.openxmlformats.org/officeDocument/2006/relationships/hyperlink" Target="https://www.international.gc.ca/world-monde/study_work_travel-etude_travail_voyage/volunteer_cooperation_program-programme_cooperation_volontaire.aspx?lang=eng" TargetMode="External"/><Relationship Id="rId11" Type="http://schemas.openxmlformats.org/officeDocument/2006/relationships/hyperlink" Target="https://www.norec.no/en/about-norec/organisation/reports/" TargetMode="External"/><Relationship Id="rId5" Type="http://schemas.openxmlformats.org/officeDocument/2006/relationships/hyperlink" Target="https://vsa.org.nz/about-vsa/" TargetMode="External"/><Relationship Id="rId15" Type="http://schemas.openxmlformats.org/officeDocument/2006/relationships/hyperlink" Target="https://future-rcrc.com/2018/12/05/rethinking-the-future-of-volunteering/" TargetMode="External"/><Relationship Id="rId10" Type="http://schemas.openxmlformats.org/officeDocument/2006/relationships/hyperlink" Target="https://devtracker.fcdo.gov.uk/projects/GB-GOV-1-300083/documents" TargetMode="External"/><Relationship Id="rId19" Type="http://schemas.openxmlformats.org/officeDocument/2006/relationships/hyperlink" Target="https://www.ifrc.org/Global/Documents/Secretariat/1301100-Global%20Review%20on%20Volunteering%20Report_EN-LR.pdf" TargetMode="External"/><Relationship Id="rId4" Type="http://schemas.openxmlformats.org/officeDocument/2006/relationships/hyperlink" Target="https://www.dfat.gov.au/people-to-people/volunteers/about-the-program/Pages/history" TargetMode="External"/><Relationship Id="rId9" Type="http://schemas.openxmlformats.org/officeDocument/2006/relationships/hyperlink" Target="https://devtracker.fcdo.gov.uk/projects/GB-1-204894/documents" TargetMode="External"/><Relationship Id="rId14" Type="http://schemas.openxmlformats.org/officeDocument/2006/relationships/hyperlink" Target="https://www.ifrc.org/Global/Documents/Secretariat/1301100-Global%20Review%20on%20Volunteering%20Report_EN-LR.pdf" TargetMode="External"/></Relationships>
</file>

<file path=word/theme/theme1.xml><?xml version="1.0" encoding="utf-8"?>
<a:theme xmlns:a="http://schemas.openxmlformats.org/drawingml/2006/main" name="Office Theme">
  <a:themeElements>
    <a:clrScheme name="Tetra Tech">
      <a:dk1>
        <a:sysClr val="windowText" lastClr="000000"/>
      </a:dk1>
      <a:lt1>
        <a:sysClr val="window" lastClr="FFFFFF"/>
      </a:lt1>
      <a:dk2>
        <a:srgbClr val="003478"/>
      </a:dk2>
      <a:lt2>
        <a:srgbClr val="FFFFFF"/>
      </a:lt2>
      <a:accent1>
        <a:srgbClr val="5482AB"/>
      </a:accent1>
      <a:accent2>
        <a:srgbClr val="69923A"/>
      </a:accent2>
      <a:accent3>
        <a:srgbClr val="CA7700"/>
      </a:accent3>
      <a:accent4>
        <a:srgbClr val="B3995D"/>
      </a:accent4>
      <a:accent5>
        <a:srgbClr val="675C53"/>
      </a:accent5>
      <a:accent6>
        <a:srgbClr val="00347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801145463DC48A326CE9D3D184A3F" ma:contentTypeVersion="8" ma:contentTypeDescription="Create a new document." ma:contentTypeScope="" ma:versionID="3e367418af04b9aec98eee347e579c60">
  <xsd:schema xmlns:xsd="http://www.w3.org/2001/XMLSchema" xmlns:xs="http://www.w3.org/2001/XMLSchema" xmlns:p="http://schemas.microsoft.com/office/2006/metadata/properties" xmlns:ns2="a83bb24a-2540-4d40-9b09-447659874677" targetNamespace="http://schemas.microsoft.com/office/2006/metadata/properties" ma:root="true" ma:fieldsID="5c57b2081e679afbbf47044bb527b27b" ns2:_="">
    <xsd:import namespace="a83bb24a-2540-4d40-9b09-4476598746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bb24a-2540-4d40-9b09-447659874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5B7E3-8A9D-4AAC-BD9B-DF86510E1CFF}">
  <ds:schemaRefs>
    <ds:schemaRef ds:uri="http://schemas.openxmlformats.org/officeDocument/2006/bibliography"/>
  </ds:schemaRefs>
</ds:datastoreItem>
</file>

<file path=customXml/itemProps2.xml><?xml version="1.0" encoding="utf-8"?>
<ds:datastoreItem xmlns:ds="http://schemas.openxmlformats.org/officeDocument/2006/customXml" ds:itemID="{3B9A6DEA-8884-4BAE-9AB6-5AB7C0701DFC}">
  <ds:schemaRefs>
    <ds:schemaRef ds:uri="http://purl.org/dc/terms/"/>
    <ds:schemaRef ds:uri="http://schemas.openxmlformats.org/package/2006/metadata/core-properties"/>
    <ds:schemaRef ds:uri="http://schemas.microsoft.com/office/2006/documentManagement/types"/>
    <ds:schemaRef ds:uri="a83bb24a-2540-4d40-9b09-447659874677"/>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9DC445-805A-4A25-B01E-3A633DEDFF0E}">
  <ds:schemaRefs>
    <ds:schemaRef ds:uri="http://schemas.microsoft.com/sharepoint/v3/contenttype/forms"/>
  </ds:schemaRefs>
</ds:datastoreItem>
</file>

<file path=customXml/itemProps4.xml><?xml version="1.0" encoding="utf-8"?>
<ds:datastoreItem xmlns:ds="http://schemas.openxmlformats.org/officeDocument/2006/customXml" ds:itemID="{BCE2E228-C450-4B6D-BA0C-F47AAAEE5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bb24a-2540-4d40-9b09-447659874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6025</Words>
  <Characters>35091</Characters>
  <Application>Microsoft Office Word</Application>
  <DocSecurity>0</DocSecurity>
  <Lines>628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Volunteers Program independent evaluation - Annex 1 Comparative analysis and future directions</dc:title>
  <dc:subject/>
  <dc:creator/>
  <cp:keywords> [SEC=OFFICIAL]</cp:keywords>
  <cp:lastModifiedBy/>
  <cp:revision>1</cp:revision>
  <dcterms:created xsi:type="dcterms:W3CDTF">2021-09-14T04:56:00Z</dcterms:created>
  <dcterms:modified xsi:type="dcterms:W3CDTF">2021-09-16T00:59:00Z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5499a0dd-1eea-42de-9cbc-3999fb7aab85</vt:lpwstr>
  </property>
  <property fmtid="{D5CDD505-2E9C-101B-9397-08002B2CF9AE}" pid="3" name="SEC">
    <vt:lpwstr>OFFICIAL</vt:lpwstr>
  </property>
  <property fmtid="{D5CDD505-2E9C-101B-9397-08002B2CF9AE}" pid="4" name="ContentTypeId">
    <vt:lpwstr>0x01010071B801145463DC48A326CE9D3D184A3F</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84AB5193FD524ABC8D07305E4B68621F</vt:lpwstr>
  </property>
  <property fmtid="{D5CDD505-2E9C-101B-9397-08002B2CF9AE}" pid="12" name="PM_ProtectiveMarkingValue_Footer">
    <vt:lpwstr>OFFICIAL</vt:lpwstr>
  </property>
  <property fmtid="{D5CDD505-2E9C-101B-9397-08002B2CF9AE}" pid="13" name="PM_Originator_Hash_SHA1">
    <vt:lpwstr>D9F6E5C82DFAF7AB6E3D596D48DD43C72EDFDAB4</vt:lpwstr>
  </property>
  <property fmtid="{D5CDD505-2E9C-101B-9397-08002B2CF9AE}" pid="14" name="PM_OriginationTimeStamp">
    <vt:lpwstr>2021-09-16T00:53:02Z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1B29369B239A197064710F884211DFCA</vt:lpwstr>
  </property>
  <property fmtid="{D5CDD505-2E9C-101B-9397-08002B2CF9AE}" pid="23" name="PM_Hash_Salt">
    <vt:lpwstr>BD32A01EA37B7E67B1ED3BF9AE8E5AEF</vt:lpwstr>
  </property>
  <property fmtid="{D5CDD505-2E9C-101B-9397-08002B2CF9AE}" pid="24" name="PM_Hash_SHA1">
    <vt:lpwstr>CBB8A28248E7E6E5052338A08B6ED9B1E913BBCE</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MinimumSecurityClassification">
    <vt:lpwstr>OFFICIAL</vt:lpwstr>
  </property>
</Properties>
</file>