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66EA7" w14:textId="037B9FF0" w:rsidR="00D97452" w:rsidRPr="00D97452" w:rsidRDefault="00F37B9C" w:rsidP="003A5358">
      <w:pPr>
        <w:pStyle w:val="Title"/>
        <w:rPr>
          <w:sz w:val="40"/>
          <w:szCs w:val="32"/>
        </w:rPr>
      </w:pPr>
      <w:r w:rsidRPr="00D97452">
        <w:rPr>
          <w:caps w:val="0"/>
          <w:sz w:val="40"/>
          <w:szCs w:val="32"/>
        </w:rPr>
        <w:t>AUSTRALIAN SAFEGUARDS AND NON-PROLIFERATION OFFICE</w:t>
      </w:r>
    </w:p>
    <w:p w14:paraId="57BFB576" w14:textId="0F64D91E" w:rsidR="004E058F" w:rsidRPr="00D97452" w:rsidRDefault="00F37B9C" w:rsidP="003A5358">
      <w:pPr>
        <w:pStyle w:val="Title"/>
        <w:rPr>
          <w:sz w:val="56"/>
          <w:szCs w:val="48"/>
        </w:rPr>
      </w:pPr>
      <w:r>
        <w:rPr>
          <w:caps w:val="0"/>
          <w:sz w:val="56"/>
          <w:szCs w:val="48"/>
        </w:rPr>
        <w:t>R</w:t>
      </w:r>
      <w:r w:rsidRPr="00D97452">
        <w:rPr>
          <w:caps w:val="0"/>
          <w:sz w:val="56"/>
          <w:szCs w:val="48"/>
        </w:rPr>
        <w:t xml:space="preserve">EGULATOR </w:t>
      </w:r>
      <w:r>
        <w:rPr>
          <w:caps w:val="0"/>
          <w:sz w:val="56"/>
          <w:szCs w:val="48"/>
        </w:rPr>
        <w:t>P</w:t>
      </w:r>
      <w:r w:rsidRPr="00D97452">
        <w:rPr>
          <w:caps w:val="0"/>
          <w:sz w:val="56"/>
          <w:szCs w:val="48"/>
        </w:rPr>
        <w:t xml:space="preserve">ERFORMANCE </w:t>
      </w:r>
      <w:r>
        <w:rPr>
          <w:caps w:val="0"/>
          <w:sz w:val="56"/>
          <w:szCs w:val="48"/>
        </w:rPr>
        <w:t>F</w:t>
      </w:r>
      <w:r w:rsidRPr="00D97452">
        <w:rPr>
          <w:caps w:val="0"/>
          <w:sz w:val="56"/>
          <w:szCs w:val="48"/>
        </w:rPr>
        <w:t xml:space="preserve">RAMEWORK </w:t>
      </w:r>
      <w:r>
        <w:rPr>
          <w:caps w:val="0"/>
          <w:sz w:val="56"/>
          <w:szCs w:val="48"/>
        </w:rPr>
        <w:t>S</w:t>
      </w:r>
      <w:r w:rsidRPr="00D97452">
        <w:rPr>
          <w:caps w:val="0"/>
          <w:sz w:val="56"/>
          <w:szCs w:val="48"/>
        </w:rPr>
        <w:t>ELF-</w:t>
      </w:r>
      <w:r>
        <w:rPr>
          <w:caps w:val="0"/>
          <w:sz w:val="56"/>
          <w:szCs w:val="48"/>
        </w:rPr>
        <w:t>A</w:t>
      </w:r>
      <w:r w:rsidRPr="00D97452">
        <w:rPr>
          <w:caps w:val="0"/>
          <w:sz w:val="56"/>
          <w:szCs w:val="48"/>
        </w:rPr>
        <w:t xml:space="preserve">SSESSMENT </w:t>
      </w:r>
      <w:r>
        <w:rPr>
          <w:caps w:val="0"/>
          <w:sz w:val="56"/>
          <w:szCs w:val="48"/>
        </w:rPr>
        <w:t>R</w:t>
      </w:r>
      <w:r w:rsidRPr="00D97452">
        <w:rPr>
          <w:caps w:val="0"/>
          <w:sz w:val="56"/>
          <w:szCs w:val="48"/>
        </w:rPr>
        <w:t>EPORT 2020 – 2021</w:t>
      </w:r>
    </w:p>
    <w:p w14:paraId="70A163EE" w14:textId="3F9B86D2" w:rsidR="00745DF5" w:rsidRDefault="00BA4B6D" w:rsidP="003A5358">
      <w:pPr>
        <w:pStyle w:val="Subtitle"/>
        <w:sectPr w:rsidR="00745DF5" w:rsidSect="00C40785">
          <w:headerReference w:type="default" r:id="rId8"/>
          <w:headerReference w:type="first" r:id="rId9"/>
          <w:type w:val="continuous"/>
          <w:pgSz w:w="11906" w:h="16838" w:code="9"/>
          <w:pgMar w:top="1928" w:right="1134" w:bottom="993" w:left="1134" w:header="567" w:footer="567" w:gutter="0"/>
          <w:pgNumType w:fmt="upperLetter"/>
          <w:cols w:space="708"/>
          <w:vAlign w:val="bottom"/>
          <w:docGrid w:linePitch="360"/>
        </w:sectPr>
      </w:pPr>
      <w:r>
        <w:fldChar w:fldCharType="begin"/>
      </w:r>
      <w:r>
        <w:instrText xml:space="preserve"> DATE  \@ "MMMM yyyy"  \* MERGEFORMAT </w:instrText>
      </w:r>
      <w:r>
        <w:fldChar w:fldCharType="separate"/>
      </w:r>
      <w:r w:rsidR="00986F41">
        <w:rPr>
          <w:noProof/>
        </w:rPr>
        <w:t>December 2021</w:t>
      </w:r>
      <w:r>
        <w:fldChar w:fldCharType="end"/>
      </w:r>
    </w:p>
    <w:p w14:paraId="7A838929" w14:textId="77777777" w:rsidR="004D0AEE" w:rsidRPr="004726E4" w:rsidRDefault="00D97452" w:rsidP="003A5358">
      <w:pPr>
        <w:pStyle w:val="TOCHeading"/>
      </w:pPr>
      <w:r w:rsidRPr="004726E4">
        <w:lastRenderedPageBreak/>
        <w:t>STATEMENT</w:t>
      </w:r>
      <w:r w:rsidR="004D0AEE" w:rsidRPr="004726E4">
        <w:t>s</w:t>
      </w:r>
    </w:p>
    <w:p w14:paraId="2331D2B9" w14:textId="77777777" w:rsidR="00892441" w:rsidRPr="004726E4" w:rsidRDefault="004726E4" w:rsidP="00BF3A17">
      <w:pPr>
        <w:pStyle w:val="BodyText"/>
      </w:pPr>
      <w:r w:rsidRPr="004726E4">
        <w:t>This performance report for the Australian Safeguards and Non-Proliferation Office (ASNO) is prepared for the Government’s Regulator Performance Framework (RPF) and covers the financial year 2020-2021.</w:t>
      </w:r>
    </w:p>
    <w:p w14:paraId="11B2A17D" w14:textId="77777777" w:rsidR="004726E4" w:rsidRPr="004726E4" w:rsidRDefault="004726E4" w:rsidP="00BF3A17">
      <w:pPr>
        <w:pStyle w:val="BodyText"/>
      </w:pPr>
    </w:p>
    <w:p w14:paraId="0CEA00B8" w14:textId="77777777" w:rsidR="004726E4" w:rsidRPr="004726E4" w:rsidRDefault="004726E4" w:rsidP="004726E4">
      <w:pPr>
        <w:pStyle w:val="Heading1smallspaceafter"/>
      </w:pPr>
      <w:r w:rsidRPr="004726E4">
        <w:t>OVERVIEW OF ASNO’S REGULATORY FUNCTIONS</w:t>
      </w:r>
    </w:p>
    <w:p w14:paraId="15FA8120" w14:textId="0C2BD061" w:rsidR="006F7E7D" w:rsidRDefault="00183668" w:rsidP="004726E4">
      <w:pPr>
        <w:pStyle w:val="BodyText"/>
      </w:pPr>
      <w:r>
        <w:t>The principal focus of the</w:t>
      </w:r>
      <w:r w:rsidRPr="00183668">
        <w:t xml:space="preserve"> </w:t>
      </w:r>
      <w:r w:rsidRPr="004726E4">
        <w:t>Australian Safeguards and Non-Proliferation Office (ASNO)</w:t>
      </w:r>
      <w:r w:rsidR="004726E4" w:rsidRPr="004726E4">
        <w:t xml:space="preserve"> is domestic </w:t>
      </w:r>
      <w:r w:rsidR="004726E4">
        <w:t xml:space="preserve">and </w:t>
      </w:r>
      <w:r w:rsidR="004726E4" w:rsidRPr="004726E4">
        <w:t>international act</w:t>
      </w:r>
      <w:r w:rsidR="000A4B2F">
        <w:t>ivity</w:t>
      </w:r>
      <w:r w:rsidR="004726E4" w:rsidRPr="004726E4">
        <w:t xml:space="preserve"> to prevent the proliferation of nuclear and chemical weapons</w:t>
      </w:r>
      <w:r w:rsidR="004726E4">
        <w:t>.</w:t>
      </w:r>
      <w:r w:rsidR="00816F67">
        <w:t xml:space="preserve"> </w:t>
      </w:r>
    </w:p>
    <w:p w14:paraId="16BB5D09" w14:textId="53D19DF9" w:rsidR="00183668" w:rsidRPr="004726E4" w:rsidRDefault="000A4B2F" w:rsidP="000B036E">
      <w:pPr>
        <w:pStyle w:val="BodyText"/>
      </w:pPr>
      <w:r>
        <w:t>ASNO</w:t>
      </w:r>
      <w:r w:rsidRPr="004726E4">
        <w:t xml:space="preserve"> is an independent federal regulator</w:t>
      </w:r>
      <w:r>
        <w:t xml:space="preserve">, </w:t>
      </w:r>
      <w:r w:rsidRPr="004726E4">
        <w:t>cover</w:t>
      </w:r>
      <w:r>
        <w:t>ing</w:t>
      </w:r>
      <w:r w:rsidRPr="004726E4">
        <w:t xml:space="preserve"> all states and territories</w:t>
      </w:r>
      <w:r>
        <w:t>,</w:t>
      </w:r>
      <w:r w:rsidR="000B036E">
        <w:t xml:space="preserve"> and consolidates</w:t>
      </w:r>
      <w:r w:rsidR="000B036E">
        <w:rPr>
          <w:rStyle w:val="FootnoteReference"/>
        </w:rPr>
        <w:footnoteReference w:id="1"/>
      </w:r>
      <w:r w:rsidR="000B036E">
        <w:t xml:space="preserve"> the </w:t>
      </w:r>
      <w:r w:rsidR="000B036E" w:rsidRPr="004726E4">
        <w:t>national authority for nuclear safeguards, the national authority for the Chemical Weapons Convention (CWC)</w:t>
      </w:r>
      <w:r w:rsidR="000B036E">
        <w:t>,</w:t>
      </w:r>
      <w:r w:rsidR="000B036E" w:rsidRPr="004726E4">
        <w:t xml:space="preserve"> and the national authority for the Comprehensive Nuclear-Test-Ban Treaty (CTBT)</w:t>
      </w:r>
      <w:r w:rsidR="000B036E">
        <w:t>. T</w:t>
      </w:r>
      <w:r w:rsidR="000B036E" w:rsidRPr="004726E4">
        <w:t>he Director General</w:t>
      </w:r>
      <w:r w:rsidR="000B036E">
        <w:t xml:space="preserve"> of</w:t>
      </w:r>
      <w:r w:rsidR="000B036E" w:rsidRPr="004726E4">
        <w:t xml:space="preserve"> ASNO</w:t>
      </w:r>
      <w:r w:rsidR="000B036E">
        <w:t xml:space="preserve"> (DG ASNO) is a statutory position and is the</w:t>
      </w:r>
      <w:r w:rsidR="000B036E" w:rsidRPr="00183668">
        <w:t xml:space="preserve"> director of </w:t>
      </w:r>
      <w:r w:rsidR="000B036E">
        <w:t>the three</w:t>
      </w:r>
      <w:r w:rsidR="000B036E" w:rsidRPr="00183668">
        <w:t xml:space="preserve"> national authorities</w:t>
      </w:r>
      <w:r w:rsidR="000B036E">
        <w:t xml:space="preserve">. ASNO is located in </w:t>
      </w:r>
      <w:r w:rsidR="000B036E" w:rsidRPr="004726E4">
        <w:t>the Department of Foreign Affairs</w:t>
      </w:r>
      <w:r w:rsidR="0055714E">
        <w:t xml:space="preserve"> and Trade</w:t>
      </w:r>
      <w:r w:rsidR="000B036E" w:rsidRPr="004726E4">
        <w:t xml:space="preserve"> and </w:t>
      </w:r>
      <w:r w:rsidR="000B036E">
        <w:t>DG ASNO reports to the Minister of Foreign Affairs.</w:t>
      </w:r>
    </w:p>
    <w:p w14:paraId="7C004766" w14:textId="5D2E00A2" w:rsidR="004726E4" w:rsidRPr="004726E4" w:rsidRDefault="004726E4" w:rsidP="004726E4">
      <w:pPr>
        <w:pStyle w:val="BodyText"/>
      </w:pPr>
      <w:r w:rsidRPr="004726E4">
        <w:t xml:space="preserve">The </w:t>
      </w:r>
      <w:r w:rsidRPr="00657889">
        <w:rPr>
          <w:i/>
          <w:iCs/>
        </w:rPr>
        <w:t>Nuclear Non-Proliferation (Safeguards) Act 1987</w:t>
      </w:r>
      <w:r w:rsidRPr="004726E4">
        <w:t xml:space="preserve"> (Safeguards Act) </w:t>
      </w:r>
      <w:r w:rsidR="009A4EB3" w:rsidRPr="004726E4">
        <w:t>forms the legislative basis for ASNO’s domestic nuclear regulatory functions</w:t>
      </w:r>
      <w:r w:rsidR="009A4EB3">
        <w:t xml:space="preserve"> and </w:t>
      </w:r>
      <w:r w:rsidRPr="004726E4">
        <w:t xml:space="preserve">gives effect to Australia's nuclear safeguards </w:t>
      </w:r>
      <w:r w:rsidR="00EC62AA">
        <w:t xml:space="preserve">and nuclear security </w:t>
      </w:r>
      <w:r w:rsidRPr="004726E4">
        <w:t xml:space="preserve">obligations under </w:t>
      </w:r>
      <w:r w:rsidR="00204AFC">
        <w:t>several</w:t>
      </w:r>
      <w:r w:rsidRPr="004726E4">
        <w:t xml:space="preserve"> international treaties:</w:t>
      </w:r>
    </w:p>
    <w:p w14:paraId="31C0189B" w14:textId="77777777" w:rsidR="00204AFC" w:rsidRPr="00BB1B0F" w:rsidRDefault="004726E4" w:rsidP="00BB1B0F">
      <w:pPr>
        <w:pStyle w:val="ListParagraph"/>
        <w:numPr>
          <w:ilvl w:val="0"/>
          <w:numId w:val="36"/>
        </w:numPr>
        <w:tabs>
          <w:tab w:val="left" w:pos="709"/>
        </w:tabs>
        <w:rPr>
          <w:rFonts w:ascii="Calibri Light" w:eastAsia="Calibri Light" w:hAnsi="Calibri Light" w:cs="Times New Roman"/>
          <w:color w:val="495965"/>
        </w:rPr>
      </w:pPr>
      <w:r w:rsidRPr="00BB1B0F">
        <w:rPr>
          <w:rFonts w:ascii="Calibri Light" w:eastAsia="Calibri Light" w:hAnsi="Calibri Light" w:cs="Times New Roman"/>
          <w:color w:val="495965"/>
        </w:rPr>
        <w:t>the Treaty on the Non-Proliferation of Nuclear Weapons (NPT)</w:t>
      </w:r>
    </w:p>
    <w:p w14:paraId="317CB239" w14:textId="77777777" w:rsidR="00204AFC" w:rsidRPr="00BB1B0F" w:rsidRDefault="004726E4" w:rsidP="00BB1B0F">
      <w:pPr>
        <w:pStyle w:val="ListParagraph"/>
        <w:numPr>
          <w:ilvl w:val="0"/>
          <w:numId w:val="36"/>
        </w:numPr>
        <w:tabs>
          <w:tab w:val="left" w:pos="709"/>
        </w:tabs>
        <w:rPr>
          <w:rFonts w:ascii="Calibri Light" w:eastAsia="Calibri Light" w:hAnsi="Calibri Light" w:cs="Times New Roman"/>
          <w:color w:val="495965"/>
        </w:rPr>
      </w:pPr>
      <w:r w:rsidRPr="00BB1B0F">
        <w:rPr>
          <w:rFonts w:ascii="Calibri Light" w:eastAsia="Calibri Light" w:hAnsi="Calibri Light" w:cs="Times New Roman"/>
          <w:color w:val="495965"/>
        </w:rPr>
        <w:t>Australia's Comprehensive Safeguards Agreement and Additional Protocol with the International Atomic Energy Agency (IAEA)</w:t>
      </w:r>
    </w:p>
    <w:p w14:paraId="17CE0C3A" w14:textId="77777777" w:rsidR="00204AFC" w:rsidRPr="00BB1B0F" w:rsidRDefault="004726E4" w:rsidP="00BB1B0F">
      <w:pPr>
        <w:pStyle w:val="ListParagraph"/>
        <w:numPr>
          <w:ilvl w:val="0"/>
          <w:numId w:val="36"/>
        </w:numPr>
        <w:tabs>
          <w:tab w:val="left" w:pos="709"/>
        </w:tabs>
        <w:rPr>
          <w:rFonts w:ascii="Calibri Light" w:eastAsia="Calibri Light" w:hAnsi="Calibri Light" w:cs="Times New Roman"/>
          <w:color w:val="495965"/>
        </w:rPr>
      </w:pPr>
      <w:r w:rsidRPr="00BB1B0F">
        <w:rPr>
          <w:rFonts w:ascii="Calibri Light" w:eastAsia="Calibri Light" w:hAnsi="Calibri Light" w:cs="Times New Roman"/>
          <w:color w:val="495965"/>
        </w:rPr>
        <w:t>nuclear cooperation agreements (NCAs) concerning exports of uranium and cooperation in peaceful uses of nuclear energy (currently there are 25 NCAs in force covering 43 countries)</w:t>
      </w:r>
    </w:p>
    <w:p w14:paraId="56B7C68A" w14:textId="72F2E3BA" w:rsidR="00204AFC" w:rsidRPr="00BB1B0F" w:rsidRDefault="004726E4" w:rsidP="00BB1B0F">
      <w:pPr>
        <w:pStyle w:val="ListParagraph"/>
        <w:numPr>
          <w:ilvl w:val="0"/>
          <w:numId w:val="36"/>
        </w:numPr>
        <w:tabs>
          <w:tab w:val="left" w:pos="709"/>
        </w:tabs>
        <w:rPr>
          <w:rFonts w:ascii="Calibri Light" w:eastAsia="Calibri Light" w:hAnsi="Calibri Light" w:cs="Times New Roman"/>
          <w:color w:val="495965"/>
        </w:rPr>
      </w:pPr>
      <w:r w:rsidRPr="00BB1B0F">
        <w:rPr>
          <w:rFonts w:ascii="Calibri Light" w:eastAsia="Calibri Light" w:hAnsi="Calibri Light" w:cs="Times New Roman"/>
          <w:color w:val="495965"/>
        </w:rPr>
        <w:t>the Amended Convention on the Physical Protection of Nuclear Material (Amended CPPNM)</w:t>
      </w:r>
      <w:r w:rsidR="004B5E07">
        <w:rPr>
          <w:rFonts w:ascii="Calibri Light" w:eastAsia="Calibri Light" w:hAnsi="Calibri Light" w:cs="Times New Roman"/>
          <w:color w:val="495965"/>
        </w:rPr>
        <w:t>, and</w:t>
      </w:r>
    </w:p>
    <w:p w14:paraId="6348822F" w14:textId="77777777" w:rsidR="004726E4" w:rsidRPr="00BB1B0F" w:rsidRDefault="004726E4" w:rsidP="00BB1B0F">
      <w:pPr>
        <w:pStyle w:val="ListParagraph"/>
        <w:numPr>
          <w:ilvl w:val="0"/>
          <w:numId w:val="36"/>
        </w:numPr>
        <w:tabs>
          <w:tab w:val="left" w:pos="709"/>
        </w:tabs>
        <w:rPr>
          <w:rFonts w:ascii="Calibri Light" w:eastAsia="Calibri Light" w:hAnsi="Calibri Light" w:cs="Times New Roman"/>
          <w:color w:val="495965"/>
        </w:rPr>
      </w:pPr>
      <w:r w:rsidRPr="00BB1B0F">
        <w:rPr>
          <w:rFonts w:ascii="Calibri Light" w:eastAsia="Calibri Light" w:hAnsi="Calibri Light" w:cs="Times New Roman"/>
          <w:color w:val="495965"/>
        </w:rPr>
        <w:t>the International Convention for the Suppression of Acts of Nuclear Terrorism.</w:t>
      </w:r>
    </w:p>
    <w:p w14:paraId="6FB72E0C" w14:textId="0FFF6CE0" w:rsidR="004726E4" w:rsidRPr="004726E4" w:rsidRDefault="004726E4" w:rsidP="004726E4">
      <w:pPr>
        <w:pStyle w:val="BodyText"/>
      </w:pPr>
      <w:r w:rsidRPr="004726E4">
        <w:t xml:space="preserve">ASNO maintains a permit system for possession and transport of nuclear material and associated items in </w:t>
      </w:r>
      <w:r w:rsidR="00204AFC" w:rsidRPr="004726E4">
        <w:t>Australia</w:t>
      </w:r>
      <w:r w:rsidR="00571BC7">
        <w:t xml:space="preserve">. </w:t>
      </w:r>
      <w:r w:rsidR="001D462A">
        <w:t>Nuclear p</w:t>
      </w:r>
      <w:r w:rsidR="00204AFC">
        <w:t>ermit holders</w:t>
      </w:r>
      <w:r w:rsidR="00571BC7">
        <w:t xml:space="preserve"> are required</w:t>
      </w:r>
      <w:r w:rsidR="00204AFC">
        <w:t xml:space="preserve"> to provide </w:t>
      </w:r>
      <w:r w:rsidR="0049732E">
        <w:t>information</w:t>
      </w:r>
      <w:r w:rsidR="00571BC7">
        <w:t xml:space="preserve"> periodically</w:t>
      </w:r>
      <w:r w:rsidR="00204AFC">
        <w:t xml:space="preserve"> to</w:t>
      </w:r>
      <w:r w:rsidR="00A946D6">
        <w:t xml:space="preserve"> ASNO and be available</w:t>
      </w:r>
      <w:r w:rsidR="001D462A">
        <w:t>,</w:t>
      </w:r>
      <w:r w:rsidR="00A946D6">
        <w:t xml:space="preserve"> </w:t>
      </w:r>
      <w:r w:rsidR="001D462A">
        <w:t xml:space="preserve">upon request, </w:t>
      </w:r>
      <w:r w:rsidR="00A946D6">
        <w:t>for inspections</w:t>
      </w:r>
      <w:r w:rsidR="001D462A">
        <w:t xml:space="preserve"> to verify the</w:t>
      </w:r>
      <w:r w:rsidR="00A946D6">
        <w:t xml:space="preserve"> information. Inspections</w:t>
      </w:r>
      <w:r w:rsidR="00A946D6" w:rsidRPr="004726E4">
        <w:t xml:space="preserve"> can </w:t>
      </w:r>
      <w:r w:rsidR="00A946D6">
        <w:t xml:space="preserve">be undertaken by </w:t>
      </w:r>
      <w:r w:rsidR="00A946D6" w:rsidRPr="004726E4">
        <w:t xml:space="preserve">ASNO or </w:t>
      </w:r>
      <w:r w:rsidR="00A946D6">
        <w:t xml:space="preserve">by </w:t>
      </w:r>
      <w:r w:rsidR="00A946D6" w:rsidRPr="004726E4">
        <w:t>IAEA</w:t>
      </w:r>
      <w:r w:rsidR="001D462A">
        <w:t xml:space="preserve"> inspectors</w:t>
      </w:r>
      <w:r w:rsidR="00A946D6" w:rsidRPr="004726E4">
        <w:t xml:space="preserve"> </w:t>
      </w:r>
      <w:r w:rsidR="001D462A">
        <w:t>with</w:t>
      </w:r>
      <w:r w:rsidR="00A946D6" w:rsidRPr="004726E4">
        <w:t xml:space="preserve"> ASNO act</w:t>
      </w:r>
      <w:r w:rsidR="001D462A">
        <w:t>ing</w:t>
      </w:r>
      <w:r w:rsidR="00A946D6" w:rsidRPr="004726E4">
        <w:t xml:space="preserve"> as a facilitator between the permit holder and the IAEA.</w:t>
      </w:r>
      <w:r w:rsidR="00A946D6">
        <w:t xml:space="preserve"> </w:t>
      </w:r>
      <w:r w:rsidR="00B35297">
        <w:t xml:space="preserve">ASNO </w:t>
      </w:r>
      <w:r w:rsidR="00844D26">
        <w:t>is</w:t>
      </w:r>
      <w:r w:rsidR="009311FC">
        <w:t xml:space="preserve"> also</w:t>
      </w:r>
      <w:r w:rsidR="00AE05EA">
        <w:t xml:space="preserve"> </w:t>
      </w:r>
      <w:r w:rsidR="00B542DB">
        <w:t xml:space="preserve">Australia’s reporting agency to </w:t>
      </w:r>
      <w:r w:rsidR="001D545A">
        <w:t>the</w:t>
      </w:r>
      <w:r w:rsidR="00595AC4">
        <w:t xml:space="preserve"> </w:t>
      </w:r>
      <w:r w:rsidR="001D545A">
        <w:t>IAEA and</w:t>
      </w:r>
      <w:r w:rsidR="00571BC7">
        <w:t xml:space="preserve"> overseas</w:t>
      </w:r>
      <w:r w:rsidR="00B542DB">
        <w:t xml:space="preserve"> </w:t>
      </w:r>
      <w:r w:rsidR="001D545A">
        <w:t xml:space="preserve">NCA </w:t>
      </w:r>
      <w:r w:rsidR="00571BC7">
        <w:t>counterparts</w:t>
      </w:r>
      <w:r w:rsidR="00B542DB">
        <w:t xml:space="preserve">, ensuring </w:t>
      </w:r>
      <w:r w:rsidR="00595AC4">
        <w:t xml:space="preserve">Australia </w:t>
      </w:r>
      <w:r w:rsidR="0049732E">
        <w:t>fulfil</w:t>
      </w:r>
      <w:r w:rsidR="00571BC7">
        <w:t>s</w:t>
      </w:r>
      <w:r w:rsidR="00595AC4">
        <w:t xml:space="preserve"> its international </w:t>
      </w:r>
      <w:r w:rsidR="0049732E">
        <w:t>obligations</w:t>
      </w:r>
      <w:r w:rsidR="00595AC4">
        <w:t>.</w:t>
      </w:r>
      <w:r w:rsidR="00816F67">
        <w:t xml:space="preserve"> </w:t>
      </w:r>
    </w:p>
    <w:p w14:paraId="1B90BB1F" w14:textId="030D324B" w:rsidR="00D35E4A" w:rsidRDefault="00D35E4A" w:rsidP="004726E4">
      <w:pPr>
        <w:pStyle w:val="BodyText"/>
      </w:pPr>
      <w:r w:rsidRPr="004726E4">
        <w:lastRenderedPageBreak/>
        <w:t xml:space="preserve">The CWC </w:t>
      </w:r>
      <w:r w:rsidR="0063304F">
        <w:t>is an international disarmament treaty</w:t>
      </w:r>
      <w:r w:rsidR="0063304F" w:rsidRPr="00D35E4A">
        <w:t xml:space="preserve"> </w:t>
      </w:r>
      <w:r w:rsidR="0063304F">
        <w:t xml:space="preserve">that </w:t>
      </w:r>
      <w:r w:rsidR="0084257C" w:rsidRPr="00D35E4A">
        <w:t>bans, among other things, the development, production, possession and use of chemical weapons</w:t>
      </w:r>
      <w:r w:rsidR="0084257C">
        <w:t>.</w:t>
      </w:r>
      <w:r w:rsidR="00816F67">
        <w:t xml:space="preserve"> </w:t>
      </w:r>
      <w:r w:rsidR="00182509" w:rsidRPr="00400E04">
        <w:t>The Organisation for the Prohibition of Chemical Weapons (OPCW) provides an</w:t>
      </w:r>
      <w:r w:rsidR="009049A9" w:rsidRPr="00400E04">
        <w:t xml:space="preserve"> international, independent</w:t>
      </w:r>
      <w:r w:rsidR="00FC7B75" w:rsidRPr="00400E04">
        <w:t xml:space="preserve"> </w:t>
      </w:r>
      <w:r w:rsidR="009049A9" w:rsidRPr="00400E04">
        <w:t xml:space="preserve">verification </w:t>
      </w:r>
      <w:r w:rsidR="00317CAE" w:rsidRPr="00400E04">
        <w:t xml:space="preserve">system </w:t>
      </w:r>
      <w:r w:rsidR="009049A9" w:rsidRPr="00400E04">
        <w:t>for</w:t>
      </w:r>
      <w:r w:rsidR="009D3C2D" w:rsidRPr="00400E04">
        <w:t xml:space="preserve"> countries</w:t>
      </w:r>
      <w:r w:rsidR="009D3C2D" w:rsidRPr="009D3C2D">
        <w:t xml:space="preserve"> signed up to the CWC (referred to as States Parties).</w:t>
      </w:r>
      <w:r w:rsidR="00816F67">
        <w:t xml:space="preserve"> </w:t>
      </w:r>
      <w:r w:rsidR="000B036E">
        <w:t>Three pieces of legislation –</w:t>
      </w:r>
      <w:r w:rsidR="004726E4" w:rsidRPr="004726E4">
        <w:t xml:space="preserve"> </w:t>
      </w:r>
      <w:r w:rsidR="004726E4" w:rsidRPr="0049732E">
        <w:rPr>
          <w:i/>
          <w:iCs/>
        </w:rPr>
        <w:t>Chemical Weapons (Prohibition) Act 1994</w:t>
      </w:r>
      <w:r w:rsidR="004726E4" w:rsidRPr="004726E4">
        <w:t xml:space="preserve"> (CWP Act)</w:t>
      </w:r>
      <w:r w:rsidR="00400E04">
        <w:t xml:space="preserve">, </w:t>
      </w:r>
      <w:r w:rsidR="004726E4" w:rsidRPr="00A946D6">
        <w:rPr>
          <w:i/>
          <w:iCs/>
        </w:rPr>
        <w:t>Regulation 5J of the Customs (Prohibited Imports) Regulations 1956</w:t>
      </w:r>
      <w:r w:rsidR="00400E04">
        <w:t xml:space="preserve"> and </w:t>
      </w:r>
      <w:r w:rsidR="00400E04" w:rsidRPr="00A946D6">
        <w:rPr>
          <w:i/>
          <w:iCs/>
        </w:rPr>
        <w:t>Regulation 13E of the Customs (Prohibited Exports) Regulations 1958</w:t>
      </w:r>
      <w:r w:rsidR="004726E4" w:rsidRPr="004726E4">
        <w:t xml:space="preserve"> </w:t>
      </w:r>
      <w:r w:rsidR="000B036E">
        <w:t xml:space="preserve">– </w:t>
      </w:r>
      <w:r w:rsidR="004726E4" w:rsidRPr="004726E4">
        <w:t>form the basis</w:t>
      </w:r>
      <w:r w:rsidR="00E30C08">
        <w:t xml:space="preserve"> for</w:t>
      </w:r>
      <w:r w:rsidR="004726E4" w:rsidRPr="004726E4">
        <w:t xml:space="preserve"> </w:t>
      </w:r>
      <w:r w:rsidR="00E30C08" w:rsidRPr="004726E4">
        <w:t>Australi</w:t>
      </w:r>
      <w:r w:rsidR="00E30C08">
        <w:t>a to fulfil its</w:t>
      </w:r>
      <w:r w:rsidR="00E30C08" w:rsidRPr="004726E4">
        <w:t xml:space="preserve"> obligations under the CWC </w:t>
      </w:r>
      <w:r w:rsidR="00E17EC4">
        <w:t xml:space="preserve">through the </w:t>
      </w:r>
      <w:r w:rsidR="004B3BF5">
        <w:t>regulation of CWC-</w:t>
      </w:r>
      <w:r w:rsidR="0089730E">
        <w:t>S</w:t>
      </w:r>
      <w:r w:rsidR="004B3BF5">
        <w:t>cheduled</w:t>
      </w:r>
      <w:r w:rsidR="004726E4" w:rsidRPr="004726E4">
        <w:t xml:space="preserve"> chemical</w:t>
      </w:r>
      <w:r w:rsidR="004B3BF5">
        <w:t>s</w:t>
      </w:r>
      <w:r w:rsidR="00061337">
        <w:t xml:space="preserve"> and other declarable chemicals</w:t>
      </w:r>
      <w:r w:rsidR="004B3BF5">
        <w:t>.</w:t>
      </w:r>
      <w:r w:rsidR="00816F67">
        <w:t xml:space="preserve"> </w:t>
      </w:r>
      <w:r w:rsidR="0064113C" w:rsidRPr="0064113C">
        <w:t xml:space="preserve">ASNO </w:t>
      </w:r>
      <w:r w:rsidR="00A946D6">
        <w:t>acts a</w:t>
      </w:r>
      <w:r w:rsidR="0064113C" w:rsidRPr="0064113C">
        <w:t>s the primary liaison between domestic stakeholders (such as declared chemical facilities), the OPCW and the national authorities of other States Parties.</w:t>
      </w:r>
    </w:p>
    <w:p w14:paraId="64942283" w14:textId="7598637D" w:rsidR="004726E4" w:rsidRPr="004726E4" w:rsidRDefault="004726E4" w:rsidP="004726E4">
      <w:pPr>
        <w:pStyle w:val="BodyText"/>
      </w:pPr>
      <w:r w:rsidRPr="004726E4">
        <w:t xml:space="preserve">ASNO </w:t>
      </w:r>
      <w:r w:rsidR="00922CE3">
        <w:t>collects</w:t>
      </w:r>
      <w:r w:rsidRPr="004726E4">
        <w:t xml:space="preserve"> information from the chemical industry, traders, </w:t>
      </w:r>
      <w:r w:rsidR="002E30FD" w:rsidRPr="004726E4">
        <w:t>universities,</w:t>
      </w:r>
      <w:r w:rsidRPr="004726E4">
        <w:t xml:space="preserve"> and research institutions through a system of permits and notifications</w:t>
      </w:r>
      <w:r w:rsidR="001C3633">
        <w:t>, from which</w:t>
      </w:r>
      <w:r w:rsidR="00403D27">
        <w:t xml:space="preserve"> ASNO prepares Australia’s </w:t>
      </w:r>
      <w:r w:rsidRPr="004726E4">
        <w:t xml:space="preserve">declarations </w:t>
      </w:r>
      <w:r w:rsidR="00C87DEB">
        <w:t>for</w:t>
      </w:r>
      <w:r w:rsidR="00C87DEB" w:rsidRPr="004726E4">
        <w:t xml:space="preserve"> </w:t>
      </w:r>
      <w:r w:rsidRPr="004726E4">
        <w:t>the OPCW.</w:t>
      </w:r>
      <w:r w:rsidR="00816F67">
        <w:t xml:space="preserve"> </w:t>
      </w:r>
      <w:r w:rsidR="002E30FD">
        <w:t>To</w:t>
      </w:r>
      <w:r w:rsidR="009A4EB3">
        <w:t xml:space="preserve"> verify Australia’s declaration</w:t>
      </w:r>
      <w:r w:rsidR="005A1987">
        <w:t>s</w:t>
      </w:r>
      <w:r w:rsidR="009A4EB3">
        <w:t>, t</w:t>
      </w:r>
      <w:r w:rsidR="00922CE3">
        <w:t xml:space="preserve">he </w:t>
      </w:r>
      <w:r w:rsidR="00922CE3" w:rsidRPr="00D35E4A">
        <w:t>OPCW</w:t>
      </w:r>
      <w:r w:rsidR="00922CE3">
        <w:t xml:space="preserve"> call</w:t>
      </w:r>
      <w:r w:rsidR="00CC79A6">
        <w:t>s</w:t>
      </w:r>
      <w:r w:rsidR="00922CE3">
        <w:t xml:space="preserve"> short notice inspections</w:t>
      </w:r>
      <w:r w:rsidR="00CF717F">
        <w:t xml:space="preserve"> of declared chemical </w:t>
      </w:r>
      <w:r w:rsidR="00CF717F" w:rsidRPr="004726E4">
        <w:t>facilities</w:t>
      </w:r>
      <w:r w:rsidR="003229DF">
        <w:t>.</w:t>
      </w:r>
      <w:r w:rsidR="00816F67">
        <w:t xml:space="preserve"> </w:t>
      </w:r>
      <w:r w:rsidR="00E31C80">
        <w:t xml:space="preserve">These inspections are </w:t>
      </w:r>
      <w:r w:rsidR="003609D5">
        <w:t>facilitated</w:t>
      </w:r>
      <w:r w:rsidR="00E31C80">
        <w:t xml:space="preserve"> by </w:t>
      </w:r>
      <w:r w:rsidR="003229DF">
        <w:t>ASNO</w:t>
      </w:r>
      <w:r w:rsidR="00F3376C">
        <w:t>.</w:t>
      </w:r>
      <w:r w:rsidR="00816F67">
        <w:t xml:space="preserve"> </w:t>
      </w:r>
      <w:r w:rsidRPr="004726E4">
        <w:t xml:space="preserve">Under the CWP Act, ASNO has the right to conduct </w:t>
      </w:r>
      <w:r w:rsidR="00B35BAA">
        <w:t xml:space="preserve">its own </w:t>
      </w:r>
      <w:r w:rsidRPr="004726E4">
        <w:t xml:space="preserve">compliance inspections, but only exercises such powers in exceptional circumstances. ASNO </w:t>
      </w:r>
      <w:r w:rsidR="000B036E">
        <w:t xml:space="preserve">also </w:t>
      </w:r>
      <w:r w:rsidRPr="004726E4">
        <w:t>conducts outreach activities, including site visits, to promote compliance, prepare industry for OPCW inspections and check the accuracy of information provided by industry.</w:t>
      </w:r>
    </w:p>
    <w:p w14:paraId="21FCEF22" w14:textId="3016673E" w:rsidR="004726E4" w:rsidRPr="004726E4" w:rsidRDefault="004726E4" w:rsidP="004726E4">
      <w:pPr>
        <w:pStyle w:val="BodyText"/>
      </w:pPr>
      <w:r w:rsidRPr="004726E4">
        <w:t xml:space="preserve">ASNO also administers the </w:t>
      </w:r>
      <w:r w:rsidRPr="00922CE3">
        <w:rPr>
          <w:i/>
          <w:iCs/>
        </w:rPr>
        <w:t>Comprehensive Nuclear-Test-Ban Treaty Act 1998</w:t>
      </w:r>
      <w:r w:rsidRPr="004726E4">
        <w:t xml:space="preserve"> (CTBT Act) and the </w:t>
      </w:r>
      <w:r w:rsidRPr="00922CE3">
        <w:rPr>
          <w:i/>
          <w:iCs/>
        </w:rPr>
        <w:t>South Pacific Nuclear Free Zone Treaty Act 1986</w:t>
      </w:r>
      <w:r w:rsidRPr="004726E4">
        <w:t xml:space="preserve"> to implement Australia’s treaty commitments.</w:t>
      </w:r>
      <w:r w:rsidR="00816F67">
        <w:t xml:space="preserve"> </w:t>
      </w:r>
      <w:r w:rsidRPr="004726E4">
        <w:t>Neither Act establishes a system of routine regulation.</w:t>
      </w:r>
      <w:r w:rsidR="00816F67">
        <w:t xml:space="preserve"> </w:t>
      </w:r>
      <w:r w:rsidRPr="004726E4">
        <w:t>Substantial elements of the CTBT Act will come into effect only when the CTBT enters into force.</w:t>
      </w:r>
      <w:r w:rsidR="00D66BC4">
        <w:rPr>
          <w:rStyle w:val="FootnoteReference"/>
        </w:rPr>
        <w:footnoteReference w:id="2"/>
      </w:r>
      <w:r w:rsidRPr="004726E4">
        <w:t xml:space="preserve"> </w:t>
      </w:r>
    </w:p>
    <w:p w14:paraId="3A6419E9" w14:textId="44379F26" w:rsidR="00B130F4" w:rsidRDefault="000B036E" w:rsidP="00B130F4">
      <w:pPr>
        <w:pStyle w:val="BodyText"/>
      </w:pPr>
      <w:r>
        <w:t xml:space="preserve">In addition, </w:t>
      </w:r>
      <w:r w:rsidR="004726E4" w:rsidRPr="004726E4">
        <w:t>ASNO works to strengthen the operation and effectiveness of current and future non-proliferation regimes through the application of specialist knowledge to complex policy problems and proposals in technical areas, including treaty verification and compliance.</w:t>
      </w:r>
      <w:r w:rsidR="00816F67">
        <w:t xml:space="preserve"> </w:t>
      </w:r>
      <w:r w:rsidR="004726E4" w:rsidRPr="004726E4">
        <w:t>The application of strong arms control and verification regimes allows Australian industries to</w:t>
      </w:r>
      <w:r w:rsidR="00430397">
        <w:t xml:space="preserve"> produce,</w:t>
      </w:r>
      <w:r w:rsidR="004726E4" w:rsidRPr="004726E4">
        <w:t xml:space="preserve"> use</w:t>
      </w:r>
      <w:r w:rsidR="009A4EB3">
        <w:t xml:space="preserve"> and trade</w:t>
      </w:r>
      <w:r w:rsidR="004726E4" w:rsidRPr="004726E4">
        <w:t xml:space="preserve"> dual-use chemical</w:t>
      </w:r>
      <w:r w:rsidR="00CF4479">
        <w:t>s</w:t>
      </w:r>
      <w:r w:rsidR="004726E4" w:rsidRPr="004726E4">
        <w:t xml:space="preserve"> or nuclear materials or technologies </w:t>
      </w:r>
      <w:r w:rsidR="00985EB2">
        <w:t>without fear of inadvertently contributing to a nuclear or chemical program of concern</w:t>
      </w:r>
      <w:r w:rsidR="004726E4" w:rsidRPr="004726E4">
        <w:t>.</w:t>
      </w:r>
      <w:r w:rsidR="00816F67">
        <w:t xml:space="preserve"> </w:t>
      </w:r>
      <w:r w:rsidR="004726E4" w:rsidRPr="004726E4">
        <w:t xml:space="preserve">It also provides Australia a platform to encourage other states, </w:t>
      </w:r>
      <w:r w:rsidR="00D66BC4">
        <w:t>especially</w:t>
      </w:r>
      <w:r w:rsidR="004726E4" w:rsidRPr="004726E4">
        <w:t xml:space="preserve"> those </w:t>
      </w:r>
      <w:r w:rsidR="00985EB2">
        <w:t xml:space="preserve">with which </w:t>
      </w:r>
      <w:r w:rsidR="004726E4" w:rsidRPr="004726E4">
        <w:t>Australian companies trade, to maintain a similar high standard.</w:t>
      </w:r>
      <w:r w:rsidR="00B130F4" w:rsidRPr="00B130F4">
        <w:t xml:space="preserve"> </w:t>
      </w:r>
    </w:p>
    <w:p w14:paraId="55FFFF24" w14:textId="7742A8DE" w:rsidR="006C0662" w:rsidRDefault="00F324EE" w:rsidP="004726E4">
      <w:pPr>
        <w:pStyle w:val="BodyText"/>
      </w:pPr>
      <w:r w:rsidRPr="004726E4">
        <w:t>This report provides a summary and analysis of the information ASNO collected during the 20</w:t>
      </w:r>
      <w:r>
        <w:t>20</w:t>
      </w:r>
      <w:r w:rsidRPr="004726E4">
        <w:t>-2</w:t>
      </w:r>
      <w:r>
        <w:t>1</w:t>
      </w:r>
      <w:r w:rsidRPr="004726E4">
        <w:t xml:space="preserve"> reporting period and describes ASNO’s ongoing efforts </w:t>
      </w:r>
      <w:r w:rsidR="00F767A5">
        <w:t xml:space="preserve">to </w:t>
      </w:r>
      <w:r w:rsidR="00E1590C">
        <w:t xml:space="preserve">maintain regulatory best practise and </w:t>
      </w:r>
      <w:r w:rsidR="00F767A5">
        <w:t>minimise the regulatory burden on</w:t>
      </w:r>
      <w:r w:rsidR="00AF5048">
        <w:t xml:space="preserve"> </w:t>
      </w:r>
      <w:r w:rsidR="00985EB2">
        <w:t xml:space="preserve">nuclear and chemical </w:t>
      </w:r>
      <w:r w:rsidR="00AF5048">
        <w:t>regulated entities</w:t>
      </w:r>
      <w:r w:rsidRPr="004726E4">
        <w:t>.</w:t>
      </w:r>
      <w:r w:rsidR="00816F67">
        <w:t xml:space="preserve"> </w:t>
      </w:r>
    </w:p>
    <w:p w14:paraId="7F6EA245" w14:textId="32A73682" w:rsidR="004726E4" w:rsidRPr="004726E4" w:rsidRDefault="00985EB2" w:rsidP="004726E4">
      <w:pPr>
        <w:pStyle w:val="BodyText"/>
      </w:pPr>
      <w:r>
        <w:t>Further</w:t>
      </w:r>
      <w:r w:rsidR="00054C97">
        <w:t xml:space="preserve"> information</w:t>
      </w:r>
      <w:r w:rsidR="0035695A">
        <w:t xml:space="preserve"> on ASNO’s activities and performance </w:t>
      </w:r>
      <w:r>
        <w:t>is</w:t>
      </w:r>
      <w:r w:rsidR="0035695A">
        <w:t xml:space="preserve"> </w:t>
      </w:r>
      <w:r w:rsidR="00054C97">
        <w:t xml:space="preserve">provided in </w:t>
      </w:r>
      <w:r w:rsidR="00CF4479">
        <w:t xml:space="preserve">the </w:t>
      </w:r>
      <w:r w:rsidR="00B130F4">
        <w:t>ASNO Annual Report</w:t>
      </w:r>
      <w:r w:rsidR="00054C97">
        <w:t xml:space="preserve"> </w:t>
      </w:r>
      <w:hyperlink r:id="rId10" w:history="1">
        <w:r w:rsidR="004C73DE" w:rsidRPr="008F78CC">
          <w:rPr>
            <w:rStyle w:val="Hyperlink"/>
            <w:rFonts w:cstheme="minorBidi"/>
          </w:rPr>
          <w:t>https://www.dfat.gov.au/international-relations/security/asno/annual-reports</w:t>
        </w:r>
      </w:hyperlink>
      <w:r w:rsidR="004C73DE">
        <w:t xml:space="preserve">. </w:t>
      </w:r>
    </w:p>
    <w:p w14:paraId="00F1F8C1" w14:textId="210A4405" w:rsidR="004726E4" w:rsidRDefault="004726E4" w:rsidP="00BF3A17">
      <w:pPr>
        <w:pStyle w:val="BodyText"/>
      </w:pPr>
    </w:p>
    <w:p w14:paraId="21E03229" w14:textId="77777777" w:rsidR="001E0A64" w:rsidRPr="004726E4" w:rsidRDefault="001E0A64" w:rsidP="00BF3A17">
      <w:pPr>
        <w:pStyle w:val="BodyText"/>
      </w:pPr>
    </w:p>
    <w:p w14:paraId="5DE0B4F7" w14:textId="77777777" w:rsidR="00EF23EA" w:rsidRPr="004726E4" w:rsidRDefault="00EF23EA" w:rsidP="00BF3A17"/>
    <w:p w14:paraId="108B520F" w14:textId="77777777" w:rsidR="0022186C" w:rsidRPr="004726E4" w:rsidRDefault="0022186C" w:rsidP="0022186C">
      <w:pPr>
        <w:sectPr w:rsidR="0022186C" w:rsidRPr="004726E4" w:rsidSect="00481CA0">
          <w:headerReference w:type="default" r:id="rId11"/>
          <w:footerReference w:type="default" r:id="rId12"/>
          <w:headerReference w:type="first" r:id="rId13"/>
          <w:footerReference w:type="first" r:id="rId14"/>
          <w:pgSz w:w="11906" w:h="16838" w:code="9"/>
          <w:pgMar w:top="1985" w:right="1134" w:bottom="1701" w:left="1134" w:header="567" w:footer="567" w:gutter="0"/>
          <w:pgNumType w:start="1"/>
          <w:cols w:space="708"/>
          <w:titlePg/>
          <w:docGrid w:linePitch="360"/>
        </w:sectPr>
      </w:pPr>
    </w:p>
    <w:p w14:paraId="4BD7BEB9" w14:textId="07C131D3" w:rsidR="00B55E19" w:rsidRPr="004726E4" w:rsidRDefault="00D97452" w:rsidP="003A5358">
      <w:pPr>
        <w:pStyle w:val="Heading1"/>
      </w:pPr>
      <w:r w:rsidRPr="004726E4">
        <w:lastRenderedPageBreak/>
        <w:t>PERFORMANCE UNDER THE COMMON</w:t>
      </w:r>
      <w:r w:rsidR="004B4A1B">
        <w:t>W</w:t>
      </w:r>
      <w:r w:rsidRPr="004726E4">
        <w:t>EALTH KEY PERFO</w:t>
      </w:r>
      <w:r w:rsidR="004B4A1B">
        <w:t>R</w:t>
      </w:r>
      <w:r w:rsidRPr="004726E4">
        <w:t>MANCE INDICATORS AND ASNO METRICS</w:t>
      </w:r>
    </w:p>
    <w:p w14:paraId="50F35F3B" w14:textId="7C49A5CE" w:rsidR="00DE69E2" w:rsidRPr="00DE69E2" w:rsidRDefault="00DE69E2" w:rsidP="00DE69E2">
      <w:pPr>
        <w:pStyle w:val="BodyText"/>
        <w:pBdr>
          <w:top w:val="single" w:sz="4" w:space="1" w:color="auto"/>
          <w:left w:val="single" w:sz="4" w:space="4" w:color="auto"/>
          <w:bottom w:val="single" w:sz="4" w:space="1" w:color="auto"/>
          <w:right w:val="single" w:sz="4" w:space="4" w:color="auto"/>
        </w:pBdr>
        <w:shd w:val="clear" w:color="auto" w:fill="B4F7FF" w:themeFill="accent6" w:themeFillTint="33"/>
        <w:rPr>
          <w:b/>
          <w:bCs/>
          <w:sz w:val="24"/>
          <w:szCs w:val="24"/>
        </w:rPr>
      </w:pPr>
      <w:bookmarkStart w:id="0" w:name="_Hlk71292961"/>
      <w:r w:rsidRPr="00DE69E2">
        <w:rPr>
          <w:b/>
          <w:bCs/>
          <w:sz w:val="24"/>
          <w:szCs w:val="24"/>
        </w:rPr>
        <w:t xml:space="preserve">KPI-1: Regulators do not unnecessarily impede the efficient operation of regulated entities. </w:t>
      </w:r>
    </w:p>
    <w:p w14:paraId="4AA28889" w14:textId="48443A47" w:rsidR="00DE69E2" w:rsidRPr="00DE69E2" w:rsidRDefault="00DE69E2" w:rsidP="00BF3A17">
      <w:pPr>
        <w:pStyle w:val="BodyText"/>
        <w:rPr>
          <w:b/>
          <w:bCs/>
          <w:i/>
          <w:iCs/>
          <w:sz w:val="24"/>
          <w:szCs w:val="24"/>
        </w:rPr>
      </w:pPr>
      <w:r w:rsidRPr="00DE69E2">
        <w:rPr>
          <w:b/>
          <w:bCs/>
          <w:i/>
          <w:iCs/>
          <w:sz w:val="24"/>
          <w:szCs w:val="24"/>
        </w:rPr>
        <w:t>Metric 1: Timely Processing of permit applications and approvals.</w:t>
      </w:r>
    </w:p>
    <w:bookmarkEnd w:id="0"/>
    <w:p w14:paraId="1470F377" w14:textId="77777777" w:rsidR="00985EB2" w:rsidRDefault="00985EB2" w:rsidP="00985EB2">
      <w:pPr>
        <w:pStyle w:val="BodyText"/>
      </w:pPr>
      <w:r>
        <w:t xml:space="preserve">ASNO processes permit applications and approvals required under legislation/permit systems below in a prompt and professional manner so that the efficient operation of the regulated entities is not unnecessarily impeded. </w:t>
      </w:r>
    </w:p>
    <w:p w14:paraId="4C38E9A2" w14:textId="77777777" w:rsidR="00985EB2" w:rsidRDefault="00985EB2" w:rsidP="00985EB2">
      <w:pPr>
        <w:pStyle w:val="BodyText"/>
      </w:pPr>
      <w:r>
        <w:t>ASNO’s permits and approvals and their benchmarked timeframes for processing are:</w:t>
      </w:r>
    </w:p>
    <w:p w14:paraId="561BBE03" w14:textId="5E8FA95A" w:rsidR="00DE69E2" w:rsidRPr="00BB1B0F" w:rsidRDefault="00DE69E2" w:rsidP="00BB1B0F">
      <w:pPr>
        <w:pStyle w:val="ListParagraph"/>
        <w:numPr>
          <w:ilvl w:val="0"/>
          <w:numId w:val="36"/>
        </w:numPr>
        <w:tabs>
          <w:tab w:val="left" w:pos="709"/>
        </w:tabs>
        <w:rPr>
          <w:rFonts w:ascii="Calibri Light" w:eastAsia="Calibri Light" w:hAnsi="Calibri Light" w:cs="Times New Roman"/>
          <w:color w:val="495965"/>
        </w:rPr>
      </w:pPr>
      <w:r w:rsidRPr="00BB1B0F">
        <w:rPr>
          <w:rFonts w:ascii="Calibri Light" w:eastAsia="Calibri Light" w:hAnsi="Calibri Light" w:cs="Times New Roman"/>
          <w:color w:val="495965"/>
        </w:rPr>
        <w:t xml:space="preserve">nuclear permits to possess and transport nuclear material (21 </w:t>
      </w:r>
      <w:r w:rsidR="004F0914">
        <w:rPr>
          <w:rFonts w:ascii="Calibri Light" w:eastAsia="Calibri Light" w:hAnsi="Calibri Light" w:cs="Times New Roman"/>
          <w:color w:val="495965"/>
        </w:rPr>
        <w:t xml:space="preserve">calendar </w:t>
      </w:r>
      <w:r w:rsidRPr="00BB1B0F">
        <w:rPr>
          <w:rFonts w:ascii="Calibri Light" w:eastAsia="Calibri Light" w:hAnsi="Calibri Light" w:cs="Times New Roman"/>
          <w:color w:val="495965"/>
        </w:rPr>
        <w:t>days)</w:t>
      </w:r>
      <w:r w:rsidR="00985EB2">
        <w:rPr>
          <w:rFonts w:ascii="Calibri Light" w:eastAsia="Calibri Light" w:hAnsi="Calibri Light" w:cs="Times New Roman"/>
          <w:color w:val="495965"/>
        </w:rPr>
        <w:t>,</w:t>
      </w:r>
      <w:r w:rsidRPr="00BB1B0F">
        <w:rPr>
          <w:rFonts w:ascii="Calibri Light" w:eastAsia="Calibri Light" w:hAnsi="Calibri Light" w:cs="Times New Roman"/>
          <w:color w:val="495965"/>
        </w:rPr>
        <w:t xml:space="preserve"> </w:t>
      </w:r>
    </w:p>
    <w:p w14:paraId="5299F268" w14:textId="717AE7E8" w:rsidR="00DE69E2" w:rsidRPr="00BB1B0F" w:rsidRDefault="00DE69E2" w:rsidP="00BB1B0F">
      <w:pPr>
        <w:pStyle w:val="ListParagraph"/>
        <w:numPr>
          <w:ilvl w:val="0"/>
          <w:numId w:val="36"/>
        </w:numPr>
        <w:tabs>
          <w:tab w:val="left" w:pos="709"/>
        </w:tabs>
        <w:rPr>
          <w:rFonts w:ascii="Calibri Light" w:eastAsia="Calibri Light" w:hAnsi="Calibri Light" w:cs="Times New Roman"/>
          <w:color w:val="495965"/>
        </w:rPr>
      </w:pPr>
      <w:r w:rsidRPr="00BB1B0F">
        <w:rPr>
          <w:rFonts w:ascii="Calibri Light" w:eastAsia="Calibri Light" w:hAnsi="Calibri Light" w:cs="Times New Roman"/>
          <w:color w:val="495965"/>
        </w:rPr>
        <w:t xml:space="preserve">approvals for the transfer of uranium ore concentrate (UOC) internationally (7 </w:t>
      </w:r>
      <w:r w:rsidR="004F0914">
        <w:rPr>
          <w:rFonts w:ascii="Calibri Light" w:eastAsia="Calibri Light" w:hAnsi="Calibri Light" w:cs="Times New Roman"/>
          <w:color w:val="495965"/>
        </w:rPr>
        <w:t xml:space="preserve">calendar </w:t>
      </w:r>
      <w:r w:rsidRPr="00BB1B0F">
        <w:rPr>
          <w:rFonts w:ascii="Calibri Light" w:eastAsia="Calibri Light" w:hAnsi="Calibri Light" w:cs="Times New Roman"/>
          <w:color w:val="495965"/>
        </w:rPr>
        <w:t>days)</w:t>
      </w:r>
      <w:r w:rsidR="00985EB2">
        <w:rPr>
          <w:rFonts w:ascii="Calibri Light" w:eastAsia="Calibri Light" w:hAnsi="Calibri Light" w:cs="Times New Roman"/>
          <w:color w:val="495965"/>
        </w:rPr>
        <w:t>,</w:t>
      </w:r>
    </w:p>
    <w:p w14:paraId="403B1DF6" w14:textId="330AEA93" w:rsidR="00DE69E2" w:rsidRPr="00BB1B0F" w:rsidRDefault="00DE69E2" w:rsidP="00BB1B0F">
      <w:pPr>
        <w:pStyle w:val="ListParagraph"/>
        <w:numPr>
          <w:ilvl w:val="0"/>
          <w:numId w:val="36"/>
        </w:numPr>
        <w:tabs>
          <w:tab w:val="left" w:pos="709"/>
        </w:tabs>
        <w:rPr>
          <w:rFonts w:ascii="Calibri Light" w:eastAsia="Calibri Light" w:hAnsi="Calibri Light" w:cs="Times New Roman"/>
          <w:color w:val="495965"/>
        </w:rPr>
      </w:pPr>
      <w:r w:rsidRPr="00BB1B0F">
        <w:rPr>
          <w:rFonts w:ascii="Calibri Light" w:eastAsia="Calibri Light" w:hAnsi="Calibri Light" w:cs="Times New Roman"/>
          <w:color w:val="495965"/>
        </w:rPr>
        <w:t>facility permits for CWC</w:t>
      </w:r>
      <w:r w:rsidR="0089730E">
        <w:rPr>
          <w:rFonts w:ascii="Calibri Light" w:eastAsia="Calibri Light" w:hAnsi="Calibri Light" w:cs="Times New Roman"/>
          <w:color w:val="495965"/>
        </w:rPr>
        <w:t>-</w:t>
      </w:r>
      <w:r w:rsidRPr="00BB1B0F">
        <w:rPr>
          <w:rFonts w:ascii="Calibri Light" w:eastAsia="Calibri Light" w:hAnsi="Calibri Light" w:cs="Times New Roman"/>
          <w:color w:val="495965"/>
        </w:rPr>
        <w:t xml:space="preserve">Scheduled chemicals (21 </w:t>
      </w:r>
      <w:r w:rsidR="004F0914">
        <w:rPr>
          <w:rFonts w:ascii="Calibri Light" w:eastAsia="Calibri Light" w:hAnsi="Calibri Light" w:cs="Times New Roman"/>
          <w:color w:val="495965"/>
        </w:rPr>
        <w:t xml:space="preserve">calendar </w:t>
      </w:r>
      <w:r w:rsidRPr="00BB1B0F">
        <w:rPr>
          <w:rFonts w:ascii="Calibri Light" w:eastAsia="Calibri Light" w:hAnsi="Calibri Light" w:cs="Times New Roman"/>
          <w:color w:val="495965"/>
        </w:rPr>
        <w:t xml:space="preserve">days), </w:t>
      </w:r>
    </w:p>
    <w:p w14:paraId="516CB57A" w14:textId="3E92A274" w:rsidR="00400E04" w:rsidRDefault="00400E04" w:rsidP="00BB1B0F">
      <w:pPr>
        <w:pStyle w:val="ListParagraph"/>
        <w:numPr>
          <w:ilvl w:val="0"/>
          <w:numId w:val="36"/>
        </w:numPr>
        <w:tabs>
          <w:tab w:val="left" w:pos="709"/>
        </w:tabs>
        <w:rPr>
          <w:rFonts w:ascii="Calibri Light" w:eastAsia="Calibri Light" w:hAnsi="Calibri Light" w:cs="Times New Roman"/>
          <w:color w:val="495965"/>
        </w:rPr>
      </w:pPr>
      <w:r>
        <w:rPr>
          <w:rFonts w:ascii="Calibri Light" w:eastAsia="Calibri Light" w:hAnsi="Calibri Light" w:cs="Times New Roman"/>
          <w:color w:val="495965"/>
        </w:rPr>
        <w:t>import permits for CWC</w:t>
      </w:r>
      <w:r w:rsidR="0089730E">
        <w:rPr>
          <w:rFonts w:ascii="Calibri Light" w:eastAsia="Calibri Light" w:hAnsi="Calibri Light" w:cs="Times New Roman"/>
          <w:color w:val="495965"/>
        </w:rPr>
        <w:t>-</w:t>
      </w:r>
      <w:r>
        <w:rPr>
          <w:rFonts w:ascii="Calibri Light" w:eastAsia="Calibri Light" w:hAnsi="Calibri Light" w:cs="Times New Roman"/>
          <w:color w:val="495965"/>
        </w:rPr>
        <w:t>Schedule 1 chemicals (37 days), and</w:t>
      </w:r>
    </w:p>
    <w:p w14:paraId="69748660" w14:textId="6BCDC29F" w:rsidR="00DE69E2" w:rsidRPr="00BB1B0F" w:rsidRDefault="00DE69E2" w:rsidP="00BB1B0F">
      <w:pPr>
        <w:pStyle w:val="ListParagraph"/>
        <w:numPr>
          <w:ilvl w:val="0"/>
          <w:numId w:val="36"/>
        </w:numPr>
        <w:tabs>
          <w:tab w:val="left" w:pos="709"/>
        </w:tabs>
        <w:rPr>
          <w:rFonts w:ascii="Calibri Light" w:eastAsia="Calibri Light" w:hAnsi="Calibri Light" w:cs="Times New Roman"/>
          <w:color w:val="495965"/>
        </w:rPr>
      </w:pPr>
      <w:r w:rsidRPr="00BB1B0F">
        <w:rPr>
          <w:rFonts w:ascii="Calibri Light" w:eastAsia="Calibri Light" w:hAnsi="Calibri Light" w:cs="Times New Roman"/>
          <w:color w:val="495965"/>
        </w:rPr>
        <w:t>import permits for CWC</w:t>
      </w:r>
      <w:r w:rsidR="0089730E">
        <w:rPr>
          <w:rFonts w:ascii="Calibri Light" w:eastAsia="Calibri Light" w:hAnsi="Calibri Light" w:cs="Times New Roman"/>
          <w:color w:val="495965"/>
        </w:rPr>
        <w:t>-</w:t>
      </w:r>
      <w:r w:rsidR="00400E04" w:rsidRPr="00BB1B0F">
        <w:rPr>
          <w:rFonts w:ascii="Calibri Light" w:eastAsia="Calibri Light" w:hAnsi="Calibri Light" w:cs="Times New Roman"/>
          <w:color w:val="495965"/>
        </w:rPr>
        <w:t>Schedule</w:t>
      </w:r>
      <w:r w:rsidR="00400E04">
        <w:rPr>
          <w:rFonts w:ascii="Calibri Light" w:eastAsia="Calibri Light" w:hAnsi="Calibri Light" w:cs="Times New Roman"/>
          <w:color w:val="495965"/>
        </w:rPr>
        <w:t xml:space="preserve"> 2 and 3</w:t>
      </w:r>
      <w:r w:rsidR="00400E04" w:rsidRPr="00BB1B0F">
        <w:rPr>
          <w:rFonts w:ascii="Calibri Light" w:eastAsia="Calibri Light" w:hAnsi="Calibri Light" w:cs="Times New Roman"/>
          <w:color w:val="495965"/>
        </w:rPr>
        <w:t xml:space="preserve"> </w:t>
      </w:r>
      <w:r w:rsidRPr="00BB1B0F">
        <w:rPr>
          <w:rFonts w:ascii="Calibri Light" w:eastAsia="Calibri Light" w:hAnsi="Calibri Light" w:cs="Times New Roman"/>
          <w:color w:val="495965"/>
        </w:rPr>
        <w:t xml:space="preserve">chemicals (7 </w:t>
      </w:r>
      <w:r w:rsidR="004F0914">
        <w:rPr>
          <w:rFonts w:ascii="Calibri Light" w:eastAsia="Calibri Light" w:hAnsi="Calibri Light" w:cs="Times New Roman"/>
          <w:color w:val="495965"/>
        </w:rPr>
        <w:t xml:space="preserve">calendar </w:t>
      </w:r>
      <w:r w:rsidRPr="00BB1B0F">
        <w:rPr>
          <w:rFonts w:ascii="Calibri Light" w:eastAsia="Calibri Light" w:hAnsi="Calibri Light" w:cs="Times New Roman"/>
          <w:color w:val="495965"/>
        </w:rPr>
        <w:t>days).</w:t>
      </w:r>
      <w:r w:rsidR="00D66BC4">
        <w:rPr>
          <w:rStyle w:val="FootnoteReference"/>
          <w:rFonts w:ascii="Calibri Light" w:eastAsia="Calibri Light" w:hAnsi="Calibri Light" w:cs="Times New Roman"/>
          <w:color w:val="495965"/>
        </w:rPr>
        <w:footnoteReference w:id="3"/>
      </w:r>
    </w:p>
    <w:p w14:paraId="365402FE" w14:textId="016E1ECE" w:rsidR="00DE69E2" w:rsidRDefault="00DE69E2" w:rsidP="00DE69E2">
      <w:pPr>
        <w:pStyle w:val="BodyText"/>
      </w:pPr>
      <w:r>
        <w:t xml:space="preserve">The </w:t>
      </w:r>
      <w:r w:rsidR="00985EB2">
        <w:t>processing</w:t>
      </w:r>
      <w:r>
        <w:t xml:space="preserve"> time benchmarks correspond to the </w:t>
      </w:r>
      <w:r w:rsidR="001459D7">
        <w:t xml:space="preserve">length of </w:t>
      </w:r>
      <w:r w:rsidR="00522657">
        <w:t xml:space="preserve">time </w:t>
      </w:r>
      <w:r w:rsidR="001459D7">
        <w:t xml:space="preserve">before an activity occurs that ASNO </w:t>
      </w:r>
      <w:r w:rsidR="00985EB2">
        <w:t>requires</w:t>
      </w:r>
      <w:r>
        <w:t xml:space="preserve"> to meet </w:t>
      </w:r>
      <w:r w:rsidR="00501AF0">
        <w:t>Australia’s</w:t>
      </w:r>
      <w:r>
        <w:t xml:space="preserve"> onward reporting obligations to the IAEA, OPCW</w:t>
      </w:r>
      <w:r w:rsidR="00061337">
        <w:t>,</w:t>
      </w:r>
      <w:r>
        <w:t xml:space="preserve"> </w:t>
      </w:r>
      <w:r w:rsidR="00985EB2">
        <w:t>foreign/international</w:t>
      </w:r>
      <w:r w:rsidR="0089730E">
        <w:t xml:space="preserve"> NCA</w:t>
      </w:r>
      <w:r>
        <w:t xml:space="preserve"> counterparts</w:t>
      </w:r>
      <w:r w:rsidR="000B002E">
        <w:t>, or as required by legislation</w:t>
      </w:r>
      <w:r>
        <w:t>.</w:t>
      </w:r>
      <w:r w:rsidR="00816F67">
        <w:t xml:space="preserve"> </w:t>
      </w:r>
      <w:r>
        <w:t xml:space="preserve">ASNO encourages permit holders to submit their applications as early as </w:t>
      </w:r>
      <w:r w:rsidR="002E30FD">
        <w:t>practical in case</w:t>
      </w:r>
      <w:r>
        <w:t xml:space="preserve"> any unforeseen complications occur.</w:t>
      </w:r>
      <w:r w:rsidR="00816F67">
        <w:t xml:space="preserve"> </w:t>
      </w:r>
      <w:r w:rsidR="009E4CFD">
        <w:t xml:space="preserve">ASNO </w:t>
      </w:r>
      <w:r w:rsidR="00985EB2">
        <w:t>does</w:t>
      </w:r>
      <w:r w:rsidR="009E4CFD">
        <w:t xml:space="preserve"> not compromise its regulatory requirements </w:t>
      </w:r>
      <w:r w:rsidR="002E57B3">
        <w:t>to achieve</w:t>
      </w:r>
      <w:r w:rsidR="009E4CFD">
        <w:t xml:space="preserve"> 100 per cent of approvals </w:t>
      </w:r>
      <w:r w:rsidR="00A56269">
        <w:t>within the</w:t>
      </w:r>
      <w:r w:rsidR="009E4CFD">
        <w:t xml:space="preserve"> benchmark</w:t>
      </w:r>
      <w:r w:rsidR="00985EB2">
        <w:t xml:space="preserve"> time</w:t>
      </w:r>
      <w:r w:rsidR="009E4CFD">
        <w:t>s.</w:t>
      </w:r>
      <w:r w:rsidR="00816F67">
        <w:t xml:space="preserve"> </w:t>
      </w:r>
      <w:r>
        <w:t>However, when needed, ASNO work</w:t>
      </w:r>
      <w:r w:rsidR="00985EB2">
        <w:t>s</w:t>
      </w:r>
      <w:r>
        <w:t xml:space="preserve"> with </w:t>
      </w:r>
      <w:r w:rsidR="009E4CFD">
        <w:t xml:space="preserve">the </w:t>
      </w:r>
      <w:r>
        <w:t>regulated entit</w:t>
      </w:r>
      <w:r w:rsidR="009E4CFD">
        <w:t>y</w:t>
      </w:r>
      <w:r>
        <w:t xml:space="preserve"> and other federal regulators to </w:t>
      </w:r>
      <w:r w:rsidR="00A42C58">
        <w:t xml:space="preserve">support the operations </w:t>
      </w:r>
      <w:r w:rsidR="00CF4479">
        <w:t xml:space="preserve">of </w:t>
      </w:r>
      <w:r w:rsidR="00FF6CDE">
        <w:t>the</w:t>
      </w:r>
      <w:r w:rsidR="00CF4479">
        <w:t xml:space="preserve"> </w:t>
      </w:r>
      <w:r w:rsidR="00FF6CDE">
        <w:t>regulated entities</w:t>
      </w:r>
      <w:r>
        <w:t xml:space="preserve"> as much as possible</w:t>
      </w:r>
      <w:r w:rsidR="00985EB2">
        <w:t>,</w:t>
      </w:r>
      <w:r>
        <w:t xml:space="preserve"> while ensuring Australia meets its international obligations. </w:t>
      </w:r>
    </w:p>
    <w:p w14:paraId="7D87B527" w14:textId="38724AC2" w:rsidR="00985EB2" w:rsidRDefault="00DE69E2" w:rsidP="00DE69E2">
      <w:pPr>
        <w:pStyle w:val="BodyText"/>
      </w:pPr>
      <w:r>
        <w:t>The</w:t>
      </w:r>
      <w:r w:rsidR="00EA1F1C">
        <w:t xml:space="preserve"> </w:t>
      </w:r>
      <w:r w:rsidR="00697FA1">
        <w:t xml:space="preserve">relatively </w:t>
      </w:r>
      <w:r w:rsidR="00EA1F1C">
        <w:t xml:space="preserve">small </w:t>
      </w:r>
      <w:r w:rsidR="00697FA1">
        <w:t xml:space="preserve">number of </w:t>
      </w:r>
      <w:r w:rsidR="00536F94">
        <w:t xml:space="preserve">nuclear and </w:t>
      </w:r>
      <w:r w:rsidR="00697FA1">
        <w:t>chemical</w:t>
      </w:r>
      <w:r w:rsidR="00A1606A">
        <w:t xml:space="preserve"> regulated entities</w:t>
      </w:r>
      <w:r w:rsidR="00536F94">
        <w:t xml:space="preserve"> </w:t>
      </w:r>
      <w:r w:rsidR="003C6F74">
        <w:t xml:space="preserve">in Australia, combined with the </w:t>
      </w:r>
      <w:r>
        <w:t>diverse nature of the</w:t>
      </w:r>
      <w:r w:rsidR="0089730E">
        <w:t>ir operations</w:t>
      </w:r>
      <w:r w:rsidR="00A1606A">
        <w:t>,</w:t>
      </w:r>
      <w:r>
        <w:t xml:space="preserve"> </w:t>
      </w:r>
      <w:r w:rsidR="00071EAE">
        <w:t>can make it</w:t>
      </w:r>
      <w:r>
        <w:t xml:space="preserve"> difficult to compare approval times </w:t>
      </w:r>
      <w:r w:rsidR="00985EB2">
        <w:t>between</w:t>
      </w:r>
      <w:r>
        <w:t xml:space="preserve"> </w:t>
      </w:r>
      <w:r w:rsidR="00A1606A">
        <w:t>year</w:t>
      </w:r>
      <w:r w:rsidR="00985EB2">
        <w:t>s</w:t>
      </w:r>
      <w:r>
        <w:t>.</w:t>
      </w:r>
      <w:r w:rsidR="00816F67">
        <w:t xml:space="preserve"> </w:t>
      </w:r>
    </w:p>
    <w:p w14:paraId="0C317E7E" w14:textId="6A9257EB" w:rsidR="005B64F4" w:rsidRDefault="00A312F9" w:rsidP="00DE69E2">
      <w:pPr>
        <w:pStyle w:val="BodyText"/>
      </w:pPr>
      <w:r>
        <w:t xml:space="preserve">This is particularly true for the current reporting period </w:t>
      </w:r>
      <w:r w:rsidR="00985EB2">
        <w:t xml:space="preserve">(2020-2021) </w:t>
      </w:r>
      <w:r>
        <w:t xml:space="preserve">during which ASNO </w:t>
      </w:r>
      <w:r w:rsidR="00AF5F37">
        <w:t xml:space="preserve">began </w:t>
      </w:r>
      <w:r w:rsidR="00061DAA">
        <w:t>a</w:t>
      </w:r>
      <w:r w:rsidR="003C7EBD">
        <w:t xml:space="preserve"> 5</w:t>
      </w:r>
      <w:r w:rsidR="00376A68">
        <w:t>-</w:t>
      </w:r>
      <w:r w:rsidR="003C7EBD">
        <w:t>year</w:t>
      </w:r>
      <w:r w:rsidR="00AF5F37">
        <w:t xml:space="preserve"> re</w:t>
      </w:r>
      <w:r w:rsidR="00430397">
        <w:t>newal</w:t>
      </w:r>
      <w:r w:rsidR="00AF5F37">
        <w:t xml:space="preserve"> cycle </w:t>
      </w:r>
      <w:r w:rsidR="008C4D21">
        <w:t>of its</w:t>
      </w:r>
      <w:r w:rsidR="00062C74">
        <w:t xml:space="preserve"> </w:t>
      </w:r>
      <w:r w:rsidR="00F16EBD">
        <w:t xml:space="preserve">different </w:t>
      </w:r>
      <w:r w:rsidR="00062C74">
        <w:t>classes of</w:t>
      </w:r>
      <w:r w:rsidR="008C4D21">
        <w:t xml:space="preserve"> nuclear permits</w:t>
      </w:r>
      <w:r w:rsidR="00062C74">
        <w:t xml:space="preserve"> </w:t>
      </w:r>
      <w:r w:rsidR="000F370F">
        <w:t>(discussed further in KPI-</w:t>
      </w:r>
      <w:r w:rsidR="007331D7">
        <w:t>2</w:t>
      </w:r>
      <w:r w:rsidR="0089730E">
        <w:t xml:space="preserve"> and KPI-5</w:t>
      </w:r>
      <w:r w:rsidR="007331D7">
        <w:t>)</w:t>
      </w:r>
      <w:r w:rsidR="003B4FFF">
        <w:t>.</w:t>
      </w:r>
      <w:r w:rsidR="00816F67">
        <w:t xml:space="preserve"> </w:t>
      </w:r>
      <w:r w:rsidR="005F7816">
        <w:t>T</w:t>
      </w:r>
      <w:r w:rsidR="00BB40A1">
        <w:t xml:space="preserve">he </w:t>
      </w:r>
      <w:r w:rsidR="00B623F0">
        <w:t xml:space="preserve">two classes </w:t>
      </w:r>
      <w:r w:rsidR="00FF2C8E">
        <w:t xml:space="preserve">of </w:t>
      </w:r>
      <w:r w:rsidR="00EB6E22">
        <w:t xml:space="preserve">permits </w:t>
      </w:r>
      <w:r w:rsidR="00900C75">
        <w:t xml:space="preserve">reviewed </w:t>
      </w:r>
      <w:r w:rsidR="00FF2C8E">
        <w:t>we</w:t>
      </w:r>
      <w:r w:rsidR="00900C75">
        <w:t xml:space="preserve">re </w:t>
      </w:r>
      <w:r w:rsidR="00EC62AA">
        <w:t xml:space="preserve">for activities that present </w:t>
      </w:r>
      <w:r w:rsidR="00900C75">
        <w:t xml:space="preserve">the lowest </w:t>
      </w:r>
      <w:r w:rsidR="005B579D">
        <w:t>safeguard</w:t>
      </w:r>
      <w:r w:rsidR="00EC62AA">
        <w:t>s</w:t>
      </w:r>
      <w:r w:rsidR="005B579D">
        <w:t xml:space="preserve"> and security</w:t>
      </w:r>
      <w:r w:rsidR="00900C75">
        <w:t xml:space="preserve"> risk</w:t>
      </w:r>
      <w:r w:rsidR="00EC62AA">
        <w:t>s</w:t>
      </w:r>
      <w:r w:rsidR="00CF4479">
        <w:t>,</w:t>
      </w:r>
      <w:r w:rsidR="00016FF4">
        <w:t xml:space="preserve"> </w:t>
      </w:r>
      <w:r w:rsidR="00595BF8">
        <w:t xml:space="preserve">but </w:t>
      </w:r>
      <w:r w:rsidR="00985EB2">
        <w:t xml:space="preserve">included </w:t>
      </w:r>
      <w:r w:rsidR="00595BF8">
        <w:t xml:space="preserve">the </w:t>
      </w:r>
      <w:r w:rsidR="00985EB2">
        <w:t>broadest</w:t>
      </w:r>
      <w:r w:rsidR="00595BF8">
        <w:t xml:space="preserve"> representation of permit holders</w:t>
      </w:r>
      <w:r w:rsidR="002B4374">
        <w:t>,</w:t>
      </w:r>
      <w:r w:rsidR="00595BF8">
        <w:t xml:space="preserve"> accoun</w:t>
      </w:r>
      <w:r w:rsidR="002B4374">
        <w:t>t</w:t>
      </w:r>
      <w:r w:rsidR="00985EB2">
        <w:t>ing</w:t>
      </w:r>
      <w:r w:rsidR="00595BF8">
        <w:t xml:space="preserve"> for 8</w:t>
      </w:r>
      <w:r w:rsidR="003437E2">
        <w:t>9</w:t>
      </w:r>
      <w:r w:rsidR="00595BF8">
        <w:t xml:space="preserve"> of </w:t>
      </w:r>
      <w:r w:rsidR="00E026C6">
        <w:t>the 10</w:t>
      </w:r>
      <w:r w:rsidR="003437E2">
        <w:t>5</w:t>
      </w:r>
      <w:r w:rsidR="00E026C6">
        <w:t xml:space="preserve"> permits processed</w:t>
      </w:r>
      <w:r w:rsidR="002B4374">
        <w:t xml:space="preserve"> in the reporting period</w:t>
      </w:r>
      <w:r w:rsidR="003B6C2E">
        <w:t xml:space="preserve"> - </w:t>
      </w:r>
      <w:r w:rsidR="00D431B1">
        <w:t>approximately</w:t>
      </w:r>
      <w:r w:rsidR="0008123D">
        <w:t xml:space="preserve"> four times</w:t>
      </w:r>
      <w:r w:rsidR="008F17DE">
        <w:t xml:space="preserve"> </w:t>
      </w:r>
      <w:r w:rsidR="005A1987">
        <w:t xml:space="preserve">more </w:t>
      </w:r>
      <w:r w:rsidR="00D431B1">
        <w:t>than average</w:t>
      </w:r>
      <w:r w:rsidR="009A686E">
        <w:t>.</w:t>
      </w:r>
      <w:r w:rsidR="00816F67">
        <w:t xml:space="preserve"> </w:t>
      </w:r>
      <w:r w:rsidR="005B64F4">
        <w:t>ASNO pre-</w:t>
      </w:r>
      <w:r w:rsidR="00ED1AD4">
        <w:t xml:space="preserve">emptively initiated </w:t>
      </w:r>
      <w:r w:rsidR="007A3207">
        <w:t>the permit</w:t>
      </w:r>
      <w:r w:rsidR="0089730E">
        <w:t xml:space="preserve"> renewal</w:t>
      </w:r>
      <w:r w:rsidR="007A3207">
        <w:t>s</w:t>
      </w:r>
      <w:r w:rsidR="00D431B1">
        <w:t xml:space="preserve"> to ensure</w:t>
      </w:r>
      <w:r w:rsidR="0089730E">
        <w:t xml:space="preserve"> new</w:t>
      </w:r>
      <w:r w:rsidR="00B736D5">
        <w:t xml:space="preserve"> </w:t>
      </w:r>
      <w:r w:rsidR="0038337A">
        <w:t xml:space="preserve">permits were </w:t>
      </w:r>
      <w:r w:rsidR="00D431B1">
        <w:t>finalised</w:t>
      </w:r>
      <w:r w:rsidR="0038337A">
        <w:t xml:space="preserve"> before the original </w:t>
      </w:r>
      <w:r w:rsidR="00531E54">
        <w:t>permit</w:t>
      </w:r>
      <w:r w:rsidR="00D431B1">
        <w:t>s</w:t>
      </w:r>
      <w:r w:rsidR="00531E54">
        <w:t xml:space="preserve"> expire</w:t>
      </w:r>
      <w:r w:rsidR="00D431B1">
        <w:t>d</w:t>
      </w:r>
      <w:r w:rsidR="003437E2">
        <w:t xml:space="preserve"> and are not included in the analysis of processing time below</w:t>
      </w:r>
      <w:r w:rsidR="00531E54">
        <w:t>.</w:t>
      </w:r>
      <w:r w:rsidR="00816F67">
        <w:t xml:space="preserve"> </w:t>
      </w:r>
      <w:r w:rsidR="0073375B">
        <w:t>Due to the ASNO-initiated process, no permit holder operations or activities were disrupted as a result of the permit renewals.</w:t>
      </w:r>
    </w:p>
    <w:p w14:paraId="20C360F8" w14:textId="012924D6" w:rsidR="005C05AC" w:rsidRDefault="00531E54" w:rsidP="00DE69E2">
      <w:pPr>
        <w:pStyle w:val="BodyText"/>
      </w:pPr>
      <w:r>
        <w:lastRenderedPageBreak/>
        <w:t xml:space="preserve">ASNO also processed </w:t>
      </w:r>
      <w:r w:rsidR="006C46B1">
        <w:t>16</w:t>
      </w:r>
      <w:r w:rsidR="00CA727C">
        <w:t xml:space="preserve"> nuclear permits that were initiated </w:t>
      </w:r>
      <w:r w:rsidR="00367B33">
        <w:t>by the permit holder</w:t>
      </w:r>
      <w:r w:rsidR="007D366A">
        <w:t xml:space="preserve">, </w:t>
      </w:r>
      <w:r w:rsidR="009E4096">
        <w:t xml:space="preserve">nine of which were new permits and </w:t>
      </w:r>
      <w:r w:rsidR="00527127">
        <w:t>seven</w:t>
      </w:r>
      <w:r w:rsidR="009E4096">
        <w:t xml:space="preserve"> were permit variations.</w:t>
      </w:r>
      <w:r w:rsidR="00816F67">
        <w:t xml:space="preserve"> </w:t>
      </w:r>
      <w:r w:rsidR="00517623">
        <w:t>The average time for processing these permits was 15 calendar days</w:t>
      </w:r>
      <w:r w:rsidR="00CC71BF">
        <w:t xml:space="preserve">, although 31 </w:t>
      </w:r>
      <w:r w:rsidR="00F56EEA">
        <w:t xml:space="preserve">per cent </w:t>
      </w:r>
      <w:r w:rsidR="00CC71BF">
        <w:t xml:space="preserve">took longer than </w:t>
      </w:r>
      <w:r w:rsidR="00F56EEA">
        <w:t>21 calendar days</w:t>
      </w:r>
      <w:r w:rsidR="00CC71BF">
        <w:t xml:space="preserve"> to process due to the permits being more </w:t>
      </w:r>
      <w:r w:rsidR="003D4812">
        <w:t>comple</w:t>
      </w:r>
      <w:r w:rsidR="00DB4E68">
        <w:t>x, requiring additional consideration</w:t>
      </w:r>
      <w:r w:rsidR="00B86B39">
        <w:t xml:space="preserve"> and one permit requiring Ministerial approval</w:t>
      </w:r>
      <w:r w:rsidR="00C40804">
        <w:t xml:space="preserve">. </w:t>
      </w:r>
    </w:p>
    <w:p w14:paraId="7EC33DD6" w14:textId="77EA0492" w:rsidR="00CC71BF" w:rsidRDefault="00D431B1" w:rsidP="00DE69E2">
      <w:pPr>
        <w:pStyle w:val="BodyText"/>
      </w:pPr>
      <w:r>
        <w:t xml:space="preserve">In addition, </w:t>
      </w:r>
      <w:r w:rsidR="00CC71BF">
        <w:t>ASNO processed 87 uranium ore concentrate (UOC) export permissions, maintaining the high standard of 9</w:t>
      </w:r>
      <w:r w:rsidR="00611E21">
        <w:t>7</w:t>
      </w:r>
      <w:r w:rsidR="00CC71BF">
        <w:t xml:space="preserve"> per</w:t>
      </w:r>
      <w:r w:rsidR="005C6CFC">
        <w:t xml:space="preserve"> </w:t>
      </w:r>
      <w:r w:rsidR="00CC71BF">
        <w:t xml:space="preserve">cent processed within the seven-calendar day benchmark. </w:t>
      </w:r>
      <w:r>
        <w:t>Requests for</w:t>
      </w:r>
      <w:r w:rsidR="00CC71BF">
        <w:t xml:space="preserve"> UOC export permissions increased approximately 50 per cent </w:t>
      </w:r>
      <w:r>
        <w:t xml:space="preserve">compared to previous reporting periods due to </w:t>
      </w:r>
      <w:r w:rsidR="00CC71BF">
        <w:t>exporters</w:t>
      </w:r>
      <w:r w:rsidR="00CF4479">
        <w:t>’ need</w:t>
      </w:r>
      <w:r w:rsidR="00CC71BF">
        <w:t xml:space="preserve"> to seek reapprovals</w:t>
      </w:r>
      <w:r>
        <w:t xml:space="preserve"> resulting from</w:t>
      </w:r>
      <w:r w:rsidR="00CC71BF">
        <w:t xml:space="preserve"> increased variability in shipping </w:t>
      </w:r>
      <w:r>
        <w:t>due to</w:t>
      </w:r>
      <w:r w:rsidR="00CC71BF">
        <w:t xml:space="preserve"> COVID-19 and the blockage of the Suez Canal</w:t>
      </w:r>
      <w:r w:rsidR="00153E8A">
        <w:t xml:space="preserve"> in March 2021</w:t>
      </w:r>
      <w:r w:rsidR="00CC71BF">
        <w:t>.</w:t>
      </w:r>
    </w:p>
    <w:p w14:paraId="486F857A" w14:textId="72DDB060" w:rsidR="00662973" w:rsidRDefault="00CC71BF" w:rsidP="00662973">
      <w:pPr>
        <w:pStyle w:val="BodyText"/>
      </w:pPr>
      <w:r>
        <w:t xml:space="preserve">Finally, </w:t>
      </w:r>
      <w:r w:rsidR="00765730">
        <w:t xml:space="preserve">ASNO processed </w:t>
      </w:r>
      <w:r w:rsidR="00276602">
        <w:t xml:space="preserve">63 </w:t>
      </w:r>
      <w:r w:rsidR="0089474F">
        <w:t>Schedule 2</w:t>
      </w:r>
      <w:r w:rsidR="00B40037">
        <w:t xml:space="preserve"> or </w:t>
      </w:r>
      <w:r w:rsidR="0089474F">
        <w:t xml:space="preserve">3 </w:t>
      </w:r>
      <w:r w:rsidR="00276602">
        <w:t>chemical import permits</w:t>
      </w:r>
      <w:r w:rsidR="002048DF">
        <w:t xml:space="preserve"> comprised of</w:t>
      </w:r>
      <w:r w:rsidR="00276602">
        <w:t xml:space="preserve"> </w:t>
      </w:r>
      <w:r w:rsidR="00150C8D">
        <w:t xml:space="preserve">58 new permits and </w:t>
      </w:r>
      <w:r w:rsidR="001D3C15">
        <w:t>five</w:t>
      </w:r>
      <w:r w:rsidR="00150C8D">
        <w:t xml:space="preserve"> varied per</w:t>
      </w:r>
      <w:r w:rsidR="003F7398">
        <w:t>mits.</w:t>
      </w:r>
      <w:r w:rsidR="00094032">
        <w:t xml:space="preserve"> The average time to process the</w:t>
      </w:r>
      <w:r w:rsidR="002048DF">
        <w:t>se</w:t>
      </w:r>
      <w:r w:rsidR="00094032">
        <w:t xml:space="preserve"> permits was </w:t>
      </w:r>
      <w:r w:rsidR="00591AE3">
        <w:t>two</w:t>
      </w:r>
      <w:r w:rsidR="00094032">
        <w:t xml:space="preserve"> days, </w:t>
      </w:r>
      <w:r w:rsidR="00591AE3">
        <w:t xml:space="preserve">with 98 percent within the </w:t>
      </w:r>
      <w:r w:rsidR="00C46570">
        <w:t>seven-day</w:t>
      </w:r>
      <w:r w:rsidR="00591AE3">
        <w:t xml:space="preserve"> benchmark.</w:t>
      </w:r>
      <w:r w:rsidR="00816F67">
        <w:t xml:space="preserve"> </w:t>
      </w:r>
      <w:r w:rsidR="00591AE3">
        <w:t xml:space="preserve">This </w:t>
      </w:r>
      <w:r w:rsidR="005C58B7">
        <w:t xml:space="preserve">represents a </w:t>
      </w:r>
      <w:r w:rsidR="0025175F">
        <w:t>consistent improve</w:t>
      </w:r>
      <w:r w:rsidR="00AE2C64">
        <w:t xml:space="preserve">ment </w:t>
      </w:r>
      <w:r w:rsidR="00D431B1">
        <w:t>in</w:t>
      </w:r>
      <w:r w:rsidR="0025175F">
        <w:t xml:space="preserve"> </w:t>
      </w:r>
      <w:r w:rsidR="005C58B7">
        <w:t>processing</w:t>
      </w:r>
      <w:r w:rsidR="00103F0F">
        <w:t xml:space="preserve"> </w:t>
      </w:r>
      <w:r w:rsidR="0025175F">
        <w:t>chemical</w:t>
      </w:r>
      <w:r w:rsidR="005C58B7">
        <w:t xml:space="preserve"> import permits</w:t>
      </w:r>
      <w:r w:rsidR="008D17FC">
        <w:t xml:space="preserve"> </w:t>
      </w:r>
      <w:r w:rsidR="00617823">
        <w:t>over the last four years.</w:t>
      </w:r>
      <w:r w:rsidR="00816F67">
        <w:t xml:space="preserve"> </w:t>
      </w:r>
      <w:r w:rsidR="00B40037">
        <w:t>There were no import permits for Schedule 1 chemicals</w:t>
      </w:r>
      <w:r w:rsidR="00D431B1">
        <w:t xml:space="preserve"> in the reporting period</w:t>
      </w:r>
      <w:r w:rsidR="00B40037">
        <w:t xml:space="preserve">. </w:t>
      </w:r>
      <w:r w:rsidR="00222C8F">
        <w:t xml:space="preserve">ASNO </w:t>
      </w:r>
      <w:r w:rsidR="003D6D20">
        <w:t xml:space="preserve">also processed </w:t>
      </w:r>
      <w:r w:rsidR="00107407">
        <w:t xml:space="preserve">ten </w:t>
      </w:r>
      <w:r w:rsidR="00C46570">
        <w:t xml:space="preserve">chemical </w:t>
      </w:r>
      <w:r w:rsidR="00107407">
        <w:t xml:space="preserve">facility permits, </w:t>
      </w:r>
      <w:r w:rsidR="0082263D">
        <w:t xml:space="preserve">with an average time of four </w:t>
      </w:r>
      <w:r w:rsidR="00C92C41">
        <w:t>calendar</w:t>
      </w:r>
      <w:r w:rsidR="0082263D">
        <w:t xml:space="preserve"> days, </w:t>
      </w:r>
      <w:r w:rsidR="00C92C41">
        <w:t xml:space="preserve">with 100 per cent </w:t>
      </w:r>
      <w:r w:rsidR="0082263D">
        <w:t>within the benchmark time of 21 calendar</w:t>
      </w:r>
      <w:r w:rsidR="0089730E">
        <w:t xml:space="preserve"> days</w:t>
      </w:r>
      <w:r w:rsidR="00C92C41">
        <w:t xml:space="preserve">, maintaining the high standard </w:t>
      </w:r>
      <w:r w:rsidR="00AA118E">
        <w:t>set over the last three years.</w:t>
      </w:r>
    </w:p>
    <w:p w14:paraId="3DC449A3" w14:textId="77777777" w:rsidR="00662973" w:rsidRPr="00662973" w:rsidRDefault="00662973" w:rsidP="00662973">
      <w:pPr>
        <w:pStyle w:val="BodyText"/>
        <w:spacing w:before="0" w:after="0"/>
        <w:rPr>
          <w:sz w:val="16"/>
          <w:szCs w:val="16"/>
        </w:rPr>
      </w:pPr>
    </w:p>
    <w:tbl>
      <w:tblPr>
        <w:tblpPr w:leftFromText="180" w:rightFromText="180" w:vertAnchor="text" w:horzAnchor="margin" w:tblpY="87"/>
        <w:tblW w:w="9639" w:type="dxa"/>
        <w:tblCellMar>
          <w:left w:w="0" w:type="dxa"/>
          <w:right w:w="0" w:type="dxa"/>
        </w:tblCellMar>
        <w:tblLook w:val="04A0" w:firstRow="1" w:lastRow="0" w:firstColumn="1" w:lastColumn="0" w:noHBand="0" w:noVBand="1"/>
      </w:tblPr>
      <w:tblGrid>
        <w:gridCol w:w="7225"/>
        <w:gridCol w:w="2414"/>
      </w:tblGrid>
      <w:tr w:rsidR="00662973" w:rsidRPr="00384576" w14:paraId="503445E6" w14:textId="77777777" w:rsidTr="00134E1E">
        <w:tc>
          <w:tcPr>
            <w:tcW w:w="9639" w:type="dxa"/>
            <w:gridSpan w:val="2"/>
            <w:tcBorders>
              <w:bottom w:val="single" w:sz="4" w:space="0" w:color="auto"/>
            </w:tcBorders>
            <w:shd w:val="clear" w:color="auto" w:fill="65C5B4" w:themeFill="accent1"/>
            <w:tcMar>
              <w:top w:w="0" w:type="dxa"/>
              <w:left w:w="108" w:type="dxa"/>
              <w:bottom w:w="0" w:type="dxa"/>
              <w:right w:w="108" w:type="dxa"/>
            </w:tcMar>
            <w:hideMark/>
          </w:tcPr>
          <w:p w14:paraId="1F8BC5E9" w14:textId="77777777" w:rsidR="00662973" w:rsidRPr="00384576" w:rsidRDefault="00662973" w:rsidP="00134E1E">
            <w:pPr>
              <w:jc w:val="center"/>
              <w:rPr>
                <w:b/>
                <w:bCs/>
                <w:sz w:val="24"/>
                <w:szCs w:val="24"/>
                <w:highlight w:val="yellow"/>
                <w:lang w:eastAsia="en-AU"/>
              </w:rPr>
            </w:pPr>
            <w:r w:rsidRPr="00DE69E2">
              <w:rPr>
                <w:b/>
                <w:bCs/>
                <w:color w:val="36424B" w:themeColor="text2" w:themeShade="BF"/>
                <w:sz w:val="24"/>
                <w:szCs w:val="24"/>
                <w:lang w:eastAsia="en-AU"/>
              </w:rPr>
              <w:t>Processing of permits and approvals July 2020 – June 2021</w:t>
            </w:r>
          </w:p>
        </w:tc>
      </w:tr>
      <w:tr w:rsidR="00662973" w:rsidRPr="00384576" w14:paraId="612E9CD9" w14:textId="77777777" w:rsidTr="00134E1E">
        <w:tc>
          <w:tcPr>
            <w:tcW w:w="7225" w:type="dxa"/>
            <w:tcBorders>
              <w:top w:val="single" w:sz="4" w:space="0" w:color="auto"/>
            </w:tcBorders>
            <w:shd w:val="clear" w:color="auto" w:fill="auto"/>
            <w:tcMar>
              <w:top w:w="0" w:type="dxa"/>
              <w:left w:w="108" w:type="dxa"/>
              <w:bottom w:w="0" w:type="dxa"/>
              <w:right w:w="108" w:type="dxa"/>
            </w:tcMar>
            <w:hideMark/>
          </w:tcPr>
          <w:p w14:paraId="006A629F" w14:textId="77777777" w:rsidR="00662973" w:rsidRPr="008F3B9F" w:rsidRDefault="00662973" w:rsidP="00134E1E">
            <w:pPr>
              <w:rPr>
                <w:sz w:val="20"/>
                <w:lang w:eastAsia="en-AU"/>
              </w:rPr>
            </w:pPr>
            <w:r w:rsidRPr="008F3B9F">
              <w:rPr>
                <w:sz w:val="20"/>
                <w:lang w:eastAsia="en-AU"/>
              </w:rPr>
              <w:t xml:space="preserve">Number of </w:t>
            </w:r>
            <w:r>
              <w:rPr>
                <w:sz w:val="20"/>
                <w:lang w:eastAsia="en-AU"/>
              </w:rPr>
              <w:t xml:space="preserve">ASNO-initiated </w:t>
            </w:r>
            <w:r w:rsidRPr="008F3B9F">
              <w:rPr>
                <w:sz w:val="20"/>
                <w:lang w:eastAsia="en-AU"/>
              </w:rPr>
              <w:t>nuclear permit</w:t>
            </w:r>
            <w:r>
              <w:rPr>
                <w:sz w:val="20"/>
                <w:lang w:eastAsia="en-AU"/>
              </w:rPr>
              <w:t>s</w:t>
            </w:r>
            <w:r w:rsidRPr="008F3B9F">
              <w:rPr>
                <w:sz w:val="20"/>
                <w:lang w:eastAsia="en-AU"/>
              </w:rPr>
              <w:t xml:space="preserve"> processed</w:t>
            </w:r>
          </w:p>
        </w:tc>
        <w:tc>
          <w:tcPr>
            <w:tcW w:w="2414" w:type="dxa"/>
            <w:tcBorders>
              <w:top w:val="single" w:sz="4" w:space="0" w:color="auto"/>
            </w:tcBorders>
            <w:shd w:val="clear" w:color="auto" w:fill="auto"/>
            <w:tcMar>
              <w:top w:w="0" w:type="dxa"/>
              <w:left w:w="108" w:type="dxa"/>
              <w:bottom w:w="0" w:type="dxa"/>
              <w:right w:w="108" w:type="dxa"/>
            </w:tcMar>
            <w:hideMark/>
          </w:tcPr>
          <w:p w14:paraId="0C562DFB" w14:textId="77777777" w:rsidR="00662973" w:rsidRPr="008F3B9F" w:rsidRDefault="00662973" w:rsidP="00134E1E">
            <w:pPr>
              <w:jc w:val="center"/>
              <w:rPr>
                <w:color w:val="auto"/>
                <w:sz w:val="20"/>
                <w:lang w:eastAsia="en-AU"/>
              </w:rPr>
            </w:pPr>
            <w:r>
              <w:rPr>
                <w:color w:val="auto"/>
                <w:sz w:val="20"/>
                <w:lang w:eastAsia="en-AU"/>
              </w:rPr>
              <w:t>89</w:t>
            </w:r>
          </w:p>
        </w:tc>
      </w:tr>
      <w:tr w:rsidR="00662973" w:rsidRPr="00384576" w14:paraId="5E2DEF61" w14:textId="77777777" w:rsidTr="00134E1E">
        <w:tc>
          <w:tcPr>
            <w:tcW w:w="7225" w:type="dxa"/>
            <w:shd w:val="clear" w:color="auto" w:fill="auto"/>
            <w:tcMar>
              <w:top w:w="0" w:type="dxa"/>
              <w:left w:w="108" w:type="dxa"/>
              <w:bottom w:w="0" w:type="dxa"/>
              <w:right w:w="108" w:type="dxa"/>
            </w:tcMar>
          </w:tcPr>
          <w:p w14:paraId="54440BAF" w14:textId="5BCD3A7E" w:rsidR="00662973" w:rsidRPr="008F3B9F" w:rsidRDefault="00662973" w:rsidP="00134E1E">
            <w:pPr>
              <w:rPr>
                <w:sz w:val="20"/>
                <w:lang w:eastAsia="en-AU"/>
              </w:rPr>
            </w:pPr>
            <w:r w:rsidRPr="008F3B9F">
              <w:rPr>
                <w:sz w:val="20"/>
                <w:lang w:eastAsia="en-AU"/>
              </w:rPr>
              <w:t>Number of nuclear permit applications processed</w:t>
            </w:r>
            <w:r>
              <w:rPr>
                <w:sz w:val="20"/>
                <w:lang w:eastAsia="en-AU"/>
              </w:rPr>
              <w:t xml:space="preserve"> (permit holder initiated)</w:t>
            </w:r>
            <w:r w:rsidR="00974BD5">
              <w:rPr>
                <w:sz w:val="20"/>
                <w:vertAlign w:val="superscript"/>
                <w:lang w:eastAsia="en-AU"/>
              </w:rPr>
              <w:t>*</w:t>
            </w:r>
          </w:p>
        </w:tc>
        <w:tc>
          <w:tcPr>
            <w:tcW w:w="2414" w:type="dxa"/>
            <w:shd w:val="clear" w:color="auto" w:fill="auto"/>
            <w:tcMar>
              <w:top w:w="0" w:type="dxa"/>
              <w:left w:w="108" w:type="dxa"/>
              <w:bottom w:w="0" w:type="dxa"/>
              <w:right w:w="108" w:type="dxa"/>
            </w:tcMar>
          </w:tcPr>
          <w:p w14:paraId="51810872" w14:textId="77777777" w:rsidR="00662973" w:rsidRPr="008F3B9F" w:rsidRDefault="00662973" w:rsidP="00134E1E">
            <w:pPr>
              <w:jc w:val="center"/>
              <w:rPr>
                <w:color w:val="auto"/>
                <w:sz w:val="20"/>
                <w:lang w:eastAsia="en-AU"/>
              </w:rPr>
            </w:pPr>
            <w:r>
              <w:rPr>
                <w:color w:val="auto"/>
                <w:sz w:val="20"/>
                <w:lang w:eastAsia="en-AU"/>
              </w:rPr>
              <w:t>16</w:t>
            </w:r>
          </w:p>
        </w:tc>
      </w:tr>
      <w:tr w:rsidR="00662973" w:rsidRPr="00384576" w14:paraId="19CD192A" w14:textId="77777777" w:rsidTr="00134E1E">
        <w:tc>
          <w:tcPr>
            <w:tcW w:w="7225" w:type="dxa"/>
            <w:shd w:val="clear" w:color="auto" w:fill="auto"/>
            <w:tcMar>
              <w:top w:w="0" w:type="dxa"/>
              <w:left w:w="108" w:type="dxa"/>
              <w:bottom w:w="0" w:type="dxa"/>
              <w:right w:w="108" w:type="dxa"/>
            </w:tcMar>
            <w:hideMark/>
          </w:tcPr>
          <w:p w14:paraId="234540A5" w14:textId="77777777" w:rsidR="00662973" w:rsidRPr="008F3B9F" w:rsidRDefault="00662973" w:rsidP="00134E1E">
            <w:pPr>
              <w:rPr>
                <w:sz w:val="20"/>
                <w:lang w:eastAsia="en-AU"/>
              </w:rPr>
            </w:pPr>
            <w:r w:rsidRPr="008F3B9F">
              <w:rPr>
                <w:sz w:val="20"/>
                <w:lang w:eastAsia="en-AU"/>
              </w:rPr>
              <w:t xml:space="preserve">Average number of calendar days </w:t>
            </w:r>
            <w:r>
              <w:rPr>
                <w:sz w:val="20"/>
                <w:lang w:eastAsia="en-AU"/>
              </w:rPr>
              <w:t>(permit holder initiated)</w:t>
            </w:r>
          </w:p>
        </w:tc>
        <w:tc>
          <w:tcPr>
            <w:tcW w:w="2414" w:type="dxa"/>
            <w:shd w:val="clear" w:color="auto" w:fill="auto"/>
            <w:tcMar>
              <w:top w:w="0" w:type="dxa"/>
              <w:left w:w="108" w:type="dxa"/>
              <w:bottom w:w="0" w:type="dxa"/>
              <w:right w:w="108" w:type="dxa"/>
            </w:tcMar>
            <w:hideMark/>
          </w:tcPr>
          <w:p w14:paraId="32CDBCB4" w14:textId="77777777" w:rsidR="00662973" w:rsidRPr="008F3B9F" w:rsidRDefault="00662973" w:rsidP="00134E1E">
            <w:pPr>
              <w:jc w:val="center"/>
              <w:rPr>
                <w:color w:val="auto"/>
                <w:sz w:val="20"/>
                <w:lang w:eastAsia="en-AU"/>
              </w:rPr>
            </w:pPr>
            <w:r>
              <w:rPr>
                <w:color w:val="auto"/>
                <w:sz w:val="20"/>
                <w:lang w:eastAsia="en-AU"/>
              </w:rPr>
              <w:t>15</w:t>
            </w:r>
            <w:r w:rsidRPr="008F3B9F">
              <w:rPr>
                <w:color w:val="auto"/>
                <w:sz w:val="20"/>
                <w:lang w:eastAsia="en-AU"/>
              </w:rPr>
              <w:t xml:space="preserve"> days</w:t>
            </w:r>
          </w:p>
        </w:tc>
      </w:tr>
      <w:tr w:rsidR="00662973" w:rsidRPr="00384576" w14:paraId="0E108F55" w14:textId="77777777" w:rsidTr="00134E1E">
        <w:tc>
          <w:tcPr>
            <w:tcW w:w="7225" w:type="dxa"/>
            <w:tcBorders>
              <w:bottom w:val="single" w:sz="4" w:space="0" w:color="auto"/>
            </w:tcBorders>
            <w:shd w:val="clear" w:color="auto" w:fill="auto"/>
            <w:tcMar>
              <w:top w:w="0" w:type="dxa"/>
              <w:left w:w="108" w:type="dxa"/>
              <w:bottom w:w="0" w:type="dxa"/>
              <w:right w:w="108" w:type="dxa"/>
            </w:tcMar>
            <w:hideMark/>
          </w:tcPr>
          <w:p w14:paraId="6C4B1694" w14:textId="77777777" w:rsidR="00662973" w:rsidRPr="008F3B9F" w:rsidRDefault="00662973" w:rsidP="00134E1E">
            <w:pPr>
              <w:rPr>
                <w:sz w:val="20"/>
                <w:lang w:eastAsia="en-AU"/>
              </w:rPr>
            </w:pPr>
            <w:r w:rsidRPr="008F3B9F">
              <w:rPr>
                <w:sz w:val="20"/>
                <w:lang w:eastAsia="en-AU"/>
              </w:rPr>
              <w:t>Per cent of permits issued within 21 days of final application</w:t>
            </w:r>
            <w:r>
              <w:rPr>
                <w:sz w:val="20"/>
                <w:lang w:eastAsia="en-AU"/>
              </w:rPr>
              <w:t xml:space="preserve"> (permit holder initiated)</w:t>
            </w:r>
          </w:p>
        </w:tc>
        <w:tc>
          <w:tcPr>
            <w:tcW w:w="2414" w:type="dxa"/>
            <w:tcBorders>
              <w:bottom w:val="single" w:sz="4" w:space="0" w:color="auto"/>
            </w:tcBorders>
            <w:shd w:val="clear" w:color="auto" w:fill="auto"/>
            <w:tcMar>
              <w:top w:w="0" w:type="dxa"/>
              <w:left w:w="108" w:type="dxa"/>
              <w:bottom w:w="0" w:type="dxa"/>
              <w:right w:w="108" w:type="dxa"/>
            </w:tcMar>
            <w:hideMark/>
          </w:tcPr>
          <w:p w14:paraId="17AE200F" w14:textId="77777777" w:rsidR="00662973" w:rsidRPr="008F3B9F" w:rsidRDefault="00662973" w:rsidP="00134E1E">
            <w:pPr>
              <w:jc w:val="center"/>
              <w:rPr>
                <w:color w:val="auto"/>
                <w:sz w:val="20"/>
                <w:lang w:eastAsia="en-AU"/>
              </w:rPr>
            </w:pPr>
            <w:r>
              <w:rPr>
                <w:color w:val="auto"/>
                <w:sz w:val="20"/>
                <w:lang w:eastAsia="en-AU"/>
              </w:rPr>
              <w:t>69</w:t>
            </w:r>
            <w:r w:rsidRPr="008F3B9F">
              <w:rPr>
                <w:color w:val="auto"/>
                <w:sz w:val="20"/>
                <w:lang w:eastAsia="en-AU"/>
              </w:rPr>
              <w:t>%</w:t>
            </w:r>
          </w:p>
        </w:tc>
      </w:tr>
      <w:tr w:rsidR="00662973" w:rsidRPr="00780230" w14:paraId="26513880" w14:textId="77777777" w:rsidTr="00134E1E">
        <w:tc>
          <w:tcPr>
            <w:tcW w:w="7225" w:type="dxa"/>
            <w:tcBorders>
              <w:top w:val="single" w:sz="4" w:space="0" w:color="auto"/>
            </w:tcBorders>
            <w:shd w:val="clear" w:color="auto" w:fill="auto"/>
            <w:tcMar>
              <w:top w:w="0" w:type="dxa"/>
              <w:left w:w="108" w:type="dxa"/>
              <w:bottom w:w="0" w:type="dxa"/>
              <w:right w:w="108" w:type="dxa"/>
            </w:tcMar>
            <w:hideMark/>
          </w:tcPr>
          <w:p w14:paraId="2C5765FB" w14:textId="77777777" w:rsidR="00662973" w:rsidRPr="00780230" w:rsidRDefault="00662973" w:rsidP="00134E1E">
            <w:pPr>
              <w:rPr>
                <w:sz w:val="20"/>
                <w:lang w:eastAsia="en-AU"/>
              </w:rPr>
            </w:pPr>
            <w:r w:rsidRPr="00780230">
              <w:rPr>
                <w:sz w:val="20"/>
                <w:lang w:eastAsia="en-AU"/>
              </w:rPr>
              <w:t>Number of approved applications to transport UOC internationally</w:t>
            </w:r>
          </w:p>
        </w:tc>
        <w:tc>
          <w:tcPr>
            <w:tcW w:w="2414" w:type="dxa"/>
            <w:tcBorders>
              <w:top w:val="single" w:sz="4" w:space="0" w:color="auto"/>
            </w:tcBorders>
            <w:shd w:val="clear" w:color="auto" w:fill="auto"/>
            <w:tcMar>
              <w:top w:w="0" w:type="dxa"/>
              <w:left w:w="108" w:type="dxa"/>
              <w:bottom w:w="0" w:type="dxa"/>
              <w:right w:w="108" w:type="dxa"/>
            </w:tcMar>
            <w:hideMark/>
          </w:tcPr>
          <w:p w14:paraId="2FF00735" w14:textId="77777777" w:rsidR="00662973" w:rsidRPr="00780230" w:rsidRDefault="00662973" w:rsidP="00134E1E">
            <w:pPr>
              <w:jc w:val="center"/>
              <w:rPr>
                <w:sz w:val="20"/>
                <w:lang w:eastAsia="en-AU"/>
              </w:rPr>
            </w:pPr>
            <w:r w:rsidRPr="00780230">
              <w:rPr>
                <w:sz w:val="20"/>
                <w:lang w:eastAsia="en-AU"/>
              </w:rPr>
              <w:t>87</w:t>
            </w:r>
          </w:p>
        </w:tc>
      </w:tr>
      <w:tr w:rsidR="00662973" w:rsidRPr="00780230" w14:paraId="200EE9FA" w14:textId="77777777" w:rsidTr="00134E1E">
        <w:tc>
          <w:tcPr>
            <w:tcW w:w="7225" w:type="dxa"/>
            <w:shd w:val="clear" w:color="auto" w:fill="auto"/>
            <w:tcMar>
              <w:top w:w="0" w:type="dxa"/>
              <w:left w:w="108" w:type="dxa"/>
              <w:bottom w:w="0" w:type="dxa"/>
              <w:right w:w="108" w:type="dxa"/>
            </w:tcMar>
            <w:hideMark/>
          </w:tcPr>
          <w:p w14:paraId="14F13B7A" w14:textId="77777777" w:rsidR="00662973" w:rsidRPr="00780230" w:rsidRDefault="00662973" w:rsidP="00134E1E">
            <w:pPr>
              <w:rPr>
                <w:sz w:val="20"/>
                <w:lang w:eastAsia="en-AU"/>
              </w:rPr>
            </w:pPr>
            <w:r w:rsidRPr="00780230">
              <w:rPr>
                <w:sz w:val="20"/>
                <w:lang w:eastAsia="en-AU"/>
              </w:rPr>
              <w:t xml:space="preserve">Average number of days </w:t>
            </w:r>
          </w:p>
        </w:tc>
        <w:tc>
          <w:tcPr>
            <w:tcW w:w="2414" w:type="dxa"/>
            <w:shd w:val="clear" w:color="auto" w:fill="auto"/>
            <w:tcMar>
              <w:top w:w="0" w:type="dxa"/>
              <w:left w:w="108" w:type="dxa"/>
              <w:bottom w:w="0" w:type="dxa"/>
              <w:right w:w="108" w:type="dxa"/>
            </w:tcMar>
            <w:hideMark/>
          </w:tcPr>
          <w:p w14:paraId="05837AE9" w14:textId="77777777" w:rsidR="00662973" w:rsidRPr="00780230" w:rsidRDefault="00662973" w:rsidP="00134E1E">
            <w:pPr>
              <w:jc w:val="center"/>
              <w:rPr>
                <w:sz w:val="20"/>
                <w:lang w:eastAsia="en-AU"/>
              </w:rPr>
            </w:pPr>
            <w:r w:rsidRPr="00780230">
              <w:rPr>
                <w:sz w:val="20"/>
                <w:lang w:eastAsia="en-AU"/>
              </w:rPr>
              <w:t>2</w:t>
            </w:r>
          </w:p>
        </w:tc>
      </w:tr>
      <w:tr w:rsidR="00662973" w:rsidRPr="00780230" w14:paraId="712B73A7" w14:textId="77777777" w:rsidTr="00134E1E">
        <w:tc>
          <w:tcPr>
            <w:tcW w:w="7225" w:type="dxa"/>
            <w:tcBorders>
              <w:bottom w:val="single" w:sz="4" w:space="0" w:color="auto"/>
            </w:tcBorders>
            <w:shd w:val="clear" w:color="auto" w:fill="auto"/>
            <w:tcMar>
              <w:top w:w="0" w:type="dxa"/>
              <w:left w:w="108" w:type="dxa"/>
              <w:bottom w:w="0" w:type="dxa"/>
              <w:right w:w="108" w:type="dxa"/>
            </w:tcMar>
            <w:hideMark/>
          </w:tcPr>
          <w:p w14:paraId="7732F189" w14:textId="77777777" w:rsidR="00662973" w:rsidRPr="00780230" w:rsidRDefault="00662973" w:rsidP="00134E1E">
            <w:pPr>
              <w:rPr>
                <w:sz w:val="20"/>
                <w:lang w:eastAsia="en-AU"/>
              </w:rPr>
            </w:pPr>
            <w:r w:rsidRPr="00780230">
              <w:rPr>
                <w:sz w:val="20"/>
                <w:lang w:eastAsia="en-AU"/>
              </w:rPr>
              <w:t>Per cent of approvals issued within 7 days of final application</w:t>
            </w:r>
          </w:p>
        </w:tc>
        <w:tc>
          <w:tcPr>
            <w:tcW w:w="2414" w:type="dxa"/>
            <w:tcBorders>
              <w:bottom w:val="single" w:sz="4" w:space="0" w:color="auto"/>
            </w:tcBorders>
            <w:shd w:val="clear" w:color="auto" w:fill="auto"/>
            <w:tcMar>
              <w:top w:w="0" w:type="dxa"/>
              <w:left w:w="108" w:type="dxa"/>
              <w:bottom w:w="0" w:type="dxa"/>
              <w:right w:w="108" w:type="dxa"/>
            </w:tcMar>
            <w:hideMark/>
          </w:tcPr>
          <w:p w14:paraId="78690D2D" w14:textId="77777777" w:rsidR="00662973" w:rsidRPr="00780230" w:rsidRDefault="00662973" w:rsidP="00134E1E">
            <w:pPr>
              <w:jc w:val="center"/>
              <w:rPr>
                <w:sz w:val="20"/>
                <w:lang w:eastAsia="en-AU"/>
              </w:rPr>
            </w:pPr>
            <w:r w:rsidRPr="00780230">
              <w:rPr>
                <w:sz w:val="20"/>
                <w:lang w:eastAsia="en-AU"/>
              </w:rPr>
              <w:t>97%</w:t>
            </w:r>
          </w:p>
        </w:tc>
      </w:tr>
      <w:tr w:rsidR="00662973" w:rsidRPr="00384576" w14:paraId="696CB892" w14:textId="77777777" w:rsidTr="00134E1E">
        <w:tc>
          <w:tcPr>
            <w:tcW w:w="7225" w:type="dxa"/>
            <w:tcBorders>
              <w:top w:val="single" w:sz="4" w:space="0" w:color="auto"/>
            </w:tcBorders>
            <w:shd w:val="clear" w:color="auto" w:fill="auto"/>
            <w:tcMar>
              <w:top w:w="0" w:type="dxa"/>
              <w:left w:w="108" w:type="dxa"/>
              <w:bottom w:w="0" w:type="dxa"/>
              <w:right w:w="108" w:type="dxa"/>
            </w:tcMar>
            <w:hideMark/>
          </w:tcPr>
          <w:p w14:paraId="2B00B4B2" w14:textId="289FAEB8" w:rsidR="00662973" w:rsidRPr="005B46E6" w:rsidRDefault="00662973" w:rsidP="00134E1E">
            <w:pPr>
              <w:rPr>
                <w:sz w:val="20"/>
                <w:lang w:eastAsia="en-AU"/>
              </w:rPr>
            </w:pPr>
            <w:r w:rsidRPr="005B46E6">
              <w:rPr>
                <w:sz w:val="20"/>
                <w:lang w:eastAsia="en-AU"/>
              </w:rPr>
              <w:t xml:space="preserve">Number of </w:t>
            </w:r>
            <w:r>
              <w:rPr>
                <w:sz w:val="20"/>
                <w:lang w:eastAsia="en-AU"/>
              </w:rPr>
              <w:t xml:space="preserve">Schedule 2 or 3 </w:t>
            </w:r>
            <w:r w:rsidRPr="005B46E6">
              <w:rPr>
                <w:sz w:val="20"/>
                <w:lang w:eastAsia="en-AU"/>
              </w:rPr>
              <w:t>chemical import permit applications processed</w:t>
            </w:r>
            <w:r w:rsidR="00974BD5">
              <w:rPr>
                <w:sz w:val="20"/>
                <w:lang w:eastAsia="en-AU"/>
              </w:rPr>
              <w:t>**</w:t>
            </w:r>
          </w:p>
        </w:tc>
        <w:tc>
          <w:tcPr>
            <w:tcW w:w="2414" w:type="dxa"/>
            <w:tcBorders>
              <w:top w:val="single" w:sz="4" w:space="0" w:color="auto"/>
            </w:tcBorders>
            <w:shd w:val="clear" w:color="auto" w:fill="auto"/>
            <w:tcMar>
              <w:top w:w="0" w:type="dxa"/>
              <w:left w:w="108" w:type="dxa"/>
              <w:bottom w:w="0" w:type="dxa"/>
              <w:right w:w="108" w:type="dxa"/>
            </w:tcMar>
            <w:hideMark/>
          </w:tcPr>
          <w:p w14:paraId="5520E136" w14:textId="77777777" w:rsidR="00662973" w:rsidRPr="005B46E6" w:rsidRDefault="00662973" w:rsidP="00134E1E">
            <w:pPr>
              <w:jc w:val="center"/>
              <w:rPr>
                <w:color w:val="auto"/>
                <w:sz w:val="20"/>
                <w:lang w:eastAsia="en-AU"/>
              </w:rPr>
            </w:pPr>
            <w:r>
              <w:rPr>
                <w:color w:val="auto"/>
                <w:sz w:val="20"/>
                <w:lang w:eastAsia="en-AU"/>
              </w:rPr>
              <w:t>63</w:t>
            </w:r>
          </w:p>
        </w:tc>
      </w:tr>
      <w:tr w:rsidR="00662973" w:rsidRPr="00384576" w14:paraId="51455742" w14:textId="77777777" w:rsidTr="00134E1E">
        <w:tc>
          <w:tcPr>
            <w:tcW w:w="7225" w:type="dxa"/>
            <w:shd w:val="clear" w:color="auto" w:fill="auto"/>
            <w:tcMar>
              <w:top w:w="0" w:type="dxa"/>
              <w:left w:w="108" w:type="dxa"/>
              <w:bottom w:w="0" w:type="dxa"/>
              <w:right w:w="108" w:type="dxa"/>
            </w:tcMar>
            <w:hideMark/>
          </w:tcPr>
          <w:p w14:paraId="0AF19EB8" w14:textId="77777777" w:rsidR="00662973" w:rsidRPr="005B46E6" w:rsidRDefault="00662973" w:rsidP="00134E1E">
            <w:pPr>
              <w:rPr>
                <w:sz w:val="20"/>
                <w:lang w:eastAsia="en-AU"/>
              </w:rPr>
            </w:pPr>
            <w:r w:rsidRPr="005B46E6">
              <w:rPr>
                <w:sz w:val="20"/>
                <w:lang w:eastAsia="en-AU"/>
              </w:rPr>
              <w:t xml:space="preserve">Average number of calendar days </w:t>
            </w:r>
          </w:p>
        </w:tc>
        <w:tc>
          <w:tcPr>
            <w:tcW w:w="2414" w:type="dxa"/>
            <w:shd w:val="clear" w:color="auto" w:fill="auto"/>
            <w:tcMar>
              <w:top w:w="0" w:type="dxa"/>
              <w:left w:w="108" w:type="dxa"/>
              <w:bottom w:w="0" w:type="dxa"/>
              <w:right w:w="108" w:type="dxa"/>
            </w:tcMar>
            <w:hideMark/>
          </w:tcPr>
          <w:p w14:paraId="7262BEF9" w14:textId="77777777" w:rsidR="00662973" w:rsidRPr="005B46E6" w:rsidRDefault="00662973" w:rsidP="00134E1E">
            <w:pPr>
              <w:jc w:val="center"/>
              <w:rPr>
                <w:color w:val="auto"/>
                <w:sz w:val="20"/>
                <w:lang w:eastAsia="en-AU"/>
              </w:rPr>
            </w:pPr>
            <w:r w:rsidRPr="005B46E6">
              <w:rPr>
                <w:color w:val="auto"/>
                <w:sz w:val="20"/>
                <w:lang w:eastAsia="en-AU"/>
              </w:rPr>
              <w:t>2 days</w:t>
            </w:r>
          </w:p>
        </w:tc>
      </w:tr>
      <w:tr w:rsidR="00662973" w:rsidRPr="00384576" w14:paraId="7A2FE08F" w14:textId="77777777" w:rsidTr="00134E1E">
        <w:tc>
          <w:tcPr>
            <w:tcW w:w="7225" w:type="dxa"/>
            <w:tcBorders>
              <w:bottom w:val="single" w:sz="4" w:space="0" w:color="auto"/>
            </w:tcBorders>
            <w:shd w:val="clear" w:color="auto" w:fill="auto"/>
            <w:tcMar>
              <w:top w:w="0" w:type="dxa"/>
              <w:left w:w="108" w:type="dxa"/>
              <w:bottom w:w="0" w:type="dxa"/>
              <w:right w:w="108" w:type="dxa"/>
            </w:tcMar>
            <w:hideMark/>
          </w:tcPr>
          <w:p w14:paraId="6C31621B" w14:textId="77777777" w:rsidR="00662973" w:rsidRPr="005B46E6" w:rsidRDefault="00662973" w:rsidP="00134E1E">
            <w:pPr>
              <w:rPr>
                <w:sz w:val="20"/>
                <w:lang w:eastAsia="en-AU"/>
              </w:rPr>
            </w:pPr>
            <w:r w:rsidRPr="005B46E6">
              <w:rPr>
                <w:sz w:val="20"/>
                <w:lang w:eastAsia="en-AU"/>
              </w:rPr>
              <w:t>Per cent of import permits issued within 7 days of final application</w:t>
            </w:r>
          </w:p>
        </w:tc>
        <w:tc>
          <w:tcPr>
            <w:tcW w:w="2414" w:type="dxa"/>
            <w:tcBorders>
              <w:bottom w:val="single" w:sz="4" w:space="0" w:color="auto"/>
            </w:tcBorders>
            <w:shd w:val="clear" w:color="auto" w:fill="auto"/>
            <w:tcMar>
              <w:top w:w="0" w:type="dxa"/>
              <w:left w:w="108" w:type="dxa"/>
              <w:bottom w:w="0" w:type="dxa"/>
              <w:right w:w="108" w:type="dxa"/>
            </w:tcMar>
            <w:hideMark/>
          </w:tcPr>
          <w:p w14:paraId="3D8D8B90" w14:textId="77777777" w:rsidR="00662973" w:rsidRPr="005B46E6" w:rsidRDefault="00662973" w:rsidP="00134E1E">
            <w:pPr>
              <w:jc w:val="center"/>
              <w:rPr>
                <w:color w:val="auto"/>
                <w:sz w:val="20"/>
                <w:lang w:eastAsia="en-AU"/>
              </w:rPr>
            </w:pPr>
            <w:r w:rsidRPr="005B46E6">
              <w:rPr>
                <w:color w:val="auto"/>
                <w:sz w:val="20"/>
                <w:lang w:eastAsia="en-AU"/>
              </w:rPr>
              <w:t>98%</w:t>
            </w:r>
          </w:p>
        </w:tc>
      </w:tr>
      <w:tr w:rsidR="00662973" w:rsidRPr="00384576" w14:paraId="4B79730A" w14:textId="77777777" w:rsidTr="00134E1E">
        <w:tc>
          <w:tcPr>
            <w:tcW w:w="7225" w:type="dxa"/>
            <w:tcBorders>
              <w:top w:val="single" w:sz="4" w:space="0" w:color="auto"/>
            </w:tcBorders>
            <w:shd w:val="clear" w:color="auto" w:fill="auto"/>
            <w:tcMar>
              <w:top w:w="0" w:type="dxa"/>
              <w:left w:w="108" w:type="dxa"/>
              <w:bottom w:w="0" w:type="dxa"/>
              <w:right w:w="108" w:type="dxa"/>
            </w:tcMar>
          </w:tcPr>
          <w:p w14:paraId="19C6D892" w14:textId="3FD2B3A2" w:rsidR="00662973" w:rsidRPr="00121971" w:rsidRDefault="00662973" w:rsidP="00134E1E">
            <w:pPr>
              <w:rPr>
                <w:sz w:val="20"/>
                <w:lang w:eastAsia="en-AU"/>
              </w:rPr>
            </w:pPr>
            <w:r w:rsidRPr="00121971">
              <w:rPr>
                <w:sz w:val="20"/>
                <w:lang w:eastAsia="en-AU"/>
              </w:rPr>
              <w:t>Number of chemical facility permit applications processed</w:t>
            </w:r>
            <w:r w:rsidR="00974BD5">
              <w:rPr>
                <w:sz w:val="20"/>
                <w:lang w:eastAsia="en-AU"/>
              </w:rPr>
              <w:t>***</w:t>
            </w:r>
          </w:p>
        </w:tc>
        <w:tc>
          <w:tcPr>
            <w:tcW w:w="2414" w:type="dxa"/>
            <w:tcBorders>
              <w:top w:val="single" w:sz="4" w:space="0" w:color="auto"/>
            </w:tcBorders>
            <w:shd w:val="clear" w:color="auto" w:fill="auto"/>
            <w:tcMar>
              <w:top w:w="0" w:type="dxa"/>
              <w:left w:w="108" w:type="dxa"/>
              <w:bottom w:w="0" w:type="dxa"/>
              <w:right w:w="108" w:type="dxa"/>
            </w:tcMar>
          </w:tcPr>
          <w:p w14:paraId="7C6F0E03" w14:textId="77777777" w:rsidR="00662973" w:rsidRPr="00121971" w:rsidRDefault="00662973" w:rsidP="00134E1E">
            <w:pPr>
              <w:jc w:val="center"/>
              <w:rPr>
                <w:color w:val="auto"/>
                <w:sz w:val="20"/>
                <w:lang w:eastAsia="en-AU"/>
              </w:rPr>
            </w:pPr>
            <w:r w:rsidRPr="00121971">
              <w:rPr>
                <w:color w:val="auto"/>
                <w:sz w:val="20"/>
                <w:lang w:eastAsia="en-AU"/>
              </w:rPr>
              <w:t>10</w:t>
            </w:r>
          </w:p>
        </w:tc>
      </w:tr>
      <w:tr w:rsidR="00662973" w:rsidRPr="00384576" w14:paraId="78A4499F" w14:textId="77777777" w:rsidTr="00134E1E">
        <w:tc>
          <w:tcPr>
            <w:tcW w:w="7225" w:type="dxa"/>
            <w:shd w:val="clear" w:color="auto" w:fill="auto"/>
            <w:tcMar>
              <w:top w:w="0" w:type="dxa"/>
              <w:left w:w="108" w:type="dxa"/>
              <w:bottom w:w="0" w:type="dxa"/>
              <w:right w:w="108" w:type="dxa"/>
            </w:tcMar>
          </w:tcPr>
          <w:p w14:paraId="0D3F1A7B" w14:textId="77777777" w:rsidR="00662973" w:rsidRPr="00121971" w:rsidRDefault="00662973" w:rsidP="00134E1E">
            <w:pPr>
              <w:rPr>
                <w:sz w:val="20"/>
                <w:lang w:eastAsia="en-AU"/>
              </w:rPr>
            </w:pPr>
            <w:r w:rsidRPr="00121971">
              <w:rPr>
                <w:sz w:val="20"/>
                <w:lang w:eastAsia="en-AU"/>
              </w:rPr>
              <w:t xml:space="preserve">Average number of calendar days </w:t>
            </w:r>
          </w:p>
        </w:tc>
        <w:tc>
          <w:tcPr>
            <w:tcW w:w="2414" w:type="dxa"/>
            <w:shd w:val="clear" w:color="auto" w:fill="auto"/>
            <w:tcMar>
              <w:top w:w="0" w:type="dxa"/>
              <w:left w:w="108" w:type="dxa"/>
              <w:bottom w:w="0" w:type="dxa"/>
              <w:right w:w="108" w:type="dxa"/>
            </w:tcMar>
          </w:tcPr>
          <w:p w14:paraId="48E79DFA" w14:textId="77777777" w:rsidR="00662973" w:rsidRPr="00121971" w:rsidRDefault="00662973" w:rsidP="00134E1E">
            <w:pPr>
              <w:jc w:val="center"/>
              <w:rPr>
                <w:color w:val="auto"/>
                <w:sz w:val="20"/>
                <w:lang w:eastAsia="en-AU"/>
              </w:rPr>
            </w:pPr>
            <w:r w:rsidRPr="00121971">
              <w:rPr>
                <w:color w:val="auto"/>
                <w:sz w:val="20"/>
                <w:lang w:eastAsia="en-AU"/>
              </w:rPr>
              <w:t>4 days</w:t>
            </w:r>
          </w:p>
        </w:tc>
      </w:tr>
      <w:tr w:rsidR="00662973" w:rsidRPr="00384576" w14:paraId="27EEF883" w14:textId="77777777" w:rsidTr="00134E1E">
        <w:tc>
          <w:tcPr>
            <w:tcW w:w="7225" w:type="dxa"/>
            <w:tcBorders>
              <w:bottom w:val="single" w:sz="4" w:space="0" w:color="auto"/>
            </w:tcBorders>
            <w:shd w:val="clear" w:color="auto" w:fill="auto"/>
            <w:tcMar>
              <w:top w:w="0" w:type="dxa"/>
              <w:left w:w="108" w:type="dxa"/>
              <w:bottom w:w="0" w:type="dxa"/>
              <w:right w:w="108" w:type="dxa"/>
            </w:tcMar>
          </w:tcPr>
          <w:p w14:paraId="51A955BE" w14:textId="77777777" w:rsidR="00662973" w:rsidRPr="00121971" w:rsidRDefault="00662973" w:rsidP="00134E1E">
            <w:pPr>
              <w:rPr>
                <w:sz w:val="20"/>
                <w:lang w:eastAsia="en-AU"/>
              </w:rPr>
            </w:pPr>
            <w:r w:rsidRPr="00121971">
              <w:rPr>
                <w:sz w:val="20"/>
                <w:lang w:eastAsia="en-AU"/>
              </w:rPr>
              <w:t>Per cent of facility permits issued within 21 days of final application</w:t>
            </w:r>
          </w:p>
        </w:tc>
        <w:tc>
          <w:tcPr>
            <w:tcW w:w="2414" w:type="dxa"/>
            <w:tcBorders>
              <w:bottom w:val="single" w:sz="4" w:space="0" w:color="auto"/>
            </w:tcBorders>
            <w:shd w:val="clear" w:color="auto" w:fill="auto"/>
            <w:tcMar>
              <w:top w:w="0" w:type="dxa"/>
              <w:left w:w="108" w:type="dxa"/>
              <w:bottom w:w="0" w:type="dxa"/>
              <w:right w:w="108" w:type="dxa"/>
            </w:tcMar>
          </w:tcPr>
          <w:p w14:paraId="684B32F6" w14:textId="77777777" w:rsidR="00662973" w:rsidRPr="00121971" w:rsidRDefault="00662973" w:rsidP="00134E1E">
            <w:pPr>
              <w:jc w:val="center"/>
              <w:rPr>
                <w:color w:val="auto"/>
                <w:sz w:val="20"/>
                <w:lang w:eastAsia="en-AU"/>
              </w:rPr>
            </w:pPr>
            <w:r w:rsidRPr="00121971">
              <w:rPr>
                <w:color w:val="auto"/>
                <w:sz w:val="20"/>
                <w:lang w:eastAsia="en-AU"/>
              </w:rPr>
              <w:t>100%</w:t>
            </w:r>
          </w:p>
        </w:tc>
      </w:tr>
      <w:tr w:rsidR="00662973" w:rsidRPr="00384576" w14:paraId="689349F4" w14:textId="77777777" w:rsidTr="00134E1E">
        <w:tc>
          <w:tcPr>
            <w:tcW w:w="9639" w:type="dxa"/>
            <w:gridSpan w:val="2"/>
            <w:tcBorders>
              <w:top w:val="single" w:sz="4" w:space="0" w:color="auto"/>
              <w:bottom w:val="single" w:sz="4" w:space="0" w:color="auto"/>
            </w:tcBorders>
            <w:shd w:val="clear" w:color="auto" w:fill="auto"/>
            <w:tcMar>
              <w:top w:w="0" w:type="dxa"/>
              <w:left w:w="108" w:type="dxa"/>
              <w:bottom w:w="0" w:type="dxa"/>
              <w:right w:w="108" w:type="dxa"/>
            </w:tcMar>
          </w:tcPr>
          <w:p w14:paraId="15C077B5" w14:textId="56E301CC" w:rsidR="00662973" w:rsidRDefault="00974BD5" w:rsidP="00134E1E">
            <w:pPr>
              <w:spacing w:before="0" w:after="0" w:line="240" w:lineRule="auto"/>
              <w:rPr>
                <w:rFonts w:asciiTheme="majorHAnsi" w:hAnsiTheme="majorHAnsi"/>
                <w:sz w:val="18"/>
                <w:szCs w:val="18"/>
              </w:rPr>
            </w:pPr>
            <w:r>
              <w:rPr>
                <w:rFonts w:asciiTheme="majorHAnsi" w:hAnsiTheme="majorHAnsi"/>
                <w:sz w:val="18"/>
                <w:szCs w:val="18"/>
              </w:rPr>
              <w:t>*</w:t>
            </w:r>
            <w:r w:rsidR="00662973" w:rsidRPr="005B46E6">
              <w:rPr>
                <w:rFonts w:asciiTheme="majorHAnsi" w:hAnsiTheme="majorHAnsi"/>
                <w:sz w:val="18"/>
                <w:szCs w:val="18"/>
              </w:rPr>
              <w:t xml:space="preserve"> Includes granting new permits and permit variations during the reporting period. It does not include three permits that were revoked (without prejudice) and four permits that expired and </w:t>
            </w:r>
            <w:r w:rsidR="00662973">
              <w:rPr>
                <w:rFonts w:asciiTheme="majorHAnsi" w:hAnsiTheme="majorHAnsi"/>
                <w:sz w:val="18"/>
                <w:szCs w:val="18"/>
              </w:rPr>
              <w:t xml:space="preserve">were </w:t>
            </w:r>
            <w:r w:rsidR="00662973" w:rsidRPr="005B46E6">
              <w:rPr>
                <w:rFonts w:asciiTheme="majorHAnsi" w:hAnsiTheme="majorHAnsi"/>
                <w:sz w:val="18"/>
                <w:szCs w:val="18"/>
              </w:rPr>
              <w:t>not renewed</w:t>
            </w:r>
            <w:r w:rsidR="00662973">
              <w:rPr>
                <w:rFonts w:asciiTheme="majorHAnsi" w:hAnsiTheme="majorHAnsi"/>
                <w:sz w:val="18"/>
                <w:szCs w:val="18"/>
              </w:rPr>
              <w:t xml:space="preserve"> (as they were no longer required)</w:t>
            </w:r>
            <w:r w:rsidR="00662973" w:rsidRPr="005B46E6">
              <w:rPr>
                <w:rFonts w:asciiTheme="majorHAnsi" w:hAnsiTheme="majorHAnsi"/>
                <w:sz w:val="18"/>
                <w:szCs w:val="18"/>
              </w:rPr>
              <w:t xml:space="preserve">. </w:t>
            </w:r>
          </w:p>
          <w:p w14:paraId="13BD247D" w14:textId="0A52753D" w:rsidR="00662973" w:rsidRDefault="00974BD5" w:rsidP="00134E1E">
            <w:pPr>
              <w:spacing w:before="0" w:after="0" w:line="240" w:lineRule="auto"/>
              <w:rPr>
                <w:rFonts w:asciiTheme="majorHAnsi" w:hAnsiTheme="majorHAnsi"/>
                <w:sz w:val="18"/>
                <w:szCs w:val="18"/>
              </w:rPr>
            </w:pPr>
            <w:r>
              <w:rPr>
                <w:rFonts w:asciiTheme="majorHAnsi" w:hAnsiTheme="majorHAnsi"/>
                <w:sz w:val="18"/>
                <w:szCs w:val="18"/>
              </w:rPr>
              <w:t>**</w:t>
            </w:r>
            <w:r w:rsidR="00662973">
              <w:rPr>
                <w:rFonts w:asciiTheme="majorHAnsi" w:hAnsiTheme="majorHAnsi"/>
                <w:sz w:val="18"/>
                <w:szCs w:val="18"/>
              </w:rPr>
              <w:t xml:space="preserve"> This does not include: </w:t>
            </w:r>
          </w:p>
          <w:p w14:paraId="5A2D78B2" w14:textId="77777777" w:rsidR="00662973" w:rsidRPr="009F038F" w:rsidRDefault="00662973" w:rsidP="00134E1E">
            <w:pPr>
              <w:pStyle w:val="ListParagraph"/>
              <w:numPr>
                <w:ilvl w:val="0"/>
                <w:numId w:val="50"/>
              </w:numPr>
              <w:spacing w:before="0" w:after="0" w:line="240" w:lineRule="auto"/>
              <w:rPr>
                <w:rFonts w:asciiTheme="majorHAnsi" w:hAnsiTheme="majorHAnsi"/>
                <w:sz w:val="18"/>
                <w:szCs w:val="18"/>
              </w:rPr>
            </w:pPr>
            <w:r>
              <w:rPr>
                <w:rFonts w:asciiTheme="majorHAnsi" w:hAnsiTheme="majorHAnsi"/>
                <w:sz w:val="18"/>
                <w:szCs w:val="18"/>
              </w:rPr>
              <w:t>9</w:t>
            </w:r>
            <w:r w:rsidRPr="009F038F">
              <w:rPr>
                <w:rFonts w:asciiTheme="majorHAnsi" w:hAnsiTheme="majorHAnsi"/>
                <w:sz w:val="18"/>
                <w:szCs w:val="18"/>
              </w:rPr>
              <w:t xml:space="preserve"> companies that</w:t>
            </w:r>
            <w:r>
              <w:rPr>
                <w:rFonts w:asciiTheme="majorHAnsi" w:hAnsiTheme="majorHAnsi"/>
                <w:sz w:val="18"/>
                <w:szCs w:val="18"/>
              </w:rPr>
              <w:t xml:space="preserve"> realised, in discussions with ASNO, that they no longer </w:t>
            </w:r>
            <w:r w:rsidRPr="009F038F">
              <w:rPr>
                <w:rFonts w:asciiTheme="majorHAnsi" w:hAnsiTheme="majorHAnsi"/>
                <w:sz w:val="18"/>
                <w:szCs w:val="18"/>
              </w:rPr>
              <w:t>require</w:t>
            </w:r>
            <w:r>
              <w:rPr>
                <w:rFonts w:asciiTheme="majorHAnsi" w:hAnsiTheme="majorHAnsi"/>
                <w:sz w:val="18"/>
                <w:szCs w:val="18"/>
              </w:rPr>
              <w:t>d</w:t>
            </w:r>
            <w:r w:rsidRPr="009F038F">
              <w:rPr>
                <w:rFonts w:asciiTheme="majorHAnsi" w:hAnsiTheme="majorHAnsi"/>
                <w:sz w:val="18"/>
                <w:szCs w:val="18"/>
              </w:rPr>
              <w:t xml:space="preserve"> a</w:t>
            </w:r>
            <w:r>
              <w:rPr>
                <w:rFonts w:asciiTheme="majorHAnsi" w:hAnsiTheme="majorHAnsi"/>
                <w:sz w:val="18"/>
                <w:szCs w:val="18"/>
              </w:rPr>
              <w:t>n</w:t>
            </w:r>
            <w:r w:rsidRPr="009F038F">
              <w:rPr>
                <w:rFonts w:asciiTheme="majorHAnsi" w:hAnsiTheme="majorHAnsi"/>
                <w:sz w:val="18"/>
                <w:szCs w:val="18"/>
              </w:rPr>
              <w:t xml:space="preserve"> import permit</w:t>
            </w:r>
            <w:r>
              <w:rPr>
                <w:rFonts w:asciiTheme="majorHAnsi" w:hAnsiTheme="majorHAnsi"/>
                <w:sz w:val="18"/>
                <w:szCs w:val="18"/>
              </w:rPr>
              <w:t>.</w:t>
            </w:r>
          </w:p>
          <w:p w14:paraId="1D7C21BA" w14:textId="092B78B0" w:rsidR="00662973" w:rsidRPr="005B46E6" w:rsidRDefault="00824616" w:rsidP="00134E1E">
            <w:pPr>
              <w:spacing w:before="0" w:after="0" w:line="240" w:lineRule="auto"/>
              <w:rPr>
                <w:rFonts w:asciiTheme="majorHAnsi" w:hAnsiTheme="majorHAnsi"/>
                <w:sz w:val="18"/>
                <w:szCs w:val="18"/>
              </w:rPr>
            </w:pPr>
            <w:r>
              <w:rPr>
                <w:rFonts w:asciiTheme="majorHAnsi" w:hAnsiTheme="majorHAnsi"/>
                <w:sz w:val="18"/>
                <w:szCs w:val="18"/>
              </w:rPr>
              <w:t>***</w:t>
            </w:r>
            <w:r w:rsidR="00662973">
              <w:rPr>
                <w:rFonts w:asciiTheme="majorHAnsi" w:hAnsiTheme="majorHAnsi"/>
                <w:sz w:val="18"/>
                <w:szCs w:val="18"/>
                <w:vertAlign w:val="superscript"/>
              </w:rPr>
              <w:t xml:space="preserve"> </w:t>
            </w:r>
            <w:r w:rsidR="00662973" w:rsidRPr="005B46E6">
              <w:rPr>
                <w:rFonts w:asciiTheme="majorHAnsi" w:hAnsiTheme="majorHAnsi"/>
                <w:sz w:val="18"/>
                <w:szCs w:val="18"/>
              </w:rPr>
              <w:t>This does not include:</w:t>
            </w:r>
          </w:p>
          <w:p w14:paraId="3E26A6F9" w14:textId="77777777" w:rsidR="00662973" w:rsidRPr="009F038F" w:rsidRDefault="00662973" w:rsidP="00134E1E">
            <w:pPr>
              <w:pStyle w:val="ListParagraph"/>
              <w:numPr>
                <w:ilvl w:val="0"/>
                <w:numId w:val="44"/>
              </w:numPr>
              <w:spacing w:before="0" w:after="0" w:line="240" w:lineRule="auto"/>
              <w:rPr>
                <w:rFonts w:asciiTheme="majorHAnsi" w:hAnsiTheme="majorHAnsi"/>
                <w:sz w:val="18"/>
                <w:szCs w:val="18"/>
              </w:rPr>
            </w:pPr>
            <w:r w:rsidRPr="000B002E">
              <w:rPr>
                <w:rFonts w:asciiTheme="majorHAnsi" w:hAnsiTheme="majorHAnsi"/>
                <w:sz w:val="18"/>
                <w:szCs w:val="18"/>
              </w:rPr>
              <w:t>2 companies that ceased to require a facility permit,</w:t>
            </w:r>
            <w:r w:rsidRPr="009F038F">
              <w:rPr>
                <w:rFonts w:asciiTheme="majorHAnsi" w:hAnsiTheme="majorHAnsi"/>
                <w:sz w:val="18"/>
                <w:szCs w:val="18"/>
              </w:rPr>
              <w:t xml:space="preserve"> or </w:t>
            </w:r>
          </w:p>
          <w:p w14:paraId="6BE08675" w14:textId="78145CF5" w:rsidR="00662973" w:rsidRPr="00D431B1" w:rsidRDefault="00662973" w:rsidP="00134E1E">
            <w:pPr>
              <w:pStyle w:val="ListParagraph"/>
              <w:numPr>
                <w:ilvl w:val="0"/>
                <w:numId w:val="44"/>
              </w:numPr>
              <w:spacing w:before="0" w:after="0" w:line="240" w:lineRule="auto"/>
              <w:rPr>
                <w:rFonts w:asciiTheme="majorHAnsi" w:hAnsiTheme="majorHAnsi"/>
                <w:sz w:val="18"/>
                <w:szCs w:val="18"/>
              </w:rPr>
            </w:pPr>
            <w:r w:rsidRPr="005B46E6">
              <w:rPr>
                <w:rFonts w:asciiTheme="majorHAnsi" w:hAnsiTheme="majorHAnsi"/>
                <w:sz w:val="18"/>
                <w:szCs w:val="18"/>
              </w:rPr>
              <w:t>regulated chemical facilities that do not need a facility permit</w:t>
            </w:r>
            <w:r w:rsidR="00122134">
              <w:rPr>
                <w:rFonts w:asciiTheme="majorHAnsi" w:hAnsiTheme="majorHAnsi"/>
                <w:sz w:val="18"/>
                <w:szCs w:val="18"/>
              </w:rPr>
              <w:t>,</w:t>
            </w:r>
            <w:r w:rsidRPr="005B46E6">
              <w:rPr>
                <w:rFonts w:asciiTheme="majorHAnsi" w:hAnsiTheme="majorHAnsi"/>
                <w:sz w:val="18"/>
                <w:szCs w:val="18"/>
              </w:rPr>
              <w:t xml:space="preserve"> but are required to notify ASNO of the production of certain chemicals. The OPCW may nominate to inspect such a facility.</w:t>
            </w:r>
            <w:r>
              <w:rPr>
                <w:rFonts w:asciiTheme="majorHAnsi" w:hAnsiTheme="majorHAnsi"/>
                <w:sz w:val="18"/>
                <w:szCs w:val="18"/>
              </w:rPr>
              <w:t xml:space="preserve"> </w:t>
            </w:r>
          </w:p>
          <w:p w14:paraId="1F9314D7" w14:textId="77777777" w:rsidR="00662973" w:rsidRPr="0089730E" w:rsidRDefault="00662973" w:rsidP="00134E1E">
            <w:pPr>
              <w:spacing w:before="0" w:after="0" w:line="240" w:lineRule="auto"/>
              <w:rPr>
                <w:rFonts w:asciiTheme="majorHAnsi" w:hAnsiTheme="majorHAnsi"/>
                <w:sz w:val="18"/>
                <w:szCs w:val="18"/>
              </w:rPr>
            </w:pPr>
          </w:p>
        </w:tc>
      </w:tr>
    </w:tbl>
    <w:p w14:paraId="131563A4" w14:textId="0A3ADF75" w:rsidR="00662973" w:rsidRPr="00662973" w:rsidRDefault="00662973" w:rsidP="00662973">
      <w:pPr>
        <w:pStyle w:val="BodyText"/>
        <w:spacing w:before="0" w:after="0" w:line="240" w:lineRule="auto"/>
        <w:rPr>
          <w:sz w:val="16"/>
          <w:szCs w:val="16"/>
        </w:rPr>
      </w:pPr>
    </w:p>
    <w:p w14:paraId="34120C40" w14:textId="6188EB1F" w:rsidR="00DE062A" w:rsidRPr="00DE062A" w:rsidRDefault="00DE062A" w:rsidP="00DE062A">
      <w:pPr>
        <w:pBdr>
          <w:top w:val="single" w:sz="4" w:space="1" w:color="auto"/>
          <w:left w:val="single" w:sz="4" w:space="4" w:color="auto"/>
          <w:bottom w:val="single" w:sz="4" w:space="1" w:color="auto"/>
          <w:right w:val="single" w:sz="4" w:space="4" w:color="auto"/>
        </w:pBdr>
        <w:shd w:val="clear" w:color="auto" w:fill="B4F7FF" w:themeFill="accent6" w:themeFillTint="33"/>
        <w:rPr>
          <w:b/>
          <w:bCs/>
          <w:sz w:val="24"/>
          <w:szCs w:val="24"/>
        </w:rPr>
      </w:pPr>
      <w:r w:rsidRPr="00DE062A">
        <w:rPr>
          <w:b/>
          <w:bCs/>
          <w:sz w:val="24"/>
          <w:szCs w:val="24"/>
        </w:rPr>
        <w:lastRenderedPageBreak/>
        <w:t>KPI-</w:t>
      </w:r>
      <w:r>
        <w:rPr>
          <w:b/>
          <w:bCs/>
          <w:sz w:val="24"/>
          <w:szCs w:val="24"/>
        </w:rPr>
        <w:t>2</w:t>
      </w:r>
      <w:r w:rsidRPr="00DE062A">
        <w:rPr>
          <w:b/>
          <w:bCs/>
          <w:sz w:val="24"/>
          <w:szCs w:val="24"/>
        </w:rPr>
        <w:t>: Communication with regulated entities is clear, targeted and effective.</w:t>
      </w:r>
    </w:p>
    <w:p w14:paraId="6FF65DAC" w14:textId="4A7377F2" w:rsidR="00DE062A" w:rsidRPr="00DE062A" w:rsidRDefault="00DE062A" w:rsidP="00DE062A">
      <w:pPr>
        <w:rPr>
          <w:b/>
          <w:bCs/>
          <w:i/>
          <w:iCs/>
          <w:sz w:val="24"/>
          <w:szCs w:val="24"/>
        </w:rPr>
      </w:pPr>
      <w:r w:rsidRPr="00DE062A">
        <w:rPr>
          <w:b/>
          <w:bCs/>
          <w:i/>
          <w:iCs/>
          <w:sz w:val="24"/>
          <w:szCs w:val="24"/>
        </w:rPr>
        <w:t xml:space="preserve">Metric </w:t>
      </w:r>
      <w:r>
        <w:rPr>
          <w:b/>
          <w:bCs/>
          <w:i/>
          <w:iCs/>
          <w:sz w:val="24"/>
          <w:szCs w:val="24"/>
        </w:rPr>
        <w:t>2</w:t>
      </w:r>
      <w:r w:rsidRPr="00DE062A">
        <w:rPr>
          <w:b/>
          <w:bCs/>
          <w:i/>
          <w:iCs/>
          <w:sz w:val="24"/>
          <w:szCs w:val="24"/>
        </w:rPr>
        <w:t>: Regulations and permit conditions are reviewed for clarity and suitability.</w:t>
      </w:r>
    </w:p>
    <w:p w14:paraId="1B3D6E12" w14:textId="395A3E8A" w:rsidR="00111E7D" w:rsidRDefault="00111E7D" w:rsidP="00B24679">
      <w:r>
        <w:rPr>
          <w:rFonts w:cstheme="minorHAnsi"/>
        </w:rPr>
        <w:t>In order to ensure ASNO</w:t>
      </w:r>
      <w:r w:rsidR="005815F8">
        <w:rPr>
          <w:rFonts w:cstheme="minorHAnsi"/>
        </w:rPr>
        <w:t>’</w:t>
      </w:r>
      <w:r>
        <w:rPr>
          <w:rFonts w:cstheme="minorHAnsi"/>
        </w:rPr>
        <w:t xml:space="preserve">s regulations and permit conditions are clear, targeted and effective, </w:t>
      </w:r>
      <w:r w:rsidR="00C5169F">
        <w:rPr>
          <w:rFonts w:cstheme="minorHAnsi"/>
        </w:rPr>
        <w:t xml:space="preserve">ASNO </w:t>
      </w:r>
      <w:r w:rsidR="00B24679">
        <w:rPr>
          <w:rFonts w:cstheme="minorHAnsi"/>
        </w:rPr>
        <w:t xml:space="preserve">developed </w:t>
      </w:r>
      <w:r w:rsidR="00C070FE">
        <w:rPr>
          <w:rFonts w:cstheme="minorHAnsi"/>
        </w:rPr>
        <w:t xml:space="preserve">nuclear </w:t>
      </w:r>
      <w:r w:rsidR="00B24679">
        <w:rPr>
          <w:rFonts w:cstheme="minorHAnsi"/>
        </w:rPr>
        <w:t>permit</w:t>
      </w:r>
      <w:r w:rsidR="00C070FE">
        <w:rPr>
          <w:rFonts w:cstheme="minorHAnsi"/>
        </w:rPr>
        <w:t xml:space="preserve"> template</w:t>
      </w:r>
      <w:r w:rsidR="00B24679">
        <w:rPr>
          <w:rFonts w:cstheme="minorHAnsi"/>
        </w:rPr>
        <w:t>s and compliance codes tailored</w:t>
      </w:r>
      <w:r w:rsidR="00896665">
        <w:rPr>
          <w:rFonts w:cstheme="minorHAnsi"/>
        </w:rPr>
        <w:t xml:space="preserve"> for</w:t>
      </w:r>
      <w:r w:rsidR="00B24679">
        <w:rPr>
          <w:rFonts w:cstheme="minorHAnsi"/>
        </w:rPr>
        <w:t xml:space="preserve"> various user-types, </w:t>
      </w:r>
      <w:r w:rsidR="00896665">
        <w:rPr>
          <w:rFonts w:cstheme="minorHAnsi"/>
        </w:rPr>
        <w:t xml:space="preserve">grouping together users that </w:t>
      </w:r>
      <w:r w:rsidR="00435946">
        <w:rPr>
          <w:rFonts w:cstheme="minorHAnsi"/>
        </w:rPr>
        <w:t>hold similar types and quantities of n</w:t>
      </w:r>
      <w:r w:rsidR="0096065C">
        <w:rPr>
          <w:rFonts w:cstheme="minorHAnsi"/>
        </w:rPr>
        <w:t>uclear material</w:t>
      </w:r>
      <w:r w:rsidR="00797A71">
        <w:rPr>
          <w:rFonts w:cstheme="minorHAnsi"/>
        </w:rPr>
        <w:t xml:space="preserve"> and there</w:t>
      </w:r>
      <w:r w:rsidR="007173AA">
        <w:rPr>
          <w:rFonts w:cstheme="minorHAnsi"/>
        </w:rPr>
        <w:t>fore</w:t>
      </w:r>
      <w:r w:rsidR="00797A71">
        <w:rPr>
          <w:rFonts w:cstheme="minorHAnsi"/>
        </w:rPr>
        <w:t xml:space="preserve"> represent similar safeguards and security risks</w:t>
      </w:r>
      <w:r w:rsidR="00464059">
        <w:rPr>
          <w:rStyle w:val="FootnoteReference"/>
          <w:rFonts w:cstheme="minorHAnsi"/>
        </w:rPr>
        <w:footnoteReference w:id="4"/>
      </w:r>
      <w:r w:rsidR="0096065C">
        <w:rPr>
          <w:rFonts w:cstheme="minorHAnsi"/>
        </w:rPr>
        <w:t>.</w:t>
      </w:r>
      <w:r w:rsidR="00816F67">
        <w:rPr>
          <w:rFonts w:cstheme="minorHAnsi"/>
        </w:rPr>
        <w:t xml:space="preserve"> </w:t>
      </w:r>
      <w:r w:rsidR="009972C2">
        <w:t>I</w:t>
      </w:r>
      <w:r w:rsidR="00C444AA">
        <w:t>n 2020</w:t>
      </w:r>
      <w:r w:rsidR="005A1987">
        <w:t>,</w:t>
      </w:r>
      <w:r w:rsidR="00C444AA">
        <w:t xml:space="preserve"> ASNO commenced </w:t>
      </w:r>
      <w:r w:rsidR="003C5E4B">
        <w:t>a</w:t>
      </w:r>
      <w:r w:rsidR="00C910FB" w:rsidRPr="00A55201">
        <w:t xml:space="preserve"> five-year cycle</w:t>
      </w:r>
      <w:r w:rsidR="004B11CF" w:rsidRPr="00A55201">
        <w:t xml:space="preserve"> </w:t>
      </w:r>
      <w:r>
        <w:t>to review</w:t>
      </w:r>
      <w:r w:rsidR="005815F8">
        <w:t xml:space="preserve"> permit templates</w:t>
      </w:r>
      <w:r>
        <w:t xml:space="preserve"> and compliance codes for clarity and suitability. </w:t>
      </w:r>
    </w:p>
    <w:p w14:paraId="43065F06" w14:textId="378190A8" w:rsidR="00EA0AE5" w:rsidRDefault="003C5E4B" w:rsidP="00B24679">
      <w:r>
        <w:t xml:space="preserve">During the reporting period ASNO </w:t>
      </w:r>
      <w:r w:rsidR="00950DBD">
        <w:t>complet</w:t>
      </w:r>
      <w:r>
        <w:t>ed</w:t>
      </w:r>
      <w:r w:rsidR="00950DBD">
        <w:t xml:space="preserve"> the </w:t>
      </w:r>
      <w:r w:rsidR="00C1099A">
        <w:t>review and</w:t>
      </w:r>
      <w:r w:rsidR="00C910FB" w:rsidRPr="00A55201">
        <w:t xml:space="preserve"> process</w:t>
      </w:r>
      <w:r>
        <w:t>ed the renewals</w:t>
      </w:r>
      <w:r w:rsidR="00950DBD">
        <w:t xml:space="preserve"> of</w:t>
      </w:r>
      <w:r w:rsidR="00C910FB" w:rsidRPr="00A55201">
        <w:t xml:space="preserve"> 43 Class-L permits </w:t>
      </w:r>
      <w:r w:rsidR="00CC78B0">
        <w:t>by</w:t>
      </w:r>
      <w:r w:rsidR="00725626">
        <w:t xml:space="preserve"> November </w:t>
      </w:r>
      <w:r w:rsidR="00006C50">
        <w:t>2020</w:t>
      </w:r>
      <w:r w:rsidR="000977E9">
        <w:t xml:space="preserve"> and </w:t>
      </w:r>
      <w:r w:rsidR="006707EB">
        <w:t xml:space="preserve">40 </w:t>
      </w:r>
      <w:r w:rsidR="00725626">
        <w:t>Class-</w:t>
      </w:r>
      <w:r w:rsidR="00B86B39">
        <w:t xml:space="preserve">R </w:t>
      </w:r>
      <w:r w:rsidR="00725626">
        <w:t>permits</w:t>
      </w:r>
      <w:r w:rsidR="00006C50">
        <w:t xml:space="preserve"> </w:t>
      </w:r>
      <w:r w:rsidR="006707EB">
        <w:t xml:space="preserve">by April </w:t>
      </w:r>
      <w:r w:rsidR="00006C50">
        <w:t>2021</w:t>
      </w:r>
      <w:r w:rsidR="00896665">
        <w:rPr>
          <w:rStyle w:val="FootnoteReference"/>
        </w:rPr>
        <w:footnoteReference w:id="5"/>
      </w:r>
      <w:r w:rsidR="00725626">
        <w:t>:</w:t>
      </w:r>
    </w:p>
    <w:p w14:paraId="56B9A555" w14:textId="16CF4203" w:rsidR="007471C5" w:rsidRDefault="001A1C09" w:rsidP="007471C5">
      <w:pPr>
        <w:pStyle w:val="ListParagraph"/>
        <w:numPr>
          <w:ilvl w:val="0"/>
          <w:numId w:val="47"/>
        </w:numPr>
      </w:pPr>
      <w:r>
        <w:t>Class</w:t>
      </w:r>
      <w:r w:rsidR="00B40037">
        <w:t>-L</w:t>
      </w:r>
      <w:r>
        <w:t xml:space="preserve"> Permits </w:t>
      </w:r>
      <w:r w:rsidR="00666E9F">
        <w:t>(</w:t>
      </w:r>
      <w:r w:rsidR="00666E9F" w:rsidRPr="001A1C09">
        <w:t>Locations Outside Facilities (LOF) Series</w:t>
      </w:r>
      <w:r w:rsidR="00426423">
        <w:t>)</w:t>
      </w:r>
      <w:r w:rsidR="00666E9F" w:rsidRPr="001A1C09">
        <w:t xml:space="preserve"> </w:t>
      </w:r>
      <w:r w:rsidR="00EE170B">
        <w:t xml:space="preserve">are </w:t>
      </w:r>
      <w:r w:rsidR="00CB42C2">
        <w:t>for entities</w:t>
      </w:r>
      <w:r w:rsidR="00EE170B">
        <w:t xml:space="preserve"> that hold small amounts of nuclear material </w:t>
      </w:r>
      <w:r w:rsidR="008725A0">
        <w:t>for n</w:t>
      </w:r>
      <w:r w:rsidRPr="001A1C09">
        <w:t>on-</w:t>
      </w:r>
      <w:r w:rsidR="008725A0">
        <w:t>f</w:t>
      </w:r>
      <w:r w:rsidRPr="001A1C09">
        <w:t>uel cycle education, research, training, calibration and storage</w:t>
      </w:r>
      <w:r w:rsidR="00513688">
        <w:t>.</w:t>
      </w:r>
      <w:r w:rsidR="00816F67">
        <w:t xml:space="preserve"> </w:t>
      </w:r>
    </w:p>
    <w:p w14:paraId="6947A082" w14:textId="6D42D89D" w:rsidR="00E75B6F" w:rsidRDefault="00E75B6F" w:rsidP="007471C5">
      <w:pPr>
        <w:pStyle w:val="ListParagraph"/>
        <w:numPr>
          <w:ilvl w:val="0"/>
          <w:numId w:val="47"/>
        </w:numPr>
      </w:pPr>
      <w:r>
        <w:t>Class</w:t>
      </w:r>
      <w:r w:rsidR="00B40037">
        <w:t>-R</w:t>
      </w:r>
      <w:r>
        <w:t xml:space="preserve"> Permits (</w:t>
      </w:r>
      <w:r w:rsidR="00D646B9" w:rsidRPr="00D646B9">
        <w:t>Radiography Series</w:t>
      </w:r>
      <w:r w:rsidR="00006C50">
        <w:t>)</w:t>
      </w:r>
      <w:r w:rsidR="00292BDF">
        <w:t xml:space="preserve"> are </w:t>
      </w:r>
      <w:r w:rsidR="003C5E4B">
        <w:t xml:space="preserve">for </w:t>
      </w:r>
      <w:r w:rsidR="00D646B9" w:rsidRPr="00D646B9">
        <w:t>Industrial Radiography</w:t>
      </w:r>
      <w:r w:rsidR="003C5E4B">
        <w:t xml:space="preserve"> facilities</w:t>
      </w:r>
      <w:r w:rsidR="00D646B9" w:rsidRPr="00D646B9">
        <w:t xml:space="preserve"> </w:t>
      </w:r>
      <w:r w:rsidR="00D1124D">
        <w:t>wh</w:t>
      </w:r>
      <w:r w:rsidR="003C5E4B">
        <w:t>ich</w:t>
      </w:r>
      <w:r w:rsidR="00D1124D">
        <w:t xml:space="preserve"> require a permit </w:t>
      </w:r>
      <w:r w:rsidR="003C5E4B">
        <w:t>as</w:t>
      </w:r>
      <w:r w:rsidR="00D1124D">
        <w:t xml:space="preserve"> </w:t>
      </w:r>
      <w:r w:rsidR="00620367">
        <w:t xml:space="preserve">their equipment contains </w:t>
      </w:r>
      <w:r w:rsidR="00D646B9" w:rsidRPr="00D646B9">
        <w:t>depleted uranium shielding</w:t>
      </w:r>
      <w:r w:rsidR="00436D5E">
        <w:t xml:space="preserve">. </w:t>
      </w:r>
    </w:p>
    <w:p w14:paraId="1B37743A" w14:textId="0DAAC3A1" w:rsidR="004D1D46" w:rsidRDefault="004D1D46" w:rsidP="00B24679">
      <w:r w:rsidRPr="00A55201">
        <w:t>The renewal process provided ASNO with an opportunity to</w:t>
      </w:r>
      <w:r w:rsidR="00212DC0">
        <w:t xml:space="preserve"> review</w:t>
      </w:r>
      <w:r w:rsidRPr="00A55201">
        <w:t xml:space="preserve"> th</w:t>
      </w:r>
      <w:r w:rsidR="00AD5EA7">
        <w:t>e</w:t>
      </w:r>
      <w:r w:rsidRPr="00A55201">
        <w:t xml:space="preserve"> </w:t>
      </w:r>
      <w:r w:rsidR="005815F8">
        <w:t>permit templates</w:t>
      </w:r>
      <w:r w:rsidRPr="00A55201">
        <w:t xml:space="preserve"> </w:t>
      </w:r>
      <w:r w:rsidR="00212DC0">
        <w:t>and compliance codes</w:t>
      </w:r>
      <w:r w:rsidRPr="00A55201">
        <w:t xml:space="preserve"> </w:t>
      </w:r>
      <w:r w:rsidR="00212DC0">
        <w:t xml:space="preserve">to </w:t>
      </w:r>
      <w:r w:rsidR="003C5E4B">
        <w:t>en</w:t>
      </w:r>
      <w:r w:rsidR="00212DC0">
        <w:t xml:space="preserve">sure they are </w:t>
      </w:r>
      <w:r w:rsidRPr="00A55201">
        <w:t>fit for purpose</w:t>
      </w:r>
      <w:r w:rsidR="005A1987">
        <w:t xml:space="preserve"> and applied consistently. The revised </w:t>
      </w:r>
      <w:r w:rsidR="005815F8">
        <w:t>permit templates</w:t>
      </w:r>
      <w:r w:rsidR="005A1987" w:rsidRPr="00A55201">
        <w:t xml:space="preserve"> </w:t>
      </w:r>
      <w:r w:rsidR="005A1987">
        <w:t xml:space="preserve">and compliance codes </w:t>
      </w:r>
      <w:r w:rsidR="003C5E4B">
        <w:t>were</w:t>
      </w:r>
      <w:r w:rsidR="005A1987">
        <w:t xml:space="preserve"> updated on the ASNO webpages reference information </w:t>
      </w:r>
      <w:r w:rsidR="003C5E4B">
        <w:t>for</w:t>
      </w:r>
      <w:r w:rsidR="005A1987">
        <w:t xml:space="preserve"> current and future permit holders</w:t>
      </w:r>
      <w:r w:rsidR="00750349" w:rsidRPr="00A55201">
        <w:t>.</w:t>
      </w:r>
      <w:r w:rsidR="005A1987">
        <w:rPr>
          <w:rStyle w:val="FootnoteReference"/>
          <w:rFonts w:cstheme="minorHAnsi"/>
        </w:rPr>
        <w:footnoteReference w:id="6"/>
      </w:r>
    </w:p>
    <w:p w14:paraId="41BA054A" w14:textId="5E48DE3B" w:rsidR="00A81EE4" w:rsidRDefault="00212DC0" w:rsidP="00B24679">
      <w:pPr>
        <w:rPr>
          <w:bCs/>
        </w:rPr>
      </w:pPr>
      <w:r>
        <w:rPr>
          <w:bCs/>
        </w:rPr>
        <w:t xml:space="preserve">Once </w:t>
      </w:r>
      <w:r w:rsidR="00475EB4">
        <w:rPr>
          <w:bCs/>
        </w:rPr>
        <w:t xml:space="preserve">revision of the </w:t>
      </w:r>
      <w:r w:rsidR="005815F8">
        <w:rPr>
          <w:bCs/>
        </w:rPr>
        <w:t>permit templates</w:t>
      </w:r>
      <w:r>
        <w:rPr>
          <w:bCs/>
        </w:rPr>
        <w:t xml:space="preserve"> </w:t>
      </w:r>
      <w:r w:rsidR="00475EB4">
        <w:rPr>
          <w:bCs/>
        </w:rPr>
        <w:t>were</w:t>
      </w:r>
      <w:r>
        <w:rPr>
          <w:bCs/>
        </w:rPr>
        <w:t xml:space="preserve"> </w:t>
      </w:r>
      <w:r w:rsidR="00475EB4">
        <w:rPr>
          <w:bCs/>
        </w:rPr>
        <w:t>completed</w:t>
      </w:r>
      <w:r>
        <w:rPr>
          <w:bCs/>
        </w:rPr>
        <w:t xml:space="preserve">, </w:t>
      </w:r>
      <w:r w:rsidR="00A81EE4">
        <w:rPr>
          <w:bCs/>
        </w:rPr>
        <w:t>ASNO prepared and</w:t>
      </w:r>
      <w:r>
        <w:rPr>
          <w:bCs/>
        </w:rPr>
        <w:t xml:space="preserve"> </w:t>
      </w:r>
      <w:r w:rsidR="00A81EE4">
        <w:rPr>
          <w:bCs/>
        </w:rPr>
        <w:t>sent</w:t>
      </w:r>
      <w:r>
        <w:rPr>
          <w:bCs/>
        </w:rPr>
        <w:t xml:space="preserve"> </w:t>
      </w:r>
      <w:r w:rsidR="00A81EE4">
        <w:rPr>
          <w:bCs/>
        </w:rPr>
        <w:t xml:space="preserve">draft </w:t>
      </w:r>
      <w:r>
        <w:rPr>
          <w:bCs/>
        </w:rPr>
        <w:t xml:space="preserve">permits </w:t>
      </w:r>
      <w:r w:rsidR="00A81EE4">
        <w:rPr>
          <w:bCs/>
        </w:rPr>
        <w:t>to</w:t>
      </w:r>
      <w:r w:rsidR="00B341FA">
        <w:rPr>
          <w:bCs/>
        </w:rPr>
        <w:t xml:space="preserve"> </w:t>
      </w:r>
      <w:r w:rsidR="00412512">
        <w:rPr>
          <w:bCs/>
        </w:rPr>
        <w:t>Class</w:t>
      </w:r>
      <w:r>
        <w:rPr>
          <w:bCs/>
        </w:rPr>
        <w:t>-L</w:t>
      </w:r>
      <w:r w:rsidR="00412512">
        <w:rPr>
          <w:bCs/>
        </w:rPr>
        <w:t xml:space="preserve"> and Class</w:t>
      </w:r>
      <w:r>
        <w:rPr>
          <w:bCs/>
        </w:rPr>
        <w:t>-R</w:t>
      </w:r>
      <w:r w:rsidR="009656D6">
        <w:rPr>
          <w:bCs/>
        </w:rPr>
        <w:t xml:space="preserve"> permit holder</w:t>
      </w:r>
      <w:r w:rsidR="005A1987">
        <w:rPr>
          <w:bCs/>
        </w:rPr>
        <w:t>s</w:t>
      </w:r>
      <w:r w:rsidR="00A81EE4">
        <w:rPr>
          <w:bCs/>
        </w:rPr>
        <w:t xml:space="preserve"> </w:t>
      </w:r>
      <w:r w:rsidR="009656D6">
        <w:rPr>
          <w:bCs/>
        </w:rPr>
        <w:t xml:space="preserve">with </w:t>
      </w:r>
      <w:r w:rsidR="00282C1C">
        <w:rPr>
          <w:bCs/>
        </w:rPr>
        <w:t xml:space="preserve">their </w:t>
      </w:r>
      <w:r w:rsidR="00E279A2">
        <w:rPr>
          <w:bCs/>
        </w:rPr>
        <w:t>details and inventor</w:t>
      </w:r>
      <w:r w:rsidR="00C61A32">
        <w:rPr>
          <w:bCs/>
        </w:rPr>
        <w:t>ies</w:t>
      </w:r>
      <w:r w:rsidR="00282C1C">
        <w:rPr>
          <w:bCs/>
        </w:rPr>
        <w:t xml:space="preserve"> p</w:t>
      </w:r>
      <w:r w:rsidR="005E5F4B">
        <w:rPr>
          <w:bCs/>
        </w:rPr>
        <w:t>re</w:t>
      </w:r>
      <w:r w:rsidR="00282C1C">
        <w:rPr>
          <w:bCs/>
        </w:rPr>
        <w:t>-populated</w:t>
      </w:r>
      <w:r w:rsidR="00CA617F">
        <w:rPr>
          <w:bCs/>
        </w:rPr>
        <w:t>.</w:t>
      </w:r>
      <w:r w:rsidR="00816F67">
        <w:rPr>
          <w:bCs/>
        </w:rPr>
        <w:t xml:space="preserve"> </w:t>
      </w:r>
      <w:r w:rsidR="00CA617F">
        <w:rPr>
          <w:bCs/>
        </w:rPr>
        <w:t xml:space="preserve">They were </w:t>
      </w:r>
      <w:r w:rsidR="000E1A2B">
        <w:rPr>
          <w:bCs/>
        </w:rPr>
        <w:t>asked t</w:t>
      </w:r>
      <w:r w:rsidR="0049216A">
        <w:rPr>
          <w:bCs/>
        </w:rPr>
        <w:t xml:space="preserve">o provide feedback on the </w:t>
      </w:r>
      <w:r w:rsidR="00B77F6D">
        <w:rPr>
          <w:bCs/>
        </w:rPr>
        <w:t>revised</w:t>
      </w:r>
      <w:r w:rsidR="0049216A">
        <w:rPr>
          <w:bCs/>
        </w:rPr>
        <w:t xml:space="preserve"> permit and </w:t>
      </w:r>
      <w:r w:rsidR="008B5899">
        <w:rPr>
          <w:bCs/>
        </w:rPr>
        <w:t xml:space="preserve">confirm or </w:t>
      </w:r>
      <w:r w:rsidR="0049216A">
        <w:rPr>
          <w:bCs/>
        </w:rPr>
        <w:t xml:space="preserve">update </w:t>
      </w:r>
      <w:r w:rsidR="001A3775">
        <w:rPr>
          <w:bCs/>
        </w:rPr>
        <w:t>informatio</w:t>
      </w:r>
      <w:r w:rsidR="002A2376">
        <w:rPr>
          <w:bCs/>
        </w:rPr>
        <w:t>n</w:t>
      </w:r>
      <w:r w:rsidR="00BB2CFB">
        <w:rPr>
          <w:bCs/>
        </w:rPr>
        <w:t>.</w:t>
      </w:r>
      <w:r w:rsidR="00816F67">
        <w:rPr>
          <w:bCs/>
        </w:rPr>
        <w:t xml:space="preserve"> </w:t>
      </w:r>
      <w:r w:rsidR="00A82277">
        <w:rPr>
          <w:bCs/>
        </w:rPr>
        <w:t>Once</w:t>
      </w:r>
      <w:r w:rsidR="00CF13A6">
        <w:rPr>
          <w:bCs/>
        </w:rPr>
        <w:t xml:space="preserve"> the permit holder had responded </w:t>
      </w:r>
      <w:r w:rsidR="002F75BD">
        <w:rPr>
          <w:bCs/>
        </w:rPr>
        <w:t>and</w:t>
      </w:r>
      <w:r w:rsidR="00A81EE4">
        <w:rPr>
          <w:bCs/>
        </w:rPr>
        <w:t xml:space="preserve"> ASNO had made </w:t>
      </w:r>
      <w:r w:rsidR="003C5E4B">
        <w:rPr>
          <w:bCs/>
        </w:rPr>
        <w:t>required</w:t>
      </w:r>
      <w:r w:rsidR="002F75BD">
        <w:rPr>
          <w:bCs/>
        </w:rPr>
        <w:t xml:space="preserve"> </w:t>
      </w:r>
      <w:r w:rsidR="00F605D3">
        <w:rPr>
          <w:bCs/>
        </w:rPr>
        <w:t>changes</w:t>
      </w:r>
      <w:r w:rsidR="00A81EE4">
        <w:rPr>
          <w:bCs/>
        </w:rPr>
        <w:t xml:space="preserve">, the permit holder was </w:t>
      </w:r>
      <w:r w:rsidR="002B51A2">
        <w:rPr>
          <w:bCs/>
        </w:rPr>
        <w:t xml:space="preserve">sent their </w:t>
      </w:r>
      <w:r w:rsidR="00A81EE4">
        <w:rPr>
          <w:bCs/>
        </w:rPr>
        <w:t xml:space="preserve">new </w:t>
      </w:r>
      <w:r w:rsidR="002B51A2">
        <w:rPr>
          <w:bCs/>
        </w:rPr>
        <w:t xml:space="preserve">approved permit. </w:t>
      </w:r>
    </w:p>
    <w:p w14:paraId="034F0904" w14:textId="1E5CF345" w:rsidR="00D2227F" w:rsidRDefault="00625000" w:rsidP="00B24679">
      <w:r>
        <w:rPr>
          <w:bCs/>
        </w:rPr>
        <w:t xml:space="preserve">Finally, </w:t>
      </w:r>
      <w:r w:rsidR="00A81EE4">
        <w:rPr>
          <w:bCs/>
        </w:rPr>
        <w:t xml:space="preserve">Class-L </w:t>
      </w:r>
      <w:r w:rsidRPr="00A55201">
        <w:t>permit holders were provided an opportunity to provide feedback</w:t>
      </w:r>
      <w:r w:rsidR="009F27D5">
        <w:t xml:space="preserve"> on </w:t>
      </w:r>
      <w:r w:rsidR="003C5E4B">
        <w:t xml:space="preserve">both </w:t>
      </w:r>
      <w:r w:rsidR="009F27D5">
        <w:t>the permit review process and ASNO in general, in</w:t>
      </w:r>
      <w:r w:rsidRPr="00A55201">
        <w:t xml:space="preserve"> an anonymous online survey</w:t>
      </w:r>
      <w:r w:rsidR="009F27D5">
        <w:t xml:space="preserve"> (</w:t>
      </w:r>
      <w:r w:rsidR="00994107">
        <w:t>discussed further in KPI-5)</w:t>
      </w:r>
      <w:r w:rsidRPr="00A55201">
        <w:t>.</w:t>
      </w:r>
      <w:r w:rsidR="00816F67">
        <w:t xml:space="preserve"> </w:t>
      </w:r>
    </w:p>
    <w:p w14:paraId="1DBF303F" w14:textId="225968D6" w:rsidR="00C55456" w:rsidRPr="00F87C02" w:rsidRDefault="00475EB4" w:rsidP="00ED071A">
      <w:pPr>
        <w:pStyle w:val="BodyText"/>
      </w:pPr>
      <w:r>
        <w:rPr>
          <w:bCs/>
        </w:rPr>
        <w:t xml:space="preserve">During the reporting period, </w:t>
      </w:r>
      <w:r w:rsidR="00D36B5E">
        <w:rPr>
          <w:bCs/>
        </w:rPr>
        <w:t xml:space="preserve">ASNO </w:t>
      </w:r>
      <w:r>
        <w:rPr>
          <w:bCs/>
        </w:rPr>
        <w:t xml:space="preserve">also </w:t>
      </w:r>
      <w:r w:rsidR="00A81EE4">
        <w:rPr>
          <w:bCs/>
        </w:rPr>
        <w:t>continued</w:t>
      </w:r>
      <w:r w:rsidR="00D36B5E">
        <w:rPr>
          <w:bCs/>
        </w:rPr>
        <w:t xml:space="preserve"> </w:t>
      </w:r>
      <w:r w:rsidR="00D24FD6">
        <w:rPr>
          <w:bCs/>
        </w:rPr>
        <w:t>digit</w:t>
      </w:r>
      <w:r w:rsidR="00E57170">
        <w:rPr>
          <w:bCs/>
        </w:rPr>
        <w:t>is</w:t>
      </w:r>
      <w:r>
        <w:rPr>
          <w:bCs/>
        </w:rPr>
        <w:t>ing</w:t>
      </w:r>
      <w:r w:rsidR="00A81EE4">
        <w:rPr>
          <w:bCs/>
        </w:rPr>
        <w:t xml:space="preserve"> its nuclear</w:t>
      </w:r>
      <w:r w:rsidR="00E57170">
        <w:rPr>
          <w:bCs/>
        </w:rPr>
        <w:t xml:space="preserve"> forms</w:t>
      </w:r>
      <w:r w:rsidR="003C5E4B">
        <w:rPr>
          <w:bCs/>
        </w:rPr>
        <w:t xml:space="preserve"> with the resulting efficiencies for industry</w:t>
      </w:r>
      <w:r w:rsidR="00906101">
        <w:rPr>
          <w:bCs/>
        </w:rPr>
        <w:t>.</w:t>
      </w:r>
      <w:r w:rsidR="00816F67">
        <w:rPr>
          <w:bCs/>
        </w:rPr>
        <w:t xml:space="preserve"> </w:t>
      </w:r>
      <w:r w:rsidR="003C5E4B">
        <w:rPr>
          <w:bCs/>
        </w:rPr>
        <w:t>For example</w:t>
      </w:r>
      <w:r w:rsidR="00906101">
        <w:rPr>
          <w:bCs/>
        </w:rPr>
        <w:t xml:space="preserve">, </w:t>
      </w:r>
      <w:r w:rsidR="00FC3E6C">
        <w:rPr>
          <w:bCs/>
        </w:rPr>
        <w:t xml:space="preserve">ASNO has made it </w:t>
      </w:r>
      <w:r w:rsidR="008A56BF">
        <w:rPr>
          <w:bCs/>
        </w:rPr>
        <w:t xml:space="preserve">easier for </w:t>
      </w:r>
      <w:r w:rsidR="001E21A3">
        <w:rPr>
          <w:bCs/>
        </w:rPr>
        <w:t xml:space="preserve">two nuclear </w:t>
      </w:r>
      <w:r w:rsidR="008A56BF">
        <w:rPr>
          <w:bCs/>
        </w:rPr>
        <w:t xml:space="preserve">permit holders to </w:t>
      </w:r>
      <w:r w:rsidR="00860014">
        <w:rPr>
          <w:bCs/>
        </w:rPr>
        <w:t xml:space="preserve">domestically </w:t>
      </w:r>
      <w:r w:rsidR="008A56BF">
        <w:rPr>
          <w:bCs/>
        </w:rPr>
        <w:t xml:space="preserve">transfer </w:t>
      </w:r>
      <w:r w:rsidR="00A87073">
        <w:rPr>
          <w:bCs/>
        </w:rPr>
        <w:t>between them</w:t>
      </w:r>
      <w:r w:rsidR="005815F8">
        <w:rPr>
          <w:bCs/>
        </w:rPr>
        <w:t>,</w:t>
      </w:r>
      <w:r w:rsidR="00A87073">
        <w:rPr>
          <w:bCs/>
        </w:rPr>
        <w:t xml:space="preserve"> </w:t>
      </w:r>
      <w:r w:rsidR="008A56BF">
        <w:rPr>
          <w:bCs/>
        </w:rPr>
        <w:t xml:space="preserve">nuclear material </w:t>
      </w:r>
      <w:r w:rsidR="00D523BA">
        <w:rPr>
          <w:bCs/>
        </w:rPr>
        <w:t>that</w:t>
      </w:r>
      <w:r w:rsidR="00DA0CBE">
        <w:rPr>
          <w:bCs/>
        </w:rPr>
        <w:t xml:space="preserve"> </w:t>
      </w:r>
      <w:r w:rsidR="00D523BA">
        <w:rPr>
          <w:bCs/>
        </w:rPr>
        <w:t xml:space="preserve">is of </w:t>
      </w:r>
      <w:r w:rsidR="00DA0CBE">
        <w:rPr>
          <w:bCs/>
        </w:rPr>
        <w:t>low safeguard and security ris</w:t>
      </w:r>
      <w:r w:rsidR="00A87073">
        <w:rPr>
          <w:bCs/>
        </w:rPr>
        <w:t>k</w:t>
      </w:r>
      <w:r w:rsidR="0012322B">
        <w:rPr>
          <w:bCs/>
        </w:rPr>
        <w:t>.</w:t>
      </w:r>
      <w:r w:rsidR="00816F67">
        <w:rPr>
          <w:bCs/>
        </w:rPr>
        <w:t xml:space="preserve"> </w:t>
      </w:r>
      <w:r w:rsidR="00C67017">
        <w:rPr>
          <w:bCs/>
        </w:rPr>
        <w:t>Th</w:t>
      </w:r>
      <w:r w:rsidR="00F97522">
        <w:rPr>
          <w:bCs/>
        </w:rPr>
        <w:t>e change ma</w:t>
      </w:r>
      <w:r w:rsidR="00A81EE4">
        <w:rPr>
          <w:bCs/>
        </w:rPr>
        <w:t>d</w:t>
      </w:r>
      <w:r w:rsidR="00F97522">
        <w:rPr>
          <w:bCs/>
        </w:rPr>
        <w:t>e it easier for the permit holders to notify ASNO</w:t>
      </w:r>
      <w:r w:rsidR="003C5E4B">
        <w:rPr>
          <w:bCs/>
        </w:rPr>
        <w:t>,</w:t>
      </w:r>
      <w:r w:rsidR="00A81EE4">
        <w:rPr>
          <w:bCs/>
        </w:rPr>
        <w:t xml:space="preserve"> update their inventory </w:t>
      </w:r>
      <w:r>
        <w:rPr>
          <w:bCs/>
        </w:rPr>
        <w:t>and</w:t>
      </w:r>
      <w:r w:rsidR="00A81EE4">
        <w:rPr>
          <w:bCs/>
        </w:rPr>
        <w:t xml:space="preserve"> sign</w:t>
      </w:r>
      <w:r w:rsidR="005405E3">
        <w:rPr>
          <w:bCs/>
        </w:rPr>
        <w:t xml:space="preserve"> </w:t>
      </w:r>
      <w:r w:rsidR="008978DD">
        <w:rPr>
          <w:bCs/>
        </w:rPr>
        <w:t>digital</w:t>
      </w:r>
      <w:r w:rsidR="00A81EE4">
        <w:rPr>
          <w:bCs/>
        </w:rPr>
        <w:t>ly</w:t>
      </w:r>
      <w:r w:rsidR="003C5E4B" w:rsidRPr="003C5E4B">
        <w:rPr>
          <w:bCs/>
        </w:rPr>
        <w:t xml:space="preserve"> </w:t>
      </w:r>
      <w:r w:rsidR="003C5E4B">
        <w:rPr>
          <w:bCs/>
        </w:rPr>
        <w:t>through the nuclear portal</w:t>
      </w:r>
      <w:r>
        <w:rPr>
          <w:bCs/>
        </w:rPr>
        <w:t xml:space="preserve">. Modifications to the database were also made so that only one permit holder needed to fill out </w:t>
      </w:r>
      <w:r w:rsidR="008978DD">
        <w:rPr>
          <w:bCs/>
        </w:rPr>
        <w:t xml:space="preserve">the </w:t>
      </w:r>
      <w:r w:rsidR="001E56D6">
        <w:rPr>
          <w:bCs/>
        </w:rPr>
        <w:t xml:space="preserve">details </w:t>
      </w:r>
      <w:r>
        <w:rPr>
          <w:bCs/>
        </w:rPr>
        <w:t xml:space="preserve">of </w:t>
      </w:r>
      <w:r w:rsidR="003C5E4B">
        <w:rPr>
          <w:bCs/>
        </w:rPr>
        <w:t>such a</w:t>
      </w:r>
      <w:r>
        <w:rPr>
          <w:bCs/>
        </w:rPr>
        <w:t xml:space="preserve"> transfer</w:t>
      </w:r>
      <w:r w:rsidR="003C5E4B">
        <w:rPr>
          <w:bCs/>
        </w:rPr>
        <w:t>,</w:t>
      </w:r>
      <w:r>
        <w:rPr>
          <w:bCs/>
        </w:rPr>
        <w:t xml:space="preserve"> </w:t>
      </w:r>
      <w:r w:rsidR="001E56D6">
        <w:rPr>
          <w:bCs/>
        </w:rPr>
        <w:t>rather than both.</w:t>
      </w:r>
      <w:r w:rsidR="00816F67">
        <w:rPr>
          <w:bCs/>
        </w:rPr>
        <w:t xml:space="preserve"> </w:t>
      </w:r>
    </w:p>
    <w:p w14:paraId="165DA4CB" w14:textId="77777777" w:rsidR="003328B5" w:rsidRDefault="00DE7F73" w:rsidP="00550EBE">
      <w:r>
        <w:t xml:space="preserve">ASNO </w:t>
      </w:r>
      <w:r w:rsidR="00EF53AF">
        <w:t xml:space="preserve">also </w:t>
      </w:r>
      <w:r w:rsidR="00475EB4">
        <w:t xml:space="preserve">consulted with stakeholders on the development of </w:t>
      </w:r>
      <w:r>
        <w:t>a new permit template and compliance code for decommissioning a UOC concentration plant</w:t>
      </w:r>
      <w:r w:rsidR="003C5E4B">
        <w:t xml:space="preserve">, which had not </w:t>
      </w:r>
      <w:r>
        <w:t xml:space="preserve">been required until </w:t>
      </w:r>
      <w:r w:rsidR="003328B5">
        <w:t>this reporting period</w:t>
      </w:r>
      <w:r>
        <w:t>.</w:t>
      </w:r>
      <w:r w:rsidR="00816F67">
        <w:t xml:space="preserve"> </w:t>
      </w:r>
    </w:p>
    <w:p w14:paraId="21433EC6" w14:textId="53C70D7F" w:rsidR="00550EBE" w:rsidRDefault="00B56805" w:rsidP="00550EBE">
      <w:r>
        <w:t xml:space="preserve">ASNO </w:t>
      </w:r>
      <w:r w:rsidR="00DE7F73">
        <w:t xml:space="preserve">also </w:t>
      </w:r>
      <w:r>
        <w:t>undertook</w:t>
      </w:r>
      <w:r w:rsidR="001465EF">
        <w:t xml:space="preserve"> an interim review of the </w:t>
      </w:r>
      <w:r w:rsidR="003328B5" w:rsidRPr="003328B5">
        <w:t>Australian Nuclear Science and Technology Organisation (ANSTO) permit</w:t>
      </w:r>
      <w:r w:rsidR="00014719">
        <w:t>.</w:t>
      </w:r>
    </w:p>
    <w:p w14:paraId="1F2FB390" w14:textId="4BC5A54D" w:rsidR="000C400C" w:rsidRDefault="003328B5" w:rsidP="00550EBE">
      <w:r>
        <w:t>In 2020-2021, ASNO additionally undertook a</w:t>
      </w:r>
      <w:r w:rsidR="00B11453">
        <w:t xml:space="preserve"> review of </w:t>
      </w:r>
      <w:r w:rsidR="007D7C5D">
        <w:t xml:space="preserve">chemical </w:t>
      </w:r>
      <w:r w:rsidR="005E5F4B">
        <w:t xml:space="preserve">facility and import </w:t>
      </w:r>
      <w:r w:rsidR="007D7C5D">
        <w:t>permit holder</w:t>
      </w:r>
      <w:r w:rsidR="005E5F4B">
        <w:t>s</w:t>
      </w:r>
      <w:r w:rsidR="007D7C5D">
        <w:t>.</w:t>
      </w:r>
      <w:r w:rsidR="00816F67">
        <w:t xml:space="preserve"> </w:t>
      </w:r>
      <w:r w:rsidR="00110EC7">
        <w:t xml:space="preserve">Eleven companies were identified and </w:t>
      </w:r>
      <w:r w:rsidR="003E4F99">
        <w:t xml:space="preserve">confirmed </w:t>
      </w:r>
      <w:r w:rsidR="00110EC7">
        <w:t>as no longer</w:t>
      </w:r>
      <w:r w:rsidR="003E4F99">
        <w:t xml:space="preserve"> </w:t>
      </w:r>
      <w:r w:rsidR="00F87AEB">
        <w:t>requiring</w:t>
      </w:r>
      <w:r w:rsidR="003E4F99">
        <w:t xml:space="preserve"> </w:t>
      </w:r>
      <w:r w:rsidR="00ED24B2">
        <w:t xml:space="preserve">a chemical </w:t>
      </w:r>
      <w:r w:rsidR="005E5F4B">
        <w:t xml:space="preserve">facility or </w:t>
      </w:r>
      <w:r w:rsidR="00ED24B2">
        <w:t>import permit</w:t>
      </w:r>
      <w:r>
        <w:t>,</w:t>
      </w:r>
      <w:r w:rsidR="00702CC0">
        <w:t xml:space="preserve"> as </w:t>
      </w:r>
      <w:r w:rsidR="00EC1EA0">
        <w:t xml:space="preserve">changes to their operation meant that </w:t>
      </w:r>
      <w:r w:rsidR="00702CC0">
        <w:t>they were no</w:t>
      </w:r>
      <w:r w:rsidR="008453C1">
        <w:t xml:space="preserve"> </w:t>
      </w:r>
      <w:r w:rsidR="00702CC0">
        <w:t>lo</w:t>
      </w:r>
      <w:r w:rsidR="008453C1">
        <w:t>n</w:t>
      </w:r>
      <w:r w:rsidR="00702CC0">
        <w:t xml:space="preserve">ger </w:t>
      </w:r>
      <w:r w:rsidR="005E5F4B">
        <w:t xml:space="preserve">producing, processing, consuming or </w:t>
      </w:r>
      <w:r w:rsidR="00702CC0">
        <w:t>importing CWC-Scheduled chemicals.</w:t>
      </w:r>
      <w:r w:rsidR="00816F67">
        <w:t xml:space="preserve"> </w:t>
      </w:r>
      <w:r w:rsidR="00C65D99">
        <w:t xml:space="preserve">These companies </w:t>
      </w:r>
      <w:r w:rsidR="008453C1">
        <w:t xml:space="preserve">will no longer be asked to </w:t>
      </w:r>
      <w:r w:rsidR="008440C5">
        <w:t>provid</w:t>
      </w:r>
      <w:r w:rsidR="005E5F4B">
        <w:t>e</w:t>
      </w:r>
      <w:r w:rsidR="008440C5">
        <w:t xml:space="preserve"> nil reporting to ASNO each year</w:t>
      </w:r>
      <w:r w:rsidR="000C400C" w:rsidRPr="00B11453">
        <w:t xml:space="preserve">. </w:t>
      </w:r>
    </w:p>
    <w:p w14:paraId="3D923816" w14:textId="18DE7C51" w:rsidR="00110F7E" w:rsidRDefault="00477CA8" w:rsidP="0020672A">
      <w:pPr>
        <w:pStyle w:val="BodyText"/>
      </w:pPr>
      <w:r>
        <w:lastRenderedPageBreak/>
        <w:t>O</w:t>
      </w:r>
      <w:r w:rsidR="00B15C1E" w:rsidRPr="00B11453">
        <w:t>n</w:t>
      </w:r>
      <w:r w:rsidR="005815F8">
        <w:t xml:space="preserve"> a</w:t>
      </w:r>
      <w:r w:rsidR="00B15C1E" w:rsidRPr="00B11453">
        <w:t xml:space="preserve"> less positive </w:t>
      </w:r>
      <w:r w:rsidR="00520DB2">
        <w:t>note</w:t>
      </w:r>
      <w:r w:rsidR="000C381A" w:rsidRPr="00B11453">
        <w:t xml:space="preserve">, the </w:t>
      </w:r>
      <w:r w:rsidR="00A2442A">
        <w:t>much</w:t>
      </w:r>
      <w:r w:rsidR="00520DB2">
        <w:t>-</w:t>
      </w:r>
      <w:r w:rsidR="00A2442A">
        <w:t xml:space="preserve">needed </w:t>
      </w:r>
      <w:r w:rsidR="002221B3">
        <w:t>re</w:t>
      </w:r>
      <w:r w:rsidR="000C381A" w:rsidRPr="00B11453">
        <w:t xml:space="preserve">development of </w:t>
      </w:r>
      <w:r w:rsidR="0091321A">
        <w:t xml:space="preserve">a </w:t>
      </w:r>
      <w:r w:rsidR="000C381A" w:rsidRPr="00B11453">
        <w:t>new chemical database</w:t>
      </w:r>
      <w:r w:rsidR="00520DB2">
        <w:t xml:space="preserve"> and industry portal</w:t>
      </w:r>
      <w:r w:rsidR="000C381A" w:rsidRPr="00B11453">
        <w:t xml:space="preserve"> (see </w:t>
      </w:r>
      <w:r w:rsidR="00BE466F" w:rsidRPr="00B11453">
        <w:t>previous RPF self-assessment reports)</w:t>
      </w:r>
      <w:r w:rsidR="00943BD8" w:rsidRPr="00B11453">
        <w:t xml:space="preserve"> </w:t>
      </w:r>
      <w:r>
        <w:t xml:space="preserve">was </w:t>
      </w:r>
      <w:r w:rsidR="005815F8">
        <w:t>halted</w:t>
      </w:r>
      <w:r>
        <w:t xml:space="preserve"> because </w:t>
      </w:r>
      <w:r w:rsidR="00295C9A" w:rsidRPr="00B11453">
        <w:t xml:space="preserve">the </w:t>
      </w:r>
      <w:r w:rsidR="005815F8">
        <w:t xml:space="preserve">IT </w:t>
      </w:r>
      <w:r w:rsidR="00295C9A" w:rsidRPr="00B11453">
        <w:t xml:space="preserve">platform </w:t>
      </w:r>
      <w:r w:rsidR="005815F8">
        <w:t>selected for the development was not adequately flexible to</w:t>
      </w:r>
      <w:r w:rsidR="00295C9A" w:rsidRPr="00B11453">
        <w:t xml:space="preserve"> meet </w:t>
      </w:r>
      <w:r w:rsidR="005815F8">
        <w:t xml:space="preserve">Australia’s </w:t>
      </w:r>
      <w:r w:rsidR="002B059A">
        <w:t>domestic legislative and international treaty requirements</w:t>
      </w:r>
      <w:r w:rsidR="000F599C" w:rsidRPr="00B11453">
        <w:t>.</w:t>
      </w:r>
      <w:r w:rsidR="00816F67">
        <w:t xml:space="preserve"> </w:t>
      </w:r>
      <w:r w:rsidR="00AD6BBE">
        <w:t xml:space="preserve">Funding has been obtained </w:t>
      </w:r>
      <w:r w:rsidR="000601CB">
        <w:t xml:space="preserve">to </w:t>
      </w:r>
      <w:r w:rsidR="001D040C">
        <w:t xml:space="preserve">redevelop the database </w:t>
      </w:r>
      <w:r w:rsidR="00520DB2">
        <w:t xml:space="preserve">and portal </w:t>
      </w:r>
      <w:r w:rsidR="001D040C">
        <w:t>on an</w:t>
      </w:r>
      <w:r w:rsidR="00AD6BBE">
        <w:t xml:space="preserve"> a</w:t>
      </w:r>
      <w:r w:rsidR="000F599C" w:rsidRPr="00B11453">
        <w:t xml:space="preserve">lternative </w:t>
      </w:r>
      <w:r w:rsidR="001D040C">
        <w:t xml:space="preserve">platform </w:t>
      </w:r>
      <w:r w:rsidR="00106076">
        <w:t>and work is expected to begin in 2021-22.</w:t>
      </w:r>
      <w:r w:rsidR="00816F67">
        <w:t xml:space="preserve"> </w:t>
      </w:r>
      <w:r w:rsidR="001D040C">
        <w:t>In the meantime</w:t>
      </w:r>
      <w:r w:rsidR="00F07C2C">
        <w:t>,</w:t>
      </w:r>
      <w:r w:rsidR="001D040C">
        <w:t xml:space="preserve"> ASNO’s chemical team </w:t>
      </w:r>
      <w:r w:rsidR="009944FA">
        <w:t>continue</w:t>
      </w:r>
      <w:r w:rsidR="005815F8">
        <w:t>s</w:t>
      </w:r>
      <w:r w:rsidR="009944FA">
        <w:t xml:space="preserve"> to</w:t>
      </w:r>
      <w:r w:rsidR="001F7700">
        <w:t xml:space="preserve"> work </w:t>
      </w:r>
      <w:r w:rsidR="005815F8">
        <w:t xml:space="preserve">with the </w:t>
      </w:r>
      <w:r w:rsidR="00D8715F">
        <w:t>current database system, employing workarounds, assisting permit holders and seeking assistance from the Information Management Division (IMD) to sustain the system and fix bugs as they occur.</w:t>
      </w:r>
    </w:p>
    <w:p w14:paraId="3BE86863" w14:textId="7F1757DA" w:rsidR="00DE062A" w:rsidRDefault="00DE062A" w:rsidP="0020672A">
      <w:pPr>
        <w:pStyle w:val="BodyText"/>
      </w:pPr>
      <w:r>
        <w:br w:type="page"/>
      </w:r>
    </w:p>
    <w:p w14:paraId="6581444A" w14:textId="0FB2DB84" w:rsidR="00DE062A" w:rsidRPr="00DE69E2" w:rsidRDefault="00DE062A" w:rsidP="00DE062A">
      <w:pPr>
        <w:pStyle w:val="BodyText"/>
        <w:pBdr>
          <w:top w:val="single" w:sz="4" w:space="1" w:color="auto"/>
          <w:left w:val="single" w:sz="4" w:space="4" w:color="auto"/>
          <w:bottom w:val="single" w:sz="4" w:space="1" w:color="auto"/>
          <w:right w:val="single" w:sz="4" w:space="4" w:color="auto"/>
        </w:pBdr>
        <w:shd w:val="clear" w:color="auto" w:fill="B4F7FF" w:themeFill="accent6" w:themeFillTint="33"/>
        <w:rPr>
          <w:b/>
          <w:bCs/>
          <w:sz w:val="24"/>
          <w:szCs w:val="24"/>
        </w:rPr>
      </w:pPr>
      <w:r w:rsidRPr="00DE69E2">
        <w:rPr>
          <w:b/>
          <w:bCs/>
          <w:sz w:val="24"/>
          <w:szCs w:val="24"/>
        </w:rPr>
        <w:lastRenderedPageBreak/>
        <w:t>KPI-</w:t>
      </w:r>
      <w:r>
        <w:rPr>
          <w:b/>
          <w:bCs/>
          <w:sz w:val="24"/>
          <w:szCs w:val="24"/>
        </w:rPr>
        <w:t>3</w:t>
      </w:r>
      <w:r w:rsidRPr="00DE69E2">
        <w:rPr>
          <w:b/>
          <w:bCs/>
          <w:sz w:val="24"/>
          <w:szCs w:val="24"/>
        </w:rPr>
        <w:t xml:space="preserve">: </w:t>
      </w:r>
      <w:r w:rsidRPr="00DE062A">
        <w:rPr>
          <w:b/>
          <w:bCs/>
          <w:sz w:val="24"/>
          <w:szCs w:val="24"/>
        </w:rPr>
        <w:t>Actions undertaken by regulators are proportionate to the regulatory risk being managed.</w:t>
      </w:r>
    </w:p>
    <w:p w14:paraId="61495B0E" w14:textId="0BE0752D" w:rsidR="00DE062A" w:rsidRPr="00816F67" w:rsidRDefault="00DE062A" w:rsidP="00DE062A">
      <w:pPr>
        <w:pStyle w:val="BodyText"/>
        <w:rPr>
          <w:b/>
          <w:bCs/>
          <w:i/>
          <w:iCs/>
          <w:sz w:val="24"/>
          <w:szCs w:val="24"/>
        </w:rPr>
      </w:pPr>
      <w:r w:rsidRPr="00816F67">
        <w:rPr>
          <w:b/>
          <w:bCs/>
          <w:i/>
          <w:iCs/>
          <w:sz w:val="24"/>
          <w:szCs w:val="24"/>
        </w:rPr>
        <w:t>Metric 3: Implement risk informed regulatory program.</w:t>
      </w:r>
    </w:p>
    <w:p w14:paraId="1BB99AE6" w14:textId="2BAC238B" w:rsidR="00BB1B0F" w:rsidRPr="00816F67" w:rsidRDefault="00BB1B0F" w:rsidP="00BB1B0F">
      <w:pPr>
        <w:pStyle w:val="BodyText"/>
      </w:pPr>
      <w:r w:rsidRPr="00816F67">
        <w:t xml:space="preserve">The OPCW and IAEA have </w:t>
      </w:r>
      <w:r w:rsidR="00816F67">
        <w:t>robust risk-</w:t>
      </w:r>
      <w:r w:rsidR="00EF53AF">
        <w:t>informed</w:t>
      </w:r>
      <w:r w:rsidR="00816F67">
        <w:t xml:space="preserve"> </w:t>
      </w:r>
      <w:r w:rsidRPr="00816F67">
        <w:t xml:space="preserve">systems that enable them to provide objective assurances </w:t>
      </w:r>
      <w:r w:rsidR="00816F67">
        <w:t xml:space="preserve">to the international community </w:t>
      </w:r>
      <w:r w:rsidRPr="00816F67">
        <w:t xml:space="preserve">that states are meeting their chemical/nuclear peaceful-use obligations. </w:t>
      </w:r>
      <w:r w:rsidR="00816F67">
        <w:t>ASNO works within these frameworks in order to meet Australia’s international obligations. It a</w:t>
      </w:r>
      <w:r w:rsidR="00D60543">
        <w:t>lso</w:t>
      </w:r>
      <w:r w:rsidR="00816F67">
        <w:t xml:space="preserve"> </w:t>
      </w:r>
      <w:r w:rsidR="00D60543">
        <w:t xml:space="preserve">provides a risk-framework for ASNO’s domestic regulations to ensure </w:t>
      </w:r>
      <w:r w:rsidRPr="00816F67">
        <w:t xml:space="preserve">regulations are proportionate to the risk posed by the material or technology. </w:t>
      </w:r>
    </w:p>
    <w:p w14:paraId="3A783442" w14:textId="26DDBFAF" w:rsidR="00BB1B0F" w:rsidRPr="00816F67" w:rsidRDefault="003328B5" w:rsidP="00BB1B0F">
      <w:pPr>
        <w:pStyle w:val="BodyText"/>
      </w:pPr>
      <w:r w:rsidRPr="00816F67">
        <w:t xml:space="preserve">The OPCW </w:t>
      </w:r>
      <w:r>
        <w:t>addresses risk by identifying the chemicals, or families of chemicals, that are of concern due to their potential use as chemical weapons, or to produce chemical weapons (precursor chemicals). The identified chemicals, listed in the CWC (CWC-Scheduled chemicals), are subdivided into four categories based on risk</w:t>
      </w:r>
      <w:r w:rsidRPr="0073307D">
        <w:t xml:space="preserve"> </w:t>
      </w:r>
      <w:r>
        <w:t>and the</w:t>
      </w:r>
      <w:r w:rsidRPr="00816F67">
        <w:t xml:space="preserve"> possible adverse effect that regulation may have on industry, as some chemicals are widely used for peaceful purposes</w:t>
      </w:r>
      <w:r>
        <w:t>. The reporting and inspection requirements are different for each CWC-Scheduled chemical category and proportional to risk</w:t>
      </w:r>
      <w:r w:rsidRPr="00816F67">
        <w:t>.</w:t>
      </w:r>
      <w:r w:rsidRPr="004D08C0">
        <w:t xml:space="preserve"> </w:t>
      </w:r>
      <w:r>
        <w:t>The list of Scheduled chemicals was updated in 2020 when new chemicals of concern were identified</w:t>
      </w:r>
      <w:r w:rsidR="00EF53AF">
        <w:t>.</w:t>
      </w:r>
      <w:r w:rsidR="004D08C0">
        <w:rPr>
          <w:rStyle w:val="FootnoteReference"/>
        </w:rPr>
        <w:footnoteReference w:id="7"/>
      </w:r>
      <w:r>
        <w:t xml:space="preserve"> In summary:</w:t>
      </w:r>
    </w:p>
    <w:p w14:paraId="3079A57D" w14:textId="53C38797" w:rsidR="00BB1B0F" w:rsidRPr="00816F67" w:rsidRDefault="00BB1B0F" w:rsidP="00BB1B0F">
      <w:pPr>
        <w:pStyle w:val="ListParagraph"/>
        <w:numPr>
          <w:ilvl w:val="0"/>
          <w:numId w:val="36"/>
        </w:numPr>
        <w:tabs>
          <w:tab w:val="left" w:pos="709"/>
        </w:tabs>
        <w:rPr>
          <w:rFonts w:ascii="Calibri Light" w:eastAsia="Calibri Light" w:hAnsi="Calibri Light" w:cs="Times New Roman"/>
          <w:color w:val="495965"/>
        </w:rPr>
      </w:pPr>
      <w:r w:rsidRPr="00816F67">
        <w:rPr>
          <w:rFonts w:ascii="Calibri Light" w:eastAsia="Calibri Light" w:hAnsi="Calibri Light" w:cs="Times New Roman"/>
          <w:color w:val="495965"/>
        </w:rPr>
        <w:t xml:space="preserve">Schedule 1 chemicals are of the highest concern as they can either be used as chemical weapons themselves, or used in the production of chemical weapons, and they have no, or very limited use outside chemical warfare. Facilities that hold Schedule 1 chemicals are termed Schedule 1 Facilities and have the </w:t>
      </w:r>
      <w:r w:rsidR="00643E45">
        <w:rPr>
          <w:rFonts w:ascii="Calibri Light" w:eastAsia="Calibri Light" w:hAnsi="Calibri Light" w:cs="Times New Roman"/>
          <w:color w:val="495965"/>
        </w:rPr>
        <w:t xml:space="preserve">most stringent </w:t>
      </w:r>
      <w:r w:rsidRPr="00816F67">
        <w:rPr>
          <w:rFonts w:ascii="Calibri Light" w:eastAsia="Calibri Light" w:hAnsi="Calibri Light" w:cs="Times New Roman"/>
          <w:color w:val="495965"/>
        </w:rPr>
        <w:t xml:space="preserve">reporting requirements and, for facilities above the inspection threshold, are inspected more frequently due to the higher risk associated with the chemicals they hold. </w:t>
      </w:r>
    </w:p>
    <w:p w14:paraId="45CE7A43" w14:textId="6316F4DA" w:rsidR="00BB1B0F" w:rsidRPr="00816F67" w:rsidRDefault="00BB1B0F" w:rsidP="00BB1B0F">
      <w:pPr>
        <w:pStyle w:val="ListParagraph"/>
        <w:numPr>
          <w:ilvl w:val="0"/>
          <w:numId w:val="36"/>
        </w:numPr>
        <w:tabs>
          <w:tab w:val="left" w:pos="709"/>
        </w:tabs>
        <w:rPr>
          <w:rFonts w:ascii="Calibri Light" w:eastAsia="Calibri Light" w:hAnsi="Calibri Light" w:cs="Times New Roman"/>
          <w:color w:val="495965"/>
        </w:rPr>
      </w:pPr>
      <w:r w:rsidRPr="00816F67">
        <w:rPr>
          <w:rFonts w:ascii="Calibri Light" w:eastAsia="Calibri Light" w:hAnsi="Calibri Light" w:cs="Times New Roman"/>
          <w:color w:val="495965"/>
        </w:rPr>
        <w:t xml:space="preserve">Schedule 2 chemicals can also be used as chemical weapons, or manufactured into chemical weapons, but they also have some legitimate application outside chemical warfare. </w:t>
      </w:r>
    </w:p>
    <w:p w14:paraId="1D352B9E" w14:textId="64D44529" w:rsidR="00BB1B0F" w:rsidRPr="00816F67" w:rsidRDefault="00BB1B0F" w:rsidP="00BB1B0F">
      <w:pPr>
        <w:pStyle w:val="ListParagraph"/>
        <w:numPr>
          <w:ilvl w:val="0"/>
          <w:numId w:val="36"/>
        </w:numPr>
        <w:tabs>
          <w:tab w:val="left" w:pos="709"/>
        </w:tabs>
        <w:rPr>
          <w:rFonts w:ascii="Calibri Light" w:eastAsia="Calibri Light" w:hAnsi="Calibri Light" w:cs="Times New Roman"/>
          <w:color w:val="495965"/>
        </w:rPr>
      </w:pPr>
      <w:r w:rsidRPr="00816F67">
        <w:rPr>
          <w:rFonts w:ascii="Calibri Light" w:eastAsia="Calibri Light" w:hAnsi="Calibri Light" w:cs="Times New Roman"/>
          <w:color w:val="495965"/>
        </w:rPr>
        <w:t xml:space="preserve">Schedule 3 chemicals can be used as toxic chemical weapons, or used in the manufacture of chemical weapons, but have legitimate large-scale industrial use. </w:t>
      </w:r>
    </w:p>
    <w:p w14:paraId="1BD7069F" w14:textId="08F50F05" w:rsidR="00BB1B0F" w:rsidRPr="00816F67" w:rsidRDefault="00BB1B0F" w:rsidP="00BB1B0F">
      <w:pPr>
        <w:pStyle w:val="ListParagraph"/>
        <w:numPr>
          <w:ilvl w:val="0"/>
          <w:numId w:val="36"/>
        </w:numPr>
        <w:tabs>
          <w:tab w:val="left" w:pos="709"/>
        </w:tabs>
        <w:rPr>
          <w:rFonts w:ascii="Calibri Light" w:eastAsia="Calibri Light" w:hAnsi="Calibri Light" w:cs="Times New Roman"/>
          <w:color w:val="495965"/>
        </w:rPr>
      </w:pPr>
      <w:r w:rsidRPr="00816F67">
        <w:rPr>
          <w:rFonts w:ascii="Calibri Light" w:eastAsia="Calibri Light" w:hAnsi="Calibri Light" w:cs="Times New Roman"/>
          <w:color w:val="495965"/>
        </w:rPr>
        <w:t>Facilities that produce Discrete Organic Chemicals can also be inspected as the facilities could be used to produce chemical weapons</w:t>
      </w:r>
      <w:r w:rsidR="00643E45">
        <w:rPr>
          <w:rFonts w:ascii="Calibri Light" w:eastAsia="Calibri Light" w:hAnsi="Calibri Light" w:cs="Times New Roman"/>
          <w:color w:val="495965"/>
        </w:rPr>
        <w:t xml:space="preserve"> or chemical weapons precursors</w:t>
      </w:r>
      <w:r w:rsidRPr="00816F67">
        <w:rPr>
          <w:rFonts w:ascii="Calibri Light" w:eastAsia="Calibri Light" w:hAnsi="Calibri Light" w:cs="Times New Roman"/>
          <w:color w:val="495965"/>
        </w:rPr>
        <w:t xml:space="preserve">. </w:t>
      </w:r>
    </w:p>
    <w:p w14:paraId="42151401" w14:textId="60DF75A1" w:rsidR="00F12449" w:rsidRDefault="00F12449" w:rsidP="002A5904">
      <w:pPr>
        <w:tabs>
          <w:tab w:val="left" w:pos="709"/>
        </w:tabs>
      </w:pPr>
      <w:r w:rsidRPr="00F12449">
        <w:t>In addition, the CWC includes a catch-all which prohibits the use of any toxic chemical as a weapon, even if it is not specifically listed in the CWC Schedules. This catch-all is particularly important for chemicals that can be used as a weapon</w:t>
      </w:r>
      <w:r w:rsidR="00BA564D">
        <w:t>,</w:t>
      </w:r>
      <w:r w:rsidRPr="00F12449">
        <w:t xml:space="preserve"> but are used widely and legitimately in industry, meaning regulation of these chemicals would be impractical and potentially harmful. Chlorine is the most common example, as it has been used as a chemical weapon, but also improves world health in its global use as a disinfectant.</w:t>
      </w:r>
    </w:p>
    <w:p w14:paraId="313A4FEC" w14:textId="707BE0C2" w:rsidR="00E63805" w:rsidRDefault="00E7712A" w:rsidP="002A5904">
      <w:pPr>
        <w:tabs>
          <w:tab w:val="left" w:pos="709"/>
        </w:tabs>
        <w:rPr>
          <w:rFonts w:ascii="Calibri Light" w:eastAsia="Calibri Light" w:hAnsi="Calibri Light" w:cs="Times New Roman"/>
          <w:color w:val="495965"/>
        </w:rPr>
      </w:pPr>
      <w:r w:rsidRPr="00E63805">
        <w:rPr>
          <w:rFonts w:ascii="Calibri Light" w:eastAsia="Calibri Light" w:hAnsi="Calibri Light" w:cs="Times New Roman"/>
          <w:color w:val="495965"/>
        </w:rPr>
        <w:t xml:space="preserve">The IAEA </w:t>
      </w:r>
      <w:r w:rsidR="00E63805" w:rsidRPr="00E63805">
        <w:rPr>
          <w:rFonts w:ascii="Calibri Light" w:eastAsia="Calibri Light" w:hAnsi="Calibri Light" w:cs="Times New Roman"/>
          <w:color w:val="495965"/>
        </w:rPr>
        <w:t xml:space="preserve">also </w:t>
      </w:r>
      <w:r w:rsidRPr="00E63805">
        <w:rPr>
          <w:rFonts w:ascii="Calibri Light" w:eastAsia="Calibri Light" w:hAnsi="Calibri Light" w:cs="Times New Roman"/>
          <w:color w:val="495965"/>
        </w:rPr>
        <w:t>recognise</w:t>
      </w:r>
      <w:r w:rsidR="00F12449">
        <w:rPr>
          <w:rFonts w:ascii="Calibri Light" w:eastAsia="Calibri Light" w:hAnsi="Calibri Light" w:cs="Times New Roman"/>
          <w:color w:val="495965"/>
        </w:rPr>
        <w:t>s</w:t>
      </w:r>
      <w:r w:rsidRPr="00E63805">
        <w:rPr>
          <w:rFonts w:ascii="Calibri Light" w:eastAsia="Calibri Light" w:hAnsi="Calibri Light" w:cs="Times New Roman"/>
          <w:color w:val="495965"/>
        </w:rPr>
        <w:t xml:space="preserve"> </w:t>
      </w:r>
      <w:r w:rsidR="00E63805" w:rsidRPr="00E63805">
        <w:rPr>
          <w:rFonts w:ascii="Calibri Light" w:eastAsia="Calibri Light" w:hAnsi="Calibri Light" w:cs="Times New Roman"/>
          <w:color w:val="495965"/>
        </w:rPr>
        <w:t>that different nuclear material and nuclear facilities represent different</w:t>
      </w:r>
      <w:r w:rsidR="009D7F78">
        <w:rPr>
          <w:rFonts w:ascii="Calibri Light" w:eastAsia="Calibri Light" w:hAnsi="Calibri Light" w:cs="Times New Roman"/>
          <w:color w:val="495965"/>
        </w:rPr>
        <w:t xml:space="preserve"> levels of</w:t>
      </w:r>
      <w:r w:rsidR="00E63805" w:rsidRPr="00E63805">
        <w:rPr>
          <w:rFonts w:ascii="Calibri Light" w:eastAsia="Calibri Light" w:hAnsi="Calibri Light" w:cs="Times New Roman"/>
          <w:color w:val="495965"/>
        </w:rPr>
        <w:t xml:space="preserve"> risk and </w:t>
      </w:r>
      <w:r w:rsidR="00F12449">
        <w:rPr>
          <w:rFonts w:ascii="Calibri Light" w:eastAsia="Calibri Light" w:hAnsi="Calibri Light" w:cs="Times New Roman"/>
          <w:color w:val="495965"/>
        </w:rPr>
        <w:t xml:space="preserve">so </w:t>
      </w:r>
      <w:r w:rsidR="00E63805" w:rsidRPr="00E63805">
        <w:rPr>
          <w:rFonts w:ascii="Calibri Light" w:eastAsia="Calibri Light" w:hAnsi="Calibri Light" w:cs="Times New Roman"/>
          <w:color w:val="495965"/>
        </w:rPr>
        <w:t>ha</w:t>
      </w:r>
      <w:r w:rsidR="00F12449">
        <w:rPr>
          <w:rFonts w:ascii="Calibri Light" w:eastAsia="Calibri Light" w:hAnsi="Calibri Light" w:cs="Times New Roman"/>
          <w:color w:val="495965"/>
        </w:rPr>
        <w:t>s</w:t>
      </w:r>
      <w:r w:rsidR="00E63805" w:rsidRPr="00E63805">
        <w:rPr>
          <w:rFonts w:ascii="Calibri Light" w:eastAsia="Calibri Light" w:hAnsi="Calibri Light" w:cs="Times New Roman"/>
          <w:color w:val="495965"/>
        </w:rPr>
        <w:t xml:space="preserve"> a </w:t>
      </w:r>
      <w:r w:rsidR="00120FCF">
        <w:rPr>
          <w:rFonts w:ascii="Calibri Light" w:eastAsia="Calibri Light" w:hAnsi="Calibri Light" w:cs="Times New Roman"/>
          <w:color w:val="495965"/>
        </w:rPr>
        <w:t xml:space="preserve">well-established </w:t>
      </w:r>
      <w:r w:rsidR="00E63805" w:rsidRPr="00E63805">
        <w:rPr>
          <w:rFonts w:ascii="Calibri Light" w:eastAsia="Calibri Light" w:hAnsi="Calibri Light" w:cs="Times New Roman"/>
          <w:color w:val="495965"/>
        </w:rPr>
        <w:t>framework that provide</w:t>
      </w:r>
      <w:r w:rsidR="00F12449">
        <w:rPr>
          <w:rFonts w:ascii="Calibri Light" w:eastAsia="Calibri Light" w:hAnsi="Calibri Light" w:cs="Times New Roman"/>
          <w:color w:val="495965"/>
        </w:rPr>
        <w:t>s</w:t>
      </w:r>
      <w:r w:rsidR="00E63805" w:rsidRPr="00E63805">
        <w:rPr>
          <w:rFonts w:ascii="Calibri Light" w:eastAsia="Calibri Light" w:hAnsi="Calibri Light" w:cs="Times New Roman"/>
          <w:color w:val="495965"/>
        </w:rPr>
        <w:t xml:space="preserve"> a proportionate response to </w:t>
      </w:r>
      <w:r w:rsidR="00F12449">
        <w:rPr>
          <w:rFonts w:ascii="Calibri Light" w:eastAsia="Calibri Light" w:hAnsi="Calibri Light" w:cs="Times New Roman"/>
          <w:color w:val="495965"/>
        </w:rPr>
        <w:t>each</w:t>
      </w:r>
      <w:r w:rsidR="00E63805" w:rsidRPr="00E63805">
        <w:rPr>
          <w:rFonts w:ascii="Calibri Light" w:eastAsia="Calibri Light" w:hAnsi="Calibri Light" w:cs="Times New Roman"/>
          <w:color w:val="495965"/>
        </w:rPr>
        <w:t xml:space="preserve"> </w:t>
      </w:r>
      <w:r w:rsidR="009D7F78">
        <w:rPr>
          <w:rFonts w:ascii="Calibri Light" w:eastAsia="Calibri Light" w:hAnsi="Calibri Light" w:cs="Times New Roman"/>
          <w:color w:val="495965"/>
        </w:rPr>
        <w:t xml:space="preserve">level of </w:t>
      </w:r>
      <w:r w:rsidR="00E63805" w:rsidRPr="00E63805">
        <w:rPr>
          <w:rFonts w:ascii="Calibri Light" w:eastAsia="Calibri Light" w:hAnsi="Calibri Light" w:cs="Times New Roman"/>
          <w:color w:val="495965"/>
        </w:rPr>
        <w:t xml:space="preserve">risk. For example, the IAEA defines a </w:t>
      </w:r>
      <w:r w:rsidR="00F463E2" w:rsidRPr="00F12449">
        <w:rPr>
          <w:rFonts w:ascii="Calibri Light" w:eastAsia="Calibri Light" w:hAnsi="Calibri Light" w:cs="Times New Roman"/>
          <w:i/>
          <w:iCs/>
          <w:color w:val="495965"/>
        </w:rPr>
        <w:t>S</w:t>
      </w:r>
      <w:r w:rsidR="00E63805" w:rsidRPr="00F12449">
        <w:rPr>
          <w:rFonts w:ascii="Calibri Light" w:eastAsia="Calibri Light" w:hAnsi="Calibri Light" w:cs="Times New Roman"/>
          <w:i/>
          <w:iCs/>
          <w:color w:val="495965"/>
        </w:rPr>
        <w:t xml:space="preserve">ignificant </w:t>
      </w:r>
      <w:r w:rsidR="00F463E2" w:rsidRPr="00F12449">
        <w:rPr>
          <w:rFonts w:ascii="Calibri Light" w:eastAsia="Calibri Light" w:hAnsi="Calibri Light" w:cs="Times New Roman"/>
          <w:i/>
          <w:iCs/>
          <w:color w:val="495965"/>
        </w:rPr>
        <w:t>Q</w:t>
      </w:r>
      <w:r w:rsidR="00E63805" w:rsidRPr="00F12449">
        <w:rPr>
          <w:rFonts w:ascii="Calibri Light" w:eastAsia="Calibri Light" w:hAnsi="Calibri Light" w:cs="Times New Roman"/>
          <w:i/>
          <w:iCs/>
          <w:color w:val="495965"/>
        </w:rPr>
        <w:t>uantity</w:t>
      </w:r>
      <w:r w:rsidR="00E63805" w:rsidRPr="00E63805">
        <w:rPr>
          <w:rFonts w:ascii="Calibri Light" w:eastAsia="Calibri Light" w:hAnsi="Calibri Light" w:cs="Times New Roman"/>
          <w:color w:val="495965"/>
        </w:rPr>
        <w:t xml:space="preserve"> </w:t>
      </w:r>
      <w:r w:rsidR="00F463E2">
        <w:rPr>
          <w:rFonts w:ascii="Calibri Light" w:eastAsia="Calibri Light" w:hAnsi="Calibri Light" w:cs="Times New Roman"/>
          <w:color w:val="495965"/>
        </w:rPr>
        <w:t xml:space="preserve">as </w:t>
      </w:r>
      <w:r w:rsidR="00E63805" w:rsidRPr="00E63805">
        <w:rPr>
          <w:rFonts w:ascii="Calibri Light" w:eastAsia="Calibri Light" w:hAnsi="Calibri Light" w:cs="Times New Roman"/>
          <w:color w:val="495965"/>
        </w:rPr>
        <w:t>the approximate amount of nuclear material for which the possibility of manufacturing a nuclear explosive device cannot be excluded</w:t>
      </w:r>
      <w:r w:rsidR="00E63805">
        <w:rPr>
          <w:rStyle w:val="FootnoteReference"/>
          <w:rFonts w:ascii="Calibri Light" w:eastAsia="Calibri Light" w:hAnsi="Calibri Light" w:cs="Times New Roman"/>
          <w:color w:val="495965"/>
        </w:rPr>
        <w:footnoteReference w:id="8"/>
      </w:r>
      <w:r w:rsidR="00F463E2">
        <w:rPr>
          <w:rFonts w:ascii="Calibri Light" w:eastAsia="Calibri Light" w:hAnsi="Calibri Light" w:cs="Times New Roman"/>
          <w:color w:val="495965"/>
        </w:rPr>
        <w:t>. It</w:t>
      </w:r>
      <w:r w:rsidR="00510E29">
        <w:rPr>
          <w:rFonts w:ascii="Calibri Light" w:eastAsia="Calibri Light" w:hAnsi="Calibri Light" w:cs="Times New Roman"/>
          <w:color w:val="495965"/>
        </w:rPr>
        <w:t xml:space="preserve"> would be of great concern</w:t>
      </w:r>
      <w:r w:rsidR="00F12449">
        <w:rPr>
          <w:rFonts w:ascii="Calibri Light" w:eastAsia="Calibri Light" w:hAnsi="Calibri Light" w:cs="Times New Roman"/>
          <w:color w:val="495965"/>
        </w:rPr>
        <w:t xml:space="preserve"> and risk</w:t>
      </w:r>
      <w:r w:rsidR="00510E29">
        <w:rPr>
          <w:rFonts w:ascii="Calibri Light" w:eastAsia="Calibri Light" w:hAnsi="Calibri Light" w:cs="Times New Roman"/>
          <w:color w:val="495965"/>
        </w:rPr>
        <w:t xml:space="preserve"> if </w:t>
      </w:r>
      <w:r w:rsidR="00F463E2">
        <w:rPr>
          <w:rFonts w:ascii="Calibri Light" w:eastAsia="Calibri Light" w:hAnsi="Calibri Light" w:cs="Times New Roman"/>
          <w:color w:val="495965"/>
        </w:rPr>
        <w:t>a Significant Quantit</w:t>
      </w:r>
      <w:r w:rsidR="00134E1E">
        <w:rPr>
          <w:rFonts w:ascii="Calibri Light" w:eastAsia="Calibri Light" w:hAnsi="Calibri Light" w:cs="Times New Roman"/>
          <w:color w:val="495965"/>
        </w:rPr>
        <w:t>y</w:t>
      </w:r>
      <w:r w:rsidR="00F463E2">
        <w:rPr>
          <w:rFonts w:ascii="Calibri Light" w:eastAsia="Calibri Light" w:hAnsi="Calibri Light" w:cs="Times New Roman"/>
          <w:color w:val="495965"/>
        </w:rPr>
        <w:t xml:space="preserve"> of</w:t>
      </w:r>
      <w:r w:rsidR="00510E29">
        <w:rPr>
          <w:rFonts w:ascii="Calibri Light" w:eastAsia="Calibri Light" w:hAnsi="Calibri Light" w:cs="Times New Roman"/>
          <w:color w:val="495965"/>
        </w:rPr>
        <w:t xml:space="preserve"> nuclear material could not be inspected and verified by the IAEA. </w:t>
      </w:r>
      <w:r w:rsidR="00120FCF">
        <w:rPr>
          <w:rFonts w:ascii="Calibri Light" w:eastAsia="Calibri Light" w:hAnsi="Calibri Light" w:cs="Times New Roman"/>
          <w:color w:val="495965"/>
        </w:rPr>
        <w:t xml:space="preserve">Significant </w:t>
      </w:r>
      <w:r w:rsidR="00F463E2">
        <w:rPr>
          <w:rFonts w:ascii="Calibri Light" w:eastAsia="Calibri Light" w:hAnsi="Calibri Light" w:cs="Times New Roman"/>
          <w:color w:val="495965"/>
        </w:rPr>
        <w:t>Q</w:t>
      </w:r>
      <w:r w:rsidR="00120FCF">
        <w:rPr>
          <w:rFonts w:ascii="Calibri Light" w:eastAsia="Calibri Light" w:hAnsi="Calibri Light" w:cs="Times New Roman"/>
          <w:color w:val="495965"/>
        </w:rPr>
        <w:t xml:space="preserve">uantities vary greatly </w:t>
      </w:r>
      <w:r w:rsidR="00F463E2">
        <w:rPr>
          <w:rFonts w:ascii="Calibri Light" w:eastAsia="Calibri Light" w:hAnsi="Calibri Light" w:cs="Times New Roman"/>
          <w:color w:val="495965"/>
        </w:rPr>
        <w:t xml:space="preserve">for </w:t>
      </w:r>
      <w:r w:rsidR="002A5904">
        <w:rPr>
          <w:rFonts w:ascii="Calibri Light" w:eastAsia="Calibri Light" w:hAnsi="Calibri Light" w:cs="Times New Roman"/>
          <w:color w:val="495965"/>
        </w:rPr>
        <w:t>different types of nuclear material</w:t>
      </w:r>
      <w:r w:rsidR="00510E29">
        <w:rPr>
          <w:rFonts w:ascii="Calibri Light" w:eastAsia="Calibri Light" w:hAnsi="Calibri Light" w:cs="Times New Roman"/>
          <w:color w:val="495965"/>
        </w:rPr>
        <w:t>, ranging from 8 kg for plutonium</w:t>
      </w:r>
      <w:r w:rsidR="000F4509">
        <w:rPr>
          <w:rStyle w:val="FootnoteReference"/>
          <w:rFonts w:ascii="Calibri Light" w:eastAsia="Calibri Light" w:hAnsi="Calibri Light" w:cs="Times New Roman"/>
          <w:color w:val="495965"/>
        </w:rPr>
        <w:footnoteReference w:id="9"/>
      </w:r>
      <w:r w:rsidR="00510E29">
        <w:rPr>
          <w:rFonts w:ascii="Calibri Light" w:eastAsia="Calibri Light" w:hAnsi="Calibri Light" w:cs="Times New Roman"/>
          <w:color w:val="495965"/>
        </w:rPr>
        <w:t>, 25 kg for highly enrich uranium</w:t>
      </w:r>
      <w:r w:rsidR="000F4509">
        <w:rPr>
          <w:rStyle w:val="FootnoteReference"/>
          <w:rFonts w:ascii="Calibri Light" w:eastAsia="Calibri Light" w:hAnsi="Calibri Light" w:cs="Times New Roman"/>
          <w:color w:val="495965"/>
        </w:rPr>
        <w:footnoteReference w:id="10"/>
      </w:r>
      <w:r w:rsidR="00510E29">
        <w:rPr>
          <w:rFonts w:ascii="Calibri Light" w:eastAsia="Calibri Light" w:hAnsi="Calibri Light" w:cs="Times New Roman"/>
          <w:color w:val="495965"/>
        </w:rPr>
        <w:t>, 75 kg of low enriched uranium</w:t>
      </w:r>
      <w:r w:rsidR="000F4509">
        <w:rPr>
          <w:rStyle w:val="FootnoteReference"/>
          <w:rFonts w:ascii="Calibri Light" w:eastAsia="Calibri Light" w:hAnsi="Calibri Light" w:cs="Times New Roman"/>
          <w:color w:val="495965"/>
        </w:rPr>
        <w:footnoteReference w:id="11"/>
      </w:r>
      <w:r w:rsidR="00510E29">
        <w:rPr>
          <w:rFonts w:ascii="Calibri Light" w:eastAsia="Calibri Light" w:hAnsi="Calibri Light" w:cs="Times New Roman"/>
          <w:color w:val="495965"/>
        </w:rPr>
        <w:t xml:space="preserve">, 10 tonnes of natural or depleted </w:t>
      </w:r>
      <w:r w:rsidR="00510E29">
        <w:rPr>
          <w:rFonts w:ascii="Calibri Light" w:eastAsia="Calibri Light" w:hAnsi="Calibri Light" w:cs="Times New Roman"/>
          <w:color w:val="495965"/>
        </w:rPr>
        <w:lastRenderedPageBreak/>
        <w:t xml:space="preserve">uranium, and 20 tonnes for thorium. </w:t>
      </w:r>
      <w:r w:rsidR="000F4509">
        <w:rPr>
          <w:rFonts w:ascii="Calibri Light" w:eastAsia="Calibri Light" w:hAnsi="Calibri Light" w:cs="Times New Roman"/>
          <w:color w:val="495965"/>
        </w:rPr>
        <w:t xml:space="preserve">Significant </w:t>
      </w:r>
      <w:r w:rsidR="00F463E2">
        <w:rPr>
          <w:rFonts w:ascii="Calibri Light" w:eastAsia="Calibri Light" w:hAnsi="Calibri Light" w:cs="Times New Roman"/>
          <w:color w:val="495965"/>
        </w:rPr>
        <w:t>Q</w:t>
      </w:r>
      <w:r w:rsidR="000F4509">
        <w:rPr>
          <w:rFonts w:ascii="Calibri Light" w:eastAsia="Calibri Light" w:hAnsi="Calibri Light" w:cs="Times New Roman"/>
          <w:color w:val="495965"/>
        </w:rPr>
        <w:t xml:space="preserve">uantities </w:t>
      </w:r>
      <w:r w:rsidR="002A5904">
        <w:rPr>
          <w:rFonts w:ascii="Calibri Light" w:eastAsia="Calibri Light" w:hAnsi="Calibri Light" w:cs="Times New Roman"/>
          <w:color w:val="495965"/>
        </w:rPr>
        <w:t>are one of the metrics the IAEA used to establish</w:t>
      </w:r>
      <w:r w:rsidR="00E63805" w:rsidRPr="00E63805">
        <w:rPr>
          <w:rFonts w:ascii="Calibri Light" w:eastAsia="Calibri Light" w:hAnsi="Calibri Light" w:cs="Times New Roman"/>
          <w:color w:val="495965"/>
        </w:rPr>
        <w:t xml:space="preserve"> </w:t>
      </w:r>
      <w:r w:rsidR="002A5904">
        <w:rPr>
          <w:rFonts w:ascii="Calibri Light" w:eastAsia="Calibri Light" w:hAnsi="Calibri Light" w:cs="Times New Roman"/>
          <w:color w:val="495965"/>
        </w:rPr>
        <w:t>the frequency and type of reporting and inspection goals</w:t>
      </w:r>
      <w:r w:rsidR="00463CB3">
        <w:rPr>
          <w:rFonts w:ascii="Calibri Light" w:eastAsia="Calibri Light" w:hAnsi="Calibri Light" w:cs="Times New Roman"/>
          <w:color w:val="495965"/>
        </w:rPr>
        <w:t xml:space="preserve"> for state</w:t>
      </w:r>
      <w:r w:rsidR="00F12449">
        <w:rPr>
          <w:rFonts w:ascii="Calibri Light" w:eastAsia="Calibri Light" w:hAnsi="Calibri Light" w:cs="Times New Roman"/>
          <w:color w:val="495965"/>
        </w:rPr>
        <w:t>s</w:t>
      </w:r>
      <w:r w:rsidR="00463CB3">
        <w:rPr>
          <w:rFonts w:ascii="Calibri Light" w:eastAsia="Calibri Light" w:hAnsi="Calibri Light" w:cs="Times New Roman"/>
          <w:color w:val="495965"/>
        </w:rPr>
        <w:t>.</w:t>
      </w:r>
    </w:p>
    <w:p w14:paraId="69FA1B1C" w14:textId="2A610107" w:rsidR="00463CB3" w:rsidRDefault="002A5904" w:rsidP="002A5904">
      <w:pPr>
        <w:tabs>
          <w:tab w:val="left" w:pos="709"/>
        </w:tabs>
        <w:rPr>
          <w:rFonts w:ascii="Calibri Light" w:eastAsia="Calibri Light" w:hAnsi="Calibri Light" w:cs="Times New Roman"/>
          <w:color w:val="495965"/>
        </w:rPr>
      </w:pPr>
      <w:r>
        <w:rPr>
          <w:rFonts w:ascii="Calibri Light" w:eastAsia="Calibri Light" w:hAnsi="Calibri Light" w:cs="Times New Roman"/>
          <w:color w:val="495965"/>
        </w:rPr>
        <w:t xml:space="preserve">ASNO </w:t>
      </w:r>
      <w:r w:rsidR="00463CB3">
        <w:rPr>
          <w:rFonts w:ascii="Calibri Light" w:eastAsia="Calibri Light" w:hAnsi="Calibri Light" w:cs="Times New Roman"/>
          <w:color w:val="495965"/>
        </w:rPr>
        <w:t>has used a similar risk-</w:t>
      </w:r>
      <w:r w:rsidR="00134E1E">
        <w:rPr>
          <w:rFonts w:ascii="Calibri Light" w:eastAsia="Calibri Light" w:hAnsi="Calibri Light" w:cs="Times New Roman"/>
          <w:color w:val="495965"/>
        </w:rPr>
        <w:t>in</w:t>
      </w:r>
      <w:r w:rsidR="00463CB3">
        <w:rPr>
          <w:rFonts w:ascii="Calibri Light" w:eastAsia="Calibri Light" w:hAnsi="Calibri Light" w:cs="Times New Roman"/>
          <w:color w:val="495965"/>
        </w:rPr>
        <w:t xml:space="preserve">formed approach in the </w:t>
      </w:r>
      <w:r>
        <w:rPr>
          <w:rFonts w:ascii="Calibri Light" w:eastAsia="Calibri Light" w:hAnsi="Calibri Light" w:cs="Times New Roman"/>
          <w:color w:val="495965"/>
        </w:rPr>
        <w:t>develop</w:t>
      </w:r>
      <w:r w:rsidR="00463CB3">
        <w:rPr>
          <w:rFonts w:ascii="Calibri Light" w:eastAsia="Calibri Light" w:hAnsi="Calibri Light" w:cs="Times New Roman"/>
          <w:color w:val="495965"/>
        </w:rPr>
        <w:t xml:space="preserve">ment of </w:t>
      </w:r>
      <w:r w:rsidR="00134E1E">
        <w:rPr>
          <w:rFonts w:ascii="Calibri Light" w:eastAsia="Calibri Light" w:hAnsi="Calibri Light" w:cs="Times New Roman"/>
          <w:color w:val="495965"/>
        </w:rPr>
        <w:t>its</w:t>
      </w:r>
      <w:r w:rsidR="00463CB3">
        <w:rPr>
          <w:rFonts w:ascii="Calibri Light" w:eastAsia="Calibri Light" w:hAnsi="Calibri Light" w:cs="Times New Roman"/>
          <w:color w:val="495965"/>
        </w:rPr>
        <w:t xml:space="preserve"> template permits and compliance codes, where the </w:t>
      </w:r>
      <w:r w:rsidR="00EE3D37">
        <w:rPr>
          <w:rFonts w:ascii="Calibri Light" w:eastAsia="Calibri Light" w:hAnsi="Calibri Light" w:cs="Times New Roman"/>
          <w:color w:val="495965"/>
        </w:rPr>
        <w:t>nature</w:t>
      </w:r>
      <w:r w:rsidR="00463CB3">
        <w:rPr>
          <w:rFonts w:ascii="Calibri Light" w:eastAsia="Calibri Light" w:hAnsi="Calibri Light" w:cs="Times New Roman"/>
          <w:color w:val="495965"/>
        </w:rPr>
        <w:t xml:space="preserve"> of </w:t>
      </w:r>
      <w:r w:rsidR="00EE3D37">
        <w:rPr>
          <w:rFonts w:ascii="Calibri Light" w:eastAsia="Calibri Light" w:hAnsi="Calibri Light" w:cs="Times New Roman"/>
          <w:color w:val="495965"/>
        </w:rPr>
        <w:t xml:space="preserve">the </w:t>
      </w:r>
      <w:r w:rsidR="00463CB3">
        <w:rPr>
          <w:rFonts w:ascii="Calibri Light" w:eastAsia="Calibri Light" w:hAnsi="Calibri Light" w:cs="Times New Roman"/>
          <w:color w:val="495965"/>
        </w:rPr>
        <w:t xml:space="preserve">conditions that are applied </w:t>
      </w:r>
      <w:r w:rsidR="0062231E">
        <w:rPr>
          <w:rFonts w:ascii="Calibri Light" w:eastAsia="Calibri Light" w:hAnsi="Calibri Light" w:cs="Times New Roman"/>
          <w:color w:val="495965"/>
        </w:rPr>
        <w:t>increase</w:t>
      </w:r>
      <w:r w:rsidR="00463CB3">
        <w:rPr>
          <w:rFonts w:ascii="Calibri Light" w:eastAsia="Calibri Light" w:hAnsi="Calibri Light" w:cs="Times New Roman"/>
          <w:color w:val="495965"/>
        </w:rPr>
        <w:t xml:space="preserve"> </w:t>
      </w:r>
      <w:r w:rsidR="00EE3D37">
        <w:rPr>
          <w:rFonts w:ascii="Calibri Light" w:eastAsia="Calibri Light" w:hAnsi="Calibri Light" w:cs="Times New Roman"/>
          <w:color w:val="495965"/>
        </w:rPr>
        <w:t xml:space="preserve">in stringency </w:t>
      </w:r>
      <w:r w:rsidR="00463CB3">
        <w:rPr>
          <w:rFonts w:ascii="Calibri Light" w:eastAsia="Calibri Light" w:hAnsi="Calibri Light" w:cs="Times New Roman"/>
          <w:color w:val="495965"/>
        </w:rPr>
        <w:t>depend</w:t>
      </w:r>
      <w:r w:rsidR="0062231E">
        <w:rPr>
          <w:rFonts w:ascii="Calibri Light" w:eastAsia="Calibri Light" w:hAnsi="Calibri Light" w:cs="Times New Roman"/>
          <w:color w:val="495965"/>
        </w:rPr>
        <w:t>ing</w:t>
      </w:r>
      <w:r w:rsidR="00463CB3">
        <w:rPr>
          <w:rFonts w:ascii="Calibri Light" w:eastAsia="Calibri Light" w:hAnsi="Calibri Light" w:cs="Times New Roman"/>
          <w:color w:val="495965"/>
        </w:rPr>
        <w:t xml:space="preserve"> on the type and amount of material held by the permit holder.</w:t>
      </w:r>
      <w:r w:rsidR="003437E2">
        <w:rPr>
          <w:rFonts w:ascii="Calibri Light" w:eastAsia="Calibri Light" w:hAnsi="Calibri Light" w:cs="Times New Roman"/>
          <w:color w:val="495965"/>
        </w:rPr>
        <w:t xml:space="preserve"> </w:t>
      </w:r>
      <w:r w:rsidR="00463CB3">
        <w:rPr>
          <w:rFonts w:ascii="Calibri Light" w:eastAsia="Calibri Light" w:hAnsi="Calibri Light" w:cs="Times New Roman"/>
          <w:color w:val="495965"/>
        </w:rPr>
        <w:t>For example, the three</w:t>
      </w:r>
      <w:r w:rsidR="0062231E">
        <w:rPr>
          <w:rFonts w:ascii="Calibri Light" w:eastAsia="Calibri Light" w:hAnsi="Calibri Light" w:cs="Times New Roman"/>
          <w:color w:val="495965"/>
        </w:rPr>
        <w:t xml:space="preserve"> levels for Class-L permits</w:t>
      </w:r>
      <w:r w:rsidR="00134E1E">
        <w:rPr>
          <w:rFonts w:ascii="Calibri Light" w:eastAsia="Calibri Light" w:hAnsi="Calibri Light" w:cs="Times New Roman"/>
          <w:color w:val="495965"/>
        </w:rPr>
        <w:t xml:space="preserve"> are outlined below:</w:t>
      </w:r>
      <w:r w:rsidR="00463CB3">
        <w:rPr>
          <w:rFonts w:ascii="Calibri Light" w:eastAsia="Calibri Light" w:hAnsi="Calibri Light" w:cs="Times New Roman"/>
          <w:color w:val="495965"/>
        </w:rPr>
        <w:t xml:space="preserve"> </w:t>
      </w:r>
    </w:p>
    <w:p w14:paraId="65B76CAC" w14:textId="77777777" w:rsidR="0062231E" w:rsidRDefault="0062231E" w:rsidP="002A5904">
      <w:pPr>
        <w:tabs>
          <w:tab w:val="left" w:pos="709"/>
        </w:tabs>
        <w:rPr>
          <w:rFonts w:ascii="Calibri Light" w:eastAsia="Calibri Light" w:hAnsi="Calibri Light" w:cs="Times New Roman"/>
          <w:color w:val="495965"/>
        </w:rPr>
      </w:pPr>
    </w:p>
    <w:tbl>
      <w:tblPr>
        <w:tblW w:w="8214" w:type="dxa"/>
        <w:shd w:val="clear" w:color="auto" w:fill="FFFFFF"/>
        <w:tblCellMar>
          <w:top w:w="15" w:type="dxa"/>
          <w:left w:w="15" w:type="dxa"/>
          <w:bottom w:w="15" w:type="dxa"/>
          <w:right w:w="15" w:type="dxa"/>
        </w:tblCellMar>
        <w:tblLook w:val="04A0" w:firstRow="1" w:lastRow="0" w:firstColumn="1" w:lastColumn="0" w:noHBand="0" w:noVBand="1"/>
      </w:tblPr>
      <w:tblGrid>
        <w:gridCol w:w="843"/>
        <w:gridCol w:w="2977"/>
        <w:gridCol w:w="4394"/>
      </w:tblGrid>
      <w:tr w:rsidR="00FA552E" w:rsidRPr="00FA552E" w14:paraId="7B9A174B" w14:textId="77777777" w:rsidTr="00FA552E">
        <w:trPr>
          <w:tblHeader/>
        </w:trPr>
        <w:tc>
          <w:tcPr>
            <w:tcW w:w="843" w:type="dxa"/>
            <w:tcBorders>
              <w:top w:val="single" w:sz="6" w:space="0" w:color="D5D5D5"/>
              <w:left w:val="single" w:sz="6" w:space="0" w:color="D5D5D5"/>
              <w:bottom w:val="single" w:sz="6" w:space="0" w:color="D5D5D5"/>
              <w:right w:val="single" w:sz="6" w:space="0" w:color="D5D5D5"/>
            </w:tcBorders>
            <w:shd w:val="clear" w:color="auto" w:fill="65C5B4" w:themeFill="accent1"/>
            <w:vAlign w:val="center"/>
            <w:hideMark/>
          </w:tcPr>
          <w:p w14:paraId="3B365D09" w14:textId="77777777" w:rsidR="00FA552E" w:rsidRPr="00FA552E" w:rsidRDefault="00FA552E" w:rsidP="00FA552E">
            <w:pPr>
              <w:spacing w:after="120"/>
              <w:jc w:val="center"/>
              <w:rPr>
                <w:b/>
                <w:bCs/>
                <w:szCs w:val="24"/>
              </w:rPr>
            </w:pPr>
            <w:r w:rsidRPr="00FA552E">
              <w:rPr>
                <w:b/>
                <w:bCs/>
                <w:szCs w:val="24"/>
              </w:rPr>
              <w:t>Class</w:t>
            </w:r>
          </w:p>
        </w:tc>
        <w:tc>
          <w:tcPr>
            <w:tcW w:w="2977" w:type="dxa"/>
            <w:tcBorders>
              <w:top w:val="single" w:sz="6" w:space="0" w:color="D5D5D5"/>
              <w:left w:val="single" w:sz="6" w:space="0" w:color="D5D5D5"/>
              <w:bottom w:val="single" w:sz="6" w:space="0" w:color="D5D5D5"/>
              <w:right w:val="single" w:sz="6" w:space="0" w:color="D5D5D5"/>
            </w:tcBorders>
            <w:shd w:val="clear" w:color="auto" w:fill="65C5B4" w:themeFill="accent1"/>
            <w:vAlign w:val="center"/>
            <w:hideMark/>
          </w:tcPr>
          <w:p w14:paraId="2F9BE7F4" w14:textId="77777777" w:rsidR="00FA552E" w:rsidRPr="00FA552E" w:rsidRDefault="00FA552E" w:rsidP="00FA552E">
            <w:pPr>
              <w:spacing w:after="120"/>
              <w:jc w:val="center"/>
              <w:rPr>
                <w:b/>
                <w:bCs/>
                <w:szCs w:val="24"/>
              </w:rPr>
            </w:pPr>
            <w:r w:rsidRPr="00FA552E">
              <w:rPr>
                <w:b/>
                <w:bCs/>
                <w:szCs w:val="24"/>
              </w:rPr>
              <w:t>Name</w:t>
            </w:r>
          </w:p>
        </w:tc>
        <w:tc>
          <w:tcPr>
            <w:tcW w:w="4394" w:type="dxa"/>
            <w:tcBorders>
              <w:top w:val="single" w:sz="6" w:space="0" w:color="D5D5D5"/>
              <w:left w:val="single" w:sz="6" w:space="0" w:color="D5D5D5"/>
              <w:bottom w:val="single" w:sz="6" w:space="0" w:color="D5D5D5"/>
              <w:right w:val="single" w:sz="6" w:space="0" w:color="D5D5D5"/>
            </w:tcBorders>
            <w:shd w:val="clear" w:color="auto" w:fill="65C5B4" w:themeFill="accent1"/>
            <w:vAlign w:val="center"/>
            <w:hideMark/>
          </w:tcPr>
          <w:p w14:paraId="0B1E52A3" w14:textId="77777777" w:rsidR="00FA552E" w:rsidRPr="00FA552E" w:rsidRDefault="00FA552E" w:rsidP="00FA552E">
            <w:pPr>
              <w:spacing w:after="120"/>
              <w:jc w:val="center"/>
              <w:rPr>
                <w:b/>
                <w:bCs/>
                <w:szCs w:val="24"/>
              </w:rPr>
            </w:pPr>
            <w:r w:rsidRPr="00FA552E">
              <w:rPr>
                <w:b/>
                <w:bCs/>
                <w:szCs w:val="24"/>
              </w:rPr>
              <w:t>User-Type</w:t>
            </w:r>
          </w:p>
        </w:tc>
      </w:tr>
      <w:tr w:rsidR="00FA552E" w14:paraId="7E389709" w14:textId="77777777" w:rsidTr="00FA552E">
        <w:tc>
          <w:tcPr>
            <w:tcW w:w="843" w:type="dxa"/>
            <w:tcBorders>
              <w:top w:val="single" w:sz="6" w:space="0" w:color="D5D5D5"/>
              <w:left w:val="single" w:sz="6" w:space="0" w:color="D5D5D5"/>
              <w:bottom w:val="single" w:sz="6" w:space="0" w:color="D5D5D5"/>
              <w:right w:val="single" w:sz="6" w:space="0" w:color="D5D5D5"/>
            </w:tcBorders>
            <w:shd w:val="clear" w:color="auto" w:fill="FFFFFF"/>
            <w:vAlign w:val="center"/>
            <w:hideMark/>
          </w:tcPr>
          <w:p w14:paraId="617C9D18" w14:textId="77777777" w:rsidR="00FA552E" w:rsidRPr="00FA552E" w:rsidRDefault="00FA552E">
            <w:pPr>
              <w:rPr>
                <w:rFonts w:ascii="Calibri Light" w:eastAsia="Calibri Light" w:hAnsi="Calibri Light" w:cs="Times New Roman"/>
                <w:color w:val="495965"/>
              </w:rPr>
            </w:pPr>
            <w:r w:rsidRPr="00FA552E">
              <w:rPr>
                <w:rFonts w:ascii="Calibri Light" w:eastAsia="Calibri Light" w:hAnsi="Calibri Light" w:cs="Times New Roman"/>
                <w:color w:val="495965"/>
              </w:rPr>
              <w:t>L1</w:t>
            </w:r>
          </w:p>
        </w:tc>
        <w:tc>
          <w:tcPr>
            <w:tcW w:w="2977" w:type="dxa"/>
            <w:tcBorders>
              <w:top w:val="single" w:sz="6" w:space="0" w:color="D5D5D5"/>
              <w:left w:val="single" w:sz="6" w:space="0" w:color="D5D5D5"/>
              <w:bottom w:val="single" w:sz="6" w:space="0" w:color="D5D5D5"/>
              <w:right w:val="single" w:sz="6" w:space="0" w:color="D5D5D5"/>
            </w:tcBorders>
            <w:shd w:val="clear" w:color="auto" w:fill="FFFFFF"/>
            <w:vAlign w:val="center"/>
            <w:hideMark/>
          </w:tcPr>
          <w:p w14:paraId="04A37D83" w14:textId="77777777" w:rsidR="00FA552E" w:rsidRPr="00FA552E" w:rsidRDefault="00FA552E">
            <w:pPr>
              <w:rPr>
                <w:rFonts w:ascii="Calibri Light" w:eastAsia="Calibri Light" w:hAnsi="Calibri Light" w:cs="Times New Roman"/>
                <w:color w:val="495965"/>
              </w:rPr>
            </w:pPr>
            <w:r w:rsidRPr="00FA552E">
              <w:rPr>
                <w:rFonts w:ascii="Calibri Light" w:eastAsia="Calibri Light" w:hAnsi="Calibri Light" w:cs="Times New Roman"/>
                <w:color w:val="495965"/>
              </w:rPr>
              <w:t>LOF Very Low Quantity</w:t>
            </w:r>
          </w:p>
        </w:tc>
        <w:tc>
          <w:tcPr>
            <w:tcW w:w="4394" w:type="dxa"/>
            <w:tcBorders>
              <w:top w:val="single" w:sz="6" w:space="0" w:color="D5D5D5"/>
              <w:left w:val="single" w:sz="6" w:space="0" w:color="D5D5D5"/>
              <w:bottom w:val="single" w:sz="6" w:space="0" w:color="D5D5D5"/>
              <w:right w:val="single" w:sz="6" w:space="0" w:color="D5D5D5"/>
            </w:tcBorders>
            <w:shd w:val="clear" w:color="auto" w:fill="FFFFFF"/>
            <w:vAlign w:val="center"/>
            <w:hideMark/>
          </w:tcPr>
          <w:p w14:paraId="0F12AB43" w14:textId="4D052D19" w:rsidR="00FA552E" w:rsidRPr="00FA552E" w:rsidRDefault="00FA552E">
            <w:pPr>
              <w:rPr>
                <w:rFonts w:ascii="Calibri Light" w:eastAsia="Calibri Light" w:hAnsi="Calibri Light" w:cs="Times New Roman"/>
                <w:color w:val="495965"/>
              </w:rPr>
            </w:pPr>
            <w:r w:rsidRPr="00FA552E">
              <w:rPr>
                <w:rFonts w:ascii="Calibri Light" w:eastAsia="Calibri Light" w:hAnsi="Calibri Light" w:cs="Times New Roman"/>
                <w:color w:val="495965"/>
              </w:rPr>
              <w:t>Less than 10 kg source material</w:t>
            </w:r>
            <w:r>
              <w:rPr>
                <w:rStyle w:val="FootnoteReference"/>
                <w:rFonts w:ascii="Calibri Light" w:eastAsia="Calibri Light" w:hAnsi="Calibri Light" w:cs="Times New Roman"/>
                <w:color w:val="495965"/>
              </w:rPr>
              <w:footnoteReference w:id="12"/>
            </w:r>
            <w:r w:rsidRPr="00FA552E">
              <w:rPr>
                <w:rFonts w:ascii="Calibri Light" w:eastAsia="Calibri Light" w:hAnsi="Calibri Light" w:cs="Times New Roman"/>
                <w:color w:val="495965"/>
              </w:rPr>
              <w:t xml:space="preserve"> and</w:t>
            </w:r>
            <w:r w:rsidRPr="00FA552E">
              <w:rPr>
                <w:rFonts w:ascii="Calibri Light" w:eastAsia="Calibri Light" w:hAnsi="Calibri Light" w:cs="Times New Roman"/>
                <w:color w:val="495965"/>
              </w:rPr>
              <w:br/>
              <w:t>Less than 1 g special fissional material</w:t>
            </w:r>
            <w:r>
              <w:rPr>
                <w:rStyle w:val="FootnoteReference"/>
                <w:rFonts w:ascii="Calibri Light" w:eastAsia="Calibri Light" w:hAnsi="Calibri Light" w:cs="Times New Roman"/>
                <w:color w:val="495965"/>
              </w:rPr>
              <w:footnoteReference w:id="13"/>
            </w:r>
          </w:p>
        </w:tc>
      </w:tr>
      <w:tr w:rsidR="00FA552E" w14:paraId="031B9F86" w14:textId="77777777" w:rsidTr="00FA552E">
        <w:tc>
          <w:tcPr>
            <w:tcW w:w="843" w:type="dxa"/>
            <w:tcBorders>
              <w:top w:val="single" w:sz="6" w:space="0" w:color="D5D5D5"/>
              <w:left w:val="single" w:sz="6" w:space="0" w:color="D5D5D5"/>
              <w:bottom w:val="single" w:sz="6" w:space="0" w:color="D5D5D5"/>
              <w:right w:val="single" w:sz="6" w:space="0" w:color="D5D5D5"/>
            </w:tcBorders>
            <w:shd w:val="clear" w:color="auto" w:fill="FFFFFF"/>
            <w:vAlign w:val="center"/>
            <w:hideMark/>
          </w:tcPr>
          <w:p w14:paraId="5C0727F5" w14:textId="77777777" w:rsidR="00FA552E" w:rsidRPr="00FA552E" w:rsidRDefault="00FA552E">
            <w:pPr>
              <w:rPr>
                <w:rFonts w:ascii="Calibri Light" w:eastAsia="Calibri Light" w:hAnsi="Calibri Light" w:cs="Times New Roman"/>
                <w:color w:val="495965"/>
              </w:rPr>
            </w:pPr>
            <w:r w:rsidRPr="00FA552E">
              <w:rPr>
                <w:rFonts w:ascii="Calibri Light" w:eastAsia="Calibri Light" w:hAnsi="Calibri Light" w:cs="Times New Roman"/>
                <w:color w:val="495965"/>
              </w:rPr>
              <w:t>L2</w:t>
            </w:r>
          </w:p>
        </w:tc>
        <w:tc>
          <w:tcPr>
            <w:tcW w:w="2977" w:type="dxa"/>
            <w:tcBorders>
              <w:top w:val="single" w:sz="6" w:space="0" w:color="D5D5D5"/>
              <w:left w:val="single" w:sz="6" w:space="0" w:color="D5D5D5"/>
              <w:bottom w:val="single" w:sz="6" w:space="0" w:color="D5D5D5"/>
              <w:right w:val="single" w:sz="6" w:space="0" w:color="D5D5D5"/>
            </w:tcBorders>
            <w:shd w:val="clear" w:color="auto" w:fill="FFFFFF"/>
            <w:vAlign w:val="center"/>
            <w:hideMark/>
          </w:tcPr>
          <w:p w14:paraId="1994CD3B" w14:textId="77777777" w:rsidR="00FA552E" w:rsidRPr="00FA552E" w:rsidRDefault="00FA552E">
            <w:pPr>
              <w:rPr>
                <w:rFonts w:ascii="Calibri Light" w:eastAsia="Calibri Light" w:hAnsi="Calibri Light" w:cs="Times New Roman"/>
                <w:color w:val="495965"/>
              </w:rPr>
            </w:pPr>
            <w:r w:rsidRPr="00FA552E">
              <w:rPr>
                <w:rFonts w:ascii="Calibri Light" w:eastAsia="Calibri Light" w:hAnsi="Calibri Light" w:cs="Times New Roman"/>
                <w:color w:val="495965"/>
              </w:rPr>
              <w:t>LOF Low Quantity</w:t>
            </w:r>
          </w:p>
        </w:tc>
        <w:tc>
          <w:tcPr>
            <w:tcW w:w="4394" w:type="dxa"/>
            <w:tcBorders>
              <w:top w:val="single" w:sz="6" w:space="0" w:color="D5D5D5"/>
              <w:left w:val="single" w:sz="6" w:space="0" w:color="D5D5D5"/>
              <w:bottom w:val="single" w:sz="6" w:space="0" w:color="D5D5D5"/>
              <w:right w:val="single" w:sz="6" w:space="0" w:color="D5D5D5"/>
            </w:tcBorders>
            <w:shd w:val="clear" w:color="auto" w:fill="FFFFFF"/>
            <w:vAlign w:val="center"/>
            <w:hideMark/>
          </w:tcPr>
          <w:p w14:paraId="7C920122" w14:textId="77777777" w:rsidR="00FA552E" w:rsidRPr="00FA552E" w:rsidRDefault="00FA552E">
            <w:pPr>
              <w:rPr>
                <w:rFonts w:ascii="Calibri Light" w:eastAsia="Calibri Light" w:hAnsi="Calibri Light" w:cs="Times New Roman"/>
                <w:color w:val="495965"/>
              </w:rPr>
            </w:pPr>
            <w:r w:rsidRPr="00FA552E">
              <w:rPr>
                <w:rFonts w:ascii="Calibri Light" w:eastAsia="Calibri Light" w:hAnsi="Calibri Light" w:cs="Times New Roman"/>
                <w:color w:val="495965"/>
              </w:rPr>
              <w:t>Less than 500 kg source material and</w:t>
            </w:r>
            <w:r w:rsidRPr="00FA552E">
              <w:rPr>
                <w:rFonts w:ascii="Calibri Light" w:eastAsia="Calibri Light" w:hAnsi="Calibri Light" w:cs="Times New Roman"/>
                <w:color w:val="495965"/>
              </w:rPr>
              <w:br/>
              <w:t>Less than 5 g special fissional material</w:t>
            </w:r>
          </w:p>
        </w:tc>
      </w:tr>
      <w:tr w:rsidR="00FA552E" w14:paraId="3F4EE307" w14:textId="77777777" w:rsidTr="00FA552E">
        <w:tc>
          <w:tcPr>
            <w:tcW w:w="843" w:type="dxa"/>
            <w:tcBorders>
              <w:top w:val="single" w:sz="6" w:space="0" w:color="D5D5D5"/>
              <w:left w:val="single" w:sz="6" w:space="0" w:color="D5D5D5"/>
              <w:bottom w:val="single" w:sz="6" w:space="0" w:color="D5D5D5"/>
              <w:right w:val="single" w:sz="6" w:space="0" w:color="D5D5D5"/>
            </w:tcBorders>
            <w:shd w:val="clear" w:color="auto" w:fill="FFFFFF"/>
            <w:vAlign w:val="center"/>
            <w:hideMark/>
          </w:tcPr>
          <w:p w14:paraId="55C38828" w14:textId="77777777" w:rsidR="00FA552E" w:rsidRPr="00FA552E" w:rsidRDefault="00FA552E">
            <w:pPr>
              <w:rPr>
                <w:rFonts w:ascii="Calibri Light" w:eastAsia="Calibri Light" w:hAnsi="Calibri Light" w:cs="Times New Roman"/>
                <w:color w:val="495965"/>
              </w:rPr>
            </w:pPr>
            <w:r w:rsidRPr="00FA552E">
              <w:rPr>
                <w:rFonts w:ascii="Calibri Light" w:eastAsia="Calibri Light" w:hAnsi="Calibri Light" w:cs="Times New Roman"/>
                <w:color w:val="495965"/>
              </w:rPr>
              <w:t>L3</w:t>
            </w:r>
          </w:p>
        </w:tc>
        <w:tc>
          <w:tcPr>
            <w:tcW w:w="2977" w:type="dxa"/>
            <w:tcBorders>
              <w:top w:val="single" w:sz="6" w:space="0" w:color="D5D5D5"/>
              <w:left w:val="single" w:sz="6" w:space="0" w:color="D5D5D5"/>
              <w:bottom w:val="single" w:sz="6" w:space="0" w:color="D5D5D5"/>
              <w:right w:val="single" w:sz="6" w:space="0" w:color="D5D5D5"/>
            </w:tcBorders>
            <w:shd w:val="clear" w:color="auto" w:fill="FFFFFF"/>
            <w:vAlign w:val="center"/>
            <w:hideMark/>
          </w:tcPr>
          <w:p w14:paraId="494B5461" w14:textId="77777777" w:rsidR="00FA552E" w:rsidRPr="00FA552E" w:rsidRDefault="00FA552E">
            <w:pPr>
              <w:rPr>
                <w:rFonts w:ascii="Calibri Light" w:eastAsia="Calibri Light" w:hAnsi="Calibri Light" w:cs="Times New Roman"/>
                <w:color w:val="495965"/>
              </w:rPr>
            </w:pPr>
            <w:r w:rsidRPr="00FA552E">
              <w:rPr>
                <w:rFonts w:ascii="Calibri Light" w:eastAsia="Calibri Light" w:hAnsi="Calibri Light" w:cs="Times New Roman"/>
                <w:color w:val="495965"/>
              </w:rPr>
              <w:t>LOF Moderate Quantity</w:t>
            </w:r>
          </w:p>
        </w:tc>
        <w:tc>
          <w:tcPr>
            <w:tcW w:w="4394" w:type="dxa"/>
            <w:tcBorders>
              <w:top w:val="single" w:sz="6" w:space="0" w:color="D5D5D5"/>
              <w:left w:val="single" w:sz="6" w:space="0" w:color="D5D5D5"/>
              <w:bottom w:val="single" w:sz="6" w:space="0" w:color="D5D5D5"/>
              <w:right w:val="single" w:sz="6" w:space="0" w:color="D5D5D5"/>
            </w:tcBorders>
            <w:shd w:val="clear" w:color="auto" w:fill="FFFFFF"/>
            <w:vAlign w:val="center"/>
            <w:hideMark/>
          </w:tcPr>
          <w:p w14:paraId="69F0E2A8" w14:textId="77777777" w:rsidR="00FA552E" w:rsidRPr="00FA552E" w:rsidRDefault="00FA552E">
            <w:pPr>
              <w:rPr>
                <w:rFonts w:ascii="Calibri Light" w:eastAsia="Calibri Light" w:hAnsi="Calibri Light" w:cs="Times New Roman"/>
                <w:color w:val="495965"/>
              </w:rPr>
            </w:pPr>
            <w:r w:rsidRPr="00FA552E">
              <w:rPr>
                <w:rFonts w:ascii="Calibri Light" w:eastAsia="Calibri Light" w:hAnsi="Calibri Light" w:cs="Times New Roman"/>
                <w:color w:val="495965"/>
              </w:rPr>
              <w:t>Less than 5000 kg source material and</w:t>
            </w:r>
            <w:r w:rsidRPr="00FA552E">
              <w:rPr>
                <w:rFonts w:ascii="Calibri Light" w:eastAsia="Calibri Light" w:hAnsi="Calibri Light" w:cs="Times New Roman"/>
                <w:color w:val="495965"/>
              </w:rPr>
              <w:br/>
              <w:t>Less than 10 g special fissional material</w:t>
            </w:r>
          </w:p>
        </w:tc>
      </w:tr>
    </w:tbl>
    <w:p w14:paraId="326F905B" w14:textId="77777777" w:rsidR="00463CB3" w:rsidRDefault="00463CB3" w:rsidP="002A5904">
      <w:pPr>
        <w:tabs>
          <w:tab w:val="left" w:pos="709"/>
        </w:tabs>
        <w:rPr>
          <w:rFonts w:ascii="Calibri Light" w:eastAsia="Calibri Light" w:hAnsi="Calibri Light" w:cs="Times New Roman"/>
          <w:color w:val="495965"/>
        </w:rPr>
      </w:pPr>
    </w:p>
    <w:p w14:paraId="038F2F0A" w14:textId="2AD44D16" w:rsidR="002A5904" w:rsidRPr="00E63805" w:rsidRDefault="0062231E" w:rsidP="002A5904">
      <w:pPr>
        <w:tabs>
          <w:tab w:val="left" w:pos="709"/>
        </w:tabs>
        <w:rPr>
          <w:rFonts w:ascii="Calibri Light" w:eastAsia="Calibri Light" w:hAnsi="Calibri Light" w:cs="Times New Roman"/>
          <w:color w:val="495965"/>
        </w:rPr>
      </w:pPr>
      <w:r>
        <w:rPr>
          <w:rFonts w:ascii="Calibri Light" w:eastAsia="Calibri Light" w:hAnsi="Calibri Light" w:cs="Times New Roman"/>
          <w:color w:val="495965"/>
        </w:rPr>
        <w:t xml:space="preserve">As Australia </w:t>
      </w:r>
      <w:r w:rsidR="002A5904">
        <w:rPr>
          <w:rFonts w:ascii="Calibri Light" w:eastAsia="Calibri Light" w:hAnsi="Calibri Light" w:cs="Times New Roman"/>
          <w:color w:val="495965"/>
        </w:rPr>
        <w:t>has a small nuclear industry</w:t>
      </w:r>
      <w:r>
        <w:rPr>
          <w:rFonts w:ascii="Calibri Light" w:eastAsia="Calibri Light" w:hAnsi="Calibri Light" w:cs="Times New Roman"/>
          <w:color w:val="495965"/>
        </w:rPr>
        <w:t>,</w:t>
      </w:r>
      <w:r w:rsidR="002A5904">
        <w:rPr>
          <w:rFonts w:ascii="Calibri Light" w:eastAsia="Calibri Light" w:hAnsi="Calibri Light" w:cs="Times New Roman"/>
          <w:color w:val="495965"/>
        </w:rPr>
        <w:t xml:space="preserve"> some nuclear permits are bespoke </w:t>
      </w:r>
      <w:r>
        <w:rPr>
          <w:rFonts w:ascii="Calibri Light" w:eastAsia="Calibri Light" w:hAnsi="Calibri Light" w:cs="Times New Roman"/>
          <w:color w:val="495965"/>
        </w:rPr>
        <w:t xml:space="preserve">and </w:t>
      </w:r>
      <w:r w:rsidR="00075FCE">
        <w:rPr>
          <w:rFonts w:ascii="Calibri Light" w:eastAsia="Calibri Light" w:hAnsi="Calibri Light" w:cs="Times New Roman"/>
          <w:color w:val="495965"/>
        </w:rPr>
        <w:t>there is</w:t>
      </w:r>
      <w:r>
        <w:rPr>
          <w:rFonts w:ascii="Calibri Light" w:eastAsia="Calibri Light" w:hAnsi="Calibri Light" w:cs="Times New Roman"/>
          <w:color w:val="495965"/>
        </w:rPr>
        <w:t xml:space="preserve"> </w:t>
      </w:r>
      <w:r w:rsidR="002A5904">
        <w:rPr>
          <w:rFonts w:ascii="Calibri Light" w:eastAsia="Calibri Light" w:hAnsi="Calibri Light" w:cs="Times New Roman"/>
          <w:color w:val="495965"/>
        </w:rPr>
        <w:t xml:space="preserve">not a publicly available </w:t>
      </w:r>
      <w:r>
        <w:rPr>
          <w:rFonts w:ascii="Calibri Light" w:eastAsia="Calibri Light" w:hAnsi="Calibri Light" w:cs="Times New Roman"/>
          <w:color w:val="495965"/>
        </w:rPr>
        <w:t>template p</w:t>
      </w:r>
      <w:r w:rsidR="002A5904">
        <w:rPr>
          <w:rFonts w:ascii="Calibri Light" w:eastAsia="Calibri Light" w:hAnsi="Calibri Light" w:cs="Times New Roman"/>
          <w:color w:val="495965"/>
        </w:rPr>
        <w:t xml:space="preserve">ermit and compliance code. However, the </w:t>
      </w:r>
      <w:r w:rsidR="00D26094">
        <w:rPr>
          <w:rFonts w:ascii="Calibri Light" w:eastAsia="Calibri Light" w:hAnsi="Calibri Light" w:cs="Times New Roman"/>
          <w:color w:val="495965"/>
        </w:rPr>
        <w:t xml:space="preserve">permit conditions </w:t>
      </w:r>
      <w:r w:rsidR="00134E1E">
        <w:rPr>
          <w:rFonts w:ascii="Calibri Light" w:eastAsia="Calibri Light" w:hAnsi="Calibri Light" w:cs="Times New Roman"/>
          <w:color w:val="495965"/>
        </w:rPr>
        <w:t>continue to</w:t>
      </w:r>
      <w:r w:rsidR="00D26094">
        <w:rPr>
          <w:rFonts w:ascii="Calibri Light" w:eastAsia="Calibri Light" w:hAnsi="Calibri Light" w:cs="Times New Roman"/>
          <w:color w:val="495965"/>
        </w:rPr>
        <w:t xml:space="preserve"> reflect the risk-informed framework developed by the IAEA and to meet Australia’s domestic legislative and policy requirements. </w:t>
      </w:r>
    </w:p>
    <w:p w14:paraId="188E722F" w14:textId="52785042" w:rsidR="00E7712A" w:rsidRDefault="00E7712A" w:rsidP="00E7712A">
      <w:pPr>
        <w:pStyle w:val="BodyText"/>
        <w:rPr>
          <w:highlight w:val="yellow"/>
        </w:rPr>
      </w:pPr>
    </w:p>
    <w:p w14:paraId="2063287F" w14:textId="77777777" w:rsidR="00120FCF" w:rsidRDefault="00120FCF" w:rsidP="00BB1B0F">
      <w:pPr>
        <w:pStyle w:val="BodyText"/>
      </w:pPr>
    </w:p>
    <w:p w14:paraId="5FFDD98E" w14:textId="7FF4C048" w:rsidR="00DE062A" w:rsidRDefault="00DE062A" w:rsidP="0016619B">
      <w:pPr>
        <w:pStyle w:val="BodyText"/>
      </w:pPr>
      <w:r>
        <w:br w:type="page"/>
      </w:r>
    </w:p>
    <w:p w14:paraId="207715A1" w14:textId="0E0386E7" w:rsidR="00DE062A" w:rsidRPr="00DE69E2" w:rsidRDefault="00DE062A" w:rsidP="00DE062A">
      <w:pPr>
        <w:pStyle w:val="BodyText"/>
        <w:pBdr>
          <w:top w:val="single" w:sz="4" w:space="1" w:color="auto"/>
          <w:left w:val="single" w:sz="4" w:space="4" w:color="auto"/>
          <w:bottom w:val="single" w:sz="4" w:space="1" w:color="auto"/>
          <w:right w:val="single" w:sz="4" w:space="4" w:color="auto"/>
        </w:pBdr>
        <w:shd w:val="clear" w:color="auto" w:fill="B4F7FF" w:themeFill="accent6" w:themeFillTint="33"/>
        <w:rPr>
          <w:b/>
          <w:bCs/>
          <w:sz w:val="24"/>
          <w:szCs w:val="24"/>
        </w:rPr>
      </w:pPr>
      <w:r w:rsidRPr="00DE69E2">
        <w:rPr>
          <w:b/>
          <w:bCs/>
          <w:sz w:val="24"/>
          <w:szCs w:val="24"/>
        </w:rPr>
        <w:lastRenderedPageBreak/>
        <w:t>KPI-</w:t>
      </w:r>
      <w:r>
        <w:rPr>
          <w:b/>
          <w:bCs/>
          <w:sz w:val="24"/>
          <w:szCs w:val="24"/>
        </w:rPr>
        <w:t>4</w:t>
      </w:r>
      <w:r w:rsidRPr="00DE69E2">
        <w:rPr>
          <w:b/>
          <w:bCs/>
          <w:sz w:val="24"/>
          <w:szCs w:val="24"/>
        </w:rPr>
        <w:t xml:space="preserve">: </w:t>
      </w:r>
      <w:r w:rsidRPr="00DE062A">
        <w:rPr>
          <w:b/>
          <w:bCs/>
          <w:sz w:val="24"/>
          <w:szCs w:val="24"/>
        </w:rPr>
        <w:t>Compliance and monitoring approaches are streamlined and coordinated.</w:t>
      </w:r>
    </w:p>
    <w:p w14:paraId="04859B25" w14:textId="54822DFE" w:rsidR="00DE062A" w:rsidRPr="00DE69E2" w:rsidRDefault="00DE062A" w:rsidP="00DE062A">
      <w:pPr>
        <w:pStyle w:val="BodyText"/>
        <w:rPr>
          <w:b/>
          <w:bCs/>
          <w:i/>
          <w:iCs/>
          <w:sz w:val="24"/>
          <w:szCs w:val="24"/>
        </w:rPr>
      </w:pPr>
      <w:r w:rsidRPr="00DE69E2">
        <w:rPr>
          <w:b/>
          <w:bCs/>
          <w:i/>
          <w:iCs/>
          <w:sz w:val="24"/>
          <w:szCs w:val="24"/>
        </w:rPr>
        <w:t xml:space="preserve">Metric </w:t>
      </w:r>
      <w:r>
        <w:rPr>
          <w:b/>
          <w:bCs/>
          <w:i/>
          <w:iCs/>
          <w:sz w:val="24"/>
          <w:szCs w:val="24"/>
        </w:rPr>
        <w:t>4</w:t>
      </w:r>
      <w:r w:rsidRPr="00DE69E2">
        <w:rPr>
          <w:b/>
          <w:bCs/>
          <w:i/>
          <w:iCs/>
          <w:sz w:val="24"/>
          <w:szCs w:val="24"/>
        </w:rPr>
        <w:t xml:space="preserve">: </w:t>
      </w:r>
      <w:r w:rsidRPr="00DE062A">
        <w:rPr>
          <w:b/>
          <w:bCs/>
          <w:i/>
          <w:iCs/>
          <w:sz w:val="24"/>
          <w:szCs w:val="24"/>
        </w:rPr>
        <w:t>Establish streamlined compliance assessment and inspection processes.</w:t>
      </w:r>
    </w:p>
    <w:p w14:paraId="0C3FFE4B" w14:textId="77777777" w:rsidR="00134E1E" w:rsidRDefault="00134E1E" w:rsidP="00134E1E">
      <w:pPr>
        <w:pStyle w:val="BodyText"/>
      </w:pPr>
      <w:r>
        <w:t xml:space="preserve">An important part of ASNO’s activity is coordinating and streamlining compliance verification activities, particularly IAEA and OPCW inspections of Australia’s regulated nuclear and chemical facilities. </w:t>
      </w:r>
    </w:p>
    <w:p w14:paraId="0E0B4689" w14:textId="58916BCE" w:rsidR="00134E1E" w:rsidRDefault="00134E1E" w:rsidP="00134E1E">
      <w:pPr>
        <w:pStyle w:val="BodyText"/>
      </w:pPr>
      <w:r>
        <w:t>It is a requirement that ASNO’s regulated entities allow ASNO, IAEA or OPCW inspections. This requirement enables Australia to meet international treaty obligations and support global norms to prevent the proliferation of nuclear and chemical weapons. It is also ASNO’s responsibility to ensure that regulated entities are prepared for an IAEA or OPCW inspection, as they can occur at short notice</w:t>
      </w:r>
      <w:r w:rsidR="00EE3D37">
        <w:t>. ASNO also</w:t>
      </w:r>
      <w:r>
        <w:t xml:space="preserve"> act</w:t>
      </w:r>
      <w:r w:rsidR="00EE3D37">
        <w:t>s</w:t>
      </w:r>
      <w:r>
        <w:t xml:space="preserve"> as a facilitator during IAEA or OPCW inspection</w:t>
      </w:r>
      <w:r w:rsidR="00EE3D37">
        <w:t>s</w:t>
      </w:r>
      <w:r>
        <w:t xml:space="preserve"> and undertake</w:t>
      </w:r>
      <w:r w:rsidR="00EE3D37">
        <w:t>s</w:t>
      </w:r>
      <w:r>
        <w:t xml:space="preserve"> follow-up activit</w:t>
      </w:r>
      <w:r w:rsidR="00EE3D37">
        <w:t>ies</w:t>
      </w:r>
      <w:r>
        <w:t xml:space="preserve"> after inspections, as required. </w:t>
      </w:r>
    </w:p>
    <w:p w14:paraId="53E588A6" w14:textId="45CF55F0" w:rsidR="006255DA" w:rsidRDefault="006255DA" w:rsidP="006255DA">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268"/>
        <w:gridCol w:w="1701"/>
      </w:tblGrid>
      <w:tr w:rsidR="006255DA" w14:paraId="28B5D21C" w14:textId="77777777" w:rsidTr="00DB20D1">
        <w:tc>
          <w:tcPr>
            <w:tcW w:w="8931" w:type="dxa"/>
            <w:gridSpan w:val="3"/>
            <w:tcBorders>
              <w:top w:val="nil"/>
              <w:left w:val="nil"/>
              <w:bottom w:val="single" w:sz="4" w:space="0" w:color="auto"/>
              <w:right w:val="nil"/>
            </w:tcBorders>
            <w:shd w:val="clear" w:color="auto" w:fill="65C5B4" w:themeFill="accent1"/>
            <w:hideMark/>
          </w:tcPr>
          <w:p w14:paraId="0C014B63" w14:textId="14940FB8" w:rsidR="006255DA" w:rsidRPr="006255DA" w:rsidRDefault="006255DA">
            <w:pPr>
              <w:spacing w:after="120"/>
              <w:jc w:val="center"/>
            </w:pPr>
            <w:r w:rsidRPr="006255DA">
              <w:rPr>
                <w:b/>
                <w:bCs/>
                <w:szCs w:val="24"/>
              </w:rPr>
              <w:t>ASNO Inspections, Visits and Desktop Reviews, July 2020– June 2021</w:t>
            </w:r>
          </w:p>
        </w:tc>
      </w:tr>
      <w:tr w:rsidR="006255DA" w14:paraId="360EF08E" w14:textId="77777777" w:rsidTr="00DB20D1">
        <w:tc>
          <w:tcPr>
            <w:tcW w:w="4962" w:type="dxa"/>
            <w:tcBorders>
              <w:top w:val="single" w:sz="4" w:space="0" w:color="auto"/>
              <w:left w:val="nil"/>
              <w:bottom w:val="nil"/>
              <w:right w:val="nil"/>
            </w:tcBorders>
          </w:tcPr>
          <w:p w14:paraId="624A380A" w14:textId="77777777" w:rsidR="006255DA" w:rsidRDefault="006255DA">
            <w:pPr>
              <w:spacing w:before="0" w:after="0"/>
              <w:rPr>
                <w:highlight w:val="yellow"/>
              </w:rPr>
            </w:pPr>
          </w:p>
        </w:tc>
        <w:tc>
          <w:tcPr>
            <w:tcW w:w="2268" w:type="dxa"/>
            <w:tcBorders>
              <w:top w:val="single" w:sz="4" w:space="0" w:color="auto"/>
              <w:left w:val="nil"/>
              <w:bottom w:val="nil"/>
              <w:right w:val="nil"/>
            </w:tcBorders>
            <w:hideMark/>
          </w:tcPr>
          <w:p w14:paraId="5454B67E" w14:textId="630EA2F4" w:rsidR="006255DA" w:rsidRPr="00414F8A" w:rsidRDefault="00813D1F" w:rsidP="00DB20D1">
            <w:pPr>
              <w:spacing w:before="0" w:after="0"/>
              <w:jc w:val="center"/>
            </w:pPr>
            <w:r w:rsidRPr="00414F8A">
              <w:t>N</w:t>
            </w:r>
            <w:r w:rsidR="006255DA" w:rsidRPr="00414F8A">
              <w:t>umber</w:t>
            </w:r>
            <w:r>
              <w:t xml:space="preserve"> of inspections</w:t>
            </w:r>
          </w:p>
        </w:tc>
        <w:tc>
          <w:tcPr>
            <w:tcW w:w="1701" w:type="dxa"/>
            <w:tcBorders>
              <w:top w:val="single" w:sz="4" w:space="0" w:color="auto"/>
              <w:left w:val="nil"/>
              <w:bottom w:val="nil"/>
              <w:right w:val="nil"/>
            </w:tcBorders>
            <w:hideMark/>
          </w:tcPr>
          <w:p w14:paraId="50E9D7F7" w14:textId="77777777" w:rsidR="006255DA" w:rsidRPr="00414F8A" w:rsidRDefault="006255DA" w:rsidP="00DB20D1">
            <w:pPr>
              <w:spacing w:before="0" w:after="0"/>
              <w:jc w:val="center"/>
            </w:pPr>
            <w:r w:rsidRPr="00414F8A">
              <w:t>total days</w:t>
            </w:r>
          </w:p>
        </w:tc>
      </w:tr>
      <w:tr w:rsidR="006255DA" w14:paraId="0E9BB728" w14:textId="77777777" w:rsidTr="00DB20D1">
        <w:tc>
          <w:tcPr>
            <w:tcW w:w="4962" w:type="dxa"/>
            <w:tcBorders>
              <w:top w:val="single" w:sz="4" w:space="0" w:color="auto"/>
              <w:left w:val="nil"/>
              <w:bottom w:val="nil"/>
              <w:right w:val="nil"/>
            </w:tcBorders>
            <w:shd w:val="clear" w:color="auto" w:fill="auto"/>
            <w:hideMark/>
          </w:tcPr>
          <w:p w14:paraId="762F388C" w14:textId="77777777" w:rsidR="006255DA" w:rsidRPr="00414F8A" w:rsidRDefault="006255DA">
            <w:pPr>
              <w:spacing w:after="120"/>
            </w:pPr>
            <w:r w:rsidRPr="00414F8A">
              <w:t>ASNO nuclear inspections</w:t>
            </w:r>
          </w:p>
        </w:tc>
        <w:tc>
          <w:tcPr>
            <w:tcW w:w="2268" w:type="dxa"/>
            <w:tcBorders>
              <w:top w:val="single" w:sz="4" w:space="0" w:color="auto"/>
              <w:left w:val="nil"/>
              <w:bottom w:val="nil"/>
              <w:right w:val="nil"/>
            </w:tcBorders>
            <w:hideMark/>
          </w:tcPr>
          <w:p w14:paraId="0C993F36" w14:textId="7FF8939A" w:rsidR="006255DA" w:rsidRPr="00EB4F14" w:rsidRDefault="006C3028" w:rsidP="00DB20D1">
            <w:pPr>
              <w:spacing w:after="120"/>
              <w:jc w:val="center"/>
            </w:pPr>
            <w:r w:rsidRPr="00EB4F14">
              <w:t>8</w:t>
            </w:r>
          </w:p>
        </w:tc>
        <w:tc>
          <w:tcPr>
            <w:tcW w:w="1701" w:type="dxa"/>
            <w:tcBorders>
              <w:top w:val="single" w:sz="4" w:space="0" w:color="auto"/>
              <w:left w:val="nil"/>
              <w:bottom w:val="nil"/>
              <w:right w:val="nil"/>
            </w:tcBorders>
            <w:hideMark/>
          </w:tcPr>
          <w:p w14:paraId="6E1AA0E7" w14:textId="1067202D" w:rsidR="006255DA" w:rsidRPr="00EB4F14" w:rsidRDefault="00616ECA" w:rsidP="00DB20D1">
            <w:pPr>
              <w:spacing w:after="120"/>
              <w:jc w:val="center"/>
            </w:pPr>
            <w:r w:rsidRPr="00EB4F14">
              <w:t>1</w:t>
            </w:r>
            <w:r w:rsidR="002C3CFA">
              <w:t>5</w:t>
            </w:r>
            <w:r w:rsidR="006255DA" w:rsidRPr="00EB4F14">
              <w:t xml:space="preserve"> days</w:t>
            </w:r>
          </w:p>
        </w:tc>
      </w:tr>
      <w:tr w:rsidR="006255DA" w14:paraId="10836219" w14:textId="77777777" w:rsidTr="00DB20D1">
        <w:tc>
          <w:tcPr>
            <w:tcW w:w="4962" w:type="dxa"/>
            <w:shd w:val="clear" w:color="auto" w:fill="auto"/>
            <w:hideMark/>
          </w:tcPr>
          <w:p w14:paraId="06CE291D" w14:textId="1C3AA4B3" w:rsidR="006255DA" w:rsidRPr="00414F8A" w:rsidRDefault="006255DA">
            <w:pPr>
              <w:spacing w:after="120"/>
            </w:pPr>
            <w:r w:rsidRPr="00414F8A">
              <w:t>IAEA nuclear inspections/visits (ASNO facilitat</w:t>
            </w:r>
            <w:r w:rsidR="005F254B">
              <w:t>ed</w:t>
            </w:r>
            <w:r w:rsidRPr="00414F8A">
              <w:t>)</w:t>
            </w:r>
            <w:r w:rsidR="00824616">
              <w:t>*</w:t>
            </w:r>
          </w:p>
        </w:tc>
        <w:tc>
          <w:tcPr>
            <w:tcW w:w="2268" w:type="dxa"/>
            <w:hideMark/>
          </w:tcPr>
          <w:p w14:paraId="2E0BFE20" w14:textId="04543BCF" w:rsidR="006255DA" w:rsidRDefault="009735C6" w:rsidP="00DB20D1">
            <w:pPr>
              <w:spacing w:after="120"/>
              <w:jc w:val="center"/>
              <w:rPr>
                <w:highlight w:val="yellow"/>
              </w:rPr>
            </w:pPr>
            <w:r>
              <w:t>1</w:t>
            </w:r>
            <w:r w:rsidR="00946417">
              <w:t>8</w:t>
            </w:r>
          </w:p>
        </w:tc>
        <w:tc>
          <w:tcPr>
            <w:tcW w:w="1701" w:type="dxa"/>
            <w:hideMark/>
          </w:tcPr>
          <w:p w14:paraId="1D20DB22" w14:textId="0B78DEEC" w:rsidR="006255DA" w:rsidRDefault="006255DA" w:rsidP="00DB20D1">
            <w:pPr>
              <w:spacing w:after="120"/>
              <w:jc w:val="center"/>
              <w:rPr>
                <w:highlight w:val="yellow"/>
              </w:rPr>
            </w:pPr>
            <w:r w:rsidRPr="00EB4F14">
              <w:t>1</w:t>
            </w:r>
            <w:r w:rsidR="009B46BE">
              <w:t>7</w:t>
            </w:r>
            <w:r w:rsidRPr="00EB4F14">
              <w:t xml:space="preserve"> days</w:t>
            </w:r>
          </w:p>
        </w:tc>
      </w:tr>
      <w:tr w:rsidR="006255DA" w14:paraId="1C8E5CA5" w14:textId="77777777" w:rsidTr="00DB20D1">
        <w:tc>
          <w:tcPr>
            <w:tcW w:w="4962" w:type="dxa"/>
            <w:tcBorders>
              <w:top w:val="nil"/>
              <w:left w:val="nil"/>
              <w:bottom w:val="single" w:sz="4" w:space="0" w:color="auto"/>
              <w:right w:val="nil"/>
            </w:tcBorders>
            <w:shd w:val="clear" w:color="auto" w:fill="auto"/>
            <w:hideMark/>
          </w:tcPr>
          <w:p w14:paraId="1B571C25" w14:textId="0B7BE703" w:rsidR="006255DA" w:rsidRPr="00414F8A" w:rsidRDefault="006255DA">
            <w:pPr>
              <w:spacing w:after="120"/>
            </w:pPr>
            <w:r w:rsidRPr="00414F8A">
              <w:t>Nuclear desktop reviews</w:t>
            </w:r>
            <w:r w:rsidR="00824616">
              <w:t>**</w:t>
            </w:r>
          </w:p>
        </w:tc>
        <w:tc>
          <w:tcPr>
            <w:tcW w:w="2268" w:type="dxa"/>
            <w:tcBorders>
              <w:top w:val="nil"/>
              <w:left w:val="nil"/>
              <w:bottom w:val="single" w:sz="4" w:space="0" w:color="auto"/>
              <w:right w:val="nil"/>
            </w:tcBorders>
            <w:shd w:val="clear" w:color="auto" w:fill="auto"/>
            <w:hideMark/>
          </w:tcPr>
          <w:p w14:paraId="77DF80B8" w14:textId="02FEE3FA" w:rsidR="006255DA" w:rsidRPr="00813D1F" w:rsidRDefault="002C3CFA" w:rsidP="00DB20D1">
            <w:pPr>
              <w:spacing w:after="120"/>
              <w:jc w:val="center"/>
            </w:pPr>
            <w:r>
              <w:t>5</w:t>
            </w:r>
          </w:p>
        </w:tc>
        <w:tc>
          <w:tcPr>
            <w:tcW w:w="1701" w:type="dxa"/>
            <w:tcBorders>
              <w:top w:val="nil"/>
              <w:left w:val="nil"/>
              <w:bottom w:val="single" w:sz="4" w:space="0" w:color="auto"/>
              <w:right w:val="nil"/>
            </w:tcBorders>
            <w:shd w:val="clear" w:color="auto" w:fill="auto"/>
            <w:hideMark/>
          </w:tcPr>
          <w:p w14:paraId="545A0568" w14:textId="565B4A99" w:rsidR="006255DA" w:rsidRPr="00813D1F" w:rsidRDefault="00813D1F" w:rsidP="00DB20D1">
            <w:pPr>
              <w:spacing w:after="120"/>
              <w:jc w:val="center"/>
            </w:pPr>
            <w:r w:rsidRPr="00813D1F">
              <w:t>63</w:t>
            </w:r>
            <w:r w:rsidR="006255DA" w:rsidRPr="00813D1F">
              <w:t xml:space="preserve"> day</w:t>
            </w:r>
            <w:r w:rsidR="009D3E34">
              <w:t>s</w:t>
            </w:r>
          </w:p>
        </w:tc>
      </w:tr>
      <w:tr w:rsidR="006255DA" w14:paraId="26D1AD83" w14:textId="77777777" w:rsidTr="00DB20D1">
        <w:tc>
          <w:tcPr>
            <w:tcW w:w="4962" w:type="dxa"/>
            <w:tcBorders>
              <w:top w:val="single" w:sz="4" w:space="0" w:color="auto"/>
              <w:left w:val="nil"/>
              <w:bottom w:val="nil"/>
              <w:right w:val="nil"/>
            </w:tcBorders>
            <w:shd w:val="clear" w:color="auto" w:fill="auto"/>
            <w:hideMark/>
          </w:tcPr>
          <w:p w14:paraId="1C84F511" w14:textId="77777777" w:rsidR="006255DA" w:rsidRPr="006255DA" w:rsidRDefault="006255DA">
            <w:pPr>
              <w:spacing w:after="120"/>
            </w:pPr>
            <w:r w:rsidRPr="006255DA">
              <w:t>ASNO chemical outreach visits</w:t>
            </w:r>
          </w:p>
        </w:tc>
        <w:tc>
          <w:tcPr>
            <w:tcW w:w="2268" w:type="dxa"/>
            <w:tcBorders>
              <w:top w:val="single" w:sz="4" w:space="0" w:color="auto"/>
              <w:left w:val="nil"/>
              <w:bottom w:val="nil"/>
              <w:right w:val="nil"/>
            </w:tcBorders>
            <w:shd w:val="clear" w:color="auto" w:fill="auto"/>
            <w:hideMark/>
          </w:tcPr>
          <w:p w14:paraId="33BA5FD3" w14:textId="2ED0503D" w:rsidR="006255DA" w:rsidRPr="009D0514" w:rsidRDefault="00C06279" w:rsidP="00DB20D1">
            <w:pPr>
              <w:spacing w:after="120"/>
              <w:jc w:val="center"/>
            </w:pPr>
            <w:r>
              <w:t>1</w:t>
            </w:r>
          </w:p>
        </w:tc>
        <w:tc>
          <w:tcPr>
            <w:tcW w:w="1701" w:type="dxa"/>
            <w:tcBorders>
              <w:top w:val="single" w:sz="4" w:space="0" w:color="auto"/>
              <w:left w:val="nil"/>
              <w:bottom w:val="nil"/>
              <w:right w:val="nil"/>
            </w:tcBorders>
            <w:hideMark/>
          </w:tcPr>
          <w:p w14:paraId="0FFAE28B" w14:textId="6C127513" w:rsidR="006255DA" w:rsidRPr="009D0514" w:rsidRDefault="00C06279" w:rsidP="00DB20D1">
            <w:pPr>
              <w:spacing w:after="120"/>
              <w:jc w:val="center"/>
            </w:pPr>
            <w:r>
              <w:t>1</w:t>
            </w:r>
            <w:r w:rsidRPr="009D0514">
              <w:t xml:space="preserve"> </w:t>
            </w:r>
            <w:r w:rsidR="006255DA" w:rsidRPr="009D0514">
              <w:t>days</w:t>
            </w:r>
          </w:p>
        </w:tc>
      </w:tr>
      <w:tr w:rsidR="006255DA" w14:paraId="3A0648CF" w14:textId="77777777" w:rsidTr="00DB20D1">
        <w:tc>
          <w:tcPr>
            <w:tcW w:w="4962" w:type="dxa"/>
            <w:tcBorders>
              <w:top w:val="nil"/>
              <w:left w:val="nil"/>
              <w:bottom w:val="single" w:sz="4" w:space="0" w:color="auto"/>
              <w:right w:val="nil"/>
            </w:tcBorders>
            <w:hideMark/>
          </w:tcPr>
          <w:p w14:paraId="54FA4B36" w14:textId="2F62BB68" w:rsidR="006255DA" w:rsidRPr="006255DA" w:rsidRDefault="006255DA">
            <w:pPr>
              <w:spacing w:after="120"/>
            </w:pPr>
            <w:r w:rsidRPr="006255DA">
              <w:t>OPCW chemical inspections (ASNO facilitat</w:t>
            </w:r>
            <w:r w:rsidR="00134E1E">
              <w:t>ed</w:t>
            </w:r>
            <w:r w:rsidRPr="006255DA">
              <w:t>)</w:t>
            </w:r>
          </w:p>
        </w:tc>
        <w:tc>
          <w:tcPr>
            <w:tcW w:w="2268" w:type="dxa"/>
            <w:tcBorders>
              <w:top w:val="nil"/>
              <w:left w:val="nil"/>
              <w:bottom w:val="single" w:sz="4" w:space="0" w:color="auto"/>
              <w:right w:val="nil"/>
            </w:tcBorders>
            <w:hideMark/>
          </w:tcPr>
          <w:p w14:paraId="2124418B" w14:textId="54511D7D" w:rsidR="006255DA" w:rsidRPr="006255DA" w:rsidRDefault="006255DA" w:rsidP="00DB20D1">
            <w:pPr>
              <w:spacing w:after="120"/>
              <w:jc w:val="center"/>
            </w:pPr>
            <w:r w:rsidRPr="006255DA">
              <w:t>2</w:t>
            </w:r>
          </w:p>
        </w:tc>
        <w:tc>
          <w:tcPr>
            <w:tcW w:w="1701" w:type="dxa"/>
            <w:tcBorders>
              <w:top w:val="nil"/>
              <w:left w:val="nil"/>
              <w:bottom w:val="single" w:sz="4" w:space="0" w:color="auto"/>
              <w:right w:val="nil"/>
            </w:tcBorders>
            <w:hideMark/>
          </w:tcPr>
          <w:p w14:paraId="06F32CB1" w14:textId="77777777" w:rsidR="006255DA" w:rsidRPr="00A505BE" w:rsidRDefault="006255DA" w:rsidP="00DB20D1">
            <w:pPr>
              <w:spacing w:after="120"/>
              <w:jc w:val="center"/>
            </w:pPr>
            <w:r w:rsidRPr="00A505BE">
              <w:t>6 days</w:t>
            </w:r>
          </w:p>
        </w:tc>
      </w:tr>
    </w:tbl>
    <w:p w14:paraId="60C9CD76" w14:textId="19944E73" w:rsidR="006255DA" w:rsidRPr="00EF53AF" w:rsidRDefault="00824616" w:rsidP="00A34F4D">
      <w:pPr>
        <w:pStyle w:val="BodyText"/>
        <w:spacing w:before="0" w:after="0"/>
        <w:rPr>
          <w:rFonts w:cstheme="minorHAnsi"/>
          <w:sz w:val="18"/>
          <w:szCs w:val="18"/>
        </w:rPr>
      </w:pPr>
      <w:r w:rsidRPr="00824616">
        <w:rPr>
          <w:rFonts w:cstheme="minorHAnsi"/>
          <w:sz w:val="18"/>
          <w:szCs w:val="18"/>
        </w:rPr>
        <w:t xml:space="preserve">* </w:t>
      </w:r>
      <w:r w:rsidR="006255DA" w:rsidRPr="00EF53AF">
        <w:rPr>
          <w:rFonts w:cstheme="minorHAnsi"/>
          <w:sz w:val="18"/>
          <w:szCs w:val="18"/>
        </w:rPr>
        <w:t>The IAEA conduct</w:t>
      </w:r>
      <w:r w:rsidR="00134E1E">
        <w:rPr>
          <w:rFonts w:cstheme="minorHAnsi"/>
          <w:sz w:val="18"/>
          <w:szCs w:val="18"/>
        </w:rPr>
        <w:t>s</w:t>
      </w:r>
      <w:r w:rsidR="006255DA" w:rsidRPr="00EF53AF">
        <w:rPr>
          <w:rFonts w:cstheme="minorHAnsi"/>
          <w:sz w:val="18"/>
          <w:szCs w:val="18"/>
        </w:rPr>
        <w:t xml:space="preserve"> several different types of inspections, sometimes conducting more than one in a day, depending on the type of inspection and location. See ASNOs annual report for</w:t>
      </w:r>
      <w:r w:rsidR="00134E1E">
        <w:rPr>
          <w:rFonts w:cstheme="minorHAnsi"/>
          <w:sz w:val="18"/>
          <w:szCs w:val="18"/>
        </w:rPr>
        <w:t xml:space="preserve"> further</w:t>
      </w:r>
      <w:r w:rsidR="006255DA" w:rsidRPr="00EF53AF">
        <w:rPr>
          <w:rFonts w:cstheme="minorHAnsi"/>
          <w:sz w:val="18"/>
          <w:szCs w:val="18"/>
        </w:rPr>
        <w:t xml:space="preserve"> information.</w:t>
      </w:r>
    </w:p>
    <w:p w14:paraId="3AF7D4EB" w14:textId="517B53D7" w:rsidR="00DE062A" w:rsidRPr="00EF53AF" w:rsidRDefault="00824616" w:rsidP="00A34F4D">
      <w:pPr>
        <w:pStyle w:val="BodyText"/>
        <w:spacing w:before="0" w:after="0"/>
        <w:rPr>
          <w:rFonts w:cstheme="minorHAnsi"/>
          <w:sz w:val="18"/>
          <w:szCs w:val="18"/>
        </w:rPr>
      </w:pPr>
      <w:r>
        <w:rPr>
          <w:rFonts w:cstheme="minorHAnsi"/>
          <w:sz w:val="18"/>
          <w:szCs w:val="18"/>
        </w:rPr>
        <w:t xml:space="preserve">** </w:t>
      </w:r>
      <w:r w:rsidR="006255DA" w:rsidRPr="00EF53AF">
        <w:rPr>
          <w:rFonts w:cstheme="minorHAnsi"/>
          <w:sz w:val="18"/>
          <w:szCs w:val="18"/>
        </w:rPr>
        <w:t>Reviews done at ASNO offices - examples include review of security plans and permit holder reports.</w:t>
      </w:r>
    </w:p>
    <w:p w14:paraId="1B53339C" w14:textId="77777777" w:rsidR="00131665" w:rsidRDefault="00131665" w:rsidP="00BC080A"/>
    <w:p w14:paraId="1DB5FE70" w14:textId="6F33D35C" w:rsidR="00134E1E" w:rsidRDefault="00134E1E" w:rsidP="00134E1E">
      <w:pPr>
        <w:pStyle w:val="BodyText"/>
      </w:pPr>
      <w:r>
        <w:t xml:space="preserve">Despite Australia’s COVID-19 travel restrictions, the number of IAEA and OPCW inspections performed during the reporting period was similar to previous years. ASNO worked with the inspectors and the </w:t>
      </w:r>
      <w:r w:rsidRPr="00054C44">
        <w:t>Commonwealth and NSW</w:t>
      </w:r>
      <w:r>
        <w:t xml:space="preserve"> Government </w:t>
      </w:r>
      <w:r w:rsidRPr="00054C44">
        <w:t xml:space="preserve">agencies to </w:t>
      </w:r>
      <w:r>
        <w:t xml:space="preserve">ensure all travel complied with Australian requirements. Inspectors </w:t>
      </w:r>
      <w:r w:rsidRPr="00054C44">
        <w:t>spent two weeks in quarantine in Sydney before the inspections</w:t>
      </w:r>
      <w:r>
        <w:t>. The location and type of inspection were sometimes not announced until the inspectors were released from quarantine. It is reasonably standard for IAEA and OPCW inspectors to conduct back-to-back inspections when in Australia to make the most of the travel time. This was particularly true in this reporting period</w:t>
      </w:r>
      <w:r w:rsidR="004E5F51">
        <w:t xml:space="preserve"> which involved significant time periods in quarantine</w:t>
      </w:r>
      <w:r>
        <w:t xml:space="preserve">. </w:t>
      </w:r>
    </w:p>
    <w:p w14:paraId="454161B6" w14:textId="775BFB1E" w:rsidR="00131665" w:rsidRDefault="00134E1E" w:rsidP="00134E1E">
      <w:pPr>
        <w:pStyle w:val="BodyText"/>
      </w:pPr>
      <w:r>
        <w:t xml:space="preserve">The IAEA conducted eighteen inspection activities in total. This included several inspections at ANSTO including a technical visit (not strictly an inspection but included for transparency) and the annual Physical Inventory Verification that enables the IAEA to verify ANSTO’s reported holdings of nuclear material. The IAEA also performed inspections at the Commonwealth Scientific and Industrial Research Organisation (CSIRO) and a uranium mine. All inspections </w:t>
      </w:r>
      <w:r w:rsidR="004E5F51">
        <w:t xml:space="preserve">achieved their objectives </w:t>
      </w:r>
      <w:r>
        <w:t xml:space="preserve">and the IAEA Statements of </w:t>
      </w:r>
      <w:r>
        <w:lastRenderedPageBreak/>
        <w:t>Conclusions and other the inspection findings will be published in Appendix B to the ASNO Annual Report for 2020-2021</w:t>
      </w:r>
      <w:r w:rsidR="00131665">
        <w:t>.</w:t>
      </w:r>
      <w:r w:rsidR="00131665">
        <w:rPr>
          <w:rStyle w:val="FootnoteReference"/>
        </w:rPr>
        <w:footnoteReference w:id="14"/>
      </w:r>
    </w:p>
    <w:p w14:paraId="7886DB41" w14:textId="7D6E107C" w:rsidR="00C06279" w:rsidRPr="00075FCE" w:rsidRDefault="00C06279" w:rsidP="00C06279">
      <w:bookmarkStart w:id="1" w:name="_Hlk76821402"/>
      <w:r w:rsidRPr="00075FCE">
        <w:t xml:space="preserve">Two routine OPCW inspections occurred during the reporting period, compared to three in the previous reporting period. The inspections </w:t>
      </w:r>
      <w:r w:rsidR="00B339CD">
        <w:t>achieved their objectives</w:t>
      </w:r>
      <w:r w:rsidRPr="00075FCE">
        <w:t xml:space="preserve">, with the OPCW inspection team verifying the absence of any undeclared CWC-Schedule 1 chemical production at both sites. Prior to the first inspection starting, the facility identified that </w:t>
      </w:r>
      <w:r w:rsidR="00134E1E">
        <w:t>its</w:t>
      </w:r>
      <w:r w:rsidRPr="00075FCE">
        <w:t xml:space="preserve"> annual notification of past activities for 2020 was missing information for one chemical. The record keeping oversight, </w:t>
      </w:r>
      <w:r w:rsidR="00A91A50" w:rsidRPr="00075FCE">
        <w:t>impacted</w:t>
      </w:r>
      <w:r w:rsidR="00B339CD">
        <w:t>, in part,</w:t>
      </w:r>
      <w:r w:rsidRPr="00075FCE">
        <w:t xml:space="preserve"> by Melbourne’s sudden COVID-19 lockdowns, was </w:t>
      </w:r>
      <w:r w:rsidR="004D7015">
        <w:t xml:space="preserve">identified in a </w:t>
      </w:r>
      <w:r w:rsidRPr="00075FCE">
        <w:t>brief</w:t>
      </w:r>
      <w:r w:rsidR="004D7015">
        <w:t>ing</w:t>
      </w:r>
      <w:r w:rsidRPr="00075FCE">
        <w:t xml:space="preserve"> to the OPCW inspectors on </w:t>
      </w:r>
      <w:r w:rsidR="004D7015">
        <w:t xml:space="preserve">their </w:t>
      </w:r>
      <w:r w:rsidRPr="00075FCE">
        <w:t>arrival</w:t>
      </w:r>
      <w:r w:rsidR="004D7015">
        <w:t xml:space="preserve"> at the facility</w:t>
      </w:r>
      <w:r w:rsidRPr="00075FCE">
        <w:t xml:space="preserve">. The facility amended </w:t>
      </w:r>
      <w:r w:rsidR="00134E1E">
        <w:t xml:space="preserve">its </w:t>
      </w:r>
      <w:r w:rsidRPr="00075FCE">
        <w:t xml:space="preserve">annual declarations of past activities based on information verified during the inspection and the OPCW considers the inspection closed. ASNO will </w:t>
      </w:r>
      <w:r w:rsidR="004D7015">
        <w:t xml:space="preserve">be </w:t>
      </w:r>
      <w:r w:rsidRPr="00075FCE">
        <w:t>work</w:t>
      </w:r>
      <w:r w:rsidR="004D7015">
        <w:t>ing</w:t>
      </w:r>
      <w:r w:rsidRPr="00075FCE">
        <w:t xml:space="preserve"> with the permit holder </w:t>
      </w:r>
      <w:r w:rsidR="004D7015">
        <w:t xml:space="preserve">in the 2021-2022 financial year </w:t>
      </w:r>
      <w:r w:rsidRPr="00075FCE">
        <w:t>to address record keeping issues.</w:t>
      </w:r>
    </w:p>
    <w:bookmarkEnd w:id="1"/>
    <w:p w14:paraId="5A036D30" w14:textId="7EADE36E" w:rsidR="00DE062A" w:rsidRPr="00075FCE" w:rsidRDefault="00134E1E" w:rsidP="00BF3A17">
      <w:pPr>
        <w:pStyle w:val="BodyText"/>
      </w:pPr>
      <w:r w:rsidRPr="00134E1E">
        <w:t>In addition to the international inspections, ASNO conducted 15 days of domestic inspections and f</w:t>
      </w:r>
      <w:r w:rsidR="007B3FE0">
        <w:t>ive</w:t>
      </w:r>
      <w:r w:rsidRPr="00134E1E">
        <w:t xml:space="preserve"> desktop reviews. These fulfil multiple purposes, including to ensure the regulated entity understands its obligations, provide it an opportunity to provide ASNO direct feedback, verify that domestic permit conditions are being meet, and prepare the organisation for a potential IAEA or OPCW inspection</w:t>
      </w:r>
      <w:r w:rsidR="004A40BD" w:rsidRPr="00075FCE">
        <w:t>.</w:t>
      </w:r>
    </w:p>
    <w:p w14:paraId="3699B038" w14:textId="083FA875" w:rsidR="00DE062A" w:rsidRDefault="00DE062A">
      <w:pPr>
        <w:suppressAutoHyphens w:val="0"/>
        <w:spacing w:before="0" w:after="120" w:line="440" w:lineRule="atLeast"/>
      </w:pPr>
      <w:r>
        <w:br w:type="page"/>
      </w:r>
    </w:p>
    <w:p w14:paraId="7C199D5F" w14:textId="743A739C" w:rsidR="00DE062A" w:rsidRPr="00DE69E2" w:rsidRDefault="00DE062A" w:rsidP="00DE062A">
      <w:pPr>
        <w:pStyle w:val="BodyText"/>
        <w:pBdr>
          <w:top w:val="single" w:sz="4" w:space="1" w:color="auto"/>
          <w:left w:val="single" w:sz="4" w:space="4" w:color="auto"/>
          <w:bottom w:val="single" w:sz="4" w:space="1" w:color="auto"/>
          <w:right w:val="single" w:sz="4" w:space="4" w:color="auto"/>
        </w:pBdr>
        <w:shd w:val="clear" w:color="auto" w:fill="B4F7FF" w:themeFill="accent6" w:themeFillTint="33"/>
        <w:rPr>
          <w:b/>
          <w:bCs/>
          <w:sz w:val="24"/>
          <w:szCs w:val="24"/>
        </w:rPr>
      </w:pPr>
      <w:r w:rsidRPr="00DE69E2">
        <w:rPr>
          <w:b/>
          <w:bCs/>
          <w:sz w:val="24"/>
          <w:szCs w:val="24"/>
        </w:rPr>
        <w:lastRenderedPageBreak/>
        <w:t>KPI-</w:t>
      </w:r>
      <w:r>
        <w:rPr>
          <w:b/>
          <w:bCs/>
          <w:sz w:val="24"/>
          <w:szCs w:val="24"/>
        </w:rPr>
        <w:t>5</w:t>
      </w:r>
      <w:r w:rsidRPr="00DE69E2">
        <w:rPr>
          <w:b/>
          <w:bCs/>
          <w:sz w:val="24"/>
          <w:szCs w:val="24"/>
        </w:rPr>
        <w:t xml:space="preserve">: </w:t>
      </w:r>
      <w:r w:rsidRPr="00DE062A">
        <w:rPr>
          <w:b/>
          <w:bCs/>
          <w:sz w:val="24"/>
          <w:szCs w:val="24"/>
        </w:rPr>
        <w:t>Regulators are open and transparent in their dealings with regulated entities.</w:t>
      </w:r>
    </w:p>
    <w:p w14:paraId="7981C017" w14:textId="7FE7D0B6" w:rsidR="00DE062A" w:rsidRPr="00DE69E2" w:rsidRDefault="00DE062A" w:rsidP="00DE062A">
      <w:pPr>
        <w:pStyle w:val="BodyText"/>
        <w:rPr>
          <w:b/>
          <w:bCs/>
          <w:i/>
          <w:iCs/>
          <w:sz w:val="24"/>
          <w:szCs w:val="24"/>
        </w:rPr>
      </w:pPr>
      <w:r w:rsidRPr="00DE69E2">
        <w:rPr>
          <w:b/>
          <w:bCs/>
          <w:i/>
          <w:iCs/>
          <w:sz w:val="24"/>
          <w:szCs w:val="24"/>
        </w:rPr>
        <w:t xml:space="preserve">Metric </w:t>
      </w:r>
      <w:r>
        <w:rPr>
          <w:b/>
          <w:bCs/>
          <w:i/>
          <w:iCs/>
          <w:sz w:val="24"/>
          <w:szCs w:val="24"/>
        </w:rPr>
        <w:t>5</w:t>
      </w:r>
      <w:r w:rsidRPr="00DE69E2">
        <w:rPr>
          <w:b/>
          <w:bCs/>
          <w:i/>
          <w:iCs/>
          <w:sz w:val="24"/>
          <w:szCs w:val="24"/>
        </w:rPr>
        <w:t xml:space="preserve">: </w:t>
      </w:r>
      <w:r w:rsidRPr="00DE062A">
        <w:rPr>
          <w:b/>
          <w:bCs/>
          <w:i/>
          <w:iCs/>
          <w:sz w:val="24"/>
          <w:szCs w:val="24"/>
        </w:rPr>
        <w:t>Outreach activities conducted to communicate regulatory requirements to stakeholders and receive feedback.</w:t>
      </w:r>
    </w:p>
    <w:p w14:paraId="34ADC6B1" w14:textId="354E1E4C" w:rsidR="006C02DF" w:rsidRDefault="000E1C96" w:rsidP="00BF3A17">
      <w:pPr>
        <w:pStyle w:val="BodyText"/>
      </w:pPr>
      <w:r>
        <w:t>On the c</w:t>
      </w:r>
      <w:r w:rsidR="00FA6562">
        <w:t>ompletion of the Class</w:t>
      </w:r>
      <w:r w:rsidR="00212DC0">
        <w:t>-L</w:t>
      </w:r>
      <w:r w:rsidR="00FA6562">
        <w:t xml:space="preserve"> </w:t>
      </w:r>
      <w:r w:rsidR="00597C4B">
        <w:t xml:space="preserve">nuclear </w:t>
      </w:r>
      <w:r w:rsidR="00FA6562">
        <w:t>permit</w:t>
      </w:r>
      <w:r w:rsidR="00B41679">
        <w:t xml:space="preserve"> review </w:t>
      </w:r>
      <w:r w:rsidR="00197A17">
        <w:t>(</w:t>
      </w:r>
      <w:r w:rsidR="00134E1E">
        <w:t xml:space="preserve">noted in </w:t>
      </w:r>
      <w:r w:rsidR="00197A17">
        <w:t>KPI-2)</w:t>
      </w:r>
      <w:r w:rsidR="00FA6562">
        <w:t xml:space="preserve"> ASNO sent</w:t>
      </w:r>
      <w:r w:rsidR="00EF3F3D">
        <w:t xml:space="preserve"> out a survey to receive feedback on the </w:t>
      </w:r>
      <w:r w:rsidR="00535883">
        <w:t>review process</w:t>
      </w:r>
      <w:r w:rsidR="00801579">
        <w:t xml:space="preserve">, </w:t>
      </w:r>
      <w:r w:rsidR="00A90E2F">
        <w:t xml:space="preserve">any difficulties the permit holders might be facing during COVID-19 that </w:t>
      </w:r>
      <w:r w:rsidR="00C26635">
        <w:t xml:space="preserve">ASNO could help with, and their </w:t>
      </w:r>
      <w:r w:rsidR="00134E1E">
        <w:t>overall</w:t>
      </w:r>
      <w:r w:rsidR="00C26635">
        <w:t xml:space="preserve"> experience with ASNO as a regulator.</w:t>
      </w:r>
      <w:r w:rsidR="003D0A6D" w:rsidRPr="003D0A6D">
        <w:rPr>
          <w:rStyle w:val="FootnoteReference"/>
        </w:rPr>
        <w:t xml:space="preserve"> </w:t>
      </w:r>
      <w:r w:rsidR="003D0A6D">
        <w:rPr>
          <w:rStyle w:val="FootnoteReference"/>
        </w:rPr>
        <w:footnoteReference w:id="15"/>
      </w:r>
      <w:r w:rsidR="00816F67">
        <w:t xml:space="preserve"> </w:t>
      </w:r>
      <w:r w:rsidR="006C02DF">
        <w:t xml:space="preserve">There was a 14% response rate to the </w:t>
      </w:r>
      <w:r w:rsidR="00A352E0">
        <w:t>survey</w:t>
      </w:r>
      <w:r w:rsidR="006E002F">
        <w:t xml:space="preserve"> from a range of sectors, including mining, government and university/education.</w:t>
      </w:r>
      <w:r w:rsidR="00816F67">
        <w:t xml:space="preserve"> </w:t>
      </w:r>
      <w:r w:rsidR="007B43FC">
        <w:t>Overall</w:t>
      </w:r>
      <w:r w:rsidR="00614AA3">
        <w:t>,</w:t>
      </w:r>
      <w:r w:rsidR="007B43FC">
        <w:t xml:space="preserve"> the survey indicated a high level of </w:t>
      </w:r>
      <w:r w:rsidR="00A352E0">
        <w:t xml:space="preserve">satisfaction with </w:t>
      </w:r>
      <w:r w:rsidR="009E5F23">
        <w:t>ASNO</w:t>
      </w:r>
      <w:r w:rsidR="00911405">
        <w:t>, particularly the helpfulness of the ASNO staff</w:t>
      </w:r>
      <w:r w:rsidR="00075FCE">
        <w:t>.</w:t>
      </w:r>
      <w:r w:rsidR="0053258E">
        <w:rPr>
          <w:rStyle w:val="FootnoteReference"/>
        </w:rPr>
        <w:footnoteReference w:id="16"/>
      </w:r>
      <w:r w:rsidR="00816F67">
        <w:t xml:space="preserve"> </w:t>
      </w:r>
      <w:r w:rsidR="00841900">
        <w:t>Results included:</w:t>
      </w:r>
      <w:r w:rsidR="009C1D8E">
        <w:t xml:space="preserve"> </w:t>
      </w:r>
    </w:p>
    <w:p w14:paraId="143E86B9" w14:textId="5AFC72FF" w:rsidR="00D30ECF" w:rsidRDefault="00A22A92" w:rsidP="009C1D8E">
      <w:pPr>
        <w:pStyle w:val="BodyText"/>
        <w:numPr>
          <w:ilvl w:val="0"/>
          <w:numId w:val="45"/>
        </w:numPr>
      </w:pPr>
      <w:r>
        <w:t>a</w:t>
      </w:r>
      <w:r w:rsidR="00D30ECF">
        <w:t xml:space="preserve"> high level of satisfaction </w:t>
      </w:r>
      <w:r w:rsidR="00C74849">
        <w:t xml:space="preserve">with the permit renewal process (average score of </w:t>
      </w:r>
      <w:r w:rsidR="00665EB5">
        <w:t>89 per cent)</w:t>
      </w:r>
    </w:p>
    <w:p w14:paraId="72553CCA" w14:textId="368D0457" w:rsidR="000C02B8" w:rsidRDefault="00A22A92" w:rsidP="009C1D8E">
      <w:pPr>
        <w:pStyle w:val="BodyText"/>
        <w:numPr>
          <w:ilvl w:val="0"/>
          <w:numId w:val="45"/>
        </w:numPr>
      </w:pPr>
      <w:r>
        <w:t>a</w:t>
      </w:r>
      <w:r w:rsidR="00A108E7" w:rsidRPr="00A55201">
        <w:t xml:space="preserve"> high level of satisfaction with the current process of submitting applications, notifications and reports to ASNO</w:t>
      </w:r>
      <w:r w:rsidR="00137513">
        <w:t xml:space="preserve"> (nuclear)</w:t>
      </w:r>
      <w:r w:rsidR="00A108E7" w:rsidRPr="00A55201">
        <w:t xml:space="preserve"> (average score of 87 per cent)</w:t>
      </w:r>
    </w:p>
    <w:p w14:paraId="5FDCF156" w14:textId="6DFBE56C" w:rsidR="00EF03ED" w:rsidRDefault="00A22A92" w:rsidP="009C1D8E">
      <w:pPr>
        <w:pStyle w:val="BodyText"/>
        <w:numPr>
          <w:ilvl w:val="0"/>
          <w:numId w:val="45"/>
        </w:numPr>
      </w:pPr>
      <w:r>
        <w:t>i</w:t>
      </w:r>
      <w:r w:rsidR="00EF03ED">
        <w:t xml:space="preserve">nformation sources </w:t>
      </w:r>
      <w:r w:rsidR="00134E1E">
        <w:t xml:space="preserve">that </w:t>
      </w:r>
      <w:r w:rsidR="00F15E1C">
        <w:t>permit holders relied on</w:t>
      </w:r>
      <w:r w:rsidR="0033655F">
        <w:t xml:space="preserve"> the most were</w:t>
      </w:r>
      <w:r w:rsidR="0028518E">
        <w:t xml:space="preserve"> </w:t>
      </w:r>
      <w:r w:rsidR="00655F91">
        <w:t xml:space="preserve">their permit, email reminders from ASNO, </w:t>
      </w:r>
      <w:r w:rsidR="00134E1E">
        <w:t xml:space="preserve">and </w:t>
      </w:r>
      <w:r w:rsidR="00102CFD">
        <w:t xml:space="preserve">direct </w:t>
      </w:r>
      <w:r w:rsidR="00655F91">
        <w:t>contact</w:t>
      </w:r>
      <w:r w:rsidR="00102CFD">
        <w:t xml:space="preserve"> with</w:t>
      </w:r>
      <w:r w:rsidR="00655F91">
        <w:t xml:space="preserve"> ASNO by email</w:t>
      </w:r>
      <w:r w:rsidR="00544BB3">
        <w:t xml:space="preserve"> or phone</w:t>
      </w:r>
    </w:p>
    <w:p w14:paraId="53C97F51" w14:textId="5915D0B9" w:rsidR="007742E3" w:rsidRDefault="00A22A92" w:rsidP="001F37AC">
      <w:pPr>
        <w:pStyle w:val="BodyText"/>
        <w:numPr>
          <w:ilvl w:val="0"/>
          <w:numId w:val="45"/>
        </w:numPr>
      </w:pPr>
      <w:r>
        <w:t>a</w:t>
      </w:r>
      <w:r w:rsidR="007E1202">
        <w:t xml:space="preserve"> h</w:t>
      </w:r>
      <w:r w:rsidR="007742E3" w:rsidRPr="00A55201">
        <w:t xml:space="preserve">igh level of satisfaction </w:t>
      </w:r>
      <w:r w:rsidR="007742E3">
        <w:t>with ASNO</w:t>
      </w:r>
      <w:r w:rsidR="000A4523">
        <w:t>’</w:t>
      </w:r>
      <w:r w:rsidR="007742E3">
        <w:t xml:space="preserve">s response to </w:t>
      </w:r>
      <w:r w:rsidR="007E1202">
        <w:t>direct queries</w:t>
      </w:r>
      <w:r w:rsidR="007742E3">
        <w:t xml:space="preserve"> </w:t>
      </w:r>
      <w:r w:rsidR="007742E3" w:rsidRPr="00A55201">
        <w:t>(timeliness scored an average of 89 per cent, and usefulness of information scored an average of 85 per cent)</w:t>
      </w:r>
    </w:p>
    <w:p w14:paraId="214681C5" w14:textId="1441F510" w:rsidR="00D644A7" w:rsidRDefault="00A55201" w:rsidP="008F0EBC">
      <w:pPr>
        <w:pStyle w:val="BodyText"/>
        <w:numPr>
          <w:ilvl w:val="0"/>
          <w:numId w:val="45"/>
        </w:numPr>
      </w:pPr>
      <w:r w:rsidRPr="00A55201">
        <w:t xml:space="preserve">COVID-19 had minimal effect on </w:t>
      </w:r>
      <w:r w:rsidR="00E14121">
        <w:t xml:space="preserve">permit </w:t>
      </w:r>
      <w:r w:rsidR="00FE317C">
        <w:t>holders</w:t>
      </w:r>
      <w:r w:rsidR="00134E1E">
        <w:t>’</w:t>
      </w:r>
      <w:r w:rsidRPr="00A55201">
        <w:t xml:space="preserve"> implementation of </w:t>
      </w:r>
      <w:r w:rsidR="00226E45">
        <w:t xml:space="preserve">their nuclear </w:t>
      </w:r>
      <w:r w:rsidRPr="00A55201">
        <w:t>permit requirements</w:t>
      </w:r>
      <w:r w:rsidR="00A22A92">
        <w:t>.</w:t>
      </w:r>
      <w:r w:rsidR="00816F67">
        <w:t xml:space="preserve"> </w:t>
      </w:r>
      <w:r w:rsidR="006D1C00">
        <w:t xml:space="preserve">About half the </w:t>
      </w:r>
      <w:r w:rsidR="00D644A7" w:rsidRPr="00A55201">
        <w:t xml:space="preserve">respondents indicated that ASNO could assist them </w:t>
      </w:r>
      <w:r w:rsidR="005C637A">
        <w:t>best</w:t>
      </w:r>
      <w:r w:rsidR="00D644A7" w:rsidRPr="00A55201">
        <w:t xml:space="preserve"> by continuing to provide the same service currently provide</w:t>
      </w:r>
      <w:r w:rsidR="00E33FD4">
        <w:t>d</w:t>
      </w:r>
      <w:r w:rsidR="00A40D02">
        <w:t>.</w:t>
      </w:r>
    </w:p>
    <w:p w14:paraId="00BC796F" w14:textId="12D5D0FA" w:rsidR="008F0EBC" w:rsidRDefault="00841900" w:rsidP="008F0EBC">
      <w:pPr>
        <w:pStyle w:val="BodyText"/>
      </w:pPr>
      <w:r>
        <w:t>The survey also indicated some areas that ASNO should keep in mind for the future,</w:t>
      </w:r>
      <w:r w:rsidR="006570D4">
        <w:t xml:space="preserve"> includ</w:t>
      </w:r>
      <w:r>
        <w:t>ing</w:t>
      </w:r>
      <w:r w:rsidR="008F0EBC">
        <w:t>:</w:t>
      </w:r>
    </w:p>
    <w:p w14:paraId="77EC426B" w14:textId="7CFB2D73" w:rsidR="003C3272" w:rsidRDefault="00334152" w:rsidP="008F0EBC">
      <w:pPr>
        <w:pStyle w:val="BodyText"/>
        <w:numPr>
          <w:ilvl w:val="0"/>
          <w:numId w:val="46"/>
        </w:numPr>
      </w:pPr>
      <w:r>
        <w:t xml:space="preserve">further development of the online </w:t>
      </w:r>
      <w:r w:rsidR="00134E1E">
        <w:t xml:space="preserve">nuclear </w:t>
      </w:r>
      <w:r w:rsidR="008F0EBC">
        <w:t>portal</w:t>
      </w:r>
      <w:r>
        <w:t xml:space="preserve"> </w:t>
      </w:r>
      <w:r w:rsidR="006E7C5A">
        <w:t xml:space="preserve">(NUMBAT) </w:t>
      </w:r>
      <w:r w:rsidR="008F0EBC">
        <w:t>and digitisation of forms</w:t>
      </w:r>
    </w:p>
    <w:p w14:paraId="2D1BD2ED" w14:textId="7F95DC2A" w:rsidR="008F0EBC" w:rsidRDefault="00B31DA9" w:rsidP="008F0EBC">
      <w:pPr>
        <w:pStyle w:val="BodyText"/>
        <w:numPr>
          <w:ilvl w:val="0"/>
          <w:numId w:val="46"/>
        </w:numPr>
      </w:pPr>
      <w:r>
        <w:t>more in</w:t>
      </w:r>
      <w:r w:rsidR="000A4523">
        <w:t>-</w:t>
      </w:r>
      <w:r>
        <w:t xml:space="preserve">person training/workshops, when </w:t>
      </w:r>
      <w:r w:rsidR="00134E1E">
        <w:t>conditions</w:t>
      </w:r>
      <w:r w:rsidR="00247012">
        <w:t xml:space="preserve"> allowed </w:t>
      </w:r>
    </w:p>
    <w:p w14:paraId="71E80ECC" w14:textId="529503E6" w:rsidR="00000D32" w:rsidRDefault="008D31E9" w:rsidP="008F0EBC">
      <w:pPr>
        <w:pStyle w:val="BodyText"/>
        <w:numPr>
          <w:ilvl w:val="0"/>
          <w:numId w:val="46"/>
        </w:numPr>
      </w:pPr>
      <w:r>
        <w:t>minimise</w:t>
      </w:r>
      <w:r w:rsidR="00000D32">
        <w:t xml:space="preserve"> jargon </w:t>
      </w:r>
      <w:r w:rsidR="00134E1E">
        <w:t>and</w:t>
      </w:r>
      <w:r>
        <w:t xml:space="preserve"> </w:t>
      </w:r>
      <w:r w:rsidR="00946CD0">
        <w:t>poor definition</w:t>
      </w:r>
      <w:r w:rsidR="000A4523">
        <w:t>s</w:t>
      </w:r>
      <w:r w:rsidR="00A22A92">
        <w:t>.</w:t>
      </w:r>
      <w:r w:rsidR="002800D0">
        <w:rPr>
          <w:rStyle w:val="FootnoteReference"/>
        </w:rPr>
        <w:footnoteReference w:id="17"/>
      </w:r>
    </w:p>
    <w:p w14:paraId="0B458D1B" w14:textId="724AE5C0" w:rsidR="002A44C4" w:rsidRDefault="002A44C4" w:rsidP="00841900">
      <w:pPr>
        <w:pStyle w:val="BodyText"/>
      </w:pPr>
      <w:r>
        <w:t xml:space="preserve">There was some frustration by permit holders </w:t>
      </w:r>
      <w:r w:rsidR="00841900">
        <w:t>that</w:t>
      </w:r>
      <w:r>
        <w:t xml:space="preserve"> </w:t>
      </w:r>
      <w:r w:rsidR="00841900">
        <w:t xml:space="preserve">their </w:t>
      </w:r>
      <w:r>
        <w:t xml:space="preserve">small </w:t>
      </w:r>
      <w:r w:rsidR="00407A11">
        <w:t>quantities</w:t>
      </w:r>
      <w:r>
        <w:t xml:space="preserve"> of nuclear material</w:t>
      </w:r>
      <w:r w:rsidR="00407A11">
        <w:t xml:space="preserve"> </w:t>
      </w:r>
      <w:r w:rsidR="00201C5F">
        <w:t>could not</w:t>
      </w:r>
      <w:r w:rsidR="00407A11">
        <w:t xml:space="preserve"> </w:t>
      </w:r>
      <w:r w:rsidR="000A4523">
        <w:t xml:space="preserve">be </w:t>
      </w:r>
      <w:r w:rsidR="00F926FE">
        <w:t>dispose</w:t>
      </w:r>
      <w:r w:rsidR="000A4523">
        <w:t>d</w:t>
      </w:r>
      <w:r w:rsidR="00F926FE">
        <w:t xml:space="preserve"> of in Australia</w:t>
      </w:r>
      <w:r w:rsidR="00134E1E">
        <w:t>, which would</w:t>
      </w:r>
      <w:r w:rsidR="00A70525">
        <w:t xml:space="preserve"> enabl</w:t>
      </w:r>
      <w:r w:rsidR="00134E1E">
        <w:t>e</w:t>
      </w:r>
      <w:r w:rsidR="00A70525">
        <w:t xml:space="preserve"> them to </w:t>
      </w:r>
      <w:r w:rsidR="00520DB2">
        <w:t xml:space="preserve">relinquish </w:t>
      </w:r>
      <w:r w:rsidR="00A70525">
        <w:t xml:space="preserve">their </w:t>
      </w:r>
      <w:r w:rsidR="00F926FE">
        <w:t>permit</w:t>
      </w:r>
      <w:r w:rsidR="00A22A92">
        <w:t xml:space="preserve"> and obligations</w:t>
      </w:r>
      <w:r w:rsidR="00F926FE">
        <w:t>.</w:t>
      </w:r>
      <w:r w:rsidR="00A22A92">
        <w:t xml:space="preserve"> There was acknowledgement, however, that this was not within ASNO’s remit.</w:t>
      </w:r>
    </w:p>
    <w:p w14:paraId="78B348D1" w14:textId="77777777" w:rsidR="00974BD5" w:rsidRDefault="00974BD5" w:rsidP="00974BD5">
      <w:pPr>
        <w:pStyle w:val="BodyText"/>
      </w:pPr>
      <w:r>
        <w:t xml:space="preserve">In addition to the activities already mentioned, ASNO conducted several outreach exercises to provide assistance to regulated entities to help them meet their reporting requirements, discuss issues in their current operations, and discuss how their obligations would change if their operations changed.  </w:t>
      </w:r>
    </w:p>
    <w:p w14:paraId="04EE068C" w14:textId="74FC3F85" w:rsidR="00DE062A" w:rsidRDefault="00B3752D" w:rsidP="00A22A92">
      <w:pPr>
        <w:pStyle w:val="BodyText"/>
      </w:pPr>
      <w:r>
        <w:t xml:space="preserve">During the reporting period ASNO also provided </w:t>
      </w:r>
      <w:r w:rsidR="00972465">
        <w:t xml:space="preserve">feedback to </w:t>
      </w:r>
      <w:r w:rsidR="00BE22C6">
        <w:t>the Australian Business Licence and Information Service (ABLIS)</w:t>
      </w:r>
      <w:r w:rsidR="00972465">
        <w:t xml:space="preserve"> which runs a website</w:t>
      </w:r>
      <w:r w:rsidR="00A22A92">
        <w:rPr>
          <w:rStyle w:val="FootnoteReference"/>
        </w:rPr>
        <w:footnoteReference w:id="18"/>
      </w:r>
      <w:r w:rsidR="00972465">
        <w:t xml:space="preserve"> to </w:t>
      </w:r>
      <w:r w:rsidR="00294DE5">
        <w:t xml:space="preserve">help prospective business owners </w:t>
      </w:r>
      <w:r w:rsidR="00A22A92">
        <w:t>identify</w:t>
      </w:r>
      <w:r w:rsidR="00BE22C6">
        <w:t xml:space="preserve"> the licences</w:t>
      </w:r>
      <w:r w:rsidR="004D4E58">
        <w:t>/permits the</w:t>
      </w:r>
      <w:r w:rsidR="00A22A92">
        <w:t>ir</w:t>
      </w:r>
      <w:r w:rsidR="00BE22C6">
        <w:t xml:space="preserve"> business</w:t>
      </w:r>
      <w:r w:rsidR="00A22A92">
        <w:t xml:space="preserve"> will need</w:t>
      </w:r>
      <w:r w:rsidR="00272D8F">
        <w:t>.</w:t>
      </w:r>
      <w:r w:rsidR="00816F67">
        <w:t xml:space="preserve"> </w:t>
      </w:r>
      <w:r w:rsidR="004D4E58">
        <w:t>This will help</w:t>
      </w:r>
      <w:r w:rsidR="00545F8A">
        <w:t xml:space="preserve"> raise awareness of </w:t>
      </w:r>
      <w:r w:rsidR="00272D8F">
        <w:t xml:space="preserve">the need for an ASNO permit </w:t>
      </w:r>
      <w:r w:rsidR="00892E62">
        <w:t>for companies that hold nuclear material or CWC-</w:t>
      </w:r>
      <w:r w:rsidR="00A22A92">
        <w:t>S</w:t>
      </w:r>
      <w:r w:rsidR="00892E62">
        <w:t>cheduled chemicals.</w:t>
      </w:r>
      <w:r w:rsidR="00DE062A">
        <w:br w:type="page"/>
      </w:r>
    </w:p>
    <w:p w14:paraId="21102255" w14:textId="1393476C" w:rsidR="00DE062A" w:rsidRPr="00DE69E2" w:rsidRDefault="00DE062A" w:rsidP="00DE062A">
      <w:pPr>
        <w:pStyle w:val="BodyText"/>
        <w:pBdr>
          <w:top w:val="single" w:sz="4" w:space="1" w:color="auto"/>
          <w:left w:val="single" w:sz="4" w:space="4" w:color="auto"/>
          <w:bottom w:val="single" w:sz="4" w:space="1" w:color="auto"/>
          <w:right w:val="single" w:sz="4" w:space="4" w:color="auto"/>
        </w:pBdr>
        <w:shd w:val="clear" w:color="auto" w:fill="B4F7FF" w:themeFill="accent6" w:themeFillTint="33"/>
        <w:rPr>
          <w:b/>
          <w:bCs/>
          <w:sz w:val="24"/>
          <w:szCs w:val="24"/>
        </w:rPr>
      </w:pPr>
      <w:r w:rsidRPr="00DE69E2">
        <w:rPr>
          <w:b/>
          <w:bCs/>
          <w:sz w:val="24"/>
          <w:szCs w:val="24"/>
        </w:rPr>
        <w:lastRenderedPageBreak/>
        <w:t>KPI-</w:t>
      </w:r>
      <w:r>
        <w:rPr>
          <w:b/>
          <w:bCs/>
          <w:sz w:val="24"/>
          <w:szCs w:val="24"/>
        </w:rPr>
        <w:t>6</w:t>
      </w:r>
      <w:r w:rsidRPr="00DE69E2">
        <w:rPr>
          <w:b/>
          <w:bCs/>
          <w:sz w:val="24"/>
          <w:szCs w:val="24"/>
        </w:rPr>
        <w:t>:</w:t>
      </w:r>
      <w:r w:rsidRPr="00DE062A">
        <w:rPr>
          <w:b/>
          <w:bCs/>
          <w:sz w:val="24"/>
          <w:szCs w:val="24"/>
        </w:rPr>
        <w:t xml:space="preserve"> Regulators actively contribute to the continuous improvement of regulatory frameworks.</w:t>
      </w:r>
    </w:p>
    <w:p w14:paraId="57211654" w14:textId="6BD99FB0" w:rsidR="00DE062A" w:rsidRPr="000907D9" w:rsidRDefault="00DE062A" w:rsidP="00DE062A">
      <w:pPr>
        <w:pStyle w:val="BodyText"/>
        <w:rPr>
          <w:b/>
          <w:bCs/>
          <w:i/>
          <w:iCs/>
          <w:sz w:val="24"/>
          <w:szCs w:val="24"/>
        </w:rPr>
      </w:pPr>
      <w:r w:rsidRPr="00DE062A">
        <w:rPr>
          <w:b/>
          <w:bCs/>
          <w:i/>
          <w:iCs/>
          <w:sz w:val="24"/>
          <w:szCs w:val="24"/>
        </w:rPr>
        <w:t>Metric 6a: Number of meetings attended to influence international policy</w:t>
      </w:r>
      <w:r w:rsidRPr="00DE69E2">
        <w:rPr>
          <w:b/>
          <w:bCs/>
          <w:i/>
          <w:iCs/>
          <w:sz w:val="24"/>
          <w:szCs w:val="24"/>
        </w:rPr>
        <w:t>.</w:t>
      </w:r>
    </w:p>
    <w:p w14:paraId="114ACACD" w14:textId="70F4746D" w:rsidR="005D6C5C" w:rsidRPr="00945BC6" w:rsidRDefault="00285F20" w:rsidP="00DE062A">
      <w:pPr>
        <w:pStyle w:val="BodyText"/>
      </w:pPr>
      <w:r w:rsidRPr="00945BC6">
        <w:t xml:space="preserve">During the reporting period, ASNO’s </w:t>
      </w:r>
      <w:r w:rsidR="001B4DEB" w:rsidRPr="00945BC6">
        <w:t>most significant</w:t>
      </w:r>
      <w:r w:rsidRPr="00945BC6">
        <w:t xml:space="preserve"> engagement with the international community was</w:t>
      </w:r>
      <w:r w:rsidR="00945BC6">
        <w:t xml:space="preserve"> </w:t>
      </w:r>
      <w:r w:rsidR="004D24FD">
        <w:t xml:space="preserve">in </w:t>
      </w:r>
      <w:r w:rsidRPr="00945BC6">
        <w:t>support</w:t>
      </w:r>
      <w:r w:rsidR="004D24FD">
        <w:t xml:space="preserve"> of</w:t>
      </w:r>
      <w:r w:rsidR="00945BC6">
        <w:t xml:space="preserve"> the election of</w:t>
      </w:r>
      <w:r w:rsidRPr="00945BC6">
        <w:t xml:space="preserve"> </w:t>
      </w:r>
      <w:r w:rsidR="000907D9" w:rsidRPr="00945BC6">
        <w:t xml:space="preserve">Dr Robert Floyd </w:t>
      </w:r>
      <w:r w:rsidR="00945BC6">
        <w:t>(</w:t>
      </w:r>
      <w:r w:rsidR="004D24FD">
        <w:t xml:space="preserve">ASNO </w:t>
      </w:r>
      <w:r w:rsidR="00945BC6" w:rsidRPr="00945BC6">
        <w:t>Director General 2010</w:t>
      </w:r>
      <w:r w:rsidR="004D24FD">
        <w:t>-21</w:t>
      </w:r>
      <w:r w:rsidR="00945BC6">
        <w:t>)</w:t>
      </w:r>
      <w:r w:rsidR="00B31FD2" w:rsidRPr="00945BC6">
        <w:t xml:space="preserve"> </w:t>
      </w:r>
      <w:r w:rsidR="00E70612">
        <w:t>as</w:t>
      </w:r>
      <w:r w:rsidR="00E70612" w:rsidRPr="00945BC6">
        <w:t xml:space="preserve"> </w:t>
      </w:r>
      <w:r w:rsidR="00B31FD2" w:rsidRPr="00945BC6">
        <w:t>the</w:t>
      </w:r>
      <w:r w:rsidR="000907D9" w:rsidRPr="00945BC6">
        <w:t xml:space="preserve"> Executive Secretary of the Comprehensive Nuclear-Test-Ban Treaty Organization (CTBTO) Preparatory Commission.</w:t>
      </w:r>
      <w:r w:rsidR="00816F67" w:rsidRPr="00945BC6">
        <w:t xml:space="preserve"> </w:t>
      </w:r>
      <w:r w:rsidR="002F7B97" w:rsidRPr="00945BC6">
        <w:t>This important international post leads the joint efforts of 184 countries to ensure a permanent end to nuclear weapon test explosions.</w:t>
      </w:r>
      <w:r w:rsidR="00816F67" w:rsidRPr="00945BC6">
        <w:t xml:space="preserve"> </w:t>
      </w:r>
      <w:r w:rsidR="004D24FD" w:rsidRPr="00945BC6">
        <w:t xml:space="preserve">Australia has advocated at a high political level for such a ban since the 1980s and is a strong and active supporter for the </w:t>
      </w:r>
      <w:r w:rsidR="006F10ED">
        <w:t>T</w:t>
      </w:r>
      <w:r w:rsidR="004D24FD" w:rsidRPr="00945BC6">
        <w:t>reaty</w:t>
      </w:r>
      <w:r w:rsidR="00A977DD">
        <w:t xml:space="preserve">, particularly </w:t>
      </w:r>
      <w:r w:rsidR="00A22A92">
        <w:t>through the</w:t>
      </w:r>
      <w:r w:rsidR="00A977DD">
        <w:t xml:space="preserve"> work undertaken by</w:t>
      </w:r>
      <w:r w:rsidR="00CD4B18">
        <w:t xml:space="preserve"> </w:t>
      </w:r>
      <w:r w:rsidR="00945BC6">
        <w:t>ASNO</w:t>
      </w:r>
      <w:r w:rsidR="00A977DD">
        <w:t xml:space="preserve"> as </w:t>
      </w:r>
      <w:r w:rsidR="00B101AF">
        <w:t>the national authority for the</w:t>
      </w:r>
      <w:r w:rsidR="00A977DD">
        <w:t xml:space="preserve"> </w:t>
      </w:r>
      <w:r w:rsidR="00A22A92">
        <w:t>CTBT</w:t>
      </w:r>
      <w:r w:rsidR="00A977DD">
        <w:t xml:space="preserve">. </w:t>
      </w:r>
      <w:r w:rsidR="00FC2143" w:rsidRPr="00945BC6">
        <w:t xml:space="preserve">Dr Floyd is the first leader of the CTBTO from the Indo-Pacific region and </w:t>
      </w:r>
      <w:r w:rsidR="00A977DD">
        <w:t>h</w:t>
      </w:r>
      <w:r w:rsidR="00EF7C75" w:rsidRPr="00945BC6">
        <w:t>is</w:t>
      </w:r>
      <w:r w:rsidR="0074462C" w:rsidRPr="00945BC6">
        <w:t xml:space="preserve"> </w:t>
      </w:r>
      <w:r w:rsidR="00974BD5">
        <w:t>election</w:t>
      </w:r>
      <w:r w:rsidR="0074462C" w:rsidRPr="00945BC6">
        <w:t xml:space="preserve"> to this post </w:t>
      </w:r>
      <w:r w:rsidR="00E959B5" w:rsidRPr="00945BC6">
        <w:t xml:space="preserve">will enable </w:t>
      </w:r>
      <w:r w:rsidR="006340CD" w:rsidRPr="00945BC6">
        <w:t>him to contribute directly to setting rules</w:t>
      </w:r>
      <w:r w:rsidR="00F65784" w:rsidRPr="00945BC6">
        <w:t xml:space="preserve">, </w:t>
      </w:r>
      <w:r w:rsidR="00974BD5" w:rsidRPr="00945BC6">
        <w:t>policies</w:t>
      </w:r>
      <w:r w:rsidR="00F65784" w:rsidRPr="00945BC6">
        <w:t xml:space="preserve"> and implementation of the international rule of law.</w:t>
      </w:r>
      <w:r w:rsidR="00816F67" w:rsidRPr="00945BC6">
        <w:t xml:space="preserve"> </w:t>
      </w:r>
    </w:p>
    <w:p w14:paraId="73D5E323" w14:textId="5065E210" w:rsidR="00B1188E" w:rsidRPr="00945BC6" w:rsidRDefault="00E47656" w:rsidP="00D536F5">
      <w:pPr>
        <w:jc w:val="both"/>
      </w:pPr>
      <w:r w:rsidRPr="00945BC6">
        <w:t>In addition to Dr Floyd</w:t>
      </w:r>
      <w:r w:rsidR="000A4523">
        <w:t>’</w:t>
      </w:r>
      <w:r w:rsidRPr="00945BC6">
        <w:t xml:space="preserve">s election, </w:t>
      </w:r>
      <w:r w:rsidR="00BA25CC" w:rsidRPr="00945BC6">
        <w:t xml:space="preserve">during the reporting period </w:t>
      </w:r>
      <w:r w:rsidRPr="00945BC6">
        <w:t xml:space="preserve">ASNO </w:t>
      </w:r>
      <w:r w:rsidR="00BA25CC" w:rsidRPr="00945BC6">
        <w:t>support</w:t>
      </w:r>
      <w:r w:rsidR="00BA25CC">
        <w:t>ed</w:t>
      </w:r>
      <w:r w:rsidR="00D536F5" w:rsidRPr="00945BC6">
        <w:t xml:space="preserve"> the CTBTO</w:t>
      </w:r>
      <w:r w:rsidR="00537EB7" w:rsidRPr="00945BC6">
        <w:t>’s</w:t>
      </w:r>
      <w:r w:rsidR="00D536F5" w:rsidRPr="00945BC6">
        <w:t xml:space="preserve"> detailed preparatory work that will allow the CTBT verification regime to be operational </w:t>
      </w:r>
      <w:r w:rsidR="007F74AD">
        <w:t>at the time</w:t>
      </w:r>
      <w:r w:rsidR="00D536F5" w:rsidRPr="00945BC6">
        <w:t xml:space="preserve"> the Treaty enters into force.</w:t>
      </w:r>
      <w:r w:rsidR="00816F67" w:rsidRPr="00945BC6">
        <w:t xml:space="preserve"> </w:t>
      </w:r>
      <w:r w:rsidR="00A22A92">
        <w:t>This include</w:t>
      </w:r>
      <w:r w:rsidR="00974BD5">
        <w:t>d</w:t>
      </w:r>
      <w:r w:rsidR="00A22A92">
        <w:t>:</w:t>
      </w:r>
    </w:p>
    <w:p w14:paraId="78A87C15" w14:textId="512109B0" w:rsidR="009D70AD" w:rsidRPr="00945BC6" w:rsidRDefault="00E70612" w:rsidP="00EA5412">
      <w:pPr>
        <w:pStyle w:val="ListParagraph"/>
        <w:numPr>
          <w:ilvl w:val="0"/>
          <w:numId w:val="48"/>
        </w:numPr>
      </w:pPr>
      <w:r>
        <w:t xml:space="preserve">Oversight of the operation and maintenance of International </w:t>
      </w:r>
      <w:r w:rsidR="007F74AD">
        <w:t>M</w:t>
      </w:r>
      <w:r>
        <w:t>onitoring System stations hosted by Australia</w:t>
      </w:r>
      <w:r w:rsidR="007732B2" w:rsidRPr="00945BC6">
        <w:t xml:space="preserve">. </w:t>
      </w:r>
    </w:p>
    <w:p w14:paraId="2438492A" w14:textId="22B6AB91" w:rsidR="008B14D8" w:rsidRPr="000A5AFC" w:rsidRDefault="009D70AD" w:rsidP="00D536F5">
      <w:pPr>
        <w:pStyle w:val="ListParagraph"/>
        <w:numPr>
          <w:ilvl w:val="0"/>
          <w:numId w:val="48"/>
        </w:numPr>
        <w:jc w:val="both"/>
      </w:pPr>
      <w:r w:rsidRPr="000A5AFC">
        <w:t xml:space="preserve">leadership role </w:t>
      </w:r>
      <w:r w:rsidR="00A17DE6" w:rsidRPr="000A5AFC">
        <w:t xml:space="preserve">in development </w:t>
      </w:r>
      <w:r w:rsidR="00B05D3A" w:rsidRPr="000A5AFC">
        <w:t xml:space="preserve">of an </w:t>
      </w:r>
      <w:r w:rsidRPr="000A5AFC">
        <w:t>On-Site Inspection</w:t>
      </w:r>
      <w:r w:rsidR="00A17DE6" w:rsidRPr="000A5AFC">
        <w:t>s</w:t>
      </w:r>
      <w:r w:rsidRPr="000A5AFC">
        <w:t xml:space="preserve"> (OSI) </w:t>
      </w:r>
      <w:r w:rsidR="00A17DE6" w:rsidRPr="000A5AFC">
        <w:t>capability</w:t>
      </w:r>
      <w:r w:rsidR="00E70612">
        <w:t xml:space="preserve"> for the CTBTO</w:t>
      </w:r>
      <w:r w:rsidR="00A076DC" w:rsidRPr="000A5AFC">
        <w:t xml:space="preserve">. </w:t>
      </w:r>
    </w:p>
    <w:p w14:paraId="01A7FFB2" w14:textId="2DE37A1C" w:rsidR="00CE32D9" w:rsidRPr="00945BC6" w:rsidRDefault="00E70612" w:rsidP="00CE32D9">
      <w:r>
        <w:t>I</w:t>
      </w:r>
      <w:r w:rsidR="00D65B80" w:rsidRPr="00945BC6">
        <w:t xml:space="preserve">nternational </w:t>
      </w:r>
      <w:r w:rsidR="00CE32D9" w:rsidRPr="00945BC6">
        <w:t>meetings ASNO attended</w:t>
      </w:r>
      <w:r w:rsidR="003A1C6C">
        <w:t xml:space="preserve"> </w:t>
      </w:r>
      <w:r>
        <w:t xml:space="preserve">during the reporting period </w:t>
      </w:r>
      <w:r w:rsidR="003A1C6C">
        <w:t xml:space="preserve">were almost exclusively </w:t>
      </w:r>
      <w:r w:rsidR="00D65B80" w:rsidRPr="00945BC6">
        <w:t>virtual</w:t>
      </w:r>
      <w:r w:rsidR="007F74AD">
        <w:t xml:space="preserve"> due to COVID-19 restrictions</w:t>
      </w:r>
      <w:r w:rsidR="003A1C6C">
        <w:t>.</w:t>
      </w:r>
      <w:r w:rsidR="003437E2">
        <w:t xml:space="preserve"> </w:t>
      </w:r>
    </w:p>
    <w:p w14:paraId="5B6A6912" w14:textId="77777777" w:rsidR="00431992" w:rsidRPr="00431992" w:rsidRDefault="00431992" w:rsidP="00431992">
      <w:pPr>
        <w:pStyle w:val="ListParagraph"/>
        <w:numPr>
          <w:ilvl w:val="0"/>
          <w:numId w:val="49"/>
        </w:numPr>
        <w:jc w:val="both"/>
        <w:rPr>
          <w:u w:val="single"/>
        </w:rPr>
      </w:pPr>
      <w:r w:rsidRPr="00431992">
        <w:rPr>
          <w:u w:val="single"/>
        </w:rPr>
        <w:t>International Partnership for Nuclear Disarmament Verification (IPNDV)</w:t>
      </w:r>
    </w:p>
    <w:p w14:paraId="1F4B8BA0" w14:textId="40272416" w:rsidR="00431992" w:rsidRPr="00431992" w:rsidRDefault="00431992" w:rsidP="00431992">
      <w:pPr>
        <w:pStyle w:val="ListParagraph"/>
        <w:jc w:val="both"/>
      </w:pPr>
      <w:r w:rsidRPr="00945BC6">
        <w:t xml:space="preserve">IPNDV is an ongoing initiative that includes more than 25 countries with and without nuclear weapons. Together, the partners are identifying challenges associated with nuclear disarmament verification and developing potential procedures and technologies to address those challenges. </w:t>
      </w:r>
      <w:r>
        <w:t xml:space="preserve">During the reporting period, ASNO </w:t>
      </w:r>
      <w:r w:rsidR="00E70612">
        <w:t xml:space="preserve">contributed to the ongoing development of technical papers by IPNDV and </w:t>
      </w:r>
      <w:r>
        <w:t xml:space="preserve">participated </w:t>
      </w:r>
      <w:r w:rsidR="00E70612">
        <w:t>in virtual exercises to test and refine verification concepts</w:t>
      </w:r>
      <w:r w:rsidRPr="00945BC6">
        <w:t xml:space="preserve">. </w:t>
      </w:r>
    </w:p>
    <w:p w14:paraId="54CAE8F3" w14:textId="3035E97F" w:rsidR="00450F24" w:rsidRPr="00945BC6" w:rsidRDefault="00781E36" w:rsidP="00CE32D9">
      <w:pPr>
        <w:pStyle w:val="ListParagraph"/>
        <w:numPr>
          <w:ilvl w:val="0"/>
          <w:numId w:val="49"/>
        </w:numPr>
        <w:rPr>
          <w:u w:val="single"/>
        </w:rPr>
      </w:pPr>
      <w:r w:rsidRPr="00945BC6">
        <w:rPr>
          <w:u w:val="single"/>
        </w:rPr>
        <w:t xml:space="preserve">Regional and </w:t>
      </w:r>
      <w:r w:rsidR="00943DF1" w:rsidRPr="00945BC6">
        <w:rPr>
          <w:u w:val="single"/>
        </w:rPr>
        <w:t>Multinational meetings with the OPCW</w:t>
      </w:r>
    </w:p>
    <w:p w14:paraId="2C22B56E" w14:textId="011F8B44" w:rsidR="00943DF1" w:rsidRPr="00945BC6" w:rsidRDefault="00BB584F" w:rsidP="00BB584F">
      <w:pPr>
        <w:pStyle w:val="ListParagraph"/>
      </w:pPr>
      <w:r w:rsidRPr="00945BC6">
        <w:t>ASNO promotes effective international implementation of the CWC, particularly in Australia’s region</w:t>
      </w:r>
      <w:r w:rsidR="00431992">
        <w:t>, including the OPCW Executive Committee meeting</w:t>
      </w:r>
      <w:r w:rsidR="009D733D">
        <w:t>.</w:t>
      </w:r>
    </w:p>
    <w:p w14:paraId="21C8FD3A" w14:textId="533785D6" w:rsidR="00CE32D9" w:rsidRPr="00A122FC" w:rsidRDefault="00CE32D9" w:rsidP="00CE32D9">
      <w:pPr>
        <w:pStyle w:val="ListParagraph"/>
        <w:numPr>
          <w:ilvl w:val="0"/>
          <w:numId w:val="49"/>
        </w:numPr>
        <w:rPr>
          <w:u w:val="single"/>
        </w:rPr>
      </w:pPr>
      <w:r w:rsidRPr="00A122FC">
        <w:rPr>
          <w:u w:val="single"/>
        </w:rPr>
        <w:t>IAEA’s Nuclear Security Guidance Committee (NSGC)</w:t>
      </w:r>
    </w:p>
    <w:p w14:paraId="4854B0F1" w14:textId="4AC79D7D" w:rsidR="00A122FC" w:rsidRPr="00A122FC" w:rsidRDefault="00CE32D9" w:rsidP="00A122FC">
      <w:pPr>
        <w:pStyle w:val="ListParagraph"/>
      </w:pPr>
      <w:r w:rsidRPr="00A122FC">
        <w:t>ASNO</w:t>
      </w:r>
      <w:r w:rsidR="00A122FC" w:rsidRPr="00A122FC">
        <w:t xml:space="preserve"> continued to play an active role in the NSG</w:t>
      </w:r>
      <w:r w:rsidR="007F74AD">
        <w:t>C</w:t>
      </w:r>
      <w:r w:rsidR="00A122FC" w:rsidRPr="00A122FC">
        <w:t>, including participating in a subgroup on the revision of Nuclear Security recommendations.</w:t>
      </w:r>
    </w:p>
    <w:p w14:paraId="1380C983" w14:textId="21ED1862" w:rsidR="00A122FC" w:rsidRPr="00A122FC" w:rsidRDefault="00A122FC" w:rsidP="00CE32D9">
      <w:pPr>
        <w:pStyle w:val="ListParagraph"/>
        <w:numPr>
          <w:ilvl w:val="0"/>
          <w:numId w:val="49"/>
        </w:numPr>
        <w:rPr>
          <w:u w:val="single"/>
        </w:rPr>
      </w:pPr>
      <w:r w:rsidRPr="00A122FC">
        <w:rPr>
          <w:u w:val="single"/>
        </w:rPr>
        <w:t>Convention for the Physical Protection of Nuclear Material</w:t>
      </w:r>
      <w:r>
        <w:rPr>
          <w:u w:val="single"/>
        </w:rPr>
        <w:t xml:space="preserve"> (CPPNM)</w:t>
      </w:r>
    </w:p>
    <w:p w14:paraId="3043BAC6" w14:textId="5C01D917" w:rsidR="00A122FC" w:rsidRPr="00A122FC" w:rsidRDefault="00A122FC" w:rsidP="00A122FC">
      <w:pPr>
        <w:pStyle w:val="ListParagraph"/>
      </w:pPr>
      <w:r>
        <w:t xml:space="preserve">ASNO participated in, and DG </w:t>
      </w:r>
      <w:r w:rsidRPr="00A122FC">
        <w:t xml:space="preserve">ASNO </w:t>
      </w:r>
      <w:r w:rsidR="004977BE">
        <w:t>co-chaired</w:t>
      </w:r>
      <w:r>
        <w:t xml:space="preserve"> the </w:t>
      </w:r>
      <w:r w:rsidR="007F74AD">
        <w:t>P</w:t>
      </w:r>
      <w:r w:rsidR="004977BE">
        <w:t xml:space="preserve">reparatory </w:t>
      </w:r>
      <w:r w:rsidR="007F74AD">
        <w:t>C</w:t>
      </w:r>
      <w:r w:rsidR="004977BE">
        <w:t xml:space="preserve">ommission for the Amended </w:t>
      </w:r>
      <w:r>
        <w:t>CPPNM Review Conference</w:t>
      </w:r>
      <w:r w:rsidR="00B20D99">
        <w:t>.</w:t>
      </w:r>
    </w:p>
    <w:p w14:paraId="4D17315B" w14:textId="408D2E1F" w:rsidR="00CE32D9" w:rsidRPr="00B20D99" w:rsidRDefault="00CE32D9" w:rsidP="00CE32D9">
      <w:pPr>
        <w:pStyle w:val="ListParagraph"/>
        <w:numPr>
          <w:ilvl w:val="0"/>
          <w:numId w:val="49"/>
        </w:numPr>
        <w:rPr>
          <w:u w:val="single"/>
        </w:rPr>
      </w:pPr>
      <w:r w:rsidRPr="00B20D99">
        <w:rPr>
          <w:u w:val="single"/>
        </w:rPr>
        <w:t>Other Non-Proliferation and Nuclear Policy Forum</w:t>
      </w:r>
      <w:r w:rsidR="007F74AD">
        <w:rPr>
          <w:u w:val="single"/>
        </w:rPr>
        <w:t>s</w:t>
      </w:r>
      <w:r w:rsidR="00974BD5">
        <w:rPr>
          <w:u w:val="single"/>
        </w:rPr>
        <w:t xml:space="preserve"> attended</w:t>
      </w:r>
    </w:p>
    <w:p w14:paraId="60FE4132" w14:textId="77DA5D37" w:rsidR="00A122FC" w:rsidRDefault="00A122FC" w:rsidP="00A122FC">
      <w:pPr>
        <w:pStyle w:val="ListParagraph"/>
        <w:numPr>
          <w:ilvl w:val="1"/>
          <w:numId w:val="49"/>
        </w:numPr>
      </w:pPr>
      <w:r w:rsidRPr="00A122FC">
        <w:t>IAEA Director General’s Standing Advisory Group on Safeguards Implementation (SAGSI)</w:t>
      </w:r>
    </w:p>
    <w:p w14:paraId="0F370BFB" w14:textId="31A96B29" w:rsidR="00B20D99" w:rsidRDefault="00B20D99" w:rsidP="00A122FC">
      <w:pPr>
        <w:pStyle w:val="ListParagraph"/>
        <w:numPr>
          <w:ilvl w:val="1"/>
          <w:numId w:val="49"/>
        </w:numPr>
      </w:pPr>
      <w:r w:rsidRPr="00B20D99">
        <w:t>ASEAN Regional Forum 2021 Presentation</w:t>
      </w:r>
    </w:p>
    <w:p w14:paraId="46CA20E3" w14:textId="7F81DA43" w:rsidR="00B20D99" w:rsidRPr="00A122FC" w:rsidRDefault="00B20D99" w:rsidP="00BE147A">
      <w:pPr>
        <w:pStyle w:val="ListParagraph"/>
        <w:numPr>
          <w:ilvl w:val="1"/>
          <w:numId w:val="49"/>
        </w:numPr>
      </w:pPr>
      <w:r>
        <w:t>I</w:t>
      </w:r>
      <w:r w:rsidR="00A60B90">
        <w:t xml:space="preserve">nternational </w:t>
      </w:r>
      <w:r>
        <w:t>F</w:t>
      </w:r>
      <w:r w:rsidR="00A60B90">
        <w:t xml:space="preserve">ramework for </w:t>
      </w:r>
      <w:r>
        <w:t>N</w:t>
      </w:r>
      <w:r w:rsidR="00A60B90">
        <w:t xml:space="preserve">uclear </w:t>
      </w:r>
      <w:r>
        <w:t>E</w:t>
      </w:r>
      <w:r w:rsidR="00A60B90">
        <w:t xml:space="preserve">nergy </w:t>
      </w:r>
      <w:r>
        <w:t>C</w:t>
      </w:r>
      <w:r w:rsidR="00A60B90">
        <w:t>ooperation</w:t>
      </w:r>
    </w:p>
    <w:p w14:paraId="32AA5505" w14:textId="77777777" w:rsidR="00CE32D9" w:rsidRPr="00B20D99" w:rsidRDefault="00CE32D9" w:rsidP="00CE32D9">
      <w:pPr>
        <w:pStyle w:val="ListParagraph"/>
        <w:numPr>
          <w:ilvl w:val="0"/>
          <w:numId w:val="49"/>
        </w:numPr>
        <w:rPr>
          <w:u w:val="single"/>
        </w:rPr>
      </w:pPr>
      <w:r w:rsidRPr="00B20D99">
        <w:rPr>
          <w:u w:val="single"/>
        </w:rPr>
        <w:t>Other nuclear security forums:</w:t>
      </w:r>
    </w:p>
    <w:p w14:paraId="674CA6B7" w14:textId="3B1AFB8C" w:rsidR="00B20D99" w:rsidRDefault="00B20D99" w:rsidP="00CE32D9">
      <w:pPr>
        <w:pStyle w:val="ListParagraph"/>
        <w:numPr>
          <w:ilvl w:val="1"/>
          <w:numId w:val="49"/>
        </w:numPr>
      </w:pPr>
      <w:r w:rsidRPr="00B20D99">
        <w:t xml:space="preserve">NSGC representative </w:t>
      </w:r>
      <w:r>
        <w:t>(as chair of NSGC) in IAEA</w:t>
      </w:r>
      <w:r w:rsidRPr="00B20D99">
        <w:t xml:space="preserve"> Committee</w:t>
      </w:r>
      <w:r>
        <w:t>s</w:t>
      </w:r>
      <w:r w:rsidRPr="00B20D99">
        <w:t xml:space="preserve"> on Safety Standards </w:t>
      </w:r>
      <w:r>
        <w:t>(CSS)</w:t>
      </w:r>
    </w:p>
    <w:p w14:paraId="4D6BA219" w14:textId="6FD59B50" w:rsidR="00B20D99" w:rsidRPr="00B20D99" w:rsidRDefault="00B20D99" w:rsidP="00CE32D9">
      <w:pPr>
        <w:pStyle w:val="ListParagraph"/>
        <w:numPr>
          <w:ilvl w:val="1"/>
          <w:numId w:val="49"/>
        </w:numPr>
      </w:pPr>
      <w:r>
        <w:t>Meeting of Chairs of NSGC and CSS</w:t>
      </w:r>
    </w:p>
    <w:p w14:paraId="3EC5F845" w14:textId="26454BDD" w:rsidR="00C667D2" w:rsidRPr="009D733D" w:rsidRDefault="00CE32D9" w:rsidP="001D2557">
      <w:pPr>
        <w:pStyle w:val="ListParagraph"/>
        <w:numPr>
          <w:ilvl w:val="1"/>
          <w:numId w:val="49"/>
        </w:numPr>
        <w:rPr>
          <w:u w:val="single"/>
        </w:rPr>
      </w:pPr>
      <w:r w:rsidRPr="00BE147A">
        <w:t>Global Dialogue on Nuclear Security Priorities (Nuclear Threat Initiative)</w:t>
      </w:r>
    </w:p>
    <w:p w14:paraId="4B7C237E" w14:textId="3BC565B6" w:rsidR="009D733D" w:rsidRPr="009D733D" w:rsidRDefault="009D733D" w:rsidP="009D733D">
      <w:pPr>
        <w:pStyle w:val="ListParagraph"/>
        <w:numPr>
          <w:ilvl w:val="1"/>
          <w:numId w:val="49"/>
        </w:numPr>
      </w:pPr>
      <w:r w:rsidRPr="00BE147A">
        <w:t xml:space="preserve">IAEA Consultancy </w:t>
      </w:r>
      <w:r>
        <w:t>–</w:t>
      </w:r>
      <w:r w:rsidRPr="00BE147A">
        <w:t xml:space="preserve"> I</w:t>
      </w:r>
      <w:r>
        <w:t xml:space="preserve">ncident and Trafficking Database </w:t>
      </w:r>
      <w:r w:rsidRPr="00BE147A">
        <w:t>reporting</w:t>
      </w:r>
    </w:p>
    <w:p w14:paraId="30A89EC5" w14:textId="1F9B1830" w:rsidR="00BE147A" w:rsidRPr="00BE147A" w:rsidRDefault="00BE147A" w:rsidP="00BE147A">
      <w:pPr>
        <w:pStyle w:val="ListParagraph"/>
        <w:numPr>
          <w:ilvl w:val="0"/>
          <w:numId w:val="49"/>
        </w:numPr>
        <w:rPr>
          <w:u w:val="single"/>
        </w:rPr>
      </w:pPr>
      <w:r w:rsidRPr="00BE147A">
        <w:rPr>
          <w:u w:val="single"/>
        </w:rPr>
        <w:t>Other technical and scientific forums:</w:t>
      </w:r>
    </w:p>
    <w:p w14:paraId="5786375C" w14:textId="213377AA" w:rsidR="00BE147A" w:rsidRPr="00BE147A" w:rsidRDefault="007F74AD" w:rsidP="00BE147A">
      <w:pPr>
        <w:pStyle w:val="ListParagraph"/>
        <w:numPr>
          <w:ilvl w:val="1"/>
          <w:numId w:val="49"/>
        </w:numPr>
      </w:pPr>
      <w:r>
        <w:t xml:space="preserve">Steering Committee for the </w:t>
      </w:r>
      <w:r w:rsidR="00BE147A" w:rsidRPr="00BE147A">
        <w:t xml:space="preserve">IAEA Radioactive </w:t>
      </w:r>
      <w:r>
        <w:t>W</w:t>
      </w:r>
      <w:r w:rsidR="00BE147A" w:rsidRPr="00BE147A">
        <w:t xml:space="preserve">aste </w:t>
      </w:r>
      <w:r>
        <w:t>C</w:t>
      </w:r>
      <w:r w:rsidR="00BE147A" w:rsidRPr="00BE147A">
        <w:t>onference</w:t>
      </w:r>
    </w:p>
    <w:p w14:paraId="76A6EC1A" w14:textId="20D1EF70" w:rsidR="003437E2" w:rsidRDefault="00A60B90" w:rsidP="001D2557">
      <w:pPr>
        <w:pStyle w:val="ListParagraph"/>
        <w:numPr>
          <w:ilvl w:val="1"/>
          <w:numId w:val="49"/>
        </w:numPr>
      </w:pPr>
      <w:r w:rsidRPr="00BE147A">
        <w:lastRenderedPageBreak/>
        <w:t xml:space="preserve">Workshop on Signatures of Man-Made Isotope Production </w:t>
      </w:r>
      <w:r>
        <w:t>(</w:t>
      </w:r>
      <w:r w:rsidR="00BE147A" w:rsidRPr="00BE147A">
        <w:t>WOSMIP</w:t>
      </w:r>
      <w:r>
        <w:t>) -</w:t>
      </w:r>
      <w:r w:rsidR="003437E2">
        <w:t xml:space="preserve"> </w:t>
      </w:r>
      <w:r w:rsidR="00BE147A" w:rsidRPr="00BE147A">
        <w:t>Remote 2</w:t>
      </w:r>
    </w:p>
    <w:p w14:paraId="76E0E577" w14:textId="5BB5E0B1" w:rsidR="00DE062A" w:rsidRDefault="00DE062A" w:rsidP="00DE062A">
      <w:pPr>
        <w:pStyle w:val="BodyText"/>
      </w:pPr>
      <w:r w:rsidRPr="00DE062A">
        <w:rPr>
          <w:b/>
          <w:bCs/>
          <w:i/>
          <w:iCs/>
          <w:sz w:val="24"/>
          <w:szCs w:val="24"/>
        </w:rPr>
        <w:t>Metric 6b: Engagement with other regulators to explore opportunities for regulatory efficiencies.</w:t>
      </w:r>
    </w:p>
    <w:p w14:paraId="2C3E0001" w14:textId="1B4C83B1" w:rsidR="00414F8A" w:rsidRDefault="00414F8A" w:rsidP="00414F8A">
      <w:pPr>
        <w:pStyle w:val="BodyText"/>
      </w:pPr>
      <w:r>
        <w:t>During the reporting period, ASNO continued to work with domestic and international regulators</w:t>
      </w:r>
      <w:r w:rsidR="00502F28">
        <w:t>,</w:t>
      </w:r>
      <w:r w:rsidR="00C03FA5">
        <w:t xml:space="preserve"> </w:t>
      </w:r>
      <w:r w:rsidR="008E6ADF">
        <w:t xml:space="preserve">within the </w:t>
      </w:r>
      <w:r w:rsidR="000A6420">
        <w:t xml:space="preserve">confines </w:t>
      </w:r>
      <w:r w:rsidR="008E6ADF">
        <w:t>of COVID-</w:t>
      </w:r>
      <w:r w:rsidR="00502F28">
        <w:t>19 restrictions,</w:t>
      </w:r>
      <w:r w:rsidR="008E6ADF">
        <w:t xml:space="preserve"> </w:t>
      </w:r>
      <w:r>
        <w:t xml:space="preserve">to explore opportunities for efficiencies and improve the experience for regulated entities. </w:t>
      </w:r>
      <w:r w:rsidR="00826343">
        <w:t xml:space="preserve">See the ASNO Annual Report </w:t>
      </w:r>
      <w:r w:rsidR="00974BD5">
        <w:t xml:space="preserve">2020-2021 </w:t>
      </w:r>
      <w:r w:rsidR="00826343">
        <w:t xml:space="preserve">for </w:t>
      </w:r>
      <w:r w:rsidR="00974BD5">
        <w:t>further</w:t>
      </w:r>
      <w:r w:rsidR="00826343">
        <w:t xml:space="preserve"> information.</w:t>
      </w:r>
    </w:p>
    <w:p w14:paraId="390C947F" w14:textId="06211569" w:rsidR="001D2557" w:rsidRPr="00A91740" w:rsidRDefault="001D2557" w:rsidP="001D2557">
      <w:pPr>
        <w:pStyle w:val="BodyText"/>
        <w:rPr>
          <w:u w:val="single"/>
        </w:rPr>
      </w:pPr>
      <w:r w:rsidRPr="00A91740">
        <w:rPr>
          <w:u w:val="single"/>
        </w:rPr>
        <w:t>Domestic Engagement</w:t>
      </w:r>
      <w:r w:rsidR="00281023">
        <w:rPr>
          <w:u w:val="single"/>
        </w:rPr>
        <w:t xml:space="preserve"> include</w:t>
      </w:r>
      <w:r w:rsidR="00974BD5">
        <w:rPr>
          <w:u w:val="single"/>
        </w:rPr>
        <w:t>d</w:t>
      </w:r>
      <w:r w:rsidRPr="00A91740">
        <w:rPr>
          <w:u w:val="single"/>
        </w:rPr>
        <w:t>:</w:t>
      </w:r>
    </w:p>
    <w:p w14:paraId="2FD590BA" w14:textId="77777777" w:rsidR="00262F2D" w:rsidRPr="00262F2D" w:rsidRDefault="001338D4" w:rsidP="001D2557">
      <w:pPr>
        <w:pStyle w:val="BodyText"/>
        <w:numPr>
          <w:ilvl w:val="0"/>
          <w:numId w:val="41"/>
        </w:numPr>
        <w:rPr>
          <w:u w:val="single"/>
        </w:rPr>
      </w:pPr>
      <w:r w:rsidRPr="00262F2D">
        <w:rPr>
          <w:u w:val="single"/>
        </w:rPr>
        <w:t>Regulator Science Network (RSN)</w:t>
      </w:r>
    </w:p>
    <w:p w14:paraId="61922BCC" w14:textId="7644C63B" w:rsidR="00373214" w:rsidRDefault="00262F2D" w:rsidP="00262F2D">
      <w:pPr>
        <w:pStyle w:val="BodyText"/>
        <w:ind w:left="360"/>
      </w:pPr>
      <w:r>
        <w:t>T</w:t>
      </w:r>
      <w:r w:rsidR="001D2557">
        <w:t>he RSN</w:t>
      </w:r>
      <w:r>
        <w:t xml:space="preserve"> is</w:t>
      </w:r>
      <w:r w:rsidR="005A7517">
        <w:t xml:space="preserve"> </w:t>
      </w:r>
      <w:r w:rsidR="00DC70E0" w:rsidRPr="00DC70E0">
        <w:t xml:space="preserve">a network of Australian </w:t>
      </w:r>
      <w:r w:rsidR="00137B2C">
        <w:t>G</w:t>
      </w:r>
      <w:r w:rsidR="00DC70E0" w:rsidRPr="00DC70E0">
        <w:t>overnment agencies responsible for regulating chemical, biological or radiological agents</w:t>
      </w:r>
      <w:r w:rsidR="009D733D">
        <w:t>.</w:t>
      </w:r>
      <w:r w:rsidR="00FB7658">
        <w:rPr>
          <w:rStyle w:val="FootnoteReference"/>
        </w:rPr>
        <w:footnoteReference w:id="19"/>
      </w:r>
      <w:r w:rsidR="00816F67">
        <w:t xml:space="preserve"> </w:t>
      </w:r>
      <w:r w:rsidR="002F458E">
        <w:t>With</w:t>
      </w:r>
      <w:r w:rsidR="00C52CB0">
        <w:t xml:space="preserve"> </w:t>
      </w:r>
      <w:r w:rsidR="00C34D36">
        <w:t xml:space="preserve">the </w:t>
      </w:r>
      <w:r w:rsidR="003E2C53">
        <w:t xml:space="preserve">annual </w:t>
      </w:r>
      <w:r w:rsidR="001E258D">
        <w:t xml:space="preserve">RSN </w:t>
      </w:r>
      <w:r w:rsidR="003E2C53">
        <w:t>symposium</w:t>
      </w:r>
      <w:r w:rsidR="001E258D">
        <w:t xml:space="preserve"> on hold</w:t>
      </w:r>
      <w:r w:rsidR="008D27FF">
        <w:t xml:space="preserve"> due to COVID-19 restrictions</w:t>
      </w:r>
      <w:r w:rsidR="00C34D36">
        <w:t>,</w:t>
      </w:r>
      <w:r w:rsidR="00731AD2">
        <w:t xml:space="preserve"> a</w:t>
      </w:r>
      <w:r w:rsidR="00C34D36">
        <w:t xml:space="preserve"> </w:t>
      </w:r>
      <w:r w:rsidR="00410BCD">
        <w:t xml:space="preserve">monthly VTC </w:t>
      </w:r>
      <w:r w:rsidR="00731AD2">
        <w:t>presentation series was</w:t>
      </w:r>
      <w:r w:rsidR="00410BCD">
        <w:t xml:space="preserve"> </w:t>
      </w:r>
      <w:r w:rsidR="00731AD2">
        <w:t xml:space="preserve">initiated </w:t>
      </w:r>
      <w:r w:rsidR="0098362A">
        <w:t xml:space="preserve">to strengthen </w:t>
      </w:r>
      <w:r w:rsidR="00F309B9">
        <w:t xml:space="preserve">understanding </w:t>
      </w:r>
      <w:r w:rsidR="00475266">
        <w:t>across regulatory agencies</w:t>
      </w:r>
      <w:r w:rsidR="0036344C">
        <w:t xml:space="preserve">, </w:t>
      </w:r>
      <w:r w:rsidR="001B57B7">
        <w:t xml:space="preserve">foster collaboration and </w:t>
      </w:r>
      <w:r w:rsidR="00816CD1">
        <w:t xml:space="preserve">promote </w:t>
      </w:r>
      <w:r w:rsidR="0036344C">
        <w:t xml:space="preserve">the </w:t>
      </w:r>
      <w:r w:rsidR="00FD2A2A">
        <w:t xml:space="preserve">sharing of </w:t>
      </w:r>
      <w:r w:rsidR="0036344C">
        <w:t xml:space="preserve">knowledge and </w:t>
      </w:r>
      <w:r w:rsidR="00FD2A2A">
        <w:t>experience.</w:t>
      </w:r>
      <w:r w:rsidR="00816F67">
        <w:t xml:space="preserve"> </w:t>
      </w:r>
      <w:r w:rsidR="0064724E">
        <w:t>ASNO gave the first presentation</w:t>
      </w:r>
      <w:r w:rsidR="00005913">
        <w:t>,</w:t>
      </w:r>
      <w:r w:rsidR="00F414E9">
        <w:t xml:space="preserve"> </w:t>
      </w:r>
      <w:r w:rsidR="00005913">
        <w:t xml:space="preserve">to over 80 participants, focusing on the CWC </w:t>
      </w:r>
      <w:r w:rsidR="000A6420">
        <w:t>requiremen</w:t>
      </w:r>
      <w:r w:rsidR="003F22DF">
        <w:t>t</w:t>
      </w:r>
      <w:r w:rsidR="000A6420">
        <w:t xml:space="preserve">s </w:t>
      </w:r>
      <w:r w:rsidR="00005913">
        <w:t>and potential areas of overlap</w:t>
      </w:r>
      <w:r w:rsidR="000254FB">
        <w:t>.</w:t>
      </w:r>
    </w:p>
    <w:p w14:paraId="4F70FB02" w14:textId="711BE088" w:rsidR="007728E7" w:rsidRPr="000E7C01" w:rsidRDefault="007728E7" w:rsidP="00C867C5">
      <w:pPr>
        <w:pStyle w:val="BodyText"/>
        <w:numPr>
          <w:ilvl w:val="0"/>
          <w:numId w:val="41"/>
        </w:numPr>
        <w:rPr>
          <w:u w:val="single"/>
        </w:rPr>
      </w:pPr>
      <w:r w:rsidRPr="000E7C01">
        <w:rPr>
          <w:u w:val="single"/>
        </w:rPr>
        <w:t>Department of Industry, Science, Energy and Resources (DISER)</w:t>
      </w:r>
    </w:p>
    <w:p w14:paraId="1CCDF3BC" w14:textId="5140D607" w:rsidR="00877C78" w:rsidRDefault="00066678" w:rsidP="00317A9F">
      <w:pPr>
        <w:pStyle w:val="BodyText"/>
        <w:ind w:left="360"/>
      </w:pPr>
      <w:r>
        <w:t xml:space="preserve">ASNO </w:t>
      </w:r>
      <w:r w:rsidR="009C6B30">
        <w:t xml:space="preserve">regularly meets with </w:t>
      </w:r>
      <w:bookmarkStart w:id="2" w:name="_Hlk74221106"/>
      <w:r w:rsidR="000E7C01">
        <w:t xml:space="preserve">DISER </w:t>
      </w:r>
      <w:bookmarkEnd w:id="2"/>
      <w:r w:rsidR="000E7C01">
        <w:t>on issues of mutual interest such as export approvals of UOC and controlled ores</w:t>
      </w:r>
      <w:r w:rsidR="003D55DA">
        <w:t>;</w:t>
      </w:r>
      <w:r w:rsidR="000E7C01">
        <w:t xml:space="preserve"> the establishment of a permit for the decommissioning of a UOC concentration plant</w:t>
      </w:r>
      <w:r w:rsidR="00BF77DF">
        <w:t>; and</w:t>
      </w:r>
      <w:r w:rsidR="00317A9F">
        <w:t xml:space="preserve"> </w:t>
      </w:r>
      <w:r w:rsidR="000B1D5C">
        <w:t xml:space="preserve">safeguards and security measures that must be applied to nuclear material </w:t>
      </w:r>
      <w:r w:rsidR="00BF77DF">
        <w:t xml:space="preserve">that </w:t>
      </w:r>
      <w:r w:rsidR="00C21D7D">
        <w:t xml:space="preserve">could be </w:t>
      </w:r>
      <w:r w:rsidR="000B1D5C">
        <w:t xml:space="preserve">held within </w:t>
      </w:r>
      <w:r w:rsidR="00C21D7D">
        <w:t>a</w:t>
      </w:r>
      <w:r w:rsidR="000B1D5C">
        <w:t xml:space="preserve"> </w:t>
      </w:r>
      <w:r w:rsidR="001D2557">
        <w:t>National Radioactive Waste Management Facility.</w:t>
      </w:r>
    </w:p>
    <w:p w14:paraId="07D4DB54" w14:textId="77777777" w:rsidR="00B107FD" w:rsidRPr="00842830" w:rsidRDefault="00890286" w:rsidP="00C867C5">
      <w:pPr>
        <w:pStyle w:val="BodyText"/>
        <w:numPr>
          <w:ilvl w:val="0"/>
          <w:numId w:val="41"/>
        </w:numPr>
        <w:rPr>
          <w:u w:val="single"/>
        </w:rPr>
      </w:pPr>
      <w:r w:rsidRPr="00842830">
        <w:rPr>
          <w:u w:val="single"/>
        </w:rPr>
        <w:t>A</w:t>
      </w:r>
      <w:r w:rsidR="00B107FD" w:rsidRPr="00842830">
        <w:rPr>
          <w:u w:val="single"/>
        </w:rPr>
        <w:t>u</w:t>
      </w:r>
      <w:r w:rsidRPr="00842830">
        <w:rPr>
          <w:u w:val="single"/>
        </w:rPr>
        <w:t>strali</w:t>
      </w:r>
      <w:r w:rsidR="00B107FD" w:rsidRPr="00842830">
        <w:rPr>
          <w:u w:val="single"/>
        </w:rPr>
        <w:t>a</w:t>
      </w:r>
      <w:r w:rsidRPr="00842830">
        <w:rPr>
          <w:u w:val="single"/>
        </w:rPr>
        <w:t xml:space="preserve">n </w:t>
      </w:r>
      <w:r w:rsidR="00B107FD" w:rsidRPr="00842830">
        <w:rPr>
          <w:u w:val="single"/>
        </w:rPr>
        <w:t>Radiation Protection and Nuclear Safety Agency (</w:t>
      </w:r>
      <w:r w:rsidR="00C21D7D" w:rsidRPr="00842830">
        <w:rPr>
          <w:u w:val="single"/>
        </w:rPr>
        <w:t>ARPANSA</w:t>
      </w:r>
      <w:r w:rsidR="00B107FD" w:rsidRPr="00842830">
        <w:rPr>
          <w:u w:val="single"/>
        </w:rPr>
        <w:t>)</w:t>
      </w:r>
    </w:p>
    <w:p w14:paraId="0D1EFF36" w14:textId="68AC7FEB" w:rsidR="00414F8A" w:rsidRDefault="001D2557" w:rsidP="00B107FD">
      <w:pPr>
        <w:pStyle w:val="BodyText"/>
        <w:ind w:left="360"/>
      </w:pPr>
      <w:r>
        <w:t xml:space="preserve">ASNO continues to work closely with </w:t>
      </w:r>
      <w:r w:rsidR="000A6420">
        <w:t xml:space="preserve">ARPANSA </w:t>
      </w:r>
      <w:r>
        <w:t xml:space="preserve">on various issues including ANSTO’s security plans and the conduct of </w:t>
      </w:r>
      <w:r w:rsidR="00137B2C">
        <w:t xml:space="preserve">the </w:t>
      </w:r>
      <w:r>
        <w:t xml:space="preserve">Periodic Safety and Security Review of </w:t>
      </w:r>
      <w:r w:rsidR="00974BD5">
        <w:t>ANSTO’s</w:t>
      </w:r>
      <w:r>
        <w:t xml:space="preserve"> OPAL reactor</w:t>
      </w:r>
      <w:r w:rsidR="00111E60">
        <w:t xml:space="preserve">, coordination on Australia’s contribution to IAEA safety and security committees, and participation in international exercises to provide emergency preparedness and response systems for a radiological or nuclear incident. </w:t>
      </w:r>
    </w:p>
    <w:p w14:paraId="740DA2A3" w14:textId="078AE890" w:rsidR="00174044" w:rsidRPr="00ED152B" w:rsidRDefault="00863D5E" w:rsidP="00174044">
      <w:pPr>
        <w:pStyle w:val="BodyText"/>
        <w:numPr>
          <w:ilvl w:val="0"/>
          <w:numId w:val="41"/>
        </w:numPr>
        <w:rPr>
          <w:u w:val="single"/>
        </w:rPr>
      </w:pPr>
      <w:r w:rsidRPr="00ED152B">
        <w:rPr>
          <w:u w:val="single"/>
        </w:rPr>
        <w:t xml:space="preserve">Nuclear </w:t>
      </w:r>
      <w:r w:rsidR="00DC2BD0" w:rsidRPr="00ED152B">
        <w:rPr>
          <w:u w:val="single"/>
        </w:rPr>
        <w:t>Agencies Consultative Committee</w:t>
      </w:r>
      <w:r w:rsidR="00ED152B" w:rsidRPr="00ED152B">
        <w:rPr>
          <w:u w:val="single"/>
        </w:rPr>
        <w:t xml:space="preserve"> (NACC)</w:t>
      </w:r>
    </w:p>
    <w:p w14:paraId="1D1CE688" w14:textId="27C93EB0" w:rsidR="00DC2BD0" w:rsidRDefault="00DC2BD0" w:rsidP="00DC2BD0">
      <w:pPr>
        <w:pStyle w:val="BodyText"/>
        <w:ind w:left="360"/>
      </w:pPr>
      <w:r>
        <w:t xml:space="preserve">ASNO </w:t>
      </w:r>
      <w:r w:rsidR="00ED152B">
        <w:t>is part of</w:t>
      </w:r>
      <w:r w:rsidR="00D30C48">
        <w:t xml:space="preserve"> </w:t>
      </w:r>
      <w:r w:rsidR="000A6420">
        <w:t xml:space="preserve">the </w:t>
      </w:r>
      <w:r w:rsidR="00D30C48">
        <w:t>NACC which includes a</w:t>
      </w:r>
      <w:r w:rsidR="008F5F58">
        <w:t>gencies working on nuclear safety, security, safegu</w:t>
      </w:r>
      <w:r w:rsidR="00BE1C58">
        <w:t xml:space="preserve">ards and non-proliferation issues, including Defence, ANSTO, ARPANSA, </w:t>
      </w:r>
      <w:r w:rsidR="00702466">
        <w:t>DISER</w:t>
      </w:r>
      <w:r w:rsidR="000A6420">
        <w:t xml:space="preserve"> and</w:t>
      </w:r>
      <w:r w:rsidR="00702466">
        <w:t xml:space="preserve"> </w:t>
      </w:r>
      <w:r w:rsidR="00C525AA">
        <w:t>DAWE</w:t>
      </w:r>
      <w:r w:rsidR="006063F6">
        <w:t xml:space="preserve">. The group meets monthly with the aim of keeping each other informed and coordinating </w:t>
      </w:r>
      <w:r w:rsidR="00BB48EA">
        <w:t xml:space="preserve">on areas of mutual interest. </w:t>
      </w:r>
    </w:p>
    <w:p w14:paraId="5C7BCCDB" w14:textId="6A7DAE91" w:rsidR="00842830" w:rsidRPr="00774506" w:rsidRDefault="00912613" w:rsidP="00842830">
      <w:pPr>
        <w:pStyle w:val="BodyText"/>
        <w:numPr>
          <w:ilvl w:val="0"/>
          <w:numId w:val="41"/>
        </w:numPr>
        <w:rPr>
          <w:u w:val="single"/>
        </w:rPr>
      </w:pPr>
      <w:r w:rsidRPr="00774506">
        <w:rPr>
          <w:u w:val="single"/>
        </w:rPr>
        <w:t xml:space="preserve">Simplified Trade System </w:t>
      </w:r>
      <w:r w:rsidR="00842830" w:rsidRPr="00774506">
        <w:rPr>
          <w:u w:val="single"/>
        </w:rPr>
        <w:t>Border Modernisation Program</w:t>
      </w:r>
    </w:p>
    <w:p w14:paraId="02016015" w14:textId="717936C0" w:rsidR="00842830" w:rsidRDefault="00842830" w:rsidP="00111E60">
      <w:pPr>
        <w:pStyle w:val="BodyText"/>
        <w:ind w:left="360"/>
      </w:pPr>
      <w:r>
        <w:t xml:space="preserve">ASNO </w:t>
      </w:r>
      <w:r w:rsidR="00932EF6">
        <w:t>continues to en</w:t>
      </w:r>
      <w:r w:rsidR="00563027">
        <w:t xml:space="preserve">gage on </w:t>
      </w:r>
      <w:r w:rsidR="009873FF">
        <w:t>developments on the Simplified Trade System</w:t>
      </w:r>
      <w:r w:rsidR="00023460">
        <w:t xml:space="preserve">, which is now </w:t>
      </w:r>
      <w:r w:rsidR="002F63B0">
        <w:t xml:space="preserve">being led by </w:t>
      </w:r>
      <w:r w:rsidR="00023460">
        <w:t xml:space="preserve">a </w:t>
      </w:r>
      <w:r w:rsidR="00137B2C">
        <w:t xml:space="preserve">newly established </w:t>
      </w:r>
      <w:r w:rsidR="00023460">
        <w:t xml:space="preserve">taskforce </w:t>
      </w:r>
      <w:r w:rsidR="002F63B0">
        <w:t xml:space="preserve">in </w:t>
      </w:r>
      <w:r w:rsidR="00044127">
        <w:t>Austrade</w:t>
      </w:r>
      <w:r>
        <w:t xml:space="preserve">. </w:t>
      </w:r>
    </w:p>
    <w:p w14:paraId="2F4DE2AE" w14:textId="77777777" w:rsidR="009D733D" w:rsidRDefault="009D733D" w:rsidP="003437E2">
      <w:pPr>
        <w:pStyle w:val="BodyText"/>
      </w:pPr>
    </w:p>
    <w:p w14:paraId="793160BF" w14:textId="79284A79" w:rsidR="00414F8A" w:rsidRPr="00414F8A" w:rsidRDefault="00414F8A" w:rsidP="00414F8A">
      <w:pPr>
        <w:pStyle w:val="BodyText"/>
        <w:rPr>
          <w:u w:val="single"/>
        </w:rPr>
      </w:pPr>
      <w:r w:rsidRPr="00414F8A">
        <w:rPr>
          <w:u w:val="single"/>
        </w:rPr>
        <w:t>International Engagement</w:t>
      </w:r>
      <w:r w:rsidR="00281023">
        <w:rPr>
          <w:u w:val="single"/>
        </w:rPr>
        <w:t xml:space="preserve"> include</w:t>
      </w:r>
      <w:r w:rsidR="00974BD5">
        <w:rPr>
          <w:u w:val="single"/>
        </w:rPr>
        <w:t>d</w:t>
      </w:r>
      <w:r w:rsidRPr="00414F8A">
        <w:rPr>
          <w:u w:val="single"/>
        </w:rPr>
        <w:t>:</w:t>
      </w:r>
    </w:p>
    <w:p w14:paraId="1849984D" w14:textId="06F4C0CE" w:rsidR="00AA190B" w:rsidRDefault="00AA190B" w:rsidP="00AA190B">
      <w:pPr>
        <w:pStyle w:val="BodyText"/>
        <w:numPr>
          <w:ilvl w:val="0"/>
          <w:numId w:val="41"/>
        </w:numPr>
      </w:pPr>
      <w:r w:rsidRPr="00414F8A">
        <w:rPr>
          <w:u w:val="single"/>
        </w:rPr>
        <w:t>Implementation of Nuclear Cooperation Agreements</w:t>
      </w:r>
      <w:r w:rsidR="00FD5BB3">
        <w:rPr>
          <w:u w:val="single"/>
        </w:rPr>
        <w:t xml:space="preserve"> (NCAs)</w:t>
      </w:r>
    </w:p>
    <w:p w14:paraId="377DA2F8" w14:textId="77777777" w:rsidR="00974BD5" w:rsidRDefault="00974BD5" w:rsidP="00974BD5">
      <w:pPr>
        <w:pStyle w:val="BodyText"/>
        <w:ind w:left="360"/>
      </w:pPr>
      <w:r w:rsidRPr="00C230CA">
        <w:t xml:space="preserve">ASNO </w:t>
      </w:r>
      <w:r>
        <w:t xml:space="preserve">continued to engage regularly with bilateral regulatory counterparts on the effective implementation of the network of NCAs, and to ensure imports and exports of </w:t>
      </w:r>
      <w:r w:rsidRPr="00C230CA">
        <w:t>nuclear material remain</w:t>
      </w:r>
      <w:r>
        <w:t>ed</w:t>
      </w:r>
      <w:r w:rsidRPr="00C230CA">
        <w:t xml:space="preserve"> accountable under the bilateral</w:t>
      </w:r>
      <w:r>
        <w:t xml:space="preserve"> NCAs. </w:t>
      </w:r>
    </w:p>
    <w:p w14:paraId="0BA52CDA" w14:textId="3FF587DB" w:rsidR="00E95F3D" w:rsidRDefault="00974BD5" w:rsidP="00974BD5">
      <w:pPr>
        <w:pStyle w:val="BodyText"/>
        <w:ind w:left="360"/>
      </w:pPr>
      <w:r>
        <w:lastRenderedPageBreak/>
        <w:t>Of particular note during the reporting period, ASNO worked closely with the UK and Euratom nuclear regulators to ensure the movement of Australian Obligated Nuclear Material (AONM) within the NCA network was not impeded and remained fully accounted for during UK’s formal exit from the EU</w:t>
      </w:r>
      <w:r w:rsidR="00447091">
        <w:t>.</w:t>
      </w:r>
      <w:r w:rsidR="00A7085B">
        <w:rPr>
          <w:rStyle w:val="FootnoteReference"/>
        </w:rPr>
        <w:footnoteReference w:id="20"/>
      </w:r>
    </w:p>
    <w:p w14:paraId="1B4593F7" w14:textId="382349E4" w:rsidR="00D40F31" w:rsidRDefault="00A12FAC" w:rsidP="00BA7555">
      <w:pPr>
        <w:pStyle w:val="BodyText"/>
        <w:numPr>
          <w:ilvl w:val="0"/>
          <w:numId w:val="41"/>
        </w:numPr>
        <w:rPr>
          <w:u w:val="single"/>
        </w:rPr>
      </w:pPr>
      <w:r w:rsidRPr="00FD5BB3">
        <w:rPr>
          <w:u w:val="single"/>
        </w:rPr>
        <w:t>1</w:t>
      </w:r>
      <w:r w:rsidR="007842ED">
        <w:rPr>
          <w:u w:val="single"/>
        </w:rPr>
        <w:t>1th</w:t>
      </w:r>
      <w:r w:rsidRPr="00FD5BB3">
        <w:rPr>
          <w:u w:val="single"/>
        </w:rPr>
        <w:t xml:space="preserve"> Annual Meeting of the </w:t>
      </w:r>
      <w:r w:rsidR="006B2254" w:rsidRPr="00FD5BB3">
        <w:rPr>
          <w:u w:val="single"/>
        </w:rPr>
        <w:t>Asia</w:t>
      </w:r>
      <w:r w:rsidR="001F7BBA" w:rsidRPr="00FD5BB3">
        <w:rPr>
          <w:u w:val="single"/>
        </w:rPr>
        <w:t>-</w:t>
      </w:r>
      <w:r w:rsidRPr="00FD5BB3">
        <w:rPr>
          <w:u w:val="single"/>
        </w:rPr>
        <w:t>Paci</w:t>
      </w:r>
      <w:r w:rsidR="00240248" w:rsidRPr="00FD5BB3">
        <w:rPr>
          <w:u w:val="single"/>
        </w:rPr>
        <w:t>fic Safeguards Network</w:t>
      </w:r>
      <w:r w:rsidR="000B526D">
        <w:rPr>
          <w:u w:val="single"/>
        </w:rPr>
        <w:t xml:space="preserve"> (APSN)</w:t>
      </w:r>
      <w:r w:rsidR="006B2254" w:rsidRPr="00FD5BB3">
        <w:rPr>
          <w:u w:val="single"/>
        </w:rPr>
        <w:t xml:space="preserve"> </w:t>
      </w:r>
    </w:p>
    <w:p w14:paraId="0D5C69AE" w14:textId="39391081" w:rsidR="00017092" w:rsidRDefault="000C2106" w:rsidP="00627838">
      <w:pPr>
        <w:pStyle w:val="BodyText"/>
        <w:ind w:left="360"/>
      </w:pPr>
      <w:r>
        <w:t>APSN establishes a community of safeguards professionals, both in and outside the region</w:t>
      </w:r>
      <w:r w:rsidR="00137B2C">
        <w:t>,</w:t>
      </w:r>
      <w:r>
        <w:t xml:space="preserve"> </w:t>
      </w:r>
      <w:r w:rsidR="00137B2C">
        <w:t>to</w:t>
      </w:r>
      <w:r>
        <w:t xml:space="preserve"> strengthen regional capability through both high-level and operation-level discussions and projects.</w:t>
      </w:r>
      <w:r w:rsidR="00816F67">
        <w:t xml:space="preserve"> </w:t>
      </w:r>
      <w:r w:rsidR="00350259">
        <w:t xml:space="preserve">The </w:t>
      </w:r>
      <w:r w:rsidR="00771192">
        <w:t>2020</w:t>
      </w:r>
      <w:r w:rsidR="00350259" w:rsidRPr="007842ED">
        <w:t xml:space="preserve"> </w:t>
      </w:r>
      <w:r w:rsidR="00EB58B3">
        <w:t>m</w:t>
      </w:r>
      <w:r w:rsidR="00350259" w:rsidRPr="007842ED">
        <w:t xml:space="preserve">eeting </w:t>
      </w:r>
      <w:r w:rsidR="00925C0A">
        <w:t>was</w:t>
      </w:r>
      <w:r w:rsidR="00D3287B">
        <w:t xml:space="preserve"> </w:t>
      </w:r>
      <w:r w:rsidR="00701C11">
        <w:t>held virtually</w:t>
      </w:r>
      <w:r w:rsidR="00771192">
        <w:t xml:space="preserve"> and</w:t>
      </w:r>
      <w:r w:rsidR="00701C11">
        <w:t xml:space="preserve"> </w:t>
      </w:r>
      <w:r w:rsidR="00350259" w:rsidRPr="000D63F7">
        <w:t>hosted by Indonesia</w:t>
      </w:r>
      <w:r w:rsidR="00300994">
        <w:t>.</w:t>
      </w:r>
      <w:r w:rsidR="00816F67">
        <w:t xml:space="preserve"> </w:t>
      </w:r>
      <w:r w:rsidR="00300994">
        <w:t>Seventy a</w:t>
      </w:r>
      <w:r w:rsidR="0097048A" w:rsidRPr="00A74E50">
        <w:t>ttende</w:t>
      </w:r>
      <w:r w:rsidR="00300994">
        <w:t xml:space="preserve">es </w:t>
      </w:r>
      <w:r w:rsidR="0097048A" w:rsidRPr="00A74E50">
        <w:t>from</w:t>
      </w:r>
      <w:r w:rsidR="0097048A">
        <w:t xml:space="preserve"> 16 </w:t>
      </w:r>
      <w:r w:rsidR="0097048A" w:rsidRPr="00A74E50">
        <w:t>countries</w:t>
      </w:r>
      <w:r w:rsidR="00133835">
        <w:t xml:space="preserve">, </w:t>
      </w:r>
      <w:r w:rsidR="0097048A" w:rsidRPr="00A74E50">
        <w:t xml:space="preserve">the </w:t>
      </w:r>
      <w:r w:rsidR="0097048A" w:rsidRPr="00A60530">
        <w:t>IAEA and European Safeguards Research and Development Association (ESARDA)</w:t>
      </w:r>
      <w:r w:rsidR="008111B0">
        <w:t xml:space="preserve"> shared their experiences </w:t>
      </w:r>
      <w:r w:rsidR="00467A80">
        <w:t>on IAEA safeguards</w:t>
      </w:r>
      <w:r w:rsidR="00BF3CAF">
        <w:t xml:space="preserve"> implementation with a focus on challenges during COVID-19</w:t>
      </w:r>
      <w:r w:rsidR="00974BD5">
        <w:t>.</w:t>
      </w:r>
      <w:r w:rsidR="00902862">
        <w:t xml:space="preserve"> ASNO gave a presentation </w:t>
      </w:r>
      <w:r w:rsidR="00DD6A48">
        <w:t xml:space="preserve">on </w:t>
      </w:r>
      <w:r w:rsidR="00616A62">
        <w:t xml:space="preserve">domestic </w:t>
      </w:r>
      <w:r w:rsidR="00DD6A48">
        <w:t xml:space="preserve">management of </w:t>
      </w:r>
      <w:r w:rsidR="00616A62">
        <w:t>IAEA safeguards</w:t>
      </w:r>
      <w:r w:rsidR="009D733D">
        <w:t xml:space="preserve"> and </w:t>
      </w:r>
      <w:r w:rsidR="00B15637">
        <w:t>safeguards resilience.</w:t>
      </w:r>
    </w:p>
    <w:p w14:paraId="16AB90D2" w14:textId="2BE78258" w:rsidR="00977AC2" w:rsidRDefault="00977AC2" w:rsidP="00977AC2">
      <w:pPr>
        <w:pStyle w:val="BodyText"/>
        <w:numPr>
          <w:ilvl w:val="0"/>
          <w:numId w:val="42"/>
        </w:numPr>
      </w:pPr>
      <w:r w:rsidRPr="00414F8A">
        <w:rPr>
          <w:u w:val="single"/>
        </w:rPr>
        <w:t xml:space="preserve">CWC </w:t>
      </w:r>
      <w:r w:rsidRPr="0020249F">
        <w:rPr>
          <w:u w:val="single"/>
        </w:rPr>
        <w:t>National Authority meeting</w:t>
      </w:r>
      <w:r w:rsidR="009671ED">
        <w:rPr>
          <w:u w:val="single"/>
        </w:rPr>
        <w:t>s</w:t>
      </w:r>
    </w:p>
    <w:p w14:paraId="23EB7F63" w14:textId="58CAB09F" w:rsidR="009D733D" w:rsidRDefault="00977AC2" w:rsidP="002B51A2">
      <w:pPr>
        <w:pStyle w:val="BodyText"/>
        <w:ind w:left="360"/>
      </w:pPr>
      <w:r>
        <w:t xml:space="preserve">ASNO’s chemical team engaged with </w:t>
      </w:r>
      <w:r w:rsidR="009671ED">
        <w:t>inter</w:t>
      </w:r>
      <w:r>
        <w:t xml:space="preserve">national </w:t>
      </w:r>
      <w:r w:rsidR="009671ED">
        <w:t xml:space="preserve">counterparts </w:t>
      </w:r>
      <w:r>
        <w:t xml:space="preserve">at the </w:t>
      </w:r>
      <w:r w:rsidR="009671ED">
        <w:t xml:space="preserve">Annual </w:t>
      </w:r>
      <w:r>
        <w:t>Chemical Weapons Convention National Authority meeting</w:t>
      </w:r>
      <w:r w:rsidR="009671ED">
        <w:t xml:space="preserve"> and </w:t>
      </w:r>
      <w:r w:rsidR="009D733D">
        <w:t>two regional National Authorities meetings: one for Western Europe and Other Group (</w:t>
      </w:r>
      <w:r w:rsidR="00974BD5">
        <w:t xml:space="preserve">of </w:t>
      </w:r>
      <w:r w:rsidR="009D733D">
        <w:t>which Australia is a member) and the other with Asian States Parties (which ASNO was invited to attend).</w:t>
      </w:r>
    </w:p>
    <w:p w14:paraId="26640768" w14:textId="673FDAD4" w:rsidR="00111E60" w:rsidRDefault="00111E60" w:rsidP="00111E60">
      <w:pPr>
        <w:pStyle w:val="BodyText"/>
        <w:numPr>
          <w:ilvl w:val="0"/>
          <w:numId w:val="42"/>
        </w:numPr>
        <w:rPr>
          <w:u w:val="single"/>
        </w:rPr>
      </w:pPr>
      <w:r w:rsidRPr="00111E60">
        <w:rPr>
          <w:u w:val="single"/>
        </w:rPr>
        <w:t xml:space="preserve">Meetings of IAEA Safeguards Support Programs </w:t>
      </w:r>
    </w:p>
    <w:p w14:paraId="17BAE4A3" w14:textId="1715EA0A" w:rsidR="00111E60" w:rsidRPr="00111E60" w:rsidRDefault="00111E60" w:rsidP="00111E60">
      <w:pPr>
        <w:pStyle w:val="BodyText"/>
        <w:ind w:left="360"/>
      </w:pPr>
      <w:r w:rsidRPr="00111E60">
        <w:t xml:space="preserve">The IAEA </w:t>
      </w:r>
      <w:r>
        <w:t xml:space="preserve">has established programs with </w:t>
      </w:r>
      <w:r w:rsidR="00B5041C">
        <w:t>volunteering member states to undertake projects that contribute to the development and implementation of</w:t>
      </w:r>
      <w:r w:rsidR="00137B2C">
        <w:t xml:space="preserve"> nuclear</w:t>
      </w:r>
      <w:r w:rsidR="00B5041C">
        <w:t xml:space="preserve"> safeguards. The Australian Safeguards Support Program (ASSP) </w:t>
      </w:r>
      <w:r w:rsidR="009E5765">
        <w:t xml:space="preserve">is coordinated by ASNO and </w:t>
      </w:r>
      <w:r w:rsidR="00B5041C">
        <w:t>has been in place for more than 40 years</w:t>
      </w:r>
      <w:r w:rsidR="009E5765">
        <w:t>. It</w:t>
      </w:r>
      <w:r w:rsidR="00B5041C">
        <w:t xml:space="preserve"> is one of 21 Member State Support Programs (MSSP) programs. During the reporting period, ASNO </w:t>
      </w:r>
      <w:r w:rsidR="009E5765">
        <w:t>took part in</w:t>
      </w:r>
      <w:r w:rsidR="00824616">
        <w:t xml:space="preserve"> the</w:t>
      </w:r>
      <w:r w:rsidR="009E5765">
        <w:t xml:space="preserve"> ASSP/MSSP Annual Review Conference</w:t>
      </w:r>
      <w:r w:rsidR="004913B5">
        <w:t>. ASNO</w:t>
      </w:r>
      <w:r w:rsidR="00B101AF">
        <w:t>, along with other MSSP,</w:t>
      </w:r>
      <w:r w:rsidR="004913B5">
        <w:t xml:space="preserve"> is also</w:t>
      </w:r>
      <w:r w:rsidR="009E5765">
        <w:t xml:space="preserve"> participate</w:t>
      </w:r>
      <w:r w:rsidR="009D733D">
        <w:t>d</w:t>
      </w:r>
      <w:r w:rsidR="009E5765">
        <w:t xml:space="preserve"> in the IAEA’s Comprehensive </w:t>
      </w:r>
      <w:r w:rsidR="00137B2C">
        <w:t>C</w:t>
      </w:r>
      <w:r w:rsidR="009E5765">
        <w:t xml:space="preserve">apacity </w:t>
      </w:r>
      <w:r w:rsidR="00137B2C">
        <w:t>B</w:t>
      </w:r>
      <w:r w:rsidR="009E5765">
        <w:t xml:space="preserve">uilding </w:t>
      </w:r>
      <w:r w:rsidR="00137B2C">
        <w:t>I</w:t>
      </w:r>
      <w:r w:rsidR="009E5765">
        <w:t>nitiative for SSACs</w:t>
      </w:r>
      <w:r w:rsidR="009E5765">
        <w:rPr>
          <w:rStyle w:val="FootnoteReference"/>
        </w:rPr>
        <w:footnoteReference w:id="21"/>
      </w:r>
      <w:r w:rsidR="009E5765">
        <w:t xml:space="preserve"> and SRAs</w:t>
      </w:r>
      <w:r w:rsidR="004913B5">
        <w:rPr>
          <w:rStyle w:val="FootnoteReference"/>
        </w:rPr>
        <w:footnoteReference w:id="22"/>
      </w:r>
      <w:r w:rsidR="009E5765">
        <w:t xml:space="preserve"> </w:t>
      </w:r>
      <w:r w:rsidR="004913B5">
        <w:t>(referred to as COMPASS). COMPASS is</w:t>
      </w:r>
      <w:r w:rsidR="009E5765">
        <w:t xml:space="preserve"> multi-year program </w:t>
      </w:r>
      <w:r w:rsidR="009D733D">
        <w:t>intended to</w:t>
      </w:r>
      <w:r w:rsidR="004913B5">
        <w:t xml:space="preserve"> provide request</w:t>
      </w:r>
      <w:r w:rsidR="00B101AF">
        <w:t>ing</w:t>
      </w:r>
      <w:r w:rsidR="009D733D">
        <w:t xml:space="preserve"> IAEA </w:t>
      </w:r>
      <w:r w:rsidR="00614D52">
        <w:t>M</w:t>
      </w:r>
      <w:r w:rsidR="004913B5">
        <w:t xml:space="preserve">ember </w:t>
      </w:r>
      <w:r w:rsidR="00614D52">
        <w:t>S</w:t>
      </w:r>
      <w:r w:rsidR="004913B5">
        <w:t xml:space="preserve">tates </w:t>
      </w:r>
      <w:r w:rsidR="00B101AF">
        <w:t xml:space="preserve">with assistance </w:t>
      </w:r>
      <w:r w:rsidR="004913B5">
        <w:t xml:space="preserve">on </w:t>
      </w:r>
      <w:r w:rsidR="009D733D">
        <w:t xml:space="preserve">practical issues related to </w:t>
      </w:r>
      <w:r w:rsidR="004913B5">
        <w:t xml:space="preserve">the </w:t>
      </w:r>
      <w:r w:rsidR="009D733D">
        <w:t xml:space="preserve">establishment and </w:t>
      </w:r>
      <w:r w:rsidR="004913B5">
        <w:t xml:space="preserve">operation of their regulatory duties. </w:t>
      </w:r>
    </w:p>
    <w:p w14:paraId="4BB75FB9" w14:textId="77777777" w:rsidR="00DE062A" w:rsidRDefault="00DE062A" w:rsidP="00BF3A17">
      <w:pPr>
        <w:pStyle w:val="BodyText"/>
      </w:pPr>
    </w:p>
    <w:sectPr w:rsidR="00DE062A" w:rsidSect="00271503">
      <w:headerReference w:type="default" r:id="rId15"/>
      <w:footerReference w:type="default" r:id="rId16"/>
      <w:headerReference w:type="first" r:id="rId17"/>
      <w:footerReference w:type="first" r:id="rId18"/>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031E9" w14:textId="77777777" w:rsidR="009D7F78" w:rsidRDefault="009D7F78" w:rsidP="003A5358">
      <w:r>
        <w:separator/>
      </w:r>
    </w:p>
  </w:endnote>
  <w:endnote w:type="continuationSeparator" w:id="0">
    <w:p w14:paraId="5B5367D4" w14:textId="77777777" w:rsidR="009D7F78" w:rsidRDefault="009D7F78"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A7DDF" w14:textId="77777777" w:rsidR="009D7F78" w:rsidRDefault="009D7F78" w:rsidP="00D203EB">
    <w:pPr>
      <w:pStyle w:val="Classification"/>
    </w:pPr>
  </w:p>
  <w:p w14:paraId="482BA17D" w14:textId="1D0F58C7" w:rsidR="009D7F78" w:rsidRDefault="009D7F78" w:rsidP="003A5358">
    <w:pPr>
      <w:pStyle w:val="Footer"/>
    </w:pPr>
    <w:r>
      <w:tab/>
    </w:r>
    <w:r>
      <w:rPr>
        <w:noProof/>
        <w:lang w:val="en-AU" w:eastAsia="en-AU"/>
      </w:rPr>
      <w:drawing>
        <wp:anchor distT="0" distB="0" distL="114300" distR="114300" simplePos="0" relativeHeight="251716608" behindDoc="1" locked="0" layoutInCell="1" allowOverlap="1" wp14:anchorId="42F6E972" wp14:editId="1566A231">
          <wp:simplePos x="0" y="0"/>
          <wp:positionH relativeFrom="page">
            <wp:posOffset>720090</wp:posOffset>
          </wp:positionH>
          <wp:positionV relativeFrom="page">
            <wp:posOffset>10153015</wp:posOffset>
          </wp:positionV>
          <wp:extent cx="6119640" cy="388800"/>
          <wp:effectExtent l="0" t="0" r="0" b="0"/>
          <wp:wrapNone/>
          <wp:docPr id="17" name="Picture 1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640" cy="388800"/>
                  </a:xfrm>
                  <a:prstGeom prst="rect">
                    <a:avLst/>
                  </a:prstGeom>
                </pic:spPr>
              </pic:pic>
            </a:graphicData>
          </a:graphic>
          <wp14:sizeRelH relativeFrom="margin">
            <wp14:pctWidth>0</wp14:pctWidth>
          </wp14:sizeRelH>
          <wp14:sizeRelV relativeFrom="margin">
            <wp14:pctHeight>0</wp14:pctHeight>
          </wp14:sizeRelV>
        </wp:anchor>
      </w:drawing>
    </w:r>
    <w:r w:rsidRPr="00B92E1E">
      <w:fldChar w:fldCharType="begin"/>
    </w:r>
    <w:r>
      <w:instrText xml:space="preserve"> STYLEREF  Title  \* MERGEFORMAT </w:instrText>
    </w:r>
    <w:r w:rsidRPr="00B92E1E">
      <w:fldChar w:fldCharType="separate"/>
    </w:r>
    <w:r w:rsidR="00F37B9C">
      <w:rPr>
        <w:noProof/>
      </w:rPr>
      <w:t>REGULATOR PERFORMANCE FRAMEWORK SELF-ASSESSMENT REPORT 2020 – 2021</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Pr>
        <w:rStyle w:val="PageNumber"/>
        <w:noProof/>
      </w:rPr>
      <w:t>A</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523CA" w14:textId="77777777" w:rsidR="009D7F78" w:rsidRDefault="009D7F78" w:rsidP="00D203EB">
    <w:pPr>
      <w:pStyle w:val="Classification"/>
    </w:pPr>
  </w:p>
  <w:p w14:paraId="1BBAE044" w14:textId="05C7E9D7" w:rsidR="009D7F78" w:rsidRDefault="009D7F78" w:rsidP="003A5358">
    <w:pPr>
      <w:pStyle w:val="Footer"/>
    </w:pPr>
    <w:r>
      <w:tab/>
    </w:r>
    <w:r>
      <w:rPr>
        <w:noProof/>
        <w:lang w:val="en-AU" w:eastAsia="en-AU"/>
      </w:rPr>
      <w:drawing>
        <wp:anchor distT="0" distB="0" distL="114300" distR="114300" simplePos="0" relativeHeight="251712512" behindDoc="1" locked="0" layoutInCell="1" allowOverlap="1" wp14:anchorId="08062E97" wp14:editId="7035F965">
          <wp:simplePos x="0" y="0"/>
          <wp:positionH relativeFrom="page">
            <wp:posOffset>720090</wp:posOffset>
          </wp:positionH>
          <wp:positionV relativeFrom="page">
            <wp:posOffset>10153015</wp:posOffset>
          </wp:positionV>
          <wp:extent cx="6119640" cy="388800"/>
          <wp:effectExtent l="0" t="0" r="0" b="0"/>
          <wp:wrapNone/>
          <wp:docPr id="15" name="Picture 1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640" cy="388800"/>
                  </a:xfrm>
                  <a:prstGeom prst="rect">
                    <a:avLst/>
                  </a:prstGeom>
                </pic:spPr>
              </pic:pic>
            </a:graphicData>
          </a:graphic>
          <wp14:sizeRelH relativeFrom="margin">
            <wp14:pctWidth>0</wp14:pctWidth>
          </wp14:sizeRelH>
          <wp14:sizeRelV relativeFrom="margin">
            <wp14:pctHeight>0</wp14:pctHeight>
          </wp14:sizeRelV>
        </wp:anchor>
      </w:drawing>
    </w:r>
    <w:r w:rsidRPr="005B583F">
      <w:fldChar w:fldCharType="begin"/>
    </w:r>
    <w:r>
      <w:instrText xml:space="preserve"> STYLEREF  Title  \* MERGEFORMAT </w:instrText>
    </w:r>
    <w:r w:rsidRPr="005B583F">
      <w:fldChar w:fldCharType="separate"/>
    </w:r>
    <w:r w:rsidR="00F37B9C">
      <w:rPr>
        <w:noProof/>
      </w:rPr>
      <w:t>REGULATOR PERFORMANCE FRAMEWORK SELF-ASSESSMENT REPORT 2020 – 2021</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Pr>
        <w:rStyle w:val="PageNumber"/>
        <w:noProof/>
      </w:rPr>
      <w:t>1</w:t>
    </w:r>
    <w:r w:rsidRPr="005B583F">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B2DE2" w14:textId="77777777" w:rsidR="009D7F78" w:rsidRDefault="009D7F78" w:rsidP="007C42D8">
    <w:pPr>
      <w:pStyle w:val="Classification"/>
    </w:pPr>
  </w:p>
  <w:p w14:paraId="3E8C009B" w14:textId="420AA93D" w:rsidR="009D7F78" w:rsidRDefault="009D7F78" w:rsidP="007C42D8">
    <w:pPr>
      <w:pStyle w:val="Footer"/>
    </w:pPr>
    <w:r>
      <w:tab/>
    </w:r>
    <w:r>
      <w:rPr>
        <w:noProof/>
        <w:lang w:val="en-AU" w:eastAsia="en-AU"/>
      </w:rPr>
      <w:drawing>
        <wp:anchor distT="0" distB="0" distL="114300" distR="114300" simplePos="0" relativeHeight="251722752" behindDoc="1" locked="0" layoutInCell="1" allowOverlap="1" wp14:anchorId="55FE096F" wp14:editId="0DBCCFB4">
          <wp:simplePos x="0" y="0"/>
          <wp:positionH relativeFrom="page">
            <wp:posOffset>720090</wp:posOffset>
          </wp:positionH>
          <wp:positionV relativeFrom="page">
            <wp:posOffset>10153015</wp:posOffset>
          </wp:positionV>
          <wp:extent cx="6119640" cy="388800"/>
          <wp:effectExtent l="0" t="0" r="0" b="0"/>
          <wp:wrapNone/>
          <wp:docPr id="20" name="Picture 2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640" cy="388800"/>
                  </a:xfrm>
                  <a:prstGeom prst="rect">
                    <a:avLst/>
                  </a:prstGeom>
                </pic:spPr>
              </pic:pic>
            </a:graphicData>
          </a:graphic>
          <wp14:sizeRelH relativeFrom="margin">
            <wp14:pctWidth>0</wp14:pctWidth>
          </wp14:sizeRelH>
          <wp14:sizeRelV relativeFrom="margin">
            <wp14:pctHeight>0</wp14:pctHeight>
          </wp14:sizeRelV>
        </wp:anchor>
      </w:drawing>
    </w:r>
    <w:r w:rsidRPr="005B583F">
      <w:fldChar w:fldCharType="begin"/>
    </w:r>
    <w:r>
      <w:instrText xml:space="preserve"> STYLEREF  Title  \* MERGEFORMAT </w:instrText>
    </w:r>
    <w:r w:rsidRPr="005B583F">
      <w:fldChar w:fldCharType="separate"/>
    </w:r>
    <w:r w:rsidR="00F37B9C">
      <w:rPr>
        <w:noProof/>
      </w:rPr>
      <w:t>REGULATOR PERFORMANCE FRAMEWORK SELF-ASSESSMENT REPORT 2020 – 2021</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Pr>
        <w:rStyle w:val="PageNumber"/>
        <w:noProof/>
      </w:rPr>
      <w:t>A</w:t>
    </w:r>
    <w:r w:rsidRPr="005B583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7B403" w14:textId="77777777" w:rsidR="009D7F78" w:rsidRDefault="009D7F78" w:rsidP="00D203EB">
    <w:pPr>
      <w:pStyle w:val="Classification"/>
    </w:pPr>
  </w:p>
  <w:p w14:paraId="2F31A697" w14:textId="190241D9" w:rsidR="009D7F78" w:rsidRDefault="009D7F78" w:rsidP="003A5358">
    <w:pPr>
      <w:pStyle w:val="Footer"/>
    </w:pPr>
    <w:r>
      <w:tab/>
    </w:r>
    <w:r>
      <w:rPr>
        <w:noProof/>
        <w:lang w:val="en-AU" w:eastAsia="en-AU"/>
      </w:rPr>
      <w:drawing>
        <wp:anchor distT="0" distB="0" distL="114300" distR="114300" simplePos="0" relativeHeight="251724800" behindDoc="1" locked="0" layoutInCell="1" allowOverlap="1" wp14:anchorId="3F3898C2" wp14:editId="79491DB8">
          <wp:simplePos x="0" y="0"/>
          <wp:positionH relativeFrom="page">
            <wp:posOffset>720090</wp:posOffset>
          </wp:positionH>
          <wp:positionV relativeFrom="page">
            <wp:posOffset>10153015</wp:posOffset>
          </wp:positionV>
          <wp:extent cx="6119640" cy="388800"/>
          <wp:effectExtent l="0" t="0" r="0" b="0"/>
          <wp:wrapNone/>
          <wp:docPr id="23" name="Picture 2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640" cy="388800"/>
                  </a:xfrm>
                  <a:prstGeom prst="rect">
                    <a:avLst/>
                  </a:prstGeom>
                </pic:spPr>
              </pic:pic>
            </a:graphicData>
          </a:graphic>
          <wp14:sizeRelH relativeFrom="margin">
            <wp14:pctWidth>0</wp14:pctWidth>
          </wp14:sizeRelH>
          <wp14:sizeRelV relativeFrom="margin">
            <wp14:pctHeight>0</wp14:pctHeight>
          </wp14:sizeRelV>
        </wp:anchor>
      </w:drawing>
    </w:r>
    <w:r w:rsidRPr="005B583F">
      <w:fldChar w:fldCharType="begin"/>
    </w:r>
    <w:r>
      <w:instrText xml:space="preserve"> STYLEREF  Title  \* MERGEFORMAT </w:instrText>
    </w:r>
    <w:r w:rsidRPr="005B583F">
      <w:fldChar w:fldCharType="separate"/>
    </w:r>
    <w:r w:rsidR="00F37B9C">
      <w:rPr>
        <w:noProof/>
      </w:rPr>
      <w:t>REGULATOR PERFORMANCE FRAMEWORK SELF-ASSESSMENT REPORT 2020 – 2021</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Pr>
        <w:rStyle w:val="PageNumber"/>
        <w:noProof/>
      </w:rPr>
      <w:t>2</w:t>
    </w:r>
    <w:r w:rsidRPr="005B58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30C0C" w14:textId="77777777" w:rsidR="009D7F78" w:rsidRPr="008C5A0E" w:rsidRDefault="009D7F78" w:rsidP="003A5358">
      <w:pPr>
        <w:pStyle w:val="FootnoteSeparator"/>
      </w:pPr>
    </w:p>
  </w:footnote>
  <w:footnote w:type="continuationSeparator" w:id="0">
    <w:p w14:paraId="46067585" w14:textId="77777777" w:rsidR="009D7F78" w:rsidRDefault="009D7F78" w:rsidP="003A5358">
      <w:r>
        <w:continuationSeparator/>
      </w:r>
    </w:p>
  </w:footnote>
  <w:footnote w:id="1">
    <w:p w14:paraId="6E7A25D7" w14:textId="77777777" w:rsidR="009D7F78" w:rsidRPr="00183668" w:rsidRDefault="009D7F78" w:rsidP="000B036E">
      <w:pPr>
        <w:pStyle w:val="FootnoteText"/>
        <w:rPr>
          <w:lang w:val="en-AU"/>
        </w:rPr>
      </w:pPr>
      <w:r>
        <w:rPr>
          <w:rStyle w:val="FootnoteReference"/>
        </w:rPr>
        <w:footnoteRef/>
      </w:r>
      <w:r>
        <w:t xml:space="preserve"> </w:t>
      </w:r>
      <w:r w:rsidRPr="004726E4">
        <w:t xml:space="preserve">The </w:t>
      </w:r>
      <w:r w:rsidRPr="00183668">
        <w:rPr>
          <w:i/>
          <w:iCs/>
        </w:rPr>
        <w:t>Non-Proliferation Legislation Amendment Act 2003</w:t>
      </w:r>
    </w:p>
  </w:footnote>
  <w:footnote w:id="2">
    <w:p w14:paraId="1DAF4CE8" w14:textId="67B5E5B8" w:rsidR="009D7F78" w:rsidRPr="00D66BC4" w:rsidRDefault="009D7F78">
      <w:pPr>
        <w:pStyle w:val="FootnoteText"/>
        <w:rPr>
          <w:lang w:val="en-AU"/>
        </w:rPr>
      </w:pPr>
      <w:r>
        <w:rPr>
          <w:rStyle w:val="FootnoteReference"/>
        </w:rPr>
        <w:footnoteRef/>
      </w:r>
      <w:r>
        <w:t xml:space="preserve"> </w:t>
      </w:r>
      <w:hyperlink r:id="rId1" w:history="1">
        <w:r>
          <w:rPr>
            <w:rStyle w:val="Hyperlink"/>
          </w:rPr>
          <w:t>Comprehensive Nuclear-Test-Ban Treaty | Australian Government Department of Foreign Affairs and Trade (dfat.gov.au)</w:t>
        </w:r>
      </w:hyperlink>
    </w:p>
  </w:footnote>
  <w:footnote w:id="3">
    <w:p w14:paraId="66FFDB4A" w14:textId="0A2E9261" w:rsidR="009D7F78" w:rsidRPr="00D66BC4" w:rsidRDefault="009D7F78">
      <w:pPr>
        <w:pStyle w:val="FootnoteText"/>
        <w:rPr>
          <w:lang w:val="en-AU"/>
        </w:rPr>
      </w:pPr>
      <w:r>
        <w:rPr>
          <w:rStyle w:val="FootnoteReference"/>
        </w:rPr>
        <w:footnoteRef/>
      </w:r>
      <w:r>
        <w:t xml:space="preserve"> </w:t>
      </w:r>
      <w:r>
        <w:rPr>
          <w:lang w:val="en-AU"/>
        </w:rPr>
        <w:t>See KPI-3 for a description of the difference between the different CWC-Schedules for chemicals.</w:t>
      </w:r>
    </w:p>
  </w:footnote>
  <w:footnote w:id="4">
    <w:p w14:paraId="5838EB48" w14:textId="5F3647D0" w:rsidR="009D7F78" w:rsidRPr="00464059" w:rsidRDefault="009D7F78">
      <w:pPr>
        <w:pStyle w:val="FootnoteText"/>
        <w:rPr>
          <w:lang w:val="en-AU"/>
        </w:rPr>
      </w:pPr>
      <w:r>
        <w:rPr>
          <w:rStyle w:val="FootnoteReference"/>
        </w:rPr>
        <w:footnoteRef/>
      </w:r>
      <w:r>
        <w:t xml:space="preserve"> See ASNO reports in </w:t>
      </w:r>
      <w:hyperlink r:id="rId2" w:history="1">
        <w:r>
          <w:rPr>
            <w:rStyle w:val="Hyperlink"/>
          </w:rPr>
          <w:t>Deregulation | Australian Government Department of Foreign Affairs and Trade (dfat.gov.au)</w:t>
        </w:r>
      </w:hyperlink>
    </w:p>
  </w:footnote>
  <w:footnote w:id="5">
    <w:p w14:paraId="5671C574" w14:textId="59EEC8B5" w:rsidR="009D7F78" w:rsidRPr="00896665" w:rsidRDefault="009D7F78">
      <w:pPr>
        <w:pStyle w:val="FootnoteText"/>
        <w:rPr>
          <w:lang w:val="en-AU"/>
        </w:rPr>
      </w:pPr>
      <w:r>
        <w:rPr>
          <w:rStyle w:val="FootnoteReference"/>
        </w:rPr>
        <w:footnoteRef/>
      </w:r>
      <w:r>
        <w:t xml:space="preserve"> Some smaller permit classes are also included in the ASNO-initiated permits numbers in KPI-1.</w:t>
      </w:r>
    </w:p>
  </w:footnote>
  <w:footnote w:id="6">
    <w:p w14:paraId="5E7E11B7" w14:textId="77777777" w:rsidR="009D7F78" w:rsidRPr="00B40037" w:rsidRDefault="009D7F78" w:rsidP="005A1987">
      <w:pPr>
        <w:pStyle w:val="FootnoteText"/>
        <w:rPr>
          <w:lang w:val="en-AU"/>
        </w:rPr>
      </w:pPr>
      <w:r>
        <w:rPr>
          <w:rStyle w:val="FootnoteReference"/>
        </w:rPr>
        <w:footnoteRef/>
      </w:r>
      <w:r>
        <w:t xml:space="preserve"> </w:t>
      </w:r>
      <w:hyperlink r:id="rId3" w:history="1">
        <w:r>
          <w:rPr>
            <w:rStyle w:val="Hyperlink"/>
          </w:rPr>
          <w:t>Template Permits and Compliance Codes | Australian Government Department of Foreign Affairs and Trade (dfat.gov.au)</w:t>
        </w:r>
      </w:hyperlink>
    </w:p>
  </w:footnote>
  <w:footnote w:id="7">
    <w:p w14:paraId="7879EBAE" w14:textId="256A53D7" w:rsidR="009D7F78" w:rsidRPr="004D08C0" w:rsidRDefault="009D7F78">
      <w:pPr>
        <w:pStyle w:val="FootnoteText"/>
        <w:rPr>
          <w:lang w:val="en-AU"/>
        </w:rPr>
      </w:pPr>
      <w:r>
        <w:rPr>
          <w:rStyle w:val="FootnoteReference"/>
        </w:rPr>
        <w:footnoteRef/>
      </w:r>
      <w:r>
        <w:t xml:space="preserve"> </w:t>
      </w:r>
      <w:r w:rsidRPr="004D08C0">
        <w:t>https://www.dfat.gov.au/publications/international-relations/asno-annual-report-2019-20/report/html/section-4-5.html</w:t>
      </w:r>
    </w:p>
  </w:footnote>
  <w:footnote w:id="8">
    <w:p w14:paraId="5E79F880" w14:textId="1556165A" w:rsidR="009D7F78" w:rsidRPr="00E63805" w:rsidRDefault="009D7F78">
      <w:pPr>
        <w:pStyle w:val="FootnoteText"/>
        <w:rPr>
          <w:lang w:val="en-AU"/>
        </w:rPr>
      </w:pPr>
      <w:r>
        <w:rPr>
          <w:rStyle w:val="FootnoteReference"/>
        </w:rPr>
        <w:footnoteRef/>
      </w:r>
      <w:r>
        <w:t xml:space="preserve"> </w:t>
      </w:r>
      <w:r w:rsidRPr="00120FCF">
        <w:t>Significant quantities take into account unavoidable losses due to conversion and manufacturing processes and should not be confused with critical masses</w:t>
      </w:r>
      <w:r>
        <w:t xml:space="preserve">, which is the </w:t>
      </w:r>
      <w:r w:rsidRPr="00E63805">
        <w:t xml:space="preserve">minimum amount of a given fissile material </w:t>
      </w:r>
      <w:r>
        <w:t xml:space="preserve">(usually highly enriched uranium or plutonium) </w:t>
      </w:r>
      <w:r w:rsidRPr="00E63805">
        <w:t>necessary to achieve a self-sustaining fission chain reaction under stated conditions</w:t>
      </w:r>
      <w:r>
        <w:t>. In a nuclear weapon, the fissile material must have a mass greater than the critical mass once the device is detonated in order to produce a nuclear yield.</w:t>
      </w:r>
    </w:p>
  </w:footnote>
  <w:footnote w:id="9">
    <w:p w14:paraId="429983ED" w14:textId="761BCB1C" w:rsidR="009D7F78" w:rsidRPr="000F4509" w:rsidRDefault="009D7F78">
      <w:pPr>
        <w:pStyle w:val="FootnoteText"/>
        <w:rPr>
          <w:lang w:val="en-AU"/>
        </w:rPr>
      </w:pPr>
      <w:r>
        <w:rPr>
          <w:rStyle w:val="FootnoteReference"/>
        </w:rPr>
        <w:footnoteRef/>
      </w:r>
      <w:r>
        <w:t xml:space="preserve"> For Pu containing less than 80% </w:t>
      </w:r>
      <w:r w:rsidRPr="000F4509">
        <w:rPr>
          <w:vertAlign w:val="superscript"/>
        </w:rPr>
        <w:t>238</w:t>
      </w:r>
      <w:r>
        <w:t>Pu</w:t>
      </w:r>
    </w:p>
  </w:footnote>
  <w:footnote w:id="10">
    <w:p w14:paraId="761F14C7" w14:textId="313E856C" w:rsidR="009D7F78" w:rsidRPr="000F4509" w:rsidRDefault="009D7F78">
      <w:pPr>
        <w:pStyle w:val="FootnoteText"/>
        <w:rPr>
          <w:lang w:val="en-AU"/>
        </w:rPr>
      </w:pPr>
      <w:r>
        <w:rPr>
          <w:rStyle w:val="FootnoteReference"/>
        </w:rPr>
        <w:footnoteRef/>
      </w:r>
      <w:r>
        <w:t xml:space="preserve"> </w:t>
      </w:r>
      <w:r>
        <w:rPr>
          <w:lang w:val="en-AU"/>
        </w:rPr>
        <w:t xml:space="preserve">Uranium that contains more than or equal to 20% </w:t>
      </w:r>
      <w:r w:rsidRPr="000F4509">
        <w:rPr>
          <w:vertAlign w:val="superscript"/>
          <w:lang w:val="en-AU"/>
        </w:rPr>
        <w:t>235</w:t>
      </w:r>
      <w:r>
        <w:rPr>
          <w:lang w:val="en-AU"/>
        </w:rPr>
        <w:t>U.</w:t>
      </w:r>
    </w:p>
  </w:footnote>
  <w:footnote w:id="11">
    <w:p w14:paraId="688E9E2F" w14:textId="62C19A05" w:rsidR="009D7F78" w:rsidRPr="000F4509" w:rsidRDefault="009D7F78">
      <w:pPr>
        <w:pStyle w:val="FootnoteText"/>
        <w:rPr>
          <w:lang w:val="en-AU"/>
        </w:rPr>
      </w:pPr>
      <w:r>
        <w:rPr>
          <w:rStyle w:val="FootnoteReference"/>
        </w:rPr>
        <w:footnoteRef/>
      </w:r>
      <w:r>
        <w:t xml:space="preserve"> </w:t>
      </w:r>
      <w:r>
        <w:rPr>
          <w:lang w:val="en-AU"/>
        </w:rPr>
        <w:t xml:space="preserve">Uranium enriched in 235U, but less than 20% </w:t>
      </w:r>
      <w:r w:rsidRPr="000F4509">
        <w:rPr>
          <w:vertAlign w:val="superscript"/>
          <w:lang w:val="en-AU"/>
        </w:rPr>
        <w:t>235</w:t>
      </w:r>
      <w:r>
        <w:rPr>
          <w:lang w:val="en-AU"/>
        </w:rPr>
        <w:t>U</w:t>
      </w:r>
    </w:p>
  </w:footnote>
  <w:footnote w:id="12">
    <w:p w14:paraId="159B8F66" w14:textId="0337A019" w:rsidR="009D7F78" w:rsidRPr="00FA552E" w:rsidRDefault="009D7F78">
      <w:pPr>
        <w:pStyle w:val="FootnoteText"/>
        <w:rPr>
          <w:lang w:val="en-AU"/>
        </w:rPr>
      </w:pPr>
      <w:r>
        <w:rPr>
          <w:rStyle w:val="FootnoteReference"/>
        </w:rPr>
        <w:footnoteRef/>
      </w:r>
      <w:r>
        <w:t xml:space="preserve"> Source material includes natural and depleted uranium and thorium.</w:t>
      </w:r>
    </w:p>
  </w:footnote>
  <w:footnote w:id="13">
    <w:p w14:paraId="5A9FFE82" w14:textId="0668F172" w:rsidR="009D7F78" w:rsidRPr="00FA552E" w:rsidRDefault="009D7F78">
      <w:pPr>
        <w:pStyle w:val="FootnoteText"/>
        <w:rPr>
          <w:lang w:val="en-AU"/>
        </w:rPr>
      </w:pPr>
      <w:r>
        <w:rPr>
          <w:rStyle w:val="FootnoteReference"/>
        </w:rPr>
        <w:footnoteRef/>
      </w:r>
      <w:r>
        <w:t xml:space="preserve"> </w:t>
      </w:r>
      <w:r>
        <w:rPr>
          <w:lang w:val="en-AU"/>
        </w:rPr>
        <w:t xml:space="preserve">Special fissional material includes </w:t>
      </w:r>
      <w:r w:rsidRPr="00FA552E">
        <w:rPr>
          <w:vertAlign w:val="superscript"/>
          <w:lang w:val="en-AU"/>
        </w:rPr>
        <w:t>239</w:t>
      </w:r>
      <w:r>
        <w:rPr>
          <w:lang w:val="en-AU"/>
        </w:rPr>
        <w:t xml:space="preserve">Pu and uranium enriched in </w:t>
      </w:r>
      <w:r w:rsidRPr="00FA552E">
        <w:rPr>
          <w:vertAlign w:val="superscript"/>
          <w:lang w:val="en-AU"/>
        </w:rPr>
        <w:t>233</w:t>
      </w:r>
      <w:r>
        <w:rPr>
          <w:lang w:val="en-AU"/>
        </w:rPr>
        <w:t xml:space="preserve">U or </w:t>
      </w:r>
      <w:r w:rsidRPr="00FA552E">
        <w:rPr>
          <w:vertAlign w:val="superscript"/>
          <w:lang w:val="en-AU"/>
        </w:rPr>
        <w:t>235</w:t>
      </w:r>
      <w:r>
        <w:rPr>
          <w:lang w:val="en-AU"/>
        </w:rPr>
        <w:t>U.</w:t>
      </w:r>
    </w:p>
  </w:footnote>
  <w:footnote w:id="14">
    <w:p w14:paraId="784E6D23" w14:textId="77777777" w:rsidR="009D7F78" w:rsidRPr="009A0534" w:rsidRDefault="009D7F78" w:rsidP="00131665">
      <w:pPr>
        <w:pStyle w:val="FootnoteText"/>
        <w:rPr>
          <w:lang w:val="en-AU"/>
        </w:rPr>
      </w:pPr>
      <w:r>
        <w:rPr>
          <w:rStyle w:val="FootnoteReference"/>
        </w:rPr>
        <w:footnoteRef/>
      </w:r>
      <w:r>
        <w:t xml:space="preserve"> </w:t>
      </w:r>
      <w:hyperlink r:id="rId4" w:history="1">
        <w:r w:rsidRPr="00072827">
          <w:rPr>
            <w:rStyle w:val="Hyperlink"/>
            <w:rFonts w:cstheme="minorBidi"/>
          </w:rPr>
          <w:t>https://www.dfat.gov.au/publications/international-relations/asno-annual-report-2019-20/report/html/section-6-2.html</w:t>
        </w:r>
      </w:hyperlink>
      <w:r>
        <w:t xml:space="preserve">. Reports provided by the IAEA after the cut-off period for publishing the annual report will be included in the following year’s report. </w:t>
      </w:r>
    </w:p>
  </w:footnote>
  <w:footnote w:id="15">
    <w:p w14:paraId="23B923A4" w14:textId="48521D68" w:rsidR="009D7F78" w:rsidRPr="00D11A93" w:rsidRDefault="009D7F78" w:rsidP="003D0A6D">
      <w:pPr>
        <w:pStyle w:val="FootnoteText"/>
        <w:rPr>
          <w:lang w:val="en-AU"/>
        </w:rPr>
      </w:pPr>
      <w:r>
        <w:rPr>
          <w:rStyle w:val="FootnoteReference"/>
        </w:rPr>
        <w:footnoteRef/>
      </w:r>
      <w:r>
        <w:t xml:space="preserve"> </w:t>
      </w:r>
      <w:r>
        <w:rPr>
          <w:lang w:val="en-AU"/>
        </w:rPr>
        <w:t>There was not sufficient time in the reporting period to receive surveys from the Class-R permit holders to be included in the report. However,</w:t>
      </w:r>
      <w:r w:rsidR="00E40B60">
        <w:rPr>
          <w:lang w:val="en-AU"/>
        </w:rPr>
        <w:t xml:space="preserve"> </w:t>
      </w:r>
      <w:r>
        <w:rPr>
          <w:lang w:val="en-AU"/>
        </w:rPr>
        <w:t xml:space="preserve">ASNO </w:t>
      </w:r>
      <w:r w:rsidR="00E40B60">
        <w:rPr>
          <w:lang w:val="en-AU"/>
        </w:rPr>
        <w:t xml:space="preserve">ultimately </w:t>
      </w:r>
      <w:r>
        <w:rPr>
          <w:lang w:val="en-AU"/>
        </w:rPr>
        <w:t xml:space="preserve">decided not to send surveys </w:t>
      </w:r>
      <w:r w:rsidR="00E40B60">
        <w:rPr>
          <w:lang w:val="en-AU"/>
        </w:rPr>
        <w:t>to the Class-R permit holders due to the</w:t>
      </w:r>
      <w:r>
        <w:rPr>
          <w:lang w:val="en-AU"/>
        </w:rPr>
        <w:t xml:space="preserve"> additional burden on the permit holders </w:t>
      </w:r>
      <w:r w:rsidR="00E40B60">
        <w:rPr>
          <w:lang w:val="en-AU"/>
        </w:rPr>
        <w:t xml:space="preserve">and the </w:t>
      </w:r>
      <w:r>
        <w:rPr>
          <w:lang w:val="en-AU"/>
        </w:rPr>
        <w:t xml:space="preserve">suggestion </w:t>
      </w:r>
      <w:r w:rsidR="00E40B60">
        <w:rPr>
          <w:lang w:val="en-AU"/>
        </w:rPr>
        <w:t>that</w:t>
      </w:r>
      <w:r>
        <w:rPr>
          <w:lang w:val="en-AU"/>
        </w:rPr>
        <w:t xml:space="preserve"> independent baseline surveys be conducted at the end of the year as part of the b</w:t>
      </w:r>
      <w:r w:rsidRPr="001B0153">
        <w:rPr>
          <w:lang w:val="en-AU"/>
        </w:rPr>
        <w:t>enchmarking of regulator performance</w:t>
      </w:r>
      <w:r>
        <w:rPr>
          <w:lang w:val="en-AU"/>
        </w:rPr>
        <w:t xml:space="preserve"> </w:t>
      </w:r>
      <w:hyperlink r:id="rId5" w:history="1">
        <w:r>
          <w:rPr>
            <w:rStyle w:val="Hyperlink"/>
          </w:rPr>
          <w:t>Regulator Performance Guide and supporting material | Deregulation (pmc.gov.au)</w:t>
        </w:r>
      </w:hyperlink>
      <w:r w:rsidRPr="001B0153">
        <w:rPr>
          <w:lang w:val="en-AU"/>
        </w:rPr>
        <w:t>.</w:t>
      </w:r>
    </w:p>
  </w:footnote>
  <w:footnote w:id="16">
    <w:p w14:paraId="0ADAF1FE" w14:textId="4B4E8289" w:rsidR="009D7F78" w:rsidRPr="0053258E" w:rsidRDefault="009D7F78">
      <w:pPr>
        <w:pStyle w:val="FootnoteText"/>
        <w:rPr>
          <w:lang w:val="en-AU"/>
        </w:rPr>
      </w:pPr>
      <w:r>
        <w:rPr>
          <w:rStyle w:val="FootnoteReference"/>
        </w:rPr>
        <w:footnoteRef/>
      </w:r>
      <w:r>
        <w:t xml:space="preserve"> This was also a theme of the survey of chemical permit holders in the previous reporting period.</w:t>
      </w:r>
    </w:p>
  </w:footnote>
  <w:footnote w:id="17">
    <w:p w14:paraId="435FADD4" w14:textId="1C2041EE" w:rsidR="009D7F78" w:rsidRPr="002800D0" w:rsidRDefault="009D7F78" w:rsidP="00A22A92">
      <w:pPr>
        <w:pStyle w:val="FootnoteText"/>
        <w:ind w:left="0" w:firstLine="0"/>
        <w:rPr>
          <w:lang w:val="en-AU"/>
        </w:rPr>
      </w:pPr>
      <w:r>
        <w:rPr>
          <w:rStyle w:val="FootnoteReference"/>
        </w:rPr>
        <w:footnoteRef/>
      </w:r>
      <w:r>
        <w:t xml:space="preserve"> </w:t>
      </w:r>
      <w:r>
        <w:rPr>
          <w:lang w:val="en-AU"/>
        </w:rPr>
        <w:t>These references were mainly to the Safeguard Act and IAEA definitions that have been intentionally left slightly ambiguous in order to not limit changes in the future.</w:t>
      </w:r>
    </w:p>
  </w:footnote>
  <w:footnote w:id="18">
    <w:p w14:paraId="43893E56" w14:textId="0DE59A26" w:rsidR="009D7F78" w:rsidRPr="00A22A92" w:rsidRDefault="009D7F78">
      <w:pPr>
        <w:pStyle w:val="FootnoteText"/>
        <w:rPr>
          <w:lang w:val="en-AU"/>
        </w:rPr>
      </w:pPr>
      <w:r>
        <w:rPr>
          <w:rStyle w:val="FootnoteReference"/>
        </w:rPr>
        <w:footnoteRef/>
      </w:r>
      <w:r>
        <w:t xml:space="preserve"> </w:t>
      </w:r>
      <w:hyperlink r:id="rId6" w:history="1">
        <w:r w:rsidRPr="006E513C">
          <w:rPr>
            <w:rStyle w:val="Hyperlink"/>
            <w:rFonts w:cstheme="minorBidi"/>
          </w:rPr>
          <w:t>https://ablis.business.gov.au/</w:t>
        </w:r>
      </w:hyperlink>
    </w:p>
  </w:footnote>
  <w:footnote w:id="19">
    <w:p w14:paraId="03F3CB61" w14:textId="5E955FE0" w:rsidR="009D7F78" w:rsidRPr="00FB7658" w:rsidRDefault="009D7F78">
      <w:pPr>
        <w:pStyle w:val="FootnoteText"/>
        <w:rPr>
          <w:lang w:val="en-AU"/>
        </w:rPr>
      </w:pPr>
      <w:r>
        <w:rPr>
          <w:rStyle w:val="FootnoteReference"/>
        </w:rPr>
        <w:footnoteRef/>
      </w:r>
      <w:r>
        <w:t xml:space="preserve"> </w:t>
      </w:r>
      <w:r w:rsidRPr="00E145CE">
        <w:t>https://www.dfat.gov.au/publications/international-relations/asno-annual-report-2019-20/report/html/section-4-5.html</w:t>
      </w:r>
    </w:p>
  </w:footnote>
  <w:footnote w:id="20">
    <w:p w14:paraId="723AA630" w14:textId="0C547769" w:rsidR="009D7F78" w:rsidRPr="00A7085B" w:rsidRDefault="009D7F78">
      <w:pPr>
        <w:pStyle w:val="FootnoteText"/>
        <w:rPr>
          <w:lang w:val="en-AU"/>
        </w:rPr>
      </w:pPr>
      <w:r>
        <w:rPr>
          <w:rStyle w:val="FootnoteReference"/>
        </w:rPr>
        <w:footnoteRef/>
      </w:r>
      <w:r>
        <w:t xml:space="preserve"> </w:t>
      </w:r>
      <w:r w:rsidRPr="00A7085B">
        <w:t>https://www.dfat.gov.au/publications/international-relations/asno-annual-report-2019-20/report/html/section-4-3.html</w:t>
      </w:r>
    </w:p>
  </w:footnote>
  <w:footnote w:id="21">
    <w:p w14:paraId="22CF5262" w14:textId="4DD73F41" w:rsidR="009D7F78" w:rsidRPr="009E5765" w:rsidRDefault="009D7F78">
      <w:pPr>
        <w:pStyle w:val="FootnoteText"/>
        <w:rPr>
          <w:lang w:val="en-AU"/>
        </w:rPr>
      </w:pPr>
      <w:r>
        <w:rPr>
          <w:rStyle w:val="FootnoteReference"/>
        </w:rPr>
        <w:footnoteRef/>
      </w:r>
      <w:r>
        <w:t xml:space="preserve"> </w:t>
      </w:r>
      <w:r>
        <w:rPr>
          <w:lang w:val="en-AU"/>
        </w:rPr>
        <w:t>SSAC is State System of Accounting for and control of nuclear Material.</w:t>
      </w:r>
      <w:r w:rsidRPr="004913B5">
        <w:t xml:space="preserve"> </w:t>
      </w:r>
      <w:r>
        <w:rPr>
          <w:lang w:val="en-AU"/>
        </w:rPr>
        <w:t>The</w:t>
      </w:r>
      <w:r w:rsidRPr="004913B5">
        <w:rPr>
          <w:lang w:val="en-AU"/>
        </w:rPr>
        <w:t xml:space="preserve"> term is broad in scope, encompassing the national authority overseeing safeguards implementation, as well as other supporting elements, such as facility operators, operating/accounting records, accounting systems and procedure, etc.</w:t>
      </w:r>
      <w:r>
        <w:rPr>
          <w:lang w:val="en-AU"/>
        </w:rPr>
        <w:t xml:space="preserve"> </w:t>
      </w:r>
      <w:r w:rsidRPr="004913B5">
        <w:rPr>
          <w:lang w:val="en-AU"/>
        </w:rPr>
        <w:t>https://apsn-safeguards.org/resources/fundamentals-and-good-practices-safeguards-regulatory-authorities</w:t>
      </w:r>
    </w:p>
  </w:footnote>
  <w:footnote w:id="22">
    <w:p w14:paraId="3651BE6D" w14:textId="346BBB23" w:rsidR="009D7F78" w:rsidRPr="004913B5" w:rsidRDefault="009D7F78">
      <w:pPr>
        <w:pStyle w:val="FootnoteText"/>
        <w:rPr>
          <w:lang w:val="en-AU"/>
        </w:rPr>
      </w:pPr>
      <w:r>
        <w:rPr>
          <w:rStyle w:val="FootnoteReference"/>
        </w:rPr>
        <w:footnoteRef/>
      </w:r>
      <w:r>
        <w:t xml:space="preserve"> </w:t>
      </w:r>
      <w:r w:rsidRPr="004913B5">
        <w:t>SRA is the Safeguard Regulatory Authority</w:t>
      </w:r>
      <w:r>
        <w:t>, for example, ASNO in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D8BE4" w14:textId="77777777" w:rsidR="009D7F78" w:rsidRPr="00806503" w:rsidRDefault="009D7F78" w:rsidP="00057479">
    <w:pPr>
      <w:pStyle w:val="Classification"/>
    </w:pPr>
    <w:r w:rsidRPr="00B92E1E">
      <w:rPr>
        <w:noProof/>
        <w:lang w:val="en-AU" w:eastAsia="en-AU"/>
      </w:rPr>
      <w:drawing>
        <wp:anchor distT="0" distB="0" distL="114300" distR="114300" simplePos="0" relativeHeight="251640832" behindDoc="1" locked="1" layoutInCell="1" allowOverlap="1" wp14:anchorId="49666444" wp14:editId="78216A14">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34EF7841" wp14:editId="61E51A2C">
          <wp:simplePos x="0" y="0"/>
          <wp:positionH relativeFrom="page">
            <wp:align>left</wp:align>
          </wp:positionH>
          <wp:positionV relativeFrom="page">
            <wp:align>center</wp:align>
          </wp:positionV>
          <wp:extent cx="7559040" cy="10692765"/>
          <wp:effectExtent l="0" t="0" r="3810" b="0"/>
          <wp:wrapNone/>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DD2D2" w14:textId="77777777" w:rsidR="009D7F78" w:rsidRDefault="009D7F78" w:rsidP="00A75A27">
    <w:pPr>
      <w:pStyle w:val="Classification"/>
    </w:pPr>
    <w:r w:rsidRPr="00B92E1E">
      <w:rPr>
        <w:noProof/>
        <w:lang w:val="en-AU" w:eastAsia="en-AU"/>
      </w:rPr>
      <w:drawing>
        <wp:anchor distT="0" distB="0" distL="114300" distR="114300" simplePos="0" relativeHeight="251678720" behindDoc="1" locked="1" layoutInCell="1" allowOverlap="1" wp14:anchorId="2D29EB8B" wp14:editId="3C3DFA01">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6494" behindDoc="1" locked="1" layoutInCell="1" allowOverlap="1" wp14:anchorId="30ACCF48" wp14:editId="7098CB9B">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7519" behindDoc="1" locked="1" layoutInCell="1" allowOverlap="1" wp14:anchorId="30C7D9F8" wp14:editId="7E01BEDB">
          <wp:simplePos x="0" y="0"/>
          <wp:positionH relativeFrom="page">
            <wp:align>left</wp:align>
          </wp:positionH>
          <wp:positionV relativeFrom="page">
            <wp:align>center</wp:align>
          </wp:positionV>
          <wp:extent cx="7559040" cy="10692765"/>
          <wp:effectExtent l="0" t="0" r="3810" b="0"/>
          <wp:wrapNone/>
          <wp:docPr id="7" name="Picture 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8940A" w14:textId="77777777" w:rsidR="009D7F78" w:rsidRPr="00806503" w:rsidRDefault="009D7F78" w:rsidP="00D203EB">
    <w:pPr>
      <w:pStyle w:val="Classification"/>
    </w:pPr>
    <w:r>
      <w:rPr>
        <w:noProof/>
        <w:lang w:val="en-AU" w:eastAsia="en-AU"/>
      </w:rPr>
      <w:drawing>
        <wp:anchor distT="0" distB="0" distL="114300" distR="114300" simplePos="0" relativeHeight="251714560" behindDoc="1" locked="0" layoutInCell="1" allowOverlap="1" wp14:anchorId="2403C781" wp14:editId="400961BA">
          <wp:simplePos x="0" y="0"/>
          <wp:positionH relativeFrom="page">
            <wp:posOffset>720090</wp:posOffset>
          </wp:positionH>
          <wp:positionV relativeFrom="page">
            <wp:posOffset>180340</wp:posOffset>
          </wp:positionV>
          <wp:extent cx="6119640" cy="891720"/>
          <wp:effectExtent l="0" t="0" r="0" b="3810"/>
          <wp:wrapNone/>
          <wp:docPr id="16" name="Picture 1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PT-Aqua-H1-Header.png"/>
                  <pic:cNvPicPr/>
                </pic:nvPicPr>
                <pic:blipFill>
                  <a:blip r:embed="rId1">
                    <a:extLst>
                      <a:ext uri="{28A0092B-C50C-407E-A947-70E740481C1C}">
                        <a14:useLocalDpi xmlns:a14="http://schemas.microsoft.com/office/drawing/2010/main" val="0"/>
                      </a:ext>
                    </a:extLst>
                  </a:blip>
                  <a:stretch>
                    <a:fillRect/>
                  </a:stretch>
                </pic:blipFill>
                <pic:spPr>
                  <a:xfrm>
                    <a:off x="0" y="0"/>
                    <a:ext cx="6119640" cy="891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DBF15" w14:textId="77777777" w:rsidR="009D7F78" w:rsidRPr="00806503" w:rsidRDefault="009D7F78" w:rsidP="00D203EB">
    <w:pPr>
      <w:pStyle w:val="Classification"/>
    </w:pPr>
    <w:r>
      <w:rPr>
        <w:noProof/>
        <w:lang w:val="en-AU" w:eastAsia="en-AU"/>
      </w:rPr>
      <w:drawing>
        <wp:anchor distT="0" distB="0" distL="114300" distR="114300" simplePos="0" relativeHeight="251710464" behindDoc="1" locked="0" layoutInCell="1" allowOverlap="1" wp14:anchorId="1D68FB3C" wp14:editId="5F7AE092">
          <wp:simplePos x="0" y="0"/>
          <wp:positionH relativeFrom="page">
            <wp:posOffset>0</wp:posOffset>
          </wp:positionH>
          <wp:positionV relativeFrom="page">
            <wp:posOffset>0</wp:posOffset>
          </wp:positionV>
          <wp:extent cx="7560000" cy="2755440"/>
          <wp:effectExtent l="0" t="0" r="3175" b="6985"/>
          <wp:wrapNone/>
          <wp:docPr id="14" name="Picture 1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PT-Aqua-H1-1stPage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755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421D9" w14:textId="77777777" w:rsidR="009D7F78" w:rsidRPr="00806503" w:rsidRDefault="009D7F78" w:rsidP="007C42D8">
    <w:pPr>
      <w:pStyle w:val="Classification"/>
    </w:pPr>
    <w:r>
      <w:rPr>
        <w:noProof/>
        <w:lang w:val="en-AU" w:eastAsia="en-AU"/>
      </w:rPr>
      <w:drawing>
        <wp:anchor distT="0" distB="0" distL="114300" distR="114300" simplePos="0" relativeHeight="251728896" behindDoc="1" locked="0" layoutInCell="1" allowOverlap="1" wp14:anchorId="61AD8DC7" wp14:editId="5A24EF52">
          <wp:simplePos x="0" y="0"/>
          <wp:positionH relativeFrom="page">
            <wp:posOffset>720090</wp:posOffset>
          </wp:positionH>
          <wp:positionV relativeFrom="page">
            <wp:posOffset>180340</wp:posOffset>
          </wp:positionV>
          <wp:extent cx="6119640" cy="891720"/>
          <wp:effectExtent l="0" t="0" r="0" b="3810"/>
          <wp:wrapNone/>
          <wp:docPr id="28" name="Picture 2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PT-Aqua-H1-Header.png"/>
                  <pic:cNvPicPr/>
                </pic:nvPicPr>
                <pic:blipFill>
                  <a:blip r:embed="rId1">
                    <a:extLst>
                      <a:ext uri="{28A0092B-C50C-407E-A947-70E740481C1C}">
                        <a14:useLocalDpi xmlns:a14="http://schemas.microsoft.com/office/drawing/2010/main" val="0"/>
                      </a:ext>
                    </a:extLst>
                  </a:blip>
                  <a:stretch>
                    <a:fillRect/>
                  </a:stretch>
                </pic:blipFill>
                <pic:spPr>
                  <a:xfrm>
                    <a:off x="0" y="0"/>
                    <a:ext cx="6119640" cy="891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89AEE" w14:textId="77777777" w:rsidR="009D7F78" w:rsidRPr="00806503" w:rsidRDefault="009D7F78" w:rsidP="00D203EB">
    <w:pPr>
      <w:pStyle w:val="Classification"/>
    </w:pPr>
    <w:r>
      <w:rPr>
        <w:noProof/>
        <w:lang w:val="en-AU" w:eastAsia="en-AU"/>
      </w:rPr>
      <w:drawing>
        <wp:anchor distT="0" distB="0" distL="114300" distR="114300" simplePos="0" relativeHeight="251726848" behindDoc="1" locked="0" layoutInCell="1" allowOverlap="1" wp14:anchorId="1F78E0D8" wp14:editId="7B5677A3">
          <wp:simplePos x="0" y="0"/>
          <wp:positionH relativeFrom="page">
            <wp:posOffset>0</wp:posOffset>
          </wp:positionH>
          <wp:positionV relativeFrom="page">
            <wp:posOffset>0</wp:posOffset>
          </wp:positionV>
          <wp:extent cx="7559640" cy="2755440"/>
          <wp:effectExtent l="0" t="0" r="3810" b="6985"/>
          <wp:wrapNone/>
          <wp:docPr id="24" name="Picture 2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PT-Aqua-H1-1stPage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40" cy="27554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D831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A8A5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320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AAD9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BC4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E5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9E31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2894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E2B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AF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33F54"/>
    <w:multiLevelType w:val="hybridMultilevel"/>
    <w:tmpl w:val="69CC4B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4026B"/>
    <w:multiLevelType w:val="hybridMultilevel"/>
    <w:tmpl w:val="A98292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07F02695"/>
    <w:multiLevelType w:val="hybridMultilevel"/>
    <w:tmpl w:val="9ECA3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3F6281"/>
    <w:multiLevelType w:val="hybridMultilevel"/>
    <w:tmpl w:val="58BA5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7" w15:restartNumberingAfterBreak="0">
    <w:nsid w:val="18A772FE"/>
    <w:multiLevelType w:val="hybridMultilevel"/>
    <w:tmpl w:val="7FE60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3B08AF"/>
    <w:multiLevelType w:val="hybridMultilevel"/>
    <w:tmpl w:val="8196B85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327D2BEF"/>
    <w:multiLevelType w:val="hybridMultilevel"/>
    <w:tmpl w:val="686A3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372E04"/>
    <w:multiLevelType w:val="hybridMultilevel"/>
    <w:tmpl w:val="26C834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88A1C8F"/>
    <w:multiLevelType w:val="hybridMultilevel"/>
    <w:tmpl w:val="577804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565667"/>
    <w:multiLevelType w:val="multilevel"/>
    <w:tmpl w:val="DE7CBDBE"/>
    <w:numStyleLink w:val="BulletsList"/>
  </w:abstractNum>
  <w:abstractNum w:abstractNumId="24" w15:restartNumberingAfterBreak="0">
    <w:nsid w:val="4CFF1B72"/>
    <w:multiLevelType w:val="hybridMultilevel"/>
    <w:tmpl w:val="2D989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560F04"/>
    <w:multiLevelType w:val="hybridMultilevel"/>
    <w:tmpl w:val="6AC6B2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55A43E68"/>
    <w:multiLevelType w:val="hybridMultilevel"/>
    <w:tmpl w:val="8042CB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DA0429"/>
    <w:multiLevelType w:val="hybridMultilevel"/>
    <w:tmpl w:val="A210CA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57300B"/>
    <w:multiLevelType w:val="multilevel"/>
    <w:tmpl w:val="DE7CBDBE"/>
    <w:numStyleLink w:val="BulletsList"/>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D3C1EA7"/>
    <w:multiLevelType w:val="multilevel"/>
    <w:tmpl w:val="DE7CBDBE"/>
    <w:numStyleLink w:val="BulletsList"/>
  </w:abstractNum>
  <w:abstractNum w:abstractNumId="3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73107305"/>
    <w:multiLevelType w:val="multilevel"/>
    <w:tmpl w:val="DE7CBDBE"/>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33" w15:restartNumberingAfterBreak="0">
    <w:nsid w:val="76002788"/>
    <w:multiLevelType w:val="hybridMultilevel"/>
    <w:tmpl w:val="6D283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7927B2"/>
    <w:multiLevelType w:val="hybridMultilevel"/>
    <w:tmpl w:val="096A9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9"/>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0"/>
  </w:num>
  <w:num w:numId="25">
    <w:abstractNumId w:val="30"/>
  </w:num>
  <w:num w:numId="26">
    <w:abstractNumId w:val="13"/>
  </w:num>
  <w:num w:numId="27">
    <w:abstractNumId w:val="13"/>
  </w:num>
  <w:num w:numId="28">
    <w:abstractNumId w:val="13"/>
  </w:num>
  <w:num w:numId="29">
    <w:abstractNumId w:val="19"/>
  </w:num>
  <w:num w:numId="30">
    <w:abstractNumId w:val="19"/>
  </w:num>
  <w:num w:numId="31">
    <w:abstractNumId w:val="19"/>
  </w:num>
  <w:num w:numId="32">
    <w:abstractNumId w:val="16"/>
  </w:num>
  <w:num w:numId="33">
    <w:abstractNumId w:val="35"/>
  </w:num>
  <w:num w:numId="34">
    <w:abstractNumId w:val="23"/>
  </w:num>
  <w:num w:numId="35">
    <w:abstractNumId w:val="28"/>
  </w:num>
  <w:num w:numId="36">
    <w:abstractNumId w:val="21"/>
  </w:num>
  <w:num w:numId="37">
    <w:abstractNumId w:val="25"/>
  </w:num>
  <w:num w:numId="38">
    <w:abstractNumId w:val="15"/>
  </w:num>
  <w:num w:numId="39">
    <w:abstractNumId w:val="10"/>
  </w:num>
  <w:num w:numId="40">
    <w:abstractNumId w:val="22"/>
  </w:num>
  <w:num w:numId="41">
    <w:abstractNumId w:val="26"/>
  </w:num>
  <w:num w:numId="42">
    <w:abstractNumId w:val="11"/>
  </w:num>
  <w:num w:numId="43">
    <w:abstractNumId w:val="12"/>
  </w:num>
  <w:num w:numId="44">
    <w:abstractNumId w:val="18"/>
  </w:num>
  <w:num w:numId="45">
    <w:abstractNumId w:val="24"/>
  </w:num>
  <w:num w:numId="46">
    <w:abstractNumId w:val="34"/>
  </w:num>
  <w:num w:numId="47">
    <w:abstractNumId w:val="27"/>
  </w:num>
  <w:num w:numId="48">
    <w:abstractNumId w:val="20"/>
  </w:num>
  <w:num w:numId="49">
    <w:abstractNumId w:val="17"/>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89"/>
    <w:rsid w:val="00000D32"/>
    <w:rsid w:val="00001D97"/>
    <w:rsid w:val="000020BB"/>
    <w:rsid w:val="00005913"/>
    <w:rsid w:val="00006C50"/>
    <w:rsid w:val="000110E2"/>
    <w:rsid w:val="000114B7"/>
    <w:rsid w:val="00012B0F"/>
    <w:rsid w:val="00013AE6"/>
    <w:rsid w:val="00013F0E"/>
    <w:rsid w:val="00014719"/>
    <w:rsid w:val="00015B92"/>
    <w:rsid w:val="000169A0"/>
    <w:rsid w:val="00016A24"/>
    <w:rsid w:val="00016FF4"/>
    <w:rsid w:val="00017092"/>
    <w:rsid w:val="0002018B"/>
    <w:rsid w:val="0002080A"/>
    <w:rsid w:val="000219F1"/>
    <w:rsid w:val="000221E6"/>
    <w:rsid w:val="000232F8"/>
    <w:rsid w:val="00023460"/>
    <w:rsid w:val="00024EF6"/>
    <w:rsid w:val="000252D9"/>
    <w:rsid w:val="000254FB"/>
    <w:rsid w:val="000263CA"/>
    <w:rsid w:val="00027287"/>
    <w:rsid w:val="0002782F"/>
    <w:rsid w:val="00031A6D"/>
    <w:rsid w:val="00031E07"/>
    <w:rsid w:val="00033A7B"/>
    <w:rsid w:val="000356C3"/>
    <w:rsid w:val="00044127"/>
    <w:rsid w:val="0004566D"/>
    <w:rsid w:val="0005175A"/>
    <w:rsid w:val="00051A8B"/>
    <w:rsid w:val="000520F7"/>
    <w:rsid w:val="000524C5"/>
    <w:rsid w:val="00054C44"/>
    <w:rsid w:val="00054C97"/>
    <w:rsid w:val="00054D35"/>
    <w:rsid w:val="00054E4D"/>
    <w:rsid w:val="00057479"/>
    <w:rsid w:val="00060073"/>
    <w:rsid w:val="000601CB"/>
    <w:rsid w:val="00061337"/>
    <w:rsid w:val="000614F1"/>
    <w:rsid w:val="00061DAA"/>
    <w:rsid w:val="00062C74"/>
    <w:rsid w:val="00064004"/>
    <w:rsid w:val="00065C76"/>
    <w:rsid w:val="00066678"/>
    <w:rsid w:val="00071EAE"/>
    <w:rsid w:val="00073C33"/>
    <w:rsid w:val="00074B72"/>
    <w:rsid w:val="00075FCE"/>
    <w:rsid w:val="000804C8"/>
    <w:rsid w:val="0008123D"/>
    <w:rsid w:val="00081B12"/>
    <w:rsid w:val="00087255"/>
    <w:rsid w:val="000907D9"/>
    <w:rsid w:val="00091B6F"/>
    <w:rsid w:val="00093D7D"/>
    <w:rsid w:val="00094032"/>
    <w:rsid w:val="00094D49"/>
    <w:rsid w:val="000955AC"/>
    <w:rsid w:val="0009767E"/>
    <w:rsid w:val="000977E9"/>
    <w:rsid w:val="000A07CD"/>
    <w:rsid w:val="000A294E"/>
    <w:rsid w:val="000A41B9"/>
    <w:rsid w:val="000A4270"/>
    <w:rsid w:val="000A4523"/>
    <w:rsid w:val="000A4B2F"/>
    <w:rsid w:val="000A53DF"/>
    <w:rsid w:val="000A5AFC"/>
    <w:rsid w:val="000A6420"/>
    <w:rsid w:val="000B002E"/>
    <w:rsid w:val="000B036E"/>
    <w:rsid w:val="000B12F8"/>
    <w:rsid w:val="000B1D5C"/>
    <w:rsid w:val="000B2F37"/>
    <w:rsid w:val="000B3155"/>
    <w:rsid w:val="000B321A"/>
    <w:rsid w:val="000B3C03"/>
    <w:rsid w:val="000B4D63"/>
    <w:rsid w:val="000B526D"/>
    <w:rsid w:val="000C02B8"/>
    <w:rsid w:val="000C2106"/>
    <w:rsid w:val="000C247B"/>
    <w:rsid w:val="000C25C8"/>
    <w:rsid w:val="000C381A"/>
    <w:rsid w:val="000C3D0A"/>
    <w:rsid w:val="000C400C"/>
    <w:rsid w:val="000C46B4"/>
    <w:rsid w:val="000C4AA5"/>
    <w:rsid w:val="000C704C"/>
    <w:rsid w:val="000D1790"/>
    <w:rsid w:val="000D2FDA"/>
    <w:rsid w:val="000D49B4"/>
    <w:rsid w:val="000D63F7"/>
    <w:rsid w:val="000E1A2B"/>
    <w:rsid w:val="000E1C96"/>
    <w:rsid w:val="000E31B5"/>
    <w:rsid w:val="000E339D"/>
    <w:rsid w:val="000E4C67"/>
    <w:rsid w:val="000E5976"/>
    <w:rsid w:val="000E6D84"/>
    <w:rsid w:val="000E79F6"/>
    <w:rsid w:val="000E7AD1"/>
    <w:rsid w:val="000E7C01"/>
    <w:rsid w:val="000F2300"/>
    <w:rsid w:val="000F2A97"/>
    <w:rsid w:val="000F370F"/>
    <w:rsid w:val="000F4509"/>
    <w:rsid w:val="000F599C"/>
    <w:rsid w:val="001001E0"/>
    <w:rsid w:val="001022CC"/>
    <w:rsid w:val="00102CFD"/>
    <w:rsid w:val="00103F0F"/>
    <w:rsid w:val="00106076"/>
    <w:rsid w:val="0010707C"/>
    <w:rsid w:val="00107407"/>
    <w:rsid w:val="00110EC7"/>
    <w:rsid w:val="00110F7E"/>
    <w:rsid w:val="00111E60"/>
    <w:rsid w:val="00111E7D"/>
    <w:rsid w:val="00114BF0"/>
    <w:rsid w:val="00117729"/>
    <w:rsid w:val="00117769"/>
    <w:rsid w:val="00117EAF"/>
    <w:rsid w:val="00120FCF"/>
    <w:rsid w:val="00121971"/>
    <w:rsid w:val="00122134"/>
    <w:rsid w:val="0012229F"/>
    <w:rsid w:val="0012322B"/>
    <w:rsid w:val="001250CF"/>
    <w:rsid w:val="001255E9"/>
    <w:rsid w:val="001257B3"/>
    <w:rsid w:val="0012581E"/>
    <w:rsid w:val="00125859"/>
    <w:rsid w:val="001267CB"/>
    <w:rsid w:val="00130D3E"/>
    <w:rsid w:val="00131665"/>
    <w:rsid w:val="00133835"/>
    <w:rsid w:val="001338D4"/>
    <w:rsid w:val="00134E1E"/>
    <w:rsid w:val="00137513"/>
    <w:rsid w:val="00137B2C"/>
    <w:rsid w:val="00141854"/>
    <w:rsid w:val="00141CB5"/>
    <w:rsid w:val="00141E3E"/>
    <w:rsid w:val="0014397B"/>
    <w:rsid w:val="00144696"/>
    <w:rsid w:val="001459D7"/>
    <w:rsid w:val="001465EF"/>
    <w:rsid w:val="00146D4A"/>
    <w:rsid w:val="001474FA"/>
    <w:rsid w:val="00150C8D"/>
    <w:rsid w:val="001516E1"/>
    <w:rsid w:val="001520AC"/>
    <w:rsid w:val="00153E3B"/>
    <w:rsid w:val="00153E8A"/>
    <w:rsid w:val="001541EA"/>
    <w:rsid w:val="00156075"/>
    <w:rsid w:val="00157C34"/>
    <w:rsid w:val="00162E14"/>
    <w:rsid w:val="00163EB0"/>
    <w:rsid w:val="00164210"/>
    <w:rsid w:val="00164DF9"/>
    <w:rsid w:val="00165190"/>
    <w:rsid w:val="001656AD"/>
    <w:rsid w:val="00165D95"/>
    <w:rsid w:val="0016619B"/>
    <w:rsid w:val="00167023"/>
    <w:rsid w:val="00167620"/>
    <w:rsid w:val="00167FCC"/>
    <w:rsid w:val="00174044"/>
    <w:rsid w:val="00174217"/>
    <w:rsid w:val="0017437A"/>
    <w:rsid w:val="00175C50"/>
    <w:rsid w:val="00175D3C"/>
    <w:rsid w:val="0018101E"/>
    <w:rsid w:val="00182509"/>
    <w:rsid w:val="00182FC3"/>
    <w:rsid w:val="00183668"/>
    <w:rsid w:val="001909EB"/>
    <w:rsid w:val="001931E3"/>
    <w:rsid w:val="00193DF1"/>
    <w:rsid w:val="00197A17"/>
    <w:rsid w:val="001A1C09"/>
    <w:rsid w:val="001A20C9"/>
    <w:rsid w:val="001A2B3B"/>
    <w:rsid w:val="001A3503"/>
    <w:rsid w:val="001A3775"/>
    <w:rsid w:val="001A6D04"/>
    <w:rsid w:val="001A78E7"/>
    <w:rsid w:val="001A79DE"/>
    <w:rsid w:val="001B0153"/>
    <w:rsid w:val="001B4DEB"/>
    <w:rsid w:val="001B4EA0"/>
    <w:rsid w:val="001B51F9"/>
    <w:rsid w:val="001B57B7"/>
    <w:rsid w:val="001B75FC"/>
    <w:rsid w:val="001C013B"/>
    <w:rsid w:val="001C0E4A"/>
    <w:rsid w:val="001C3633"/>
    <w:rsid w:val="001C426F"/>
    <w:rsid w:val="001C6FBD"/>
    <w:rsid w:val="001C7935"/>
    <w:rsid w:val="001D040C"/>
    <w:rsid w:val="001D1186"/>
    <w:rsid w:val="001D2557"/>
    <w:rsid w:val="001D3C15"/>
    <w:rsid w:val="001D462A"/>
    <w:rsid w:val="001D48B9"/>
    <w:rsid w:val="001D545A"/>
    <w:rsid w:val="001D663E"/>
    <w:rsid w:val="001D772D"/>
    <w:rsid w:val="001D7C47"/>
    <w:rsid w:val="001E0A64"/>
    <w:rsid w:val="001E1DC0"/>
    <w:rsid w:val="001E21A3"/>
    <w:rsid w:val="001E258D"/>
    <w:rsid w:val="001E25CC"/>
    <w:rsid w:val="001E56D6"/>
    <w:rsid w:val="001E7797"/>
    <w:rsid w:val="001E7EF2"/>
    <w:rsid w:val="001F2681"/>
    <w:rsid w:val="001F37AC"/>
    <w:rsid w:val="001F7700"/>
    <w:rsid w:val="001F7BBA"/>
    <w:rsid w:val="00201C5F"/>
    <w:rsid w:val="0020249F"/>
    <w:rsid w:val="00202C63"/>
    <w:rsid w:val="00203ACA"/>
    <w:rsid w:val="00203BF7"/>
    <w:rsid w:val="002048DF"/>
    <w:rsid w:val="00204AFC"/>
    <w:rsid w:val="0020672A"/>
    <w:rsid w:val="00210D02"/>
    <w:rsid w:val="00212DC0"/>
    <w:rsid w:val="002161BD"/>
    <w:rsid w:val="0022186C"/>
    <w:rsid w:val="00221BF9"/>
    <w:rsid w:val="00222015"/>
    <w:rsid w:val="002221B3"/>
    <w:rsid w:val="00222C8F"/>
    <w:rsid w:val="00225480"/>
    <w:rsid w:val="00226E45"/>
    <w:rsid w:val="00227560"/>
    <w:rsid w:val="00227E11"/>
    <w:rsid w:val="002310EB"/>
    <w:rsid w:val="002324E1"/>
    <w:rsid w:val="00233C22"/>
    <w:rsid w:val="002342EC"/>
    <w:rsid w:val="002344E9"/>
    <w:rsid w:val="0023481D"/>
    <w:rsid w:val="00234A59"/>
    <w:rsid w:val="00234AE6"/>
    <w:rsid w:val="00234AF8"/>
    <w:rsid w:val="0023734F"/>
    <w:rsid w:val="00240248"/>
    <w:rsid w:val="00240892"/>
    <w:rsid w:val="0024653B"/>
    <w:rsid w:val="00247012"/>
    <w:rsid w:val="0024716F"/>
    <w:rsid w:val="002471F4"/>
    <w:rsid w:val="002507E0"/>
    <w:rsid w:val="00250F77"/>
    <w:rsid w:val="0025111B"/>
    <w:rsid w:val="0025175F"/>
    <w:rsid w:val="00251DF6"/>
    <w:rsid w:val="00253B7A"/>
    <w:rsid w:val="002575C1"/>
    <w:rsid w:val="0026076B"/>
    <w:rsid w:val="00262F2D"/>
    <w:rsid w:val="00265686"/>
    <w:rsid w:val="00271503"/>
    <w:rsid w:val="00272D8F"/>
    <w:rsid w:val="00276602"/>
    <w:rsid w:val="00276B76"/>
    <w:rsid w:val="002777CA"/>
    <w:rsid w:val="00277998"/>
    <w:rsid w:val="002800D0"/>
    <w:rsid w:val="00281023"/>
    <w:rsid w:val="002817B8"/>
    <w:rsid w:val="00282C1C"/>
    <w:rsid w:val="00284578"/>
    <w:rsid w:val="0028518E"/>
    <w:rsid w:val="00285F20"/>
    <w:rsid w:val="0028602A"/>
    <w:rsid w:val="00287926"/>
    <w:rsid w:val="00292BDF"/>
    <w:rsid w:val="00294DE5"/>
    <w:rsid w:val="00295C9A"/>
    <w:rsid w:val="00297A14"/>
    <w:rsid w:val="002A2376"/>
    <w:rsid w:val="002A3C40"/>
    <w:rsid w:val="002A44C4"/>
    <w:rsid w:val="002A5904"/>
    <w:rsid w:val="002A6119"/>
    <w:rsid w:val="002B059A"/>
    <w:rsid w:val="002B3683"/>
    <w:rsid w:val="002B4374"/>
    <w:rsid w:val="002B51A2"/>
    <w:rsid w:val="002C0E9B"/>
    <w:rsid w:val="002C3CFA"/>
    <w:rsid w:val="002C53A4"/>
    <w:rsid w:val="002C7E10"/>
    <w:rsid w:val="002D484F"/>
    <w:rsid w:val="002D5A49"/>
    <w:rsid w:val="002E0B0C"/>
    <w:rsid w:val="002E1BA0"/>
    <w:rsid w:val="002E30FD"/>
    <w:rsid w:val="002E57B3"/>
    <w:rsid w:val="002E7C8D"/>
    <w:rsid w:val="002F1B85"/>
    <w:rsid w:val="002F3DFF"/>
    <w:rsid w:val="002F458E"/>
    <w:rsid w:val="002F63B0"/>
    <w:rsid w:val="002F75BD"/>
    <w:rsid w:val="002F7ADC"/>
    <w:rsid w:val="002F7B97"/>
    <w:rsid w:val="003002C0"/>
    <w:rsid w:val="00300994"/>
    <w:rsid w:val="00301144"/>
    <w:rsid w:val="0030211B"/>
    <w:rsid w:val="00302E8E"/>
    <w:rsid w:val="003104A2"/>
    <w:rsid w:val="003105E3"/>
    <w:rsid w:val="00310BCB"/>
    <w:rsid w:val="003132BE"/>
    <w:rsid w:val="0031473D"/>
    <w:rsid w:val="003148B7"/>
    <w:rsid w:val="0031553D"/>
    <w:rsid w:val="003158C3"/>
    <w:rsid w:val="00317A9F"/>
    <w:rsid w:val="00317C58"/>
    <w:rsid w:val="00317CAE"/>
    <w:rsid w:val="00320E24"/>
    <w:rsid w:val="003229DF"/>
    <w:rsid w:val="00324ACC"/>
    <w:rsid w:val="003274CD"/>
    <w:rsid w:val="003302C2"/>
    <w:rsid w:val="003309E4"/>
    <w:rsid w:val="00332424"/>
    <w:rsid w:val="003327BA"/>
    <w:rsid w:val="003328B5"/>
    <w:rsid w:val="00333501"/>
    <w:rsid w:val="00334152"/>
    <w:rsid w:val="0033655F"/>
    <w:rsid w:val="003377C1"/>
    <w:rsid w:val="003406F9"/>
    <w:rsid w:val="003437E2"/>
    <w:rsid w:val="00343A07"/>
    <w:rsid w:val="00343AAA"/>
    <w:rsid w:val="00344585"/>
    <w:rsid w:val="003457C4"/>
    <w:rsid w:val="00346A82"/>
    <w:rsid w:val="0034755B"/>
    <w:rsid w:val="00350259"/>
    <w:rsid w:val="0035119D"/>
    <w:rsid w:val="00351902"/>
    <w:rsid w:val="0035577B"/>
    <w:rsid w:val="003559FC"/>
    <w:rsid w:val="00356728"/>
    <w:rsid w:val="003567C7"/>
    <w:rsid w:val="0035695A"/>
    <w:rsid w:val="00356C58"/>
    <w:rsid w:val="003609D5"/>
    <w:rsid w:val="003621D9"/>
    <w:rsid w:val="0036344C"/>
    <w:rsid w:val="00363A81"/>
    <w:rsid w:val="00363B3C"/>
    <w:rsid w:val="00364686"/>
    <w:rsid w:val="00365684"/>
    <w:rsid w:val="00367B33"/>
    <w:rsid w:val="00373214"/>
    <w:rsid w:val="00376A68"/>
    <w:rsid w:val="00382AEA"/>
    <w:rsid w:val="0038337A"/>
    <w:rsid w:val="00383B26"/>
    <w:rsid w:val="00384DFF"/>
    <w:rsid w:val="003855C3"/>
    <w:rsid w:val="003875F1"/>
    <w:rsid w:val="00390E5E"/>
    <w:rsid w:val="00395E5A"/>
    <w:rsid w:val="003979A4"/>
    <w:rsid w:val="003A1C6C"/>
    <w:rsid w:val="003A3A60"/>
    <w:rsid w:val="003A5358"/>
    <w:rsid w:val="003B4F12"/>
    <w:rsid w:val="003B4FFF"/>
    <w:rsid w:val="003B6C2E"/>
    <w:rsid w:val="003B6E17"/>
    <w:rsid w:val="003B74C7"/>
    <w:rsid w:val="003C2C12"/>
    <w:rsid w:val="003C3272"/>
    <w:rsid w:val="003C52ED"/>
    <w:rsid w:val="003C599A"/>
    <w:rsid w:val="003C5E4B"/>
    <w:rsid w:val="003C6F74"/>
    <w:rsid w:val="003C7EBD"/>
    <w:rsid w:val="003D0A6D"/>
    <w:rsid w:val="003D4812"/>
    <w:rsid w:val="003D55DA"/>
    <w:rsid w:val="003D645B"/>
    <w:rsid w:val="003D67ED"/>
    <w:rsid w:val="003D6D20"/>
    <w:rsid w:val="003D7C7F"/>
    <w:rsid w:val="003E0442"/>
    <w:rsid w:val="003E2C53"/>
    <w:rsid w:val="003E4340"/>
    <w:rsid w:val="003E4F99"/>
    <w:rsid w:val="003E53D2"/>
    <w:rsid w:val="003E5F6B"/>
    <w:rsid w:val="003E6539"/>
    <w:rsid w:val="003F0732"/>
    <w:rsid w:val="003F0837"/>
    <w:rsid w:val="003F1D58"/>
    <w:rsid w:val="003F22DF"/>
    <w:rsid w:val="003F25DE"/>
    <w:rsid w:val="003F2785"/>
    <w:rsid w:val="003F2955"/>
    <w:rsid w:val="003F418C"/>
    <w:rsid w:val="003F4875"/>
    <w:rsid w:val="003F5BD9"/>
    <w:rsid w:val="003F7398"/>
    <w:rsid w:val="003F78CF"/>
    <w:rsid w:val="00400E04"/>
    <w:rsid w:val="004023E0"/>
    <w:rsid w:val="004025AD"/>
    <w:rsid w:val="0040283E"/>
    <w:rsid w:val="00403D27"/>
    <w:rsid w:val="00407A11"/>
    <w:rsid w:val="00410BCD"/>
    <w:rsid w:val="00412512"/>
    <w:rsid w:val="0041320C"/>
    <w:rsid w:val="00413DA5"/>
    <w:rsid w:val="00414B0E"/>
    <w:rsid w:val="00414F8A"/>
    <w:rsid w:val="004201DE"/>
    <w:rsid w:val="004215E7"/>
    <w:rsid w:val="004230ED"/>
    <w:rsid w:val="00423F31"/>
    <w:rsid w:val="0042455D"/>
    <w:rsid w:val="004259D8"/>
    <w:rsid w:val="00425CB9"/>
    <w:rsid w:val="00426423"/>
    <w:rsid w:val="00426C51"/>
    <w:rsid w:val="0042709B"/>
    <w:rsid w:val="00427158"/>
    <w:rsid w:val="00427B4D"/>
    <w:rsid w:val="00430397"/>
    <w:rsid w:val="004316E3"/>
    <w:rsid w:val="00431899"/>
    <w:rsid w:val="00431992"/>
    <w:rsid w:val="00435946"/>
    <w:rsid w:val="00436D5E"/>
    <w:rsid w:val="00443640"/>
    <w:rsid w:val="00445055"/>
    <w:rsid w:val="00447091"/>
    <w:rsid w:val="00447E7F"/>
    <w:rsid w:val="00447FE7"/>
    <w:rsid w:val="00450F24"/>
    <w:rsid w:val="00452240"/>
    <w:rsid w:val="00456769"/>
    <w:rsid w:val="00457E27"/>
    <w:rsid w:val="004609C6"/>
    <w:rsid w:val="00461B1D"/>
    <w:rsid w:val="00463CB3"/>
    <w:rsid w:val="00464059"/>
    <w:rsid w:val="00464AC7"/>
    <w:rsid w:val="0046618C"/>
    <w:rsid w:val="00467695"/>
    <w:rsid w:val="00467A80"/>
    <w:rsid w:val="00467D85"/>
    <w:rsid w:val="00470015"/>
    <w:rsid w:val="004726E4"/>
    <w:rsid w:val="00474343"/>
    <w:rsid w:val="00475266"/>
    <w:rsid w:val="004752EC"/>
    <w:rsid w:val="00475EB4"/>
    <w:rsid w:val="004772C0"/>
    <w:rsid w:val="00477CA8"/>
    <w:rsid w:val="00481CA0"/>
    <w:rsid w:val="004838EE"/>
    <w:rsid w:val="00486804"/>
    <w:rsid w:val="00486CD9"/>
    <w:rsid w:val="00490EF5"/>
    <w:rsid w:val="004913B5"/>
    <w:rsid w:val="00491650"/>
    <w:rsid w:val="0049216A"/>
    <w:rsid w:val="00495F8E"/>
    <w:rsid w:val="0049732E"/>
    <w:rsid w:val="004977BE"/>
    <w:rsid w:val="004A1BB2"/>
    <w:rsid w:val="004A40BD"/>
    <w:rsid w:val="004A4452"/>
    <w:rsid w:val="004A4AE5"/>
    <w:rsid w:val="004A6AA9"/>
    <w:rsid w:val="004B11CF"/>
    <w:rsid w:val="004B3775"/>
    <w:rsid w:val="004B3BF5"/>
    <w:rsid w:val="004B4A1B"/>
    <w:rsid w:val="004B5E07"/>
    <w:rsid w:val="004B704B"/>
    <w:rsid w:val="004C088C"/>
    <w:rsid w:val="004C2407"/>
    <w:rsid w:val="004C3DE8"/>
    <w:rsid w:val="004C73DE"/>
    <w:rsid w:val="004D08C0"/>
    <w:rsid w:val="004D0AEE"/>
    <w:rsid w:val="004D0EEB"/>
    <w:rsid w:val="004D1D46"/>
    <w:rsid w:val="004D247F"/>
    <w:rsid w:val="004D24FD"/>
    <w:rsid w:val="004D2538"/>
    <w:rsid w:val="004D30FF"/>
    <w:rsid w:val="004D336E"/>
    <w:rsid w:val="004D4E58"/>
    <w:rsid w:val="004D633C"/>
    <w:rsid w:val="004D7015"/>
    <w:rsid w:val="004E058F"/>
    <w:rsid w:val="004E27C9"/>
    <w:rsid w:val="004E3B87"/>
    <w:rsid w:val="004E4BD8"/>
    <w:rsid w:val="004E4D42"/>
    <w:rsid w:val="004E5F51"/>
    <w:rsid w:val="004F0914"/>
    <w:rsid w:val="004F21EB"/>
    <w:rsid w:val="004F3ADD"/>
    <w:rsid w:val="004F3E14"/>
    <w:rsid w:val="0050067B"/>
    <w:rsid w:val="00501AF0"/>
    <w:rsid w:val="00501EA3"/>
    <w:rsid w:val="00502F28"/>
    <w:rsid w:val="0050405D"/>
    <w:rsid w:val="00505637"/>
    <w:rsid w:val="005107A9"/>
    <w:rsid w:val="00510921"/>
    <w:rsid w:val="00510AD3"/>
    <w:rsid w:val="00510E29"/>
    <w:rsid w:val="005110D9"/>
    <w:rsid w:val="00513348"/>
    <w:rsid w:val="00513688"/>
    <w:rsid w:val="00517623"/>
    <w:rsid w:val="00520DB2"/>
    <w:rsid w:val="00522657"/>
    <w:rsid w:val="0052554F"/>
    <w:rsid w:val="00527070"/>
    <w:rsid w:val="00527127"/>
    <w:rsid w:val="00531E54"/>
    <w:rsid w:val="0053258E"/>
    <w:rsid w:val="00532DF5"/>
    <w:rsid w:val="005331C5"/>
    <w:rsid w:val="00533B5D"/>
    <w:rsid w:val="00534D13"/>
    <w:rsid w:val="00535494"/>
    <w:rsid w:val="00535883"/>
    <w:rsid w:val="0053650E"/>
    <w:rsid w:val="00536F94"/>
    <w:rsid w:val="00537EB7"/>
    <w:rsid w:val="005404E6"/>
    <w:rsid w:val="005405E3"/>
    <w:rsid w:val="00542675"/>
    <w:rsid w:val="00544BB3"/>
    <w:rsid w:val="005452E4"/>
    <w:rsid w:val="00545F8A"/>
    <w:rsid w:val="00550EBE"/>
    <w:rsid w:val="00551D4B"/>
    <w:rsid w:val="0055714E"/>
    <w:rsid w:val="005602B9"/>
    <w:rsid w:val="005616A2"/>
    <w:rsid w:val="00562124"/>
    <w:rsid w:val="00563027"/>
    <w:rsid w:val="00565B95"/>
    <w:rsid w:val="00566B5A"/>
    <w:rsid w:val="00570826"/>
    <w:rsid w:val="00571BC7"/>
    <w:rsid w:val="00572BAB"/>
    <w:rsid w:val="00573E8A"/>
    <w:rsid w:val="00576097"/>
    <w:rsid w:val="00576D35"/>
    <w:rsid w:val="005774DB"/>
    <w:rsid w:val="00577A31"/>
    <w:rsid w:val="005815F8"/>
    <w:rsid w:val="00581FCD"/>
    <w:rsid w:val="0058458D"/>
    <w:rsid w:val="00584B7D"/>
    <w:rsid w:val="0058530D"/>
    <w:rsid w:val="005863BC"/>
    <w:rsid w:val="00586A0E"/>
    <w:rsid w:val="005911CA"/>
    <w:rsid w:val="00591AE3"/>
    <w:rsid w:val="00595AC4"/>
    <w:rsid w:val="00595BF8"/>
    <w:rsid w:val="00596DED"/>
    <w:rsid w:val="005971A6"/>
    <w:rsid w:val="00597C4B"/>
    <w:rsid w:val="005A1987"/>
    <w:rsid w:val="005A1CF4"/>
    <w:rsid w:val="005A2470"/>
    <w:rsid w:val="005A3534"/>
    <w:rsid w:val="005A37C8"/>
    <w:rsid w:val="005A38E1"/>
    <w:rsid w:val="005A4D28"/>
    <w:rsid w:val="005A6CDD"/>
    <w:rsid w:val="005A7517"/>
    <w:rsid w:val="005B0A5A"/>
    <w:rsid w:val="005B18C4"/>
    <w:rsid w:val="005B2015"/>
    <w:rsid w:val="005B2149"/>
    <w:rsid w:val="005B2D54"/>
    <w:rsid w:val="005B3433"/>
    <w:rsid w:val="005B46E6"/>
    <w:rsid w:val="005B579D"/>
    <w:rsid w:val="005B583F"/>
    <w:rsid w:val="005B64F4"/>
    <w:rsid w:val="005C04BE"/>
    <w:rsid w:val="005C05AC"/>
    <w:rsid w:val="005C58B7"/>
    <w:rsid w:val="005C637A"/>
    <w:rsid w:val="005C6CFC"/>
    <w:rsid w:val="005D2821"/>
    <w:rsid w:val="005D3276"/>
    <w:rsid w:val="005D3A42"/>
    <w:rsid w:val="005D6C5C"/>
    <w:rsid w:val="005D717D"/>
    <w:rsid w:val="005D7279"/>
    <w:rsid w:val="005E0268"/>
    <w:rsid w:val="005E03EC"/>
    <w:rsid w:val="005E1750"/>
    <w:rsid w:val="005E2191"/>
    <w:rsid w:val="005E3C26"/>
    <w:rsid w:val="005E5F4B"/>
    <w:rsid w:val="005F049E"/>
    <w:rsid w:val="005F0B43"/>
    <w:rsid w:val="005F1E50"/>
    <w:rsid w:val="005F254B"/>
    <w:rsid w:val="005F314F"/>
    <w:rsid w:val="005F3DD4"/>
    <w:rsid w:val="005F6566"/>
    <w:rsid w:val="005F7816"/>
    <w:rsid w:val="00600CC4"/>
    <w:rsid w:val="006037E6"/>
    <w:rsid w:val="00603911"/>
    <w:rsid w:val="006063F6"/>
    <w:rsid w:val="00611E21"/>
    <w:rsid w:val="006120D6"/>
    <w:rsid w:val="00614858"/>
    <w:rsid w:val="00614AA3"/>
    <w:rsid w:val="00614D52"/>
    <w:rsid w:val="00615E06"/>
    <w:rsid w:val="00616A62"/>
    <w:rsid w:val="00616ECA"/>
    <w:rsid w:val="00617823"/>
    <w:rsid w:val="00617926"/>
    <w:rsid w:val="00620367"/>
    <w:rsid w:val="0062231E"/>
    <w:rsid w:val="00623BA1"/>
    <w:rsid w:val="00625000"/>
    <w:rsid w:val="006255DA"/>
    <w:rsid w:val="00627558"/>
    <w:rsid w:val="00627838"/>
    <w:rsid w:val="0063304F"/>
    <w:rsid w:val="006340CD"/>
    <w:rsid w:val="006346BC"/>
    <w:rsid w:val="00637D61"/>
    <w:rsid w:val="006400B1"/>
    <w:rsid w:val="0064067B"/>
    <w:rsid w:val="0064113C"/>
    <w:rsid w:val="0064254F"/>
    <w:rsid w:val="00643E45"/>
    <w:rsid w:val="0064724E"/>
    <w:rsid w:val="00655169"/>
    <w:rsid w:val="006555F3"/>
    <w:rsid w:val="00655F91"/>
    <w:rsid w:val="00656BFD"/>
    <w:rsid w:val="00656D67"/>
    <w:rsid w:val="006570D4"/>
    <w:rsid w:val="00657889"/>
    <w:rsid w:val="00660AF5"/>
    <w:rsid w:val="00662973"/>
    <w:rsid w:val="00665EB5"/>
    <w:rsid w:val="0066652A"/>
    <w:rsid w:val="00666E9F"/>
    <w:rsid w:val="006707EB"/>
    <w:rsid w:val="00671CB9"/>
    <w:rsid w:val="006749E5"/>
    <w:rsid w:val="00675024"/>
    <w:rsid w:val="00677EE9"/>
    <w:rsid w:val="00682167"/>
    <w:rsid w:val="00682351"/>
    <w:rsid w:val="00683420"/>
    <w:rsid w:val="00683871"/>
    <w:rsid w:val="00687B3B"/>
    <w:rsid w:val="006923AA"/>
    <w:rsid w:val="00693CD7"/>
    <w:rsid w:val="00694DB7"/>
    <w:rsid w:val="00695A6C"/>
    <w:rsid w:val="00695F10"/>
    <w:rsid w:val="00697FA1"/>
    <w:rsid w:val="006A22AD"/>
    <w:rsid w:val="006A2623"/>
    <w:rsid w:val="006A337D"/>
    <w:rsid w:val="006A3EBD"/>
    <w:rsid w:val="006A569E"/>
    <w:rsid w:val="006A6E16"/>
    <w:rsid w:val="006B0E2A"/>
    <w:rsid w:val="006B0EB5"/>
    <w:rsid w:val="006B2254"/>
    <w:rsid w:val="006B3F37"/>
    <w:rsid w:val="006C02DF"/>
    <w:rsid w:val="006C0662"/>
    <w:rsid w:val="006C1D5E"/>
    <w:rsid w:val="006C29DA"/>
    <w:rsid w:val="006C3028"/>
    <w:rsid w:val="006C3F75"/>
    <w:rsid w:val="006C42AF"/>
    <w:rsid w:val="006C46B1"/>
    <w:rsid w:val="006C483E"/>
    <w:rsid w:val="006C71DD"/>
    <w:rsid w:val="006C79A0"/>
    <w:rsid w:val="006D1427"/>
    <w:rsid w:val="006D1C00"/>
    <w:rsid w:val="006D28AA"/>
    <w:rsid w:val="006D5EA9"/>
    <w:rsid w:val="006E002F"/>
    <w:rsid w:val="006E1C21"/>
    <w:rsid w:val="006E29A6"/>
    <w:rsid w:val="006E2A12"/>
    <w:rsid w:val="006E7C5A"/>
    <w:rsid w:val="006F0606"/>
    <w:rsid w:val="006F10ED"/>
    <w:rsid w:val="006F1889"/>
    <w:rsid w:val="006F1925"/>
    <w:rsid w:val="006F26F0"/>
    <w:rsid w:val="006F7979"/>
    <w:rsid w:val="006F7E7D"/>
    <w:rsid w:val="00700B3A"/>
    <w:rsid w:val="00701C11"/>
    <w:rsid w:val="00702466"/>
    <w:rsid w:val="00702CC0"/>
    <w:rsid w:val="00703896"/>
    <w:rsid w:val="0070458E"/>
    <w:rsid w:val="00706059"/>
    <w:rsid w:val="0070606A"/>
    <w:rsid w:val="0071086E"/>
    <w:rsid w:val="00710929"/>
    <w:rsid w:val="00710F1C"/>
    <w:rsid w:val="00711D8E"/>
    <w:rsid w:val="00712672"/>
    <w:rsid w:val="00714A4E"/>
    <w:rsid w:val="00716EA8"/>
    <w:rsid w:val="007173AA"/>
    <w:rsid w:val="00717633"/>
    <w:rsid w:val="00725626"/>
    <w:rsid w:val="00731091"/>
    <w:rsid w:val="00731AD2"/>
    <w:rsid w:val="0073307D"/>
    <w:rsid w:val="007331D7"/>
    <w:rsid w:val="0073375B"/>
    <w:rsid w:val="00734E3F"/>
    <w:rsid w:val="007364FA"/>
    <w:rsid w:val="00736985"/>
    <w:rsid w:val="00736A2D"/>
    <w:rsid w:val="00737854"/>
    <w:rsid w:val="007379D0"/>
    <w:rsid w:val="007406B5"/>
    <w:rsid w:val="0074188C"/>
    <w:rsid w:val="0074462C"/>
    <w:rsid w:val="00745026"/>
    <w:rsid w:val="00745DF5"/>
    <w:rsid w:val="007471C5"/>
    <w:rsid w:val="0074763C"/>
    <w:rsid w:val="00747D51"/>
    <w:rsid w:val="0075015A"/>
    <w:rsid w:val="00750349"/>
    <w:rsid w:val="00750DBA"/>
    <w:rsid w:val="007514D6"/>
    <w:rsid w:val="007516F4"/>
    <w:rsid w:val="00752239"/>
    <w:rsid w:val="00756044"/>
    <w:rsid w:val="00757210"/>
    <w:rsid w:val="00757F16"/>
    <w:rsid w:val="00761FBB"/>
    <w:rsid w:val="00765658"/>
    <w:rsid w:val="00765730"/>
    <w:rsid w:val="00766D59"/>
    <w:rsid w:val="007674B6"/>
    <w:rsid w:val="0076751F"/>
    <w:rsid w:val="00767CD7"/>
    <w:rsid w:val="00771192"/>
    <w:rsid w:val="007728E7"/>
    <w:rsid w:val="007732B2"/>
    <w:rsid w:val="007742E3"/>
    <w:rsid w:val="00774489"/>
    <w:rsid w:val="00774506"/>
    <w:rsid w:val="007746DD"/>
    <w:rsid w:val="00775B5E"/>
    <w:rsid w:val="00776A0F"/>
    <w:rsid w:val="007775DB"/>
    <w:rsid w:val="007778DB"/>
    <w:rsid w:val="00780230"/>
    <w:rsid w:val="007806BC"/>
    <w:rsid w:val="007807C4"/>
    <w:rsid w:val="00781E36"/>
    <w:rsid w:val="00784189"/>
    <w:rsid w:val="007842ED"/>
    <w:rsid w:val="00787F99"/>
    <w:rsid w:val="00790339"/>
    <w:rsid w:val="00790859"/>
    <w:rsid w:val="00791548"/>
    <w:rsid w:val="0079621F"/>
    <w:rsid w:val="0079738A"/>
    <w:rsid w:val="00797A71"/>
    <w:rsid w:val="007A06E2"/>
    <w:rsid w:val="007A3207"/>
    <w:rsid w:val="007A76A9"/>
    <w:rsid w:val="007B11E5"/>
    <w:rsid w:val="007B3425"/>
    <w:rsid w:val="007B3FE0"/>
    <w:rsid w:val="007B42BF"/>
    <w:rsid w:val="007B43FC"/>
    <w:rsid w:val="007B5986"/>
    <w:rsid w:val="007B6200"/>
    <w:rsid w:val="007B7352"/>
    <w:rsid w:val="007B7358"/>
    <w:rsid w:val="007B7584"/>
    <w:rsid w:val="007B76DF"/>
    <w:rsid w:val="007C0242"/>
    <w:rsid w:val="007C265E"/>
    <w:rsid w:val="007C32AC"/>
    <w:rsid w:val="007C3CB5"/>
    <w:rsid w:val="007C4258"/>
    <w:rsid w:val="007C42D8"/>
    <w:rsid w:val="007C457D"/>
    <w:rsid w:val="007C45C2"/>
    <w:rsid w:val="007C6A04"/>
    <w:rsid w:val="007C7563"/>
    <w:rsid w:val="007C75A7"/>
    <w:rsid w:val="007D3199"/>
    <w:rsid w:val="007D366A"/>
    <w:rsid w:val="007D5051"/>
    <w:rsid w:val="007D6C2E"/>
    <w:rsid w:val="007D7914"/>
    <w:rsid w:val="007D7C5D"/>
    <w:rsid w:val="007E1202"/>
    <w:rsid w:val="007E1379"/>
    <w:rsid w:val="007E3380"/>
    <w:rsid w:val="007E4764"/>
    <w:rsid w:val="007E534F"/>
    <w:rsid w:val="007E7C85"/>
    <w:rsid w:val="007F0BAC"/>
    <w:rsid w:val="007F3395"/>
    <w:rsid w:val="007F59C1"/>
    <w:rsid w:val="007F74AD"/>
    <w:rsid w:val="007F7B13"/>
    <w:rsid w:val="00801579"/>
    <w:rsid w:val="00801B9F"/>
    <w:rsid w:val="00804D61"/>
    <w:rsid w:val="00805D91"/>
    <w:rsid w:val="00806503"/>
    <w:rsid w:val="008111B0"/>
    <w:rsid w:val="00812CC7"/>
    <w:rsid w:val="00813D1F"/>
    <w:rsid w:val="00815A3F"/>
    <w:rsid w:val="00816CD1"/>
    <w:rsid w:val="00816F67"/>
    <w:rsid w:val="00820F3A"/>
    <w:rsid w:val="0082263D"/>
    <w:rsid w:val="00824616"/>
    <w:rsid w:val="008258D4"/>
    <w:rsid w:val="00825D8A"/>
    <w:rsid w:val="00826343"/>
    <w:rsid w:val="008312E1"/>
    <w:rsid w:val="008324AA"/>
    <w:rsid w:val="008329DE"/>
    <w:rsid w:val="00834336"/>
    <w:rsid w:val="00836FBF"/>
    <w:rsid w:val="00841900"/>
    <w:rsid w:val="0084257C"/>
    <w:rsid w:val="00842830"/>
    <w:rsid w:val="00842A8A"/>
    <w:rsid w:val="008440C5"/>
    <w:rsid w:val="00844D26"/>
    <w:rsid w:val="008453C1"/>
    <w:rsid w:val="00847EA0"/>
    <w:rsid w:val="0085011E"/>
    <w:rsid w:val="008502B7"/>
    <w:rsid w:val="008504A8"/>
    <w:rsid w:val="008504CB"/>
    <w:rsid w:val="00851030"/>
    <w:rsid w:val="00853121"/>
    <w:rsid w:val="00853332"/>
    <w:rsid w:val="00857590"/>
    <w:rsid w:val="00860014"/>
    <w:rsid w:val="008605D0"/>
    <w:rsid w:val="00863D5E"/>
    <w:rsid w:val="008725A0"/>
    <w:rsid w:val="00874484"/>
    <w:rsid w:val="008758EC"/>
    <w:rsid w:val="008773E9"/>
    <w:rsid w:val="00877C78"/>
    <w:rsid w:val="00880473"/>
    <w:rsid w:val="00882B05"/>
    <w:rsid w:val="008830D2"/>
    <w:rsid w:val="008857A7"/>
    <w:rsid w:val="00885EA2"/>
    <w:rsid w:val="00886172"/>
    <w:rsid w:val="00890286"/>
    <w:rsid w:val="00892441"/>
    <w:rsid w:val="00892E62"/>
    <w:rsid w:val="0089474F"/>
    <w:rsid w:val="00896665"/>
    <w:rsid w:val="0089730E"/>
    <w:rsid w:val="008978DD"/>
    <w:rsid w:val="008A2CF1"/>
    <w:rsid w:val="008A383D"/>
    <w:rsid w:val="008A56BF"/>
    <w:rsid w:val="008B14D8"/>
    <w:rsid w:val="008B3F8A"/>
    <w:rsid w:val="008B50EF"/>
    <w:rsid w:val="008B5899"/>
    <w:rsid w:val="008C0E2C"/>
    <w:rsid w:val="008C17C7"/>
    <w:rsid w:val="008C4281"/>
    <w:rsid w:val="008C455D"/>
    <w:rsid w:val="008C4D12"/>
    <w:rsid w:val="008C4D21"/>
    <w:rsid w:val="008C5A0E"/>
    <w:rsid w:val="008C6A36"/>
    <w:rsid w:val="008D0767"/>
    <w:rsid w:val="008D07E3"/>
    <w:rsid w:val="008D0D21"/>
    <w:rsid w:val="008D17FC"/>
    <w:rsid w:val="008D27C3"/>
    <w:rsid w:val="008D27FF"/>
    <w:rsid w:val="008D31E9"/>
    <w:rsid w:val="008D3AFA"/>
    <w:rsid w:val="008D4CEA"/>
    <w:rsid w:val="008D5839"/>
    <w:rsid w:val="008E032F"/>
    <w:rsid w:val="008E0472"/>
    <w:rsid w:val="008E118C"/>
    <w:rsid w:val="008E3ADA"/>
    <w:rsid w:val="008E4F2A"/>
    <w:rsid w:val="008E5094"/>
    <w:rsid w:val="008E6ADF"/>
    <w:rsid w:val="008E6FB5"/>
    <w:rsid w:val="008F0EBC"/>
    <w:rsid w:val="008F17DE"/>
    <w:rsid w:val="008F3B9F"/>
    <w:rsid w:val="008F47CF"/>
    <w:rsid w:val="008F516A"/>
    <w:rsid w:val="008F5F58"/>
    <w:rsid w:val="008F6BD5"/>
    <w:rsid w:val="008F7A8A"/>
    <w:rsid w:val="009003D5"/>
    <w:rsid w:val="00900A4B"/>
    <w:rsid w:val="00900C75"/>
    <w:rsid w:val="0090255F"/>
    <w:rsid w:val="00902862"/>
    <w:rsid w:val="009049A9"/>
    <w:rsid w:val="00905FF3"/>
    <w:rsid w:val="00906101"/>
    <w:rsid w:val="009069EA"/>
    <w:rsid w:val="00911405"/>
    <w:rsid w:val="00912613"/>
    <w:rsid w:val="0091321A"/>
    <w:rsid w:val="00914ED6"/>
    <w:rsid w:val="00915901"/>
    <w:rsid w:val="00917FEC"/>
    <w:rsid w:val="00922CE3"/>
    <w:rsid w:val="009236FC"/>
    <w:rsid w:val="00924535"/>
    <w:rsid w:val="00924DC5"/>
    <w:rsid w:val="00925C0A"/>
    <w:rsid w:val="00926571"/>
    <w:rsid w:val="009279DC"/>
    <w:rsid w:val="009311FC"/>
    <w:rsid w:val="00931584"/>
    <w:rsid w:val="009318EB"/>
    <w:rsid w:val="00931B68"/>
    <w:rsid w:val="009326AC"/>
    <w:rsid w:val="00932EF6"/>
    <w:rsid w:val="0093307F"/>
    <w:rsid w:val="00936574"/>
    <w:rsid w:val="0094091C"/>
    <w:rsid w:val="00943BD8"/>
    <w:rsid w:val="00943DF1"/>
    <w:rsid w:val="009441FB"/>
    <w:rsid w:val="00945BC6"/>
    <w:rsid w:val="00946417"/>
    <w:rsid w:val="00946CD0"/>
    <w:rsid w:val="00947D9A"/>
    <w:rsid w:val="00950BEB"/>
    <w:rsid w:val="00950DBD"/>
    <w:rsid w:val="00952194"/>
    <w:rsid w:val="009543F8"/>
    <w:rsid w:val="00955241"/>
    <w:rsid w:val="00955700"/>
    <w:rsid w:val="0095716E"/>
    <w:rsid w:val="00957F79"/>
    <w:rsid w:val="009600F7"/>
    <w:rsid w:val="0096065C"/>
    <w:rsid w:val="00961895"/>
    <w:rsid w:val="00962D84"/>
    <w:rsid w:val="00963125"/>
    <w:rsid w:val="009634DC"/>
    <w:rsid w:val="00963823"/>
    <w:rsid w:val="00964FFD"/>
    <w:rsid w:val="009656D6"/>
    <w:rsid w:val="00966831"/>
    <w:rsid w:val="009670BA"/>
    <w:rsid w:val="009671ED"/>
    <w:rsid w:val="0097048A"/>
    <w:rsid w:val="00972465"/>
    <w:rsid w:val="009735C6"/>
    <w:rsid w:val="00974BD5"/>
    <w:rsid w:val="00975143"/>
    <w:rsid w:val="009751D1"/>
    <w:rsid w:val="00975404"/>
    <w:rsid w:val="00977AC2"/>
    <w:rsid w:val="00982A5F"/>
    <w:rsid w:val="0098362A"/>
    <w:rsid w:val="00985EB2"/>
    <w:rsid w:val="00986F41"/>
    <w:rsid w:val="009873FF"/>
    <w:rsid w:val="009877ED"/>
    <w:rsid w:val="00990E4B"/>
    <w:rsid w:val="00994107"/>
    <w:rsid w:val="009944FA"/>
    <w:rsid w:val="009946C6"/>
    <w:rsid w:val="009952DB"/>
    <w:rsid w:val="00996BE3"/>
    <w:rsid w:val="009972C2"/>
    <w:rsid w:val="009976CE"/>
    <w:rsid w:val="00997791"/>
    <w:rsid w:val="00997BED"/>
    <w:rsid w:val="009A0534"/>
    <w:rsid w:val="009A05B8"/>
    <w:rsid w:val="009A0ACA"/>
    <w:rsid w:val="009A435F"/>
    <w:rsid w:val="009A4EB3"/>
    <w:rsid w:val="009A60A0"/>
    <w:rsid w:val="009A686E"/>
    <w:rsid w:val="009B12CA"/>
    <w:rsid w:val="009B41C6"/>
    <w:rsid w:val="009B46BE"/>
    <w:rsid w:val="009B4D3B"/>
    <w:rsid w:val="009B72CF"/>
    <w:rsid w:val="009B7332"/>
    <w:rsid w:val="009C1A06"/>
    <w:rsid w:val="009C1D8E"/>
    <w:rsid w:val="009C2A53"/>
    <w:rsid w:val="009C2B83"/>
    <w:rsid w:val="009C6B30"/>
    <w:rsid w:val="009D0514"/>
    <w:rsid w:val="009D1A36"/>
    <w:rsid w:val="009D2A96"/>
    <w:rsid w:val="009D3C2D"/>
    <w:rsid w:val="009D3E34"/>
    <w:rsid w:val="009D5248"/>
    <w:rsid w:val="009D70AD"/>
    <w:rsid w:val="009D733D"/>
    <w:rsid w:val="009D7407"/>
    <w:rsid w:val="009D7F78"/>
    <w:rsid w:val="009E0866"/>
    <w:rsid w:val="009E153E"/>
    <w:rsid w:val="009E3CC9"/>
    <w:rsid w:val="009E4002"/>
    <w:rsid w:val="009E4096"/>
    <w:rsid w:val="009E459A"/>
    <w:rsid w:val="009E4C2E"/>
    <w:rsid w:val="009E4CFD"/>
    <w:rsid w:val="009E5765"/>
    <w:rsid w:val="009E5F23"/>
    <w:rsid w:val="009E7604"/>
    <w:rsid w:val="009F038F"/>
    <w:rsid w:val="009F27D5"/>
    <w:rsid w:val="009F37F0"/>
    <w:rsid w:val="009F6423"/>
    <w:rsid w:val="009F75E9"/>
    <w:rsid w:val="00A00DE3"/>
    <w:rsid w:val="00A012CA"/>
    <w:rsid w:val="00A026B4"/>
    <w:rsid w:val="00A04B18"/>
    <w:rsid w:val="00A057FF"/>
    <w:rsid w:val="00A076DC"/>
    <w:rsid w:val="00A108E7"/>
    <w:rsid w:val="00A10EB9"/>
    <w:rsid w:val="00A111B4"/>
    <w:rsid w:val="00A122FC"/>
    <w:rsid w:val="00A12607"/>
    <w:rsid w:val="00A12FAC"/>
    <w:rsid w:val="00A13E4D"/>
    <w:rsid w:val="00A1606A"/>
    <w:rsid w:val="00A17134"/>
    <w:rsid w:val="00A17DE6"/>
    <w:rsid w:val="00A20563"/>
    <w:rsid w:val="00A22A92"/>
    <w:rsid w:val="00A23CD5"/>
    <w:rsid w:val="00A24100"/>
    <w:rsid w:val="00A2442A"/>
    <w:rsid w:val="00A246FE"/>
    <w:rsid w:val="00A2486C"/>
    <w:rsid w:val="00A24A62"/>
    <w:rsid w:val="00A267E9"/>
    <w:rsid w:val="00A30775"/>
    <w:rsid w:val="00A312F9"/>
    <w:rsid w:val="00A31C9F"/>
    <w:rsid w:val="00A34F4D"/>
    <w:rsid w:val="00A352E0"/>
    <w:rsid w:val="00A3639D"/>
    <w:rsid w:val="00A40D02"/>
    <w:rsid w:val="00A4144F"/>
    <w:rsid w:val="00A41DB9"/>
    <w:rsid w:val="00A42C58"/>
    <w:rsid w:val="00A44454"/>
    <w:rsid w:val="00A505BE"/>
    <w:rsid w:val="00A506C8"/>
    <w:rsid w:val="00A53901"/>
    <w:rsid w:val="00A55201"/>
    <w:rsid w:val="00A55687"/>
    <w:rsid w:val="00A56269"/>
    <w:rsid w:val="00A604C4"/>
    <w:rsid w:val="00A60530"/>
    <w:rsid w:val="00A6096D"/>
    <w:rsid w:val="00A60B90"/>
    <w:rsid w:val="00A6241D"/>
    <w:rsid w:val="00A62882"/>
    <w:rsid w:val="00A65F96"/>
    <w:rsid w:val="00A66A1F"/>
    <w:rsid w:val="00A6731D"/>
    <w:rsid w:val="00A67382"/>
    <w:rsid w:val="00A70525"/>
    <w:rsid w:val="00A7085B"/>
    <w:rsid w:val="00A71F66"/>
    <w:rsid w:val="00A74E50"/>
    <w:rsid w:val="00A757A1"/>
    <w:rsid w:val="00A75A27"/>
    <w:rsid w:val="00A76731"/>
    <w:rsid w:val="00A77B46"/>
    <w:rsid w:val="00A81EE4"/>
    <w:rsid w:val="00A82277"/>
    <w:rsid w:val="00A8334B"/>
    <w:rsid w:val="00A8403E"/>
    <w:rsid w:val="00A86906"/>
    <w:rsid w:val="00A87073"/>
    <w:rsid w:val="00A90E2F"/>
    <w:rsid w:val="00A910EE"/>
    <w:rsid w:val="00A91740"/>
    <w:rsid w:val="00A91765"/>
    <w:rsid w:val="00A91A50"/>
    <w:rsid w:val="00A921C1"/>
    <w:rsid w:val="00A9412B"/>
    <w:rsid w:val="00A946D6"/>
    <w:rsid w:val="00A97066"/>
    <w:rsid w:val="00A977DD"/>
    <w:rsid w:val="00AA118E"/>
    <w:rsid w:val="00AA190B"/>
    <w:rsid w:val="00AA3216"/>
    <w:rsid w:val="00AA332C"/>
    <w:rsid w:val="00AA51D3"/>
    <w:rsid w:val="00AA6725"/>
    <w:rsid w:val="00AA68EC"/>
    <w:rsid w:val="00AB388E"/>
    <w:rsid w:val="00AB5893"/>
    <w:rsid w:val="00AB708C"/>
    <w:rsid w:val="00AC164A"/>
    <w:rsid w:val="00AC16A6"/>
    <w:rsid w:val="00AC4BB9"/>
    <w:rsid w:val="00AC5C34"/>
    <w:rsid w:val="00AC7168"/>
    <w:rsid w:val="00AD2F01"/>
    <w:rsid w:val="00AD4099"/>
    <w:rsid w:val="00AD5EA7"/>
    <w:rsid w:val="00AD6BBE"/>
    <w:rsid w:val="00AD70AC"/>
    <w:rsid w:val="00AD7B5E"/>
    <w:rsid w:val="00AE05EA"/>
    <w:rsid w:val="00AE1405"/>
    <w:rsid w:val="00AE2C64"/>
    <w:rsid w:val="00AE4E52"/>
    <w:rsid w:val="00AE6691"/>
    <w:rsid w:val="00AE68F9"/>
    <w:rsid w:val="00AF0BC9"/>
    <w:rsid w:val="00AF2050"/>
    <w:rsid w:val="00AF5048"/>
    <w:rsid w:val="00AF5F37"/>
    <w:rsid w:val="00AF5FB9"/>
    <w:rsid w:val="00AF6363"/>
    <w:rsid w:val="00AF6D5E"/>
    <w:rsid w:val="00B03C2D"/>
    <w:rsid w:val="00B03CA8"/>
    <w:rsid w:val="00B04472"/>
    <w:rsid w:val="00B05D3A"/>
    <w:rsid w:val="00B06019"/>
    <w:rsid w:val="00B101AF"/>
    <w:rsid w:val="00B107FD"/>
    <w:rsid w:val="00B11453"/>
    <w:rsid w:val="00B1188E"/>
    <w:rsid w:val="00B123CC"/>
    <w:rsid w:val="00B130F4"/>
    <w:rsid w:val="00B15637"/>
    <w:rsid w:val="00B158B7"/>
    <w:rsid w:val="00B15C1E"/>
    <w:rsid w:val="00B20992"/>
    <w:rsid w:val="00B20D99"/>
    <w:rsid w:val="00B24679"/>
    <w:rsid w:val="00B26E6A"/>
    <w:rsid w:val="00B27729"/>
    <w:rsid w:val="00B3128D"/>
    <w:rsid w:val="00B31DA9"/>
    <w:rsid w:val="00B31FD2"/>
    <w:rsid w:val="00B339CD"/>
    <w:rsid w:val="00B34059"/>
    <w:rsid w:val="00B341FA"/>
    <w:rsid w:val="00B35297"/>
    <w:rsid w:val="00B35BAA"/>
    <w:rsid w:val="00B36966"/>
    <w:rsid w:val="00B3752D"/>
    <w:rsid w:val="00B40037"/>
    <w:rsid w:val="00B41679"/>
    <w:rsid w:val="00B5041C"/>
    <w:rsid w:val="00B50F7A"/>
    <w:rsid w:val="00B542DB"/>
    <w:rsid w:val="00B55E19"/>
    <w:rsid w:val="00B56805"/>
    <w:rsid w:val="00B621D1"/>
    <w:rsid w:val="00B623F0"/>
    <w:rsid w:val="00B63F87"/>
    <w:rsid w:val="00B64876"/>
    <w:rsid w:val="00B64CA9"/>
    <w:rsid w:val="00B66F71"/>
    <w:rsid w:val="00B677B5"/>
    <w:rsid w:val="00B7088B"/>
    <w:rsid w:val="00B72AE7"/>
    <w:rsid w:val="00B7333E"/>
    <w:rsid w:val="00B736D5"/>
    <w:rsid w:val="00B741E0"/>
    <w:rsid w:val="00B77F6D"/>
    <w:rsid w:val="00B82642"/>
    <w:rsid w:val="00B851FD"/>
    <w:rsid w:val="00B85DA4"/>
    <w:rsid w:val="00B86B39"/>
    <w:rsid w:val="00B87C46"/>
    <w:rsid w:val="00B92E1E"/>
    <w:rsid w:val="00B95D69"/>
    <w:rsid w:val="00B96710"/>
    <w:rsid w:val="00BA0C38"/>
    <w:rsid w:val="00BA25CC"/>
    <w:rsid w:val="00BA4B6D"/>
    <w:rsid w:val="00BA564D"/>
    <w:rsid w:val="00BA6201"/>
    <w:rsid w:val="00BA625A"/>
    <w:rsid w:val="00BA7555"/>
    <w:rsid w:val="00BB19CD"/>
    <w:rsid w:val="00BB1B0F"/>
    <w:rsid w:val="00BB26C5"/>
    <w:rsid w:val="00BB2CFB"/>
    <w:rsid w:val="00BB3096"/>
    <w:rsid w:val="00BB40A1"/>
    <w:rsid w:val="00BB48EA"/>
    <w:rsid w:val="00BB584F"/>
    <w:rsid w:val="00BB5B09"/>
    <w:rsid w:val="00BC080A"/>
    <w:rsid w:val="00BC0AB7"/>
    <w:rsid w:val="00BC0EA8"/>
    <w:rsid w:val="00BC1764"/>
    <w:rsid w:val="00BC1BAD"/>
    <w:rsid w:val="00BD1F37"/>
    <w:rsid w:val="00BD2229"/>
    <w:rsid w:val="00BD3A31"/>
    <w:rsid w:val="00BD47B6"/>
    <w:rsid w:val="00BD4A6D"/>
    <w:rsid w:val="00BD6A8C"/>
    <w:rsid w:val="00BE0891"/>
    <w:rsid w:val="00BE147A"/>
    <w:rsid w:val="00BE1C58"/>
    <w:rsid w:val="00BE22C6"/>
    <w:rsid w:val="00BE38BF"/>
    <w:rsid w:val="00BE466F"/>
    <w:rsid w:val="00BF0F9D"/>
    <w:rsid w:val="00BF14D0"/>
    <w:rsid w:val="00BF29D2"/>
    <w:rsid w:val="00BF3A17"/>
    <w:rsid w:val="00BF3ABD"/>
    <w:rsid w:val="00BF3CAF"/>
    <w:rsid w:val="00BF4DE6"/>
    <w:rsid w:val="00BF5293"/>
    <w:rsid w:val="00BF5748"/>
    <w:rsid w:val="00BF61AD"/>
    <w:rsid w:val="00BF77DF"/>
    <w:rsid w:val="00C00C98"/>
    <w:rsid w:val="00C0342B"/>
    <w:rsid w:val="00C03F22"/>
    <w:rsid w:val="00C03FA5"/>
    <w:rsid w:val="00C04CAA"/>
    <w:rsid w:val="00C06279"/>
    <w:rsid w:val="00C0627A"/>
    <w:rsid w:val="00C070FE"/>
    <w:rsid w:val="00C071C3"/>
    <w:rsid w:val="00C07B4D"/>
    <w:rsid w:val="00C1099A"/>
    <w:rsid w:val="00C12C35"/>
    <w:rsid w:val="00C16478"/>
    <w:rsid w:val="00C21D7D"/>
    <w:rsid w:val="00C2308C"/>
    <w:rsid w:val="00C24FAB"/>
    <w:rsid w:val="00C26635"/>
    <w:rsid w:val="00C310B2"/>
    <w:rsid w:val="00C3379E"/>
    <w:rsid w:val="00C34D36"/>
    <w:rsid w:val="00C3731C"/>
    <w:rsid w:val="00C40785"/>
    <w:rsid w:val="00C40804"/>
    <w:rsid w:val="00C42CDE"/>
    <w:rsid w:val="00C436A4"/>
    <w:rsid w:val="00C43CE8"/>
    <w:rsid w:val="00C444AA"/>
    <w:rsid w:val="00C44E4B"/>
    <w:rsid w:val="00C46570"/>
    <w:rsid w:val="00C50A19"/>
    <w:rsid w:val="00C5169F"/>
    <w:rsid w:val="00C519F8"/>
    <w:rsid w:val="00C525AA"/>
    <w:rsid w:val="00C52CB0"/>
    <w:rsid w:val="00C55456"/>
    <w:rsid w:val="00C5625C"/>
    <w:rsid w:val="00C572AE"/>
    <w:rsid w:val="00C61A32"/>
    <w:rsid w:val="00C61BB8"/>
    <w:rsid w:val="00C638BE"/>
    <w:rsid w:val="00C63EBD"/>
    <w:rsid w:val="00C63EE9"/>
    <w:rsid w:val="00C65D99"/>
    <w:rsid w:val="00C667D2"/>
    <w:rsid w:val="00C67017"/>
    <w:rsid w:val="00C71722"/>
    <w:rsid w:val="00C73E86"/>
    <w:rsid w:val="00C7463B"/>
    <w:rsid w:val="00C74849"/>
    <w:rsid w:val="00C850BC"/>
    <w:rsid w:val="00C86007"/>
    <w:rsid w:val="00C867C5"/>
    <w:rsid w:val="00C875E6"/>
    <w:rsid w:val="00C87DEB"/>
    <w:rsid w:val="00C9077F"/>
    <w:rsid w:val="00C910FB"/>
    <w:rsid w:val="00C92AB5"/>
    <w:rsid w:val="00C92C41"/>
    <w:rsid w:val="00C940EA"/>
    <w:rsid w:val="00C940FD"/>
    <w:rsid w:val="00C95B5E"/>
    <w:rsid w:val="00C97F54"/>
    <w:rsid w:val="00CA37B1"/>
    <w:rsid w:val="00CA617F"/>
    <w:rsid w:val="00CA6989"/>
    <w:rsid w:val="00CA6EC9"/>
    <w:rsid w:val="00CA727C"/>
    <w:rsid w:val="00CB013A"/>
    <w:rsid w:val="00CB0237"/>
    <w:rsid w:val="00CB1959"/>
    <w:rsid w:val="00CB1B48"/>
    <w:rsid w:val="00CB42C2"/>
    <w:rsid w:val="00CB57AE"/>
    <w:rsid w:val="00CC2952"/>
    <w:rsid w:val="00CC431B"/>
    <w:rsid w:val="00CC48DA"/>
    <w:rsid w:val="00CC71BF"/>
    <w:rsid w:val="00CC78B0"/>
    <w:rsid w:val="00CC79A6"/>
    <w:rsid w:val="00CD086F"/>
    <w:rsid w:val="00CD0E4C"/>
    <w:rsid w:val="00CD2F34"/>
    <w:rsid w:val="00CD3BFE"/>
    <w:rsid w:val="00CD4B18"/>
    <w:rsid w:val="00CD4E0D"/>
    <w:rsid w:val="00CD5E22"/>
    <w:rsid w:val="00CD65AE"/>
    <w:rsid w:val="00CD6E72"/>
    <w:rsid w:val="00CE32D9"/>
    <w:rsid w:val="00CE344E"/>
    <w:rsid w:val="00CE43AB"/>
    <w:rsid w:val="00CF13A6"/>
    <w:rsid w:val="00CF17FF"/>
    <w:rsid w:val="00CF1B0C"/>
    <w:rsid w:val="00CF4479"/>
    <w:rsid w:val="00CF717F"/>
    <w:rsid w:val="00CF783D"/>
    <w:rsid w:val="00CF7CD7"/>
    <w:rsid w:val="00D005B5"/>
    <w:rsid w:val="00D01698"/>
    <w:rsid w:val="00D01799"/>
    <w:rsid w:val="00D0296C"/>
    <w:rsid w:val="00D02F13"/>
    <w:rsid w:val="00D06D50"/>
    <w:rsid w:val="00D10572"/>
    <w:rsid w:val="00D10A24"/>
    <w:rsid w:val="00D1124D"/>
    <w:rsid w:val="00D11A93"/>
    <w:rsid w:val="00D147FC"/>
    <w:rsid w:val="00D156B6"/>
    <w:rsid w:val="00D16B2A"/>
    <w:rsid w:val="00D17414"/>
    <w:rsid w:val="00D17E7D"/>
    <w:rsid w:val="00D203EB"/>
    <w:rsid w:val="00D2227F"/>
    <w:rsid w:val="00D22BBE"/>
    <w:rsid w:val="00D23173"/>
    <w:rsid w:val="00D24FD6"/>
    <w:rsid w:val="00D26067"/>
    <w:rsid w:val="00D26094"/>
    <w:rsid w:val="00D27D2C"/>
    <w:rsid w:val="00D30C48"/>
    <w:rsid w:val="00D30ECF"/>
    <w:rsid w:val="00D3287B"/>
    <w:rsid w:val="00D35E4A"/>
    <w:rsid w:val="00D362A5"/>
    <w:rsid w:val="00D36B5E"/>
    <w:rsid w:val="00D403E6"/>
    <w:rsid w:val="00D40C15"/>
    <w:rsid w:val="00D40EA9"/>
    <w:rsid w:val="00D40F31"/>
    <w:rsid w:val="00D4209C"/>
    <w:rsid w:val="00D431B1"/>
    <w:rsid w:val="00D44E49"/>
    <w:rsid w:val="00D47471"/>
    <w:rsid w:val="00D475E9"/>
    <w:rsid w:val="00D47BFD"/>
    <w:rsid w:val="00D500E9"/>
    <w:rsid w:val="00D523BA"/>
    <w:rsid w:val="00D536F5"/>
    <w:rsid w:val="00D538EA"/>
    <w:rsid w:val="00D54E27"/>
    <w:rsid w:val="00D572E6"/>
    <w:rsid w:val="00D57616"/>
    <w:rsid w:val="00D60543"/>
    <w:rsid w:val="00D61036"/>
    <w:rsid w:val="00D61A80"/>
    <w:rsid w:val="00D644A7"/>
    <w:rsid w:val="00D646B9"/>
    <w:rsid w:val="00D6573E"/>
    <w:rsid w:val="00D65B80"/>
    <w:rsid w:val="00D668F4"/>
    <w:rsid w:val="00D66BC4"/>
    <w:rsid w:val="00D678F8"/>
    <w:rsid w:val="00D71889"/>
    <w:rsid w:val="00D71E96"/>
    <w:rsid w:val="00D80AE3"/>
    <w:rsid w:val="00D8715F"/>
    <w:rsid w:val="00D9185B"/>
    <w:rsid w:val="00D97452"/>
    <w:rsid w:val="00DA0CBE"/>
    <w:rsid w:val="00DA1984"/>
    <w:rsid w:val="00DA6319"/>
    <w:rsid w:val="00DB20D1"/>
    <w:rsid w:val="00DB4286"/>
    <w:rsid w:val="00DB4E68"/>
    <w:rsid w:val="00DB58FB"/>
    <w:rsid w:val="00DB7EE0"/>
    <w:rsid w:val="00DC0FD2"/>
    <w:rsid w:val="00DC2861"/>
    <w:rsid w:val="00DC2BD0"/>
    <w:rsid w:val="00DC4AC9"/>
    <w:rsid w:val="00DC4FE2"/>
    <w:rsid w:val="00DC70E0"/>
    <w:rsid w:val="00DD5FCA"/>
    <w:rsid w:val="00DD6165"/>
    <w:rsid w:val="00DD6A48"/>
    <w:rsid w:val="00DE00F1"/>
    <w:rsid w:val="00DE062A"/>
    <w:rsid w:val="00DE2A07"/>
    <w:rsid w:val="00DE33F0"/>
    <w:rsid w:val="00DE69E2"/>
    <w:rsid w:val="00DE7F73"/>
    <w:rsid w:val="00DF00B0"/>
    <w:rsid w:val="00DF1327"/>
    <w:rsid w:val="00DF21B9"/>
    <w:rsid w:val="00DF5406"/>
    <w:rsid w:val="00DF6016"/>
    <w:rsid w:val="00E026C6"/>
    <w:rsid w:val="00E027CF"/>
    <w:rsid w:val="00E03D6C"/>
    <w:rsid w:val="00E06C04"/>
    <w:rsid w:val="00E12632"/>
    <w:rsid w:val="00E12D7E"/>
    <w:rsid w:val="00E14121"/>
    <w:rsid w:val="00E145CE"/>
    <w:rsid w:val="00E1590C"/>
    <w:rsid w:val="00E16264"/>
    <w:rsid w:val="00E17EC4"/>
    <w:rsid w:val="00E246D6"/>
    <w:rsid w:val="00E2579D"/>
    <w:rsid w:val="00E2751D"/>
    <w:rsid w:val="00E279A2"/>
    <w:rsid w:val="00E27C7B"/>
    <w:rsid w:val="00E30264"/>
    <w:rsid w:val="00E30C08"/>
    <w:rsid w:val="00E317EB"/>
    <w:rsid w:val="00E31C80"/>
    <w:rsid w:val="00E3201A"/>
    <w:rsid w:val="00E33FD4"/>
    <w:rsid w:val="00E343AD"/>
    <w:rsid w:val="00E357B7"/>
    <w:rsid w:val="00E35809"/>
    <w:rsid w:val="00E377D5"/>
    <w:rsid w:val="00E406A3"/>
    <w:rsid w:val="00E40B60"/>
    <w:rsid w:val="00E431DD"/>
    <w:rsid w:val="00E44A5C"/>
    <w:rsid w:val="00E4558F"/>
    <w:rsid w:val="00E47656"/>
    <w:rsid w:val="00E50665"/>
    <w:rsid w:val="00E51AA7"/>
    <w:rsid w:val="00E536C3"/>
    <w:rsid w:val="00E53800"/>
    <w:rsid w:val="00E57170"/>
    <w:rsid w:val="00E604FA"/>
    <w:rsid w:val="00E6081F"/>
    <w:rsid w:val="00E60D7A"/>
    <w:rsid w:val="00E63805"/>
    <w:rsid w:val="00E658B7"/>
    <w:rsid w:val="00E6753E"/>
    <w:rsid w:val="00E70612"/>
    <w:rsid w:val="00E71ABA"/>
    <w:rsid w:val="00E725E6"/>
    <w:rsid w:val="00E743D5"/>
    <w:rsid w:val="00E75B6F"/>
    <w:rsid w:val="00E760B9"/>
    <w:rsid w:val="00E76EE0"/>
    <w:rsid w:val="00E76F59"/>
    <w:rsid w:val="00E7712A"/>
    <w:rsid w:val="00E82491"/>
    <w:rsid w:val="00E839A4"/>
    <w:rsid w:val="00E85C6C"/>
    <w:rsid w:val="00E85F7D"/>
    <w:rsid w:val="00E90743"/>
    <w:rsid w:val="00E911B4"/>
    <w:rsid w:val="00E93DCE"/>
    <w:rsid w:val="00E959B5"/>
    <w:rsid w:val="00E95F3D"/>
    <w:rsid w:val="00E96ED5"/>
    <w:rsid w:val="00EA04B2"/>
    <w:rsid w:val="00EA0AE5"/>
    <w:rsid w:val="00EA0BCE"/>
    <w:rsid w:val="00EA0F93"/>
    <w:rsid w:val="00EA1F1C"/>
    <w:rsid w:val="00EA20F3"/>
    <w:rsid w:val="00EA5412"/>
    <w:rsid w:val="00EB1EA7"/>
    <w:rsid w:val="00EB353C"/>
    <w:rsid w:val="00EB380B"/>
    <w:rsid w:val="00EB4F14"/>
    <w:rsid w:val="00EB58B3"/>
    <w:rsid w:val="00EB5E6E"/>
    <w:rsid w:val="00EB6E22"/>
    <w:rsid w:val="00EB7292"/>
    <w:rsid w:val="00EC0EE3"/>
    <w:rsid w:val="00EC1855"/>
    <w:rsid w:val="00EC1EA0"/>
    <w:rsid w:val="00EC4189"/>
    <w:rsid w:val="00EC5AB8"/>
    <w:rsid w:val="00EC5EF8"/>
    <w:rsid w:val="00EC62AA"/>
    <w:rsid w:val="00ED071A"/>
    <w:rsid w:val="00ED08AA"/>
    <w:rsid w:val="00ED0AAD"/>
    <w:rsid w:val="00ED152B"/>
    <w:rsid w:val="00ED1AD4"/>
    <w:rsid w:val="00ED24B2"/>
    <w:rsid w:val="00ED29FA"/>
    <w:rsid w:val="00ED2CE6"/>
    <w:rsid w:val="00ED43D1"/>
    <w:rsid w:val="00EE170B"/>
    <w:rsid w:val="00EE1C75"/>
    <w:rsid w:val="00EE3D37"/>
    <w:rsid w:val="00EE4EE1"/>
    <w:rsid w:val="00EE54C7"/>
    <w:rsid w:val="00EE5985"/>
    <w:rsid w:val="00EF03ED"/>
    <w:rsid w:val="00EF23EA"/>
    <w:rsid w:val="00EF3E0B"/>
    <w:rsid w:val="00EF3F3D"/>
    <w:rsid w:val="00EF4574"/>
    <w:rsid w:val="00EF53AF"/>
    <w:rsid w:val="00EF7C75"/>
    <w:rsid w:val="00F02697"/>
    <w:rsid w:val="00F04345"/>
    <w:rsid w:val="00F07C2C"/>
    <w:rsid w:val="00F117DF"/>
    <w:rsid w:val="00F12449"/>
    <w:rsid w:val="00F14AF8"/>
    <w:rsid w:val="00F158D5"/>
    <w:rsid w:val="00F15E1C"/>
    <w:rsid w:val="00F1611E"/>
    <w:rsid w:val="00F16EBD"/>
    <w:rsid w:val="00F17791"/>
    <w:rsid w:val="00F20DE0"/>
    <w:rsid w:val="00F20E5E"/>
    <w:rsid w:val="00F2242B"/>
    <w:rsid w:val="00F24071"/>
    <w:rsid w:val="00F24A06"/>
    <w:rsid w:val="00F2609A"/>
    <w:rsid w:val="00F2684E"/>
    <w:rsid w:val="00F273E3"/>
    <w:rsid w:val="00F309B9"/>
    <w:rsid w:val="00F30F34"/>
    <w:rsid w:val="00F31E5D"/>
    <w:rsid w:val="00F324EE"/>
    <w:rsid w:val="00F334B3"/>
    <w:rsid w:val="00F3376C"/>
    <w:rsid w:val="00F347D5"/>
    <w:rsid w:val="00F377DE"/>
    <w:rsid w:val="00F37B9C"/>
    <w:rsid w:val="00F414E9"/>
    <w:rsid w:val="00F424E6"/>
    <w:rsid w:val="00F43237"/>
    <w:rsid w:val="00F43A8F"/>
    <w:rsid w:val="00F463E2"/>
    <w:rsid w:val="00F46F73"/>
    <w:rsid w:val="00F4791C"/>
    <w:rsid w:val="00F50B73"/>
    <w:rsid w:val="00F52AA3"/>
    <w:rsid w:val="00F5378C"/>
    <w:rsid w:val="00F5404C"/>
    <w:rsid w:val="00F54996"/>
    <w:rsid w:val="00F54AF5"/>
    <w:rsid w:val="00F56721"/>
    <w:rsid w:val="00F56EEA"/>
    <w:rsid w:val="00F605D3"/>
    <w:rsid w:val="00F60731"/>
    <w:rsid w:val="00F6098C"/>
    <w:rsid w:val="00F6188F"/>
    <w:rsid w:val="00F61A9A"/>
    <w:rsid w:val="00F63911"/>
    <w:rsid w:val="00F65784"/>
    <w:rsid w:val="00F66138"/>
    <w:rsid w:val="00F67C3C"/>
    <w:rsid w:val="00F7282C"/>
    <w:rsid w:val="00F729EF"/>
    <w:rsid w:val="00F7618B"/>
    <w:rsid w:val="00F767A5"/>
    <w:rsid w:val="00F77CAE"/>
    <w:rsid w:val="00F831B2"/>
    <w:rsid w:val="00F865BC"/>
    <w:rsid w:val="00F86D6C"/>
    <w:rsid w:val="00F87AEB"/>
    <w:rsid w:val="00F87C02"/>
    <w:rsid w:val="00F9087D"/>
    <w:rsid w:val="00F90EF6"/>
    <w:rsid w:val="00F914F0"/>
    <w:rsid w:val="00F926FE"/>
    <w:rsid w:val="00F958AE"/>
    <w:rsid w:val="00F96BB9"/>
    <w:rsid w:val="00F97522"/>
    <w:rsid w:val="00FA13CC"/>
    <w:rsid w:val="00FA2A22"/>
    <w:rsid w:val="00FA2BA1"/>
    <w:rsid w:val="00FA37E8"/>
    <w:rsid w:val="00FA464E"/>
    <w:rsid w:val="00FA552E"/>
    <w:rsid w:val="00FA576C"/>
    <w:rsid w:val="00FA6261"/>
    <w:rsid w:val="00FA6562"/>
    <w:rsid w:val="00FA7CEB"/>
    <w:rsid w:val="00FB13ED"/>
    <w:rsid w:val="00FB7658"/>
    <w:rsid w:val="00FC160A"/>
    <w:rsid w:val="00FC2143"/>
    <w:rsid w:val="00FC2A1E"/>
    <w:rsid w:val="00FC3E6C"/>
    <w:rsid w:val="00FC5432"/>
    <w:rsid w:val="00FC750D"/>
    <w:rsid w:val="00FC7B75"/>
    <w:rsid w:val="00FD1DF4"/>
    <w:rsid w:val="00FD22B7"/>
    <w:rsid w:val="00FD2376"/>
    <w:rsid w:val="00FD2A2A"/>
    <w:rsid w:val="00FD5BB3"/>
    <w:rsid w:val="00FD708C"/>
    <w:rsid w:val="00FD7B22"/>
    <w:rsid w:val="00FE317C"/>
    <w:rsid w:val="00FE32BC"/>
    <w:rsid w:val="00FE4CFC"/>
    <w:rsid w:val="00FE513B"/>
    <w:rsid w:val="00FE6944"/>
    <w:rsid w:val="00FE6D51"/>
    <w:rsid w:val="00FE7052"/>
    <w:rsid w:val="00FF2C8E"/>
    <w:rsid w:val="00FF56A0"/>
    <w:rsid w:val="00FF5B86"/>
    <w:rsid w:val="00FF6C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54C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E062A"/>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486CD9"/>
    <w:pPr>
      <w:spacing w:line="200" w:lineRule="atLeast"/>
      <w:outlineLvl w:val="4"/>
    </w:pPr>
    <w:rPr>
      <w:b/>
      <w:sz w:val="22"/>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486CD9"/>
    <w:pPr>
      <w:numPr>
        <w:numId w:val="35"/>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486CD9"/>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486CD9"/>
    <w:pPr>
      <w:spacing w:before="400" w:after="400" w:line="280" w:lineRule="exact"/>
    </w:pPr>
    <w:rPr>
      <w:b/>
      <w:color w:val="ACD08C" w:themeColor="accent2"/>
      <w:sz w:val="28"/>
    </w:rPr>
  </w:style>
  <w:style w:type="table" w:styleId="TableGrid">
    <w:name w:val="Table Grid"/>
    <w:basedOn w:val="TableNormal"/>
    <w:uiPriority w:val="3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486CD9"/>
    <w:rPr>
      <w:rFonts w:asciiTheme="majorHAnsi" w:eastAsiaTheme="majorEastAsia" w:hAnsiTheme="majorHAnsi" w:cstheme="majorBidi"/>
      <w:b/>
      <w:bCs/>
      <w:iCs/>
      <w:color w:val="495965" w:themeColor="text2"/>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32"/>
      </w:numPr>
      <w:ind w:left="454" w:hanging="170"/>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UnresolvedMention">
    <w:name w:val="Unresolved Mention"/>
    <w:basedOn w:val="DefaultParagraphFont"/>
    <w:uiPriority w:val="99"/>
    <w:semiHidden/>
    <w:unhideWhenUsed/>
    <w:rsid w:val="004C7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612693">
      <w:bodyDiv w:val="1"/>
      <w:marLeft w:val="0"/>
      <w:marRight w:val="0"/>
      <w:marTop w:val="0"/>
      <w:marBottom w:val="0"/>
      <w:divBdr>
        <w:top w:val="none" w:sz="0" w:space="0" w:color="auto"/>
        <w:left w:val="none" w:sz="0" w:space="0" w:color="auto"/>
        <w:bottom w:val="none" w:sz="0" w:space="0" w:color="auto"/>
        <w:right w:val="none" w:sz="0" w:space="0" w:color="auto"/>
      </w:divBdr>
    </w:div>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1672414231">
      <w:bodyDiv w:val="1"/>
      <w:marLeft w:val="0"/>
      <w:marRight w:val="0"/>
      <w:marTop w:val="0"/>
      <w:marBottom w:val="0"/>
      <w:divBdr>
        <w:top w:val="none" w:sz="0" w:space="0" w:color="auto"/>
        <w:left w:val="none" w:sz="0" w:space="0" w:color="auto"/>
        <w:bottom w:val="none" w:sz="0" w:space="0" w:color="auto"/>
        <w:right w:val="none" w:sz="0" w:space="0" w:color="auto"/>
      </w:divBdr>
    </w:div>
    <w:div w:id="1740977452">
      <w:bodyDiv w:val="1"/>
      <w:marLeft w:val="0"/>
      <w:marRight w:val="0"/>
      <w:marTop w:val="0"/>
      <w:marBottom w:val="0"/>
      <w:divBdr>
        <w:top w:val="none" w:sz="0" w:space="0" w:color="auto"/>
        <w:left w:val="none" w:sz="0" w:space="0" w:color="auto"/>
        <w:bottom w:val="none" w:sz="0" w:space="0" w:color="auto"/>
        <w:right w:val="none" w:sz="0" w:space="0" w:color="auto"/>
      </w:divBdr>
    </w:div>
    <w:div w:id="1827044150">
      <w:bodyDiv w:val="1"/>
      <w:marLeft w:val="0"/>
      <w:marRight w:val="0"/>
      <w:marTop w:val="0"/>
      <w:marBottom w:val="0"/>
      <w:divBdr>
        <w:top w:val="none" w:sz="0" w:space="0" w:color="auto"/>
        <w:left w:val="none" w:sz="0" w:space="0" w:color="auto"/>
        <w:bottom w:val="none" w:sz="0" w:space="0" w:color="auto"/>
        <w:right w:val="none" w:sz="0" w:space="0" w:color="auto"/>
      </w:divBdr>
    </w:div>
    <w:div w:id="19636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www.dfat.gov.au/international-relations/security/asno/annual-repor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dfat.gov.au/international-relations/security/asno/Pages/template-permits-and-compliance-codes" TargetMode="External"/><Relationship Id="rId2" Type="http://schemas.openxmlformats.org/officeDocument/2006/relationships/hyperlink" Target="https://www.dfat.gov.au/about-us/corporate/deregulation" TargetMode="External"/><Relationship Id="rId1" Type="http://schemas.openxmlformats.org/officeDocument/2006/relationships/hyperlink" Target="https://www.dfat.gov.au/international-relations/security/non-proliferation-disarmament-arms-control/policies-agreements-treaties/Pages/comprehensive-nuclear-test-ban-treaty" TargetMode="External"/><Relationship Id="rId6" Type="http://schemas.openxmlformats.org/officeDocument/2006/relationships/hyperlink" Target="https://ablis.business.gov.au/" TargetMode="External"/><Relationship Id="rId5" Type="http://schemas.openxmlformats.org/officeDocument/2006/relationships/hyperlink" Target="https://deregulation.pmc.gov.au/priorities/regulator-best-practice-and-performance/regulator-performance-guide" TargetMode="External"/><Relationship Id="rId4" Type="http://schemas.openxmlformats.org/officeDocument/2006/relationships/hyperlink" Target="https://www.dfat.gov.au/publications/international-relations/asno-annual-report-2019-20/report/html/section-6-2.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857E-DA85-4043-97EC-2EC769C6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5143</Words>
  <Characters>29997</Characters>
  <Application>Microsoft Office Word</Application>
  <DocSecurity>0</DocSecurity>
  <Lines>466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Safeguards And Non-Proliferation Office Regulator Performance Framework Self-Assessment Report 2020 – 2021</dc:title>
  <dc:subject/>
  <dc:creator/>
  <cp:keywords/>
  <cp:lastModifiedBy/>
  <cp:revision>1</cp:revision>
  <dcterms:created xsi:type="dcterms:W3CDTF">2021-12-21T05:40:00Z</dcterms:created>
  <dcterms:modified xsi:type="dcterms:W3CDTF">2021-12-21T05:41:00Z</dcterms:modified>
  <cp:category/>
  <cp:contentStatus/>
</cp:coreProperties>
</file>