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commentsIds.xml" ContentType="application/vnd.openxmlformats-officedocument.wordprocessingml.commentsId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8954A" w14:textId="0B2F441D" w:rsidR="006232A0" w:rsidRPr="006232A0" w:rsidRDefault="006232A0" w:rsidP="006232A0">
      <w:pPr>
        <w:rPr>
          <w:b/>
          <w:sz w:val="28"/>
          <w:szCs w:val="28"/>
        </w:rPr>
      </w:pPr>
      <w:bookmarkStart w:id="0" w:name="_GoBack"/>
      <w:bookmarkEnd w:id="0"/>
      <w:r w:rsidRPr="006232A0">
        <w:rPr>
          <w:b/>
          <w:sz w:val="28"/>
          <w:szCs w:val="28"/>
        </w:rPr>
        <w:t>Independent Evaluation of the Australian Red Cross Partnership 2015-2018</w:t>
      </w:r>
    </w:p>
    <w:p w14:paraId="12E8D026" w14:textId="758581FC" w:rsidR="006232A0" w:rsidRPr="006232A0" w:rsidRDefault="006232A0" w:rsidP="006232A0">
      <w:pPr>
        <w:rPr>
          <w:b/>
          <w:u w:val="single"/>
        </w:rPr>
      </w:pPr>
      <w:r w:rsidRPr="006232A0">
        <w:rPr>
          <w:b/>
          <w:u w:val="single"/>
        </w:rPr>
        <w:t xml:space="preserve">Evaluation Summary </w:t>
      </w:r>
    </w:p>
    <w:p w14:paraId="70ABCEAC" w14:textId="0373CA78" w:rsidR="006232A0" w:rsidRDefault="006232A0" w:rsidP="006232A0">
      <w:pPr>
        <w:pStyle w:val="BodyText"/>
        <w:spacing w:before="0"/>
        <w:jc w:val="both"/>
        <w:rPr>
          <w:rFonts w:asciiTheme="minorHAnsi" w:eastAsiaTheme="minorHAnsi" w:hAnsiTheme="minorHAnsi" w:cstheme="minorBidi"/>
          <w:b w:val="0"/>
          <w:color w:val="auto"/>
          <w:sz w:val="22"/>
          <w:szCs w:val="22"/>
        </w:rPr>
      </w:pPr>
      <w:r w:rsidRPr="006232A0">
        <w:rPr>
          <w:rFonts w:asciiTheme="minorHAnsi" w:eastAsiaTheme="minorHAnsi" w:hAnsiTheme="minorHAnsi" w:cstheme="minorBidi"/>
          <w:color w:val="auto"/>
          <w:sz w:val="22"/>
          <w:szCs w:val="22"/>
        </w:rPr>
        <w:t>Evaluation Purpose:</w:t>
      </w:r>
      <w:r>
        <w:t xml:space="preserve"> </w:t>
      </w:r>
      <w:r w:rsidRPr="006232A0">
        <w:rPr>
          <w:rFonts w:asciiTheme="minorHAnsi" w:eastAsiaTheme="minorHAnsi" w:hAnsiTheme="minorHAnsi" w:cstheme="minorBidi"/>
          <w:b w:val="0"/>
          <w:color w:val="auto"/>
          <w:sz w:val="22"/>
          <w:szCs w:val="22"/>
        </w:rPr>
        <w:t>The purpose of the evaluation was to address, first, to what extent has the DFAT investment in the A</w:t>
      </w:r>
      <w:r w:rsidR="0067609B">
        <w:rPr>
          <w:rFonts w:asciiTheme="minorHAnsi" w:eastAsiaTheme="minorHAnsi" w:hAnsiTheme="minorHAnsi" w:cstheme="minorBidi"/>
          <w:b w:val="0"/>
          <w:color w:val="auto"/>
          <w:sz w:val="22"/>
          <w:szCs w:val="22"/>
        </w:rPr>
        <w:t>ustralian Red Cross (ARC)</w:t>
      </w:r>
      <w:r w:rsidRPr="006232A0">
        <w:rPr>
          <w:rFonts w:asciiTheme="minorHAnsi" w:eastAsiaTheme="minorHAnsi" w:hAnsiTheme="minorHAnsi" w:cstheme="minorBidi"/>
          <w:b w:val="0"/>
          <w:color w:val="auto"/>
          <w:sz w:val="22"/>
          <w:szCs w:val="22"/>
        </w:rPr>
        <w:t xml:space="preserve"> humanitarian response and preparedness activities contributed to the anticipated results and outcomes during fiscal years 2015 to 2017? Second, to what extent has the DFAT–ARC Partnership demonstrated value added as an aid delivery mechanism and contributed to the anticipated results and outcomes for both partners? And, third, what then are the implications for a new partnership design, recognising ARC’s ability to deliver against DFAT’s Foreign Policy White Paper commitments, DFAT’s Humanitarian Strategy and Australia’s commitments under the Sendai Framework for Disaster Risk Reduction 2015–2030, the Agenda for Humanity and the Grand Bargain?</w:t>
      </w:r>
    </w:p>
    <w:p w14:paraId="1687182D" w14:textId="2D4CA6E8" w:rsidR="006232A0" w:rsidRPr="006232A0" w:rsidRDefault="006232A0" w:rsidP="006232A0">
      <w:pPr>
        <w:pStyle w:val="BodyText"/>
        <w:spacing w:before="0"/>
        <w:jc w:val="both"/>
        <w:rPr>
          <w:rFonts w:asciiTheme="minorHAnsi" w:eastAsiaTheme="minorHAnsi" w:hAnsiTheme="minorHAnsi" w:cstheme="minorBidi"/>
          <w:b w:val="0"/>
          <w:color w:val="auto"/>
          <w:sz w:val="22"/>
          <w:szCs w:val="22"/>
        </w:rPr>
      </w:pPr>
      <w:r w:rsidRPr="006232A0">
        <w:rPr>
          <w:rFonts w:asciiTheme="minorHAnsi" w:eastAsiaTheme="minorHAnsi" w:hAnsiTheme="minorHAnsi" w:cstheme="minorBidi"/>
          <w:color w:val="auto"/>
          <w:sz w:val="22"/>
          <w:szCs w:val="22"/>
        </w:rPr>
        <w:t>Evaluation Completion Date</w:t>
      </w:r>
      <w:r w:rsidRPr="006232A0">
        <w:rPr>
          <w:rFonts w:asciiTheme="minorHAnsi" w:eastAsiaTheme="minorHAnsi" w:hAnsiTheme="minorHAnsi" w:cstheme="minorBidi"/>
          <w:b w:val="0"/>
          <w:color w:val="auto"/>
          <w:sz w:val="22"/>
          <w:szCs w:val="22"/>
        </w:rPr>
        <w:t xml:space="preserve">: 30 November 2018 </w:t>
      </w:r>
    </w:p>
    <w:p w14:paraId="57B72E78" w14:textId="2D6BD86D" w:rsidR="006232A0" w:rsidRDefault="006232A0" w:rsidP="00E929C6">
      <w:r>
        <w:t xml:space="preserve">Evaluation Team: Graeme Storer (Team Leader), Donna Holden </w:t>
      </w:r>
      <w:r w:rsidR="00E929C6" w:rsidRPr="0074437F">
        <w:rPr>
          <w:rFonts w:cstheme="majorHAnsi"/>
          <w:shd w:val="clear" w:color="auto" w:fill="FFFFFF"/>
        </w:rPr>
        <w:t xml:space="preserve">(partnership effectiveness), Isabelle Choutet (independent Vanuatu-based </w:t>
      </w:r>
      <w:r w:rsidR="00E929C6" w:rsidRPr="00B12F97">
        <w:rPr>
          <w:rFonts w:cstheme="majorHAnsi"/>
          <w:shd w:val="clear" w:color="auto" w:fill="FFFFFF"/>
        </w:rPr>
        <w:t xml:space="preserve">disaster risk reduction </w:t>
      </w:r>
      <w:r w:rsidR="00E929C6" w:rsidRPr="0074437F">
        <w:rPr>
          <w:rFonts w:cstheme="majorHAnsi"/>
          <w:shd w:val="clear" w:color="auto" w:fill="FFFFFF"/>
        </w:rPr>
        <w:t>specialist).</w:t>
      </w:r>
    </w:p>
    <w:p w14:paraId="18419A2E" w14:textId="7762BCAA" w:rsidR="0067609B" w:rsidRPr="001A7552" w:rsidRDefault="0067609B" w:rsidP="0067609B">
      <w:pPr>
        <w:rPr>
          <w:b/>
          <w:lang w:eastAsia="en-AU"/>
        </w:rPr>
      </w:pPr>
      <w:r>
        <w:rPr>
          <w:b/>
          <w:lang w:eastAsia="en-AU"/>
        </w:rPr>
        <w:t>Response</w:t>
      </w:r>
      <w:r w:rsidRPr="001A7552">
        <w:rPr>
          <w:b/>
          <w:lang w:eastAsia="en-AU"/>
        </w:rPr>
        <w:t xml:space="preserve"> to the evaluation report</w:t>
      </w:r>
    </w:p>
    <w:p w14:paraId="27C487B7" w14:textId="5E47BAB3" w:rsidR="0067609B" w:rsidRPr="007E287E" w:rsidRDefault="0067609B" w:rsidP="0067609B">
      <w:pPr>
        <w:jc w:val="both"/>
        <w:rPr>
          <w:rFonts w:cs="Arial"/>
        </w:rPr>
      </w:pPr>
      <w:r w:rsidRPr="007E287E">
        <w:rPr>
          <w:rFonts w:cs="Arial"/>
        </w:rPr>
        <w:t xml:space="preserve">The </w:t>
      </w:r>
      <w:r w:rsidR="002B0F07">
        <w:rPr>
          <w:rFonts w:cs="Arial"/>
        </w:rPr>
        <w:t>evaluation</w:t>
      </w:r>
      <w:r w:rsidRPr="007E287E">
        <w:rPr>
          <w:rFonts w:cs="Arial"/>
        </w:rPr>
        <w:t xml:space="preserve"> was jointly managed by DFAT’s </w:t>
      </w:r>
      <w:r>
        <w:rPr>
          <w:rFonts w:cs="Arial"/>
        </w:rPr>
        <w:t>Humanitarian, NGO and Partnerships Division in consultation with the ARC</w:t>
      </w:r>
      <w:r w:rsidRPr="007E287E">
        <w:rPr>
          <w:rFonts w:cs="Arial"/>
        </w:rPr>
        <w:t xml:space="preserve">. DFAT </w:t>
      </w:r>
      <w:r>
        <w:rPr>
          <w:rFonts w:cs="Arial"/>
        </w:rPr>
        <w:t xml:space="preserve">and ARC </w:t>
      </w:r>
      <w:r w:rsidR="00D94A63">
        <w:rPr>
          <w:rFonts w:cs="Arial"/>
        </w:rPr>
        <w:t>consider</w:t>
      </w:r>
      <w:r w:rsidRPr="007E287E">
        <w:rPr>
          <w:rFonts w:cs="Arial"/>
        </w:rPr>
        <w:t xml:space="preserve"> the review to be of a good quality and that it sufficiently addressed the questions in the Terms of Reference (ToR) and subsequent Evaluation Plan.</w:t>
      </w:r>
    </w:p>
    <w:p w14:paraId="39974961" w14:textId="43D45003" w:rsidR="0067609B" w:rsidRPr="00DA7E8A" w:rsidRDefault="0067609B" w:rsidP="0067609B">
      <w:pPr>
        <w:jc w:val="both"/>
        <w:rPr>
          <w:rFonts w:cs="Arial"/>
        </w:rPr>
      </w:pPr>
      <w:r w:rsidRPr="007E287E">
        <w:rPr>
          <w:rFonts w:cs="Arial"/>
        </w:rPr>
        <w:t xml:space="preserve">The recommendations proposed in the review are based on the </w:t>
      </w:r>
      <w:r>
        <w:rPr>
          <w:rFonts w:cs="Arial"/>
        </w:rPr>
        <w:t>evaluations</w:t>
      </w:r>
      <w:r w:rsidRPr="007E287E">
        <w:rPr>
          <w:rFonts w:cs="Arial"/>
        </w:rPr>
        <w:t xml:space="preserve"> consultations, analysis and discussions. They </w:t>
      </w:r>
      <w:r>
        <w:rPr>
          <w:rFonts w:cs="Arial"/>
        </w:rPr>
        <w:t>provide a number of recommendations that have been adopted by DFAT and ARC and will be addressed in the design of a new partnership agreement, beginning in 2019.</w:t>
      </w:r>
    </w:p>
    <w:p w14:paraId="500DF3DE" w14:textId="02AF0AF4" w:rsidR="006232A0" w:rsidRDefault="006232A0">
      <w:r>
        <w:t xml:space="preserve">This management response was </w:t>
      </w:r>
      <w:r w:rsidR="00E929C6">
        <w:t>jointly prepared by DFAT and Australian Red Cross.</w:t>
      </w:r>
    </w:p>
    <w:p w14:paraId="5921A0A7" w14:textId="77777777" w:rsidR="0067609B" w:rsidRDefault="0067609B">
      <w:pPr>
        <w:rPr>
          <w:b/>
          <w:u w:val="single"/>
        </w:rPr>
      </w:pPr>
      <w:r>
        <w:rPr>
          <w:b/>
          <w:u w:val="single"/>
        </w:rPr>
        <w:br w:type="page"/>
      </w:r>
    </w:p>
    <w:p w14:paraId="4FD47EC6" w14:textId="75264B3F" w:rsidR="00126434" w:rsidRPr="00E929C6" w:rsidRDefault="00E929C6">
      <w:pPr>
        <w:rPr>
          <w:b/>
          <w:u w:val="single"/>
        </w:rPr>
      </w:pPr>
      <w:r w:rsidRPr="00E929C6">
        <w:rPr>
          <w:b/>
          <w:u w:val="single"/>
        </w:rPr>
        <w:lastRenderedPageBreak/>
        <w:t>Response to recommendations</w:t>
      </w:r>
    </w:p>
    <w:tbl>
      <w:tblPr>
        <w:tblStyle w:val="TableGrid"/>
        <w:tblW w:w="0" w:type="auto"/>
        <w:jc w:val="center"/>
        <w:tblLook w:val="04A0" w:firstRow="1" w:lastRow="0" w:firstColumn="1" w:lastColumn="0" w:noHBand="0" w:noVBand="1"/>
      </w:tblPr>
      <w:tblGrid>
        <w:gridCol w:w="4390"/>
        <w:gridCol w:w="1417"/>
        <w:gridCol w:w="3402"/>
        <w:gridCol w:w="2835"/>
        <w:gridCol w:w="1843"/>
      </w:tblGrid>
      <w:tr w:rsidR="003956EC" w14:paraId="62688392" w14:textId="77777777" w:rsidTr="003956EC">
        <w:trPr>
          <w:jc w:val="center"/>
        </w:trPr>
        <w:tc>
          <w:tcPr>
            <w:tcW w:w="4390" w:type="dxa"/>
            <w:shd w:val="clear" w:color="auto" w:fill="C45911" w:themeFill="accent2" w:themeFillShade="BF"/>
          </w:tcPr>
          <w:p w14:paraId="53BFE669" w14:textId="77777777" w:rsidR="003956EC" w:rsidRPr="000D63AD" w:rsidRDefault="003956EC" w:rsidP="006A347A">
            <w:pPr>
              <w:pStyle w:val="TableHeaderRow"/>
              <w:spacing w:before="240" w:after="240"/>
            </w:pPr>
            <w:r w:rsidRPr="000D63AD">
              <w:t>Recommendation</w:t>
            </w:r>
          </w:p>
        </w:tc>
        <w:tc>
          <w:tcPr>
            <w:tcW w:w="1417" w:type="dxa"/>
            <w:shd w:val="clear" w:color="auto" w:fill="C45911" w:themeFill="accent2" w:themeFillShade="BF"/>
          </w:tcPr>
          <w:p w14:paraId="03F72BC8" w14:textId="77777777" w:rsidR="003956EC" w:rsidRPr="000D63AD" w:rsidRDefault="003956EC" w:rsidP="006A347A">
            <w:pPr>
              <w:pStyle w:val="TableHeaderRow"/>
              <w:spacing w:before="240" w:after="240"/>
            </w:pPr>
            <w:r>
              <w:t xml:space="preserve">Response </w:t>
            </w:r>
          </w:p>
        </w:tc>
        <w:tc>
          <w:tcPr>
            <w:tcW w:w="3402" w:type="dxa"/>
            <w:shd w:val="clear" w:color="auto" w:fill="C45911" w:themeFill="accent2" w:themeFillShade="BF"/>
          </w:tcPr>
          <w:p w14:paraId="3C573EC5" w14:textId="77777777" w:rsidR="003956EC" w:rsidRPr="000D63AD" w:rsidRDefault="003956EC" w:rsidP="006A347A">
            <w:pPr>
              <w:pStyle w:val="TableHeaderRow"/>
              <w:spacing w:before="240" w:after="240"/>
            </w:pPr>
            <w:r w:rsidRPr="000D63AD">
              <w:t xml:space="preserve">Explanation </w:t>
            </w:r>
          </w:p>
        </w:tc>
        <w:tc>
          <w:tcPr>
            <w:tcW w:w="2835" w:type="dxa"/>
            <w:shd w:val="clear" w:color="auto" w:fill="C45911" w:themeFill="accent2" w:themeFillShade="BF"/>
          </w:tcPr>
          <w:p w14:paraId="7A0FDE5C" w14:textId="77777777" w:rsidR="003956EC" w:rsidRPr="000D63AD" w:rsidRDefault="003956EC" w:rsidP="006A347A">
            <w:pPr>
              <w:pStyle w:val="TableHeaderRow"/>
              <w:spacing w:before="240" w:after="240"/>
            </w:pPr>
            <w:r w:rsidRPr="000D63AD">
              <w:t xml:space="preserve">Action plan </w:t>
            </w:r>
          </w:p>
        </w:tc>
        <w:tc>
          <w:tcPr>
            <w:tcW w:w="1843" w:type="dxa"/>
            <w:shd w:val="clear" w:color="auto" w:fill="C45911" w:themeFill="accent2" w:themeFillShade="BF"/>
          </w:tcPr>
          <w:p w14:paraId="4DD2649C" w14:textId="77777777" w:rsidR="003956EC" w:rsidRPr="000D63AD" w:rsidRDefault="003956EC" w:rsidP="006A347A">
            <w:pPr>
              <w:pStyle w:val="TableHeaderRow"/>
              <w:spacing w:before="240" w:after="240"/>
            </w:pPr>
            <w:r w:rsidRPr="000D63AD">
              <w:t>Timeframe</w:t>
            </w:r>
          </w:p>
        </w:tc>
      </w:tr>
      <w:tr w:rsidR="003956EC" w:rsidRPr="00B56C25" w14:paraId="77D245C3" w14:textId="77777777" w:rsidTr="005B641D">
        <w:trPr>
          <w:jc w:val="center"/>
        </w:trPr>
        <w:tc>
          <w:tcPr>
            <w:tcW w:w="13887" w:type="dxa"/>
            <w:gridSpan w:val="5"/>
          </w:tcPr>
          <w:p w14:paraId="6968E2D0" w14:textId="20A0A3E9" w:rsidR="003956EC" w:rsidRPr="003956EC" w:rsidRDefault="003956EC" w:rsidP="003956EC">
            <w:pPr>
              <w:pStyle w:val="BodyText"/>
              <w:spacing w:before="0"/>
              <w:rPr>
                <w:i/>
                <w:color w:val="auto"/>
                <w:sz w:val="22"/>
                <w:szCs w:val="22"/>
              </w:rPr>
            </w:pPr>
            <w:r w:rsidRPr="003956EC">
              <w:rPr>
                <w:i/>
                <w:sz w:val="22"/>
                <w:szCs w:val="22"/>
              </w:rPr>
              <w:t>Presence and focus</w:t>
            </w:r>
          </w:p>
        </w:tc>
      </w:tr>
      <w:tr w:rsidR="003956EC" w:rsidRPr="00B56C25" w14:paraId="3328EBAE" w14:textId="77777777" w:rsidTr="003956EC">
        <w:trPr>
          <w:jc w:val="center"/>
        </w:trPr>
        <w:tc>
          <w:tcPr>
            <w:tcW w:w="4390" w:type="dxa"/>
          </w:tcPr>
          <w:p w14:paraId="5F2E60E2" w14:textId="77777777" w:rsidR="003956EC" w:rsidRPr="00EB42C3" w:rsidRDefault="003956EC" w:rsidP="006A347A">
            <w:pPr>
              <w:pStyle w:val="BodyText"/>
              <w:numPr>
                <w:ilvl w:val="1"/>
                <w:numId w:val="1"/>
              </w:numPr>
              <w:spacing w:before="0"/>
              <w:ind w:left="357" w:hanging="357"/>
              <w:jc w:val="both"/>
              <w:rPr>
                <w:rFonts w:cstheme="majorHAnsi"/>
                <w:sz w:val="22"/>
                <w:szCs w:val="22"/>
                <w:shd w:val="clear" w:color="auto" w:fill="FFFFFF"/>
              </w:rPr>
            </w:pPr>
            <w:r w:rsidRPr="003956EC">
              <w:rPr>
                <w:rFonts w:cstheme="majorHAnsi"/>
                <w:b w:val="0"/>
                <w:color w:val="auto"/>
                <w:sz w:val="22"/>
                <w:szCs w:val="22"/>
                <w:shd w:val="clear" w:color="auto" w:fill="FFFFFF"/>
              </w:rPr>
              <w:t xml:space="preserve">[DFAT and ARC] Before considering a future Partnership </w:t>
            </w:r>
            <w:r w:rsidRPr="00EB42C3">
              <w:rPr>
                <w:rFonts w:cstheme="majorHAnsi"/>
                <w:b w:val="0"/>
                <w:color w:val="333333"/>
                <w:sz w:val="22"/>
                <w:szCs w:val="22"/>
                <w:shd w:val="clear" w:color="auto" w:fill="FFFFFF"/>
              </w:rPr>
              <w:t>design, review and update the rationale for selecting focus countries (based on such criteria as programme objectives, the potential to amplify results and to influence the humanitarian agenda, socio-economic and risk factors, existing capacities and comparative advantage) and communicate these across DFAT, Post and ARC.</w:t>
            </w:r>
          </w:p>
        </w:tc>
        <w:tc>
          <w:tcPr>
            <w:tcW w:w="1417" w:type="dxa"/>
            <w:tcBorders>
              <w:bottom w:val="single" w:sz="4" w:space="0" w:color="auto"/>
            </w:tcBorders>
            <w:shd w:val="clear" w:color="auto" w:fill="A8D08D" w:themeFill="accent6" w:themeFillTint="99"/>
            <w:vAlign w:val="center"/>
          </w:tcPr>
          <w:p w14:paraId="1147982B" w14:textId="77777777" w:rsidR="003956EC" w:rsidRDefault="003956EC" w:rsidP="006A347A">
            <w:pPr>
              <w:pStyle w:val="BodyText"/>
              <w:spacing w:before="0"/>
              <w:jc w:val="center"/>
              <w:rPr>
                <w:rFonts w:eastAsia="Times New Roman" w:cstheme="majorHAnsi"/>
                <w:sz w:val="22"/>
                <w:szCs w:val="22"/>
                <w:shd w:val="clear" w:color="auto" w:fill="FFFFFF"/>
                <w:lang w:val="en-NZ"/>
              </w:rPr>
            </w:pPr>
            <w:r w:rsidRPr="000D63AD">
              <w:rPr>
                <w:color w:val="auto"/>
                <w:sz w:val="24"/>
                <w:szCs w:val="24"/>
              </w:rPr>
              <w:t>Agree</w:t>
            </w:r>
          </w:p>
        </w:tc>
        <w:tc>
          <w:tcPr>
            <w:tcW w:w="3402" w:type="dxa"/>
            <w:vAlign w:val="center"/>
          </w:tcPr>
          <w:p w14:paraId="02A569D7" w14:textId="77777777" w:rsidR="003956EC" w:rsidRPr="00B56C25" w:rsidRDefault="003956EC" w:rsidP="006A347A">
            <w:pPr>
              <w:pStyle w:val="BodyText"/>
              <w:spacing w:before="0" w:line="240" w:lineRule="auto"/>
              <w:rPr>
                <w:b w:val="0"/>
                <w:color w:val="auto"/>
                <w:sz w:val="22"/>
                <w:szCs w:val="22"/>
              </w:rPr>
            </w:pPr>
            <w:r w:rsidRPr="00B56C25">
              <w:rPr>
                <w:b w:val="0"/>
                <w:color w:val="auto"/>
                <w:sz w:val="22"/>
                <w:szCs w:val="22"/>
              </w:rPr>
              <w:t>ARC and DFAT agree that criteria for selecting focus countries should be reviewed in the development of the future partnership design.</w:t>
            </w:r>
          </w:p>
        </w:tc>
        <w:tc>
          <w:tcPr>
            <w:tcW w:w="2835" w:type="dxa"/>
            <w:vAlign w:val="center"/>
          </w:tcPr>
          <w:p w14:paraId="1EDA03C5" w14:textId="77777777" w:rsidR="003956EC" w:rsidRPr="00B56C25" w:rsidRDefault="003956EC" w:rsidP="006A347A">
            <w:pPr>
              <w:pStyle w:val="BodyText"/>
              <w:spacing w:before="0"/>
              <w:rPr>
                <w:b w:val="0"/>
                <w:color w:val="auto"/>
                <w:sz w:val="22"/>
                <w:szCs w:val="22"/>
              </w:rPr>
            </w:pPr>
            <w:r w:rsidRPr="00B56C25">
              <w:rPr>
                <w:b w:val="0"/>
                <w:color w:val="auto"/>
                <w:sz w:val="22"/>
                <w:szCs w:val="22"/>
              </w:rPr>
              <w:t xml:space="preserve">ARC and DFAT to agree criteria during design </w:t>
            </w:r>
            <w:r>
              <w:rPr>
                <w:b w:val="0"/>
                <w:color w:val="auto"/>
                <w:sz w:val="22"/>
                <w:szCs w:val="22"/>
              </w:rPr>
              <w:t>discussions</w:t>
            </w:r>
            <w:r w:rsidRPr="00B56C25">
              <w:rPr>
                <w:b w:val="0"/>
                <w:color w:val="auto"/>
                <w:sz w:val="22"/>
                <w:szCs w:val="22"/>
              </w:rPr>
              <w:t>, whilst ensuring that flexibility is maintained to respond to changing circumstances during the partnership.</w:t>
            </w:r>
            <w:r>
              <w:rPr>
                <w:b w:val="0"/>
                <w:color w:val="auto"/>
                <w:sz w:val="22"/>
                <w:szCs w:val="22"/>
              </w:rPr>
              <w:t xml:space="preserve"> Criteria for focus country selection will be articulated in the Investment Design Summary.</w:t>
            </w:r>
          </w:p>
        </w:tc>
        <w:tc>
          <w:tcPr>
            <w:tcW w:w="1843" w:type="dxa"/>
            <w:vAlign w:val="center"/>
          </w:tcPr>
          <w:p w14:paraId="2CCF6BEB" w14:textId="77777777" w:rsidR="003956EC" w:rsidRPr="00B56C25" w:rsidRDefault="003956EC" w:rsidP="006A347A">
            <w:pPr>
              <w:pStyle w:val="BodyText"/>
              <w:spacing w:before="0"/>
              <w:jc w:val="center"/>
              <w:rPr>
                <w:b w:val="0"/>
                <w:color w:val="auto"/>
                <w:sz w:val="22"/>
                <w:szCs w:val="22"/>
              </w:rPr>
            </w:pPr>
            <w:r>
              <w:rPr>
                <w:b w:val="0"/>
                <w:color w:val="auto"/>
                <w:sz w:val="22"/>
                <w:szCs w:val="22"/>
              </w:rPr>
              <w:t>By end Q2 2019</w:t>
            </w:r>
          </w:p>
        </w:tc>
      </w:tr>
      <w:tr w:rsidR="003956EC" w:rsidRPr="00B56C25" w14:paraId="43FF5095" w14:textId="77777777" w:rsidTr="003956EC">
        <w:trPr>
          <w:jc w:val="center"/>
        </w:trPr>
        <w:tc>
          <w:tcPr>
            <w:tcW w:w="4390" w:type="dxa"/>
          </w:tcPr>
          <w:p w14:paraId="43E63832" w14:textId="77777777" w:rsidR="003956EC" w:rsidRPr="00EB42C3" w:rsidRDefault="003956EC" w:rsidP="006A347A">
            <w:pPr>
              <w:pStyle w:val="BodyText"/>
              <w:numPr>
                <w:ilvl w:val="1"/>
                <w:numId w:val="1"/>
              </w:numPr>
              <w:spacing w:before="0"/>
              <w:ind w:left="357" w:hanging="357"/>
              <w:jc w:val="both"/>
              <w:rPr>
                <w:rFonts w:cstheme="majorHAnsi"/>
                <w:b w:val="0"/>
                <w:color w:val="333333"/>
                <w:sz w:val="22"/>
                <w:szCs w:val="22"/>
                <w:shd w:val="clear" w:color="auto" w:fill="FFFFFF"/>
              </w:rPr>
            </w:pPr>
            <w:r w:rsidRPr="00EB42C3">
              <w:rPr>
                <w:rFonts w:cstheme="majorHAnsi"/>
                <w:b w:val="0"/>
                <w:color w:val="333333"/>
                <w:sz w:val="22"/>
                <w:szCs w:val="22"/>
                <w:shd w:val="clear" w:color="auto" w:fill="FFFFFF"/>
              </w:rPr>
              <w:t>[DFAT and ARC] The Partnership outcomes should make explicit the linkages with the disaster risk management outcomes laid out in the AADMER (ASEAN Agreement on Disaster Management and Emergency Response) and the FRDP (Framework for Resilient Development in the Pacific), both of which reflect strong commitment to reduce disaster losses in the region and to jointly respond to disaster emergencies.</w:t>
            </w:r>
          </w:p>
        </w:tc>
        <w:tc>
          <w:tcPr>
            <w:tcW w:w="1417" w:type="dxa"/>
            <w:tcBorders>
              <w:bottom w:val="single" w:sz="4" w:space="0" w:color="auto"/>
            </w:tcBorders>
            <w:shd w:val="clear" w:color="auto" w:fill="A8D08D" w:themeFill="accent6" w:themeFillTint="99"/>
            <w:vAlign w:val="center"/>
          </w:tcPr>
          <w:p w14:paraId="7206A2AA" w14:textId="77777777" w:rsidR="003956EC" w:rsidRDefault="003956EC" w:rsidP="006A347A">
            <w:pPr>
              <w:pStyle w:val="BodyText"/>
              <w:spacing w:before="0"/>
              <w:jc w:val="center"/>
              <w:rPr>
                <w:color w:val="auto"/>
                <w:sz w:val="24"/>
                <w:szCs w:val="24"/>
              </w:rPr>
            </w:pPr>
            <w:r w:rsidRPr="000D63AD">
              <w:rPr>
                <w:color w:val="auto"/>
                <w:sz w:val="24"/>
                <w:szCs w:val="24"/>
              </w:rPr>
              <w:t>Agree</w:t>
            </w:r>
          </w:p>
        </w:tc>
        <w:tc>
          <w:tcPr>
            <w:tcW w:w="3402" w:type="dxa"/>
            <w:vAlign w:val="center"/>
          </w:tcPr>
          <w:p w14:paraId="039B3F0F" w14:textId="77777777" w:rsidR="003956EC" w:rsidRPr="00B56C25" w:rsidRDefault="003956EC" w:rsidP="006A347A">
            <w:pPr>
              <w:pStyle w:val="BodyText"/>
              <w:spacing w:before="0" w:line="240" w:lineRule="auto"/>
              <w:rPr>
                <w:b w:val="0"/>
                <w:color w:val="auto"/>
                <w:sz w:val="22"/>
                <w:szCs w:val="22"/>
              </w:rPr>
            </w:pPr>
            <w:r w:rsidRPr="00B56C25">
              <w:rPr>
                <w:b w:val="0"/>
                <w:color w:val="auto"/>
                <w:sz w:val="22"/>
                <w:szCs w:val="22"/>
              </w:rPr>
              <w:t xml:space="preserve">DFAT and ARC agree with the focus on Disaster Risk Management (DRM), </w:t>
            </w:r>
            <w:r>
              <w:rPr>
                <w:b w:val="0"/>
                <w:color w:val="auto"/>
                <w:sz w:val="22"/>
                <w:szCs w:val="22"/>
              </w:rPr>
              <w:t>and ensuring that there are clear linkages with</w:t>
            </w:r>
            <w:r w:rsidRPr="00B56C25">
              <w:rPr>
                <w:b w:val="0"/>
                <w:color w:val="auto"/>
                <w:sz w:val="22"/>
                <w:szCs w:val="22"/>
              </w:rPr>
              <w:t xml:space="preserve"> relevant regional and global frameworks. </w:t>
            </w:r>
          </w:p>
        </w:tc>
        <w:tc>
          <w:tcPr>
            <w:tcW w:w="2835" w:type="dxa"/>
            <w:vAlign w:val="center"/>
          </w:tcPr>
          <w:p w14:paraId="75CEDA1E" w14:textId="77777777" w:rsidR="003956EC" w:rsidRPr="00B56C25" w:rsidRDefault="003956EC" w:rsidP="006A347A">
            <w:pPr>
              <w:pStyle w:val="BodyText"/>
              <w:spacing w:before="0"/>
              <w:rPr>
                <w:b w:val="0"/>
                <w:color w:val="auto"/>
                <w:sz w:val="22"/>
                <w:szCs w:val="22"/>
              </w:rPr>
            </w:pPr>
            <w:r w:rsidRPr="00B56C25">
              <w:rPr>
                <w:b w:val="0"/>
                <w:color w:val="auto"/>
                <w:sz w:val="22"/>
                <w:szCs w:val="22"/>
              </w:rPr>
              <w:t xml:space="preserve">ARC to </w:t>
            </w:r>
            <w:r>
              <w:rPr>
                <w:b w:val="0"/>
                <w:color w:val="auto"/>
                <w:sz w:val="22"/>
                <w:szCs w:val="22"/>
              </w:rPr>
              <w:t xml:space="preserve">clearly articulate how DRM program activities are linked to relevant </w:t>
            </w:r>
            <w:r w:rsidRPr="00B56C25">
              <w:rPr>
                <w:b w:val="0"/>
                <w:color w:val="auto"/>
                <w:sz w:val="22"/>
                <w:szCs w:val="22"/>
              </w:rPr>
              <w:t>regional and global frameworks in the partnership design</w:t>
            </w:r>
            <w:r>
              <w:rPr>
                <w:b w:val="0"/>
                <w:color w:val="auto"/>
                <w:sz w:val="22"/>
                <w:szCs w:val="22"/>
              </w:rPr>
              <w:t xml:space="preserve"> document</w:t>
            </w:r>
            <w:r w:rsidRPr="00B56C25">
              <w:rPr>
                <w:b w:val="0"/>
                <w:color w:val="auto"/>
                <w:sz w:val="22"/>
                <w:szCs w:val="22"/>
              </w:rPr>
              <w:t>.</w:t>
            </w:r>
          </w:p>
        </w:tc>
        <w:tc>
          <w:tcPr>
            <w:tcW w:w="1843" w:type="dxa"/>
            <w:vAlign w:val="center"/>
          </w:tcPr>
          <w:p w14:paraId="1B92AF88" w14:textId="77777777" w:rsidR="003956EC" w:rsidRPr="00B56C25" w:rsidRDefault="003956EC" w:rsidP="006A347A">
            <w:pPr>
              <w:pStyle w:val="BodyText"/>
              <w:spacing w:before="0"/>
              <w:jc w:val="center"/>
              <w:rPr>
                <w:b w:val="0"/>
                <w:color w:val="auto"/>
                <w:sz w:val="22"/>
                <w:szCs w:val="22"/>
              </w:rPr>
            </w:pPr>
            <w:r>
              <w:rPr>
                <w:b w:val="0"/>
                <w:color w:val="auto"/>
                <w:sz w:val="22"/>
                <w:szCs w:val="22"/>
              </w:rPr>
              <w:t xml:space="preserve">By end </w:t>
            </w:r>
            <w:r w:rsidRPr="00B56C25">
              <w:rPr>
                <w:b w:val="0"/>
                <w:color w:val="auto"/>
                <w:sz w:val="22"/>
                <w:szCs w:val="22"/>
              </w:rPr>
              <w:t>Q</w:t>
            </w:r>
            <w:r>
              <w:rPr>
                <w:b w:val="0"/>
                <w:color w:val="auto"/>
                <w:sz w:val="22"/>
                <w:szCs w:val="22"/>
              </w:rPr>
              <w:t>2</w:t>
            </w:r>
            <w:r w:rsidRPr="00B56C25">
              <w:rPr>
                <w:b w:val="0"/>
                <w:color w:val="auto"/>
                <w:sz w:val="22"/>
                <w:szCs w:val="22"/>
              </w:rPr>
              <w:t xml:space="preserve"> 2019</w:t>
            </w:r>
          </w:p>
          <w:p w14:paraId="6564A6FB" w14:textId="77777777" w:rsidR="003956EC" w:rsidRPr="00B56C25" w:rsidRDefault="003956EC" w:rsidP="006A347A">
            <w:pPr>
              <w:pStyle w:val="BodyText"/>
              <w:spacing w:before="0"/>
              <w:jc w:val="center"/>
              <w:rPr>
                <w:b w:val="0"/>
                <w:color w:val="auto"/>
                <w:sz w:val="22"/>
                <w:szCs w:val="22"/>
              </w:rPr>
            </w:pPr>
          </w:p>
        </w:tc>
      </w:tr>
      <w:tr w:rsidR="003956EC" w:rsidRPr="00B56C25" w14:paraId="5C6FC03A" w14:textId="77777777" w:rsidTr="003956EC">
        <w:trPr>
          <w:jc w:val="center"/>
        </w:trPr>
        <w:tc>
          <w:tcPr>
            <w:tcW w:w="4390" w:type="dxa"/>
          </w:tcPr>
          <w:p w14:paraId="34C333C7" w14:textId="77777777" w:rsidR="003956EC" w:rsidRPr="00A374AA" w:rsidRDefault="003956EC" w:rsidP="00A164C3">
            <w:pPr>
              <w:pStyle w:val="BodyText"/>
              <w:numPr>
                <w:ilvl w:val="1"/>
                <w:numId w:val="1"/>
              </w:numPr>
              <w:spacing w:before="0"/>
              <w:ind w:left="357" w:hanging="357"/>
              <w:jc w:val="both"/>
              <w:rPr>
                <w:rFonts w:cstheme="majorHAnsi"/>
                <w:b w:val="0"/>
                <w:color w:val="333333"/>
                <w:sz w:val="22"/>
                <w:szCs w:val="22"/>
                <w:shd w:val="clear" w:color="auto" w:fill="FFFFFF"/>
              </w:rPr>
            </w:pPr>
            <w:r w:rsidRPr="00A374AA">
              <w:rPr>
                <w:rFonts w:cstheme="majorHAnsi"/>
                <w:b w:val="0"/>
                <w:color w:val="333333"/>
                <w:sz w:val="22"/>
                <w:szCs w:val="22"/>
                <w:shd w:val="clear" w:color="auto" w:fill="FFFFFF"/>
              </w:rPr>
              <w:t xml:space="preserve">[DFAT and ARC] The Partnership Design should avoid investments linked to long-term development outcomes by identifying ‘touch points’ to consider when to exit out </w:t>
            </w:r>
            <w:r w:rsidRPr="00A374AA">
              <w:rPr>
                <w:rFonts w:cstheme="majorHAnsi"/>
                <w:b w:val="0"/>
                <w:color w:val="333333"/>
                <w:sz w:val="22"/>
                <w:szCs w:val="22"/>
                <w:shd w:val="clear" w:color="auto" w:fill="FFFFFF"/>
              </w:rPr>
              <w:lastRenderedPageBreak/>
              <w:t>of rehabilitation activities, something that could be achieved through partnerships with local stakeholders and Australian NGOs.</w:t>
            </w:r>
          </w:p>
        </w:tc>
        <w:tc>
          <w:tcPr>
            <w:tcW w:w="1417" w:type="dxa"/>
            <w:tcBorders>
              <w:bottom w:val="single" w:sz="4" w:space="0" w:color="auto"/>
            </w:tcBorders>
            <w:shd w:val="clear" w:color="auto" w:fill="FFC000"/>
            <w:vAlign w:val="center"/>
          </w:tcPr>
          <w:p w14:paraId="3FA6365B" w14:textId="77777777" w:rsidR="003956EC" w:rsidRDefault="003956EC" w:rsidP="006A347A">
            <w:pPr>
              <w:pStyle w:val="BodyText"/>
              <w:spacing w:before="0"/>
              <w:jc w:val="center"/>
              <w:rPr>
                <w:color w:val="auto"/>
                <w:sz w:val="24"/>
                <w:szCs w:val="24"/>
              </w:rPr>
            </w:pPr>
            <w:r w:rsidRPr="005F1CCF">
              <w:rPr>
                <w:color w:val="auto"/>
                <w:sz w:val="24"/>
                <w:szCs w:val="24"/>
              </w:rPr>
              <w:lastRenderedPageBreak/>
              <w:t xml:space="preserve"> </w:t>
            </w:r>
          </w:p>
          <w:p w14:paraId="66800B76" w14:textId="77777777" w:rsidR="003956EC" w:rsidRDefault="003956EC" w:rsidP="006A347A">
            <w:pPr>
              <w:pStyle w:val="BodyText"/>
              <w:spacing w:before="0"/>
              <w:jc w:val="center"/>
              <w:rPr>
                <w:rFonts w:eastAsia="Times New Roman" w:cstheme="majorHAnsi"/>
                <w:sz w:val="22"/>
                <w:szCs w:val="22"/>
                <w:shd w:val="clear" w:color="auto" w:fill="FFFFFF"/>
                <w:lang w:val="en-NZ"/>
              </w:rPr>
            </w:pPr>
            <w:r w:rsidRPr="00BF11F0">
              <w:rPr>
                <w:color w:val="auto"/>
                <w:sz w:val="24"/>
                <w:szCs w:val="24"/>
              </w:rPr>
              <w:lastRenderedPageBreak/>
              <w:t>Agree in Part</w:t>
            </w:r>
          </w:p>
        </w:tc>
        <w:tc>
          <w:tcPr>
            <w:tcW w:w="3402" w:type="dxa"/>
            <w:vAlign w:val="center"/>
          </w:tcPr>
          <w:p w14:paraId="594495DE" w14:textId="77777777" w:rsidR="003956EC" w:rsidRPr="00B56C25" w:rsidRDefault="003956EC" w:rsidP="006A347A">
            <w:pPr>
              <w:pStyle w:val="BodyText"/>
              <w:spacing w:before="0" w:line="240" w:lineRule="auto"/>
              <w:rPr>
                <w:b w:val="0"/>
                <w:color w:val="auto"/>
                <w:sz w:val="22"/>
                <w:szCs w:val="22"/>
              </w:rPr>
            </w:pPr>
            <w:r w:rsidRPr="00B56C25">
              <w:rPr>
                <w:b w:val="0"/>
                <w:color w:val="auto"/>
                <w:sz w:val="22"/>
                <w:szCs w:val="22"/>
              </w:rPr>
              <w:lastRenderedPageBreak/>
              <w:t xml:space="preserve">DFAT and ARC agree with a stronger focus on </w:t>
            </w:r>
            <w:r>
              <w:rPr>
                <w:b w:val="0"/>
                <w:color w:val="auto"/>
                <w:sz w:val="22"/>
                <w:szCs w:val="22"/>
              </w:rPr>
              <w:t xml:space="preserve">the </w:t>
            </w:r>
            <w:r w:rsidRPr="00B56C25">
              <w:rPr>
                <w:b w:val="0"/>
                <w:color w:val="auto"/>
                <w:sz w:val="22"/>
                <w:szCs w:val="22"/>
              </w:rPr>
              <w:t xml:space="preserve">DRM </w:t>
            </w:r>
            <w:r>
              <w:rPr>
                <w:b w:val="0"/>
                <w:color w:val="auto"/>
                <w:sz w:val="22"/>
                <w:szCs w:val="22"/>
              </w:rPr>
              <w:t xml:space="preserve">cycle </w:t>
            </w:r>
            <w:r w:rsidRPr="00B56C25">
              <w:rPr>
                <w:b w:val="0"/>
                <w:color w:val="auto"/>
                <w:sz w:val="22"/>
                <w:szCs w:val="22"/>
              </w:rPr>
              <w:t>in the next partnership design</w:t>
            </w:r>
            <w:r>
              <w:rPr>
                <w:b w:val="0"/>
                <w:color w:val="auto"/>
                <w:sz w:val="22"/>
                <w:szCs w:val="22"/>
              </w:rPr>
              <w:t xml:space="preserve">. Acknowledging that </w:t>
            </w:r>
            <w:r w:rsidRPr="0044666C">
              <w:rPr>
                <w:b w:val="0"/>
                <w:color w:val="auto"/>
                <w:sz w:val="22"/>
                <w:szCs w:val="22"/>
              </w:rPr>
              <w:t xml:space="preserve">DRR and </w:t>
            </w:r>
            <w:r w:rsidRPr="0044666C">
              <w:rPr>
                <w:b w:val="0"/>
                <w:color w:val="auto"/>
                <w:sz w:val="22"/>
                <w:szCs w:val="22"/>
              </w:rPr>
              <w:lastRenderedPageBreak/>
              <w:t xml:space="preserve">recovery </w:t>
            </w:r>
            <w:r>
              <w:rPr>
                <w:b w:val="0"/>
                <w:color w:val="auto"/>
                <w:sz w:val="22"/>
                <w:szCs w:val="22"/>
              </w:rPr>
              <w:t xml:space="preserve">activities </w:t>
            </w:r>
            <w:r w:rsidRPr="0044666C">
              <w:rPr>
                <w:b w:val="0"/>
                <w:color w:val="auto"/>
                <w:sz w:val="22"/>
                <w:szCs w:val="22"/>
              </w:rPr>
              <w:t>are often longer term endeavours</w:t>
            </w:r>
            <w:r>
              <w:rPr>
                <w:b w:val="0"/>
                <w:color w:val="auto"/>
                <w:sz w:val="22"/>
                <w:szCs w:val="22"/>
              </w:rPr>
              <w:t xml:space="preserve">, the program design document will clearly articulate ARC’s focus on engaging in these activities only where best placed and in line with achieving the strategic goals of the partnership. </w:t>
            </w:r>
            <w:r w:rsidRPr="00B56C25">
              <w:rPr>
                <w:b w:val="0"/>
                <w:color w:val="auto"/>
                <w:sz w:val="22"/>
                <w:szCs w:val="22"/>
              </w:rPr>
              <w:t xml:space="preserve"> </w:t>
            </w:r>
          </w:p>
        </w:tc>
        <w:tc>
          <w:tcPr>
            <w:tcW w:w="2835" w:type="dxa"/>
            <w:vAlign w:val="center"/>
          </w:tcPr>
          <w:p w14:paraId="373643FC" w14:textId="77777777" w:rsidR="003956EC" w:rsidRPr="00B56C25" w:rsidRDefault="003956EC" w:rsidP="006A347A">
            <w:pPr>
              <w:pStyle w:val="BodyText"/>
              <w:spacing w:before="0"/>
              <w:rPr>
                <w:b w:val="0"/>
                <w:color w:val="auto"/>
                <w:sz w:val="22"/>
                <w:szCs w:val="22"/>
              </w:rPr>
            </w:pPr>
            <w:r w:rsidRPr="0044666C">
              <w:rPr>
                <w:b w:val="0"/>
                <w:color w:val="auto"/>
                <w:sz w:val="22"/>
                <w:szCs w:val="22"/>
              </w:rPr>
              <w:lastRenderedPageBreak/>
              <w:t xml:space="preserve">ARC </w:t>
            </w:r>
            <w:r>
              <w:rPr>
                <w:b w:val="0"/>
                <w:color w:val="auto"/>
                <w:sz w:val="22"/>
                <w:szCs w:val="22"/>
              </w:rPr>
              <w:t>to</w:t>
            </w:r>
            <w:r w:rsidRPr="0044666C">
              <w:rPr>
                <w:b w:val="0"/>
                <w:color w:val="auto"/>
                <w:sz w:val="22"/>
                <w:szCs w:val="22"/>
              </w:rPr>
              <w:t xml:space="preserve"> </w:t>
            </w:r>
            <w:r>
              <w:rPr>
                <w:b w:val="0"/>
                <w:color w:val="auto"/>
                <w:sz w:val="22"/>
                <w:szCs w:val="22"/>
              </w:rPr>
              <w:t xml:space="preserve">clearly articulate the focus on DRM, including DRR and recovery and to set out clear and timebound </w:t>
            </w:r>
            <w:r>
              <w:rPr>
                <w:b w:val="0"/>
                <w:color w:val="auto"/>
                <w:sz w:val="22"/>
                <w:szCs w:val="22"/>
              </w:rPr>
              <w:lastRenderedPageBreak/>
              <w:t>parameters for engagement in these aspects of DRM, in the partnership design document.</w:t>
            </w:r>
            <w:r w:rsidRPr="0044666C">
              <w:rPr>
                <w:b w:val="0"/>
                <w:color w:val="auto"/>
                <w:sz w:val="22"/>
                <w:szCs w:val="22"/>
              </w:rPr>
              <w:t xml:space="preserve">  </w:t>
            </w:r>
          </w:p>
        </w:tc>
        <w:tc>
          <w:tcPr>
            <w:tcW w:w="1843" w:type="dxa"/>
            <w:vAlign w:val="center"/>
          </w:tcPr>
          <w:p w14:paraId="37DAE853" w14:textId="77777777" w:rsidR="003956EC" w:rsidRPr="00B56C25" w:rsidRDefault="003956EC" w:rsidP="006A347A">
            <w:pPr>
              <w:pStyle w:val="BodyText"/>
              <w:spacing w:before="0"/>
              <w:jc w:val="center"/>
              <w:rPr>
                <w:b w:val="0"/>
                <w:color w:val="auto"/>
                <w:sz w:val="22"/>
                <w:szCs w:val="22"/>
              </w:rPr>
            </w:pPr>
          </w:p>
          <w:p w14:paraId="640F8075" w14:textId="77777777" w:rsidR="003956EC" w:rsidRPr="00B56C25" w:rsidRDefault="003956EC" w:rsidP="006A347A">
            <w:pPr>
              <w:pStyle w:val="BodyText"/>
              <w:spacing w:before="0"/>
              <w:jc w:val="center"/>
              <w:rPr>
                <w:b w:val="0"/>
                <w:color w:val="auto"/>
                <w:sz w:val="22"/>
                <w:szCs w:val="22"/>
              </w:rPr>
            </w:pPr>
          </w:p>
          <w:p w14:paraId="41BFED35" w14:textId="77777777" w:rsidR="003956EC" w:rsidRPr="00B56C25" w:rsidRDefault="003956EC" w:rsidP="006A347A">
            <w:pPr>
              <w:pStyle w:val="BodyText"/>
              <w:spacing w:before="0"/>
              <w:jc w:val="center"/>
              <w:rPr>
                <w:b w:val="0"/>
                <w:color w:val="auto"/>
                <w:sz w:val="22"/>
                <w:szCs w:val="22"/>
              </w:rPr>
            </w:pPr>
          </w:p>
          <w:p w14:paraId="7AFBE8E3" w14:textId="77777777" w:rsidR="003956EC" w:rsidRPr="00B56C25" w:rsidRDefault="003956EC" w:rsidP="006A347A">
            <w:pPr>
              <w:pStyle w:val="BodyText"/>
              <w:spacing w:before="0"/>
              <w:jc w:val="center"/>
              <w:rPr>
                <w:b w:val="0"/>
                <w:color w:val="auto"/>
                <w:sz w:val="22"/>
                <w:szCs w:val="22"/>
              </w:rPr>
            </w:pPr>
            <w:r>
              <w:rPr>
                <w:b w:val="0"/>
                <w:color w:val="auto"/>
                <w:sz w:val="22"/>
                <w:szCs w:val="22"/>
              </w:rPr>
              <w:t xml:space="preserve">By end </w:t>
            </w:r>
            <w:r w:rsidRPr="00B56C25">
              <w:rPr>
                <w:b w:val="0"/>
                <w:color w:val="auto"/>
                <w:sz w:val="22"/>
                <w:szCs w:val="22"/>
              </w:rPr>
              <w:t>Q</w:t>
            </w:r>
            <w:r>
              <w:rPr>
                <w:b w:val="0"/>
                <w:color w:val="auto"/>
                <w:sz w:val="22"/>
                <w:szCs w:val="22"/>
              </w:rPr>
              <w:t>2</w:t>
            </w:r>
            <w:r w:rsidRPr="00B56C25">
              <w:rPr>
                <w:b w:val="0"/>
                <w:color w:val="auto"/>
                <w:sz w:val="22"/>
                <w:szCs w:val="22"/>
              </w:rPr>
              <w:t xml:space="preserve"> 2019</w:t>
            </w:r>
          </w:p>
          <w:p w14:paraId="2D22361D" w14:textId="77777777" w:rsidR="003956EC" w:rsidRPr="00B56C25" w:rsidRDefault="003956EC" w:rsidP="006A347A">
            <w:pPr>
              <w:pStyle w:val="BodyText"/>
              <w:spacing w:before="0"/>
              <w:jc w:val="center"/>
              <w:rPr>
                <w:b w:val="0"/>
                <w:color w:val="auto"/>
                <w:sz w:val="22"/>
                <w:szCs w:val="22"/>
              </w:rPr>
            </w:pPr>
          </w:p>
          <w:p w14:paraId="1482D4DF" w14:textId="77777777" w:rsidR="003956EC" w:rsidRPr="00B56C25" w:rsidRDefault="003956EC" w:rsidP="006A347A">
            <w:pPr>
              <w:pStyle w:val="BodyText"/>
              <w:spacing w:before="0"/>
              <w:jc w:val="center"/>
              <w:rPr>
                <w:b w:val="0"/>
                <w:color w:val="auto"/>
                <w:sz w:val="22"/>
                <w:szCs w:val="22"/>
              </w:rPr>
            </w:pPr>
          </w:p>
          <w:p w14:paraId="7A2D3CC9" w14:textId="77777777" w:rsidR="003956EC" w:rsidRPr="00B56C25" w:rsidRDefault="003956EC" w:rsidP="006A347A">
            <w:pPr>
              <w:pStyle w:val="BodyText"/>
              <w:spacing w:before="0"/>
              <w:jc w:val="center"/>
              <w:rPr>
                <w:b w:val="0"/>
                <w:color w:val="auto"/>
                <w:sz w:val="22"/>
                <w:szCs w:val="22"/>
              </w:rPr>
            </w:pPr>
          </w:p>
          <w:p w14:paraId="3481D9B1" w14:textId="77777777" w:rsidR="003956EC" w:rsidRPr="00B56C25" w:rsidRDefault="003956EC" w:rsidP="006A347A">
            <w:pPr>
              <w:pStyle w:val="BodyText"/>
              <w:spacing w:before="0"/>
              <w:jc w:val="center"/>
              <w:rPr>
                <w:b w:val="0"/>
                <w:color w:val="auto"/>
                <w:sz w:val="22"/>
                <w:szCs w:val="22"/>
              </w:rPr>
            </w:pPr>
          </w:p>
        </w:tc>
      </w:tr>
      <w:tr w:rsidR="003956EC" w:rsidRPr="00B56C25" w14:paraId="2B687E0A" w14:textId="77777777" w:rsidTr="003956EC">
        <w:trPr>
          <w:jc w:val="center"/>
        </w:trPr>
        <w:tc>
          <w:tcPr>
            <w:tcW w:w="4390" w:type="dxa"/>
          </w:tcPr>
          <w:p w14:paraId="462E6B81" w14:textId="77777777" w:rsidR="003956EC" w:rsidRPr="00EB42C3" w:rsidRDefault="003956EC" w:rsidP="006A347A">
            <w:pPr>
              <w:pStyle w:val="BodyText"/>
              <w:numPr>
                <w:ilvl w:val="1"/>
                <w:numId w:val="1"/>
              </w:numPr>
              <w:spacing w:before="0"/>
              <w:ind w:left="357" w:hanging="357"/>
              <w:jc w:val="both"/>
              <w:rPr>
                <w:rFonts w:cstheme="majorHAnsi"/>
                <w:b w:val="0"/>
                <w:color w:val="333333"/>
                <w:sz w:val="22"/>
                <w:szCs w:val="22"/>
                <w:shd w:val="clear" w:color="auto" w:fill="FFFFFF"/>
              </w:rPr>
            </w:pPr>
            <w:r w:rsidRPr="00EB42C3">
              <w:rPr>
                <w:rFonts w:cstheme="majorHAnsi"/>
                <w:b w:val="0"/>
                <w:color w:val="333333"/>
                <w:sz w:val="22"/>
                <w:szCs w:val="22"/>
                <w:shd w:val="clear" w:color="auto" w:fill="FFFFFF"/>
              </w:rPr>
              <w:lastRenderedPageBreak/>
              <w:t xml:space="preserve">ARC should make investments to (further) develop its ‘point of difference’ in the humanitarian space in relation to IFRC members and to Australian NGOs. This could include, for example, developing distinctive expertise in Health in Emergencies, Shelter in Emergencies or Gender in Emergencies, all of which also offer entry points for strengthening gender equality and disability inclusive practice. </w:t>
            </w:r>
          </w:p>
          <w:p w14:paraId="7DDF060E" w14:textId="77777777" w:rsidR="003956EC" w:rsidRPr="005164CE" w:rsidRDefault="003956EC" w:rsidP="006A347A">
            <w:pPr>
              <w:pStyle w:val="BodyText"/>
              <w:spacing w:before="0"/>
              <w:jc w:val="both"/>
              <w:rPr>
                <w:rFonts w:cstheme="majorHAnsi"/>
                <w:b w:val="0"/>
                <w:color w:val="333333"/>
                <w:sz w:val="22"/>
                <w:szCs w:val="22"/>
                <w:shd w:val="clear" w:color="auto" w:fill="FFFFFF"/>
              </w:rPr>
            </w:pPr>
          </w:p>
        </w:tc>
        <w:tc>
          <w:tcPr>
            <w:tcW w:w="1417" w:type="dxa"/>
            <w:shd w:val="clear" w:color="auto" w:fill="A8D08D" w:themeFill="accent6" w:themeFillTint="99"/>
            <w:vAlign w:val="center"/>
          </w:tcPr>
          <w:p w14:paraId="6FF85140" w14:textId="77777777" w:rsidR="003956EC" w:rsidRDefault="003956EC" w:rsidP="006A347A">
            <w:pPr>
              <w:pStyle w:val="BodyText"/>
              <w:spacing w:before="0"/>
              <w:jc w:val="center"/>
              <w:rPr>
                <w:rFonts w:eastAsia="Times New Roman" w:cstheme="majorHAnsi"/>
                <w:sz w:val="22"/>
                <w:szCs w:val="22"/>
                <w:shd w:val="clear" w:color="auto" w:fill="FFFFFF"/>
                <w:lang w:val="en-NZ"/>
              </w:rPr>
            </w:pPr>
            <w:r w:rsidRPr="007C0CD1">
              <w:rPr>
                <w:color w:val="auto"/>
                <w:sz w:val="24"/>
                <w:szCs w:val="24"/>
              </w:rPr>
              <w:t>Agree</w:t>
            </w:r>
          </w:p>
        </w:tc>
        <w:tc>
          <w:tcPr>
            <w:tcW w:w="3402" w:type="dxa"/>
            <w:vAlign w:val="center"/>
          </w:tcPr>
          <w:p w14:paraId="2452025B" w14:textId="77777777" w:rsidR="003956EC" w:rsidRPr="00B56C25" w:rsidRDefault="003956EC" w:rsidP="006A347A">
            <w:pPr>
              <w:pStyle w:val="BodyText"/>
              <w:spacing w:before="0" w:line="240" w:lineRule="auto"/>
              <w:rPr>
                <w:b w:val="0"/>
                <w:color w:val="auto"/>
                <w:sz w:val="22"/>
                <w:szCs w:val="22"/>
              </w:rPr>
            </w:pPr>
            <w:r w:rsidRPr="00B56C25">
              <w:rPr>
                <w:b w:val="0"/>
                <w:color w:val="auto"/>
                <w:sz w:val="22"/>
                <w:szCs w:val="22"/>
              </w:rPr>
              <w:t xml:space="preserve">DFAT and ARC agree that ARC should be able to clearly articulate their distinctive point of difference (value proposition) in the future partnership design. </w:t>
            </w:r>
          </w:p>
          <w:p w14:paraId="79312B81" w14:textId="6FAA5A48" w:rsidR="00A164C3" w:rsidRPr="00B56C25" w:rsidRDefault="003956EC" w:rsidP="006A347A">
            <w:pPr>
              <w:pStyle w:val="BodyText"/>
              <w:spacing w:before="0" w:line="240" w:lineRule="auto"/>
              <w:rPr>
                <w:b w:val="0"/>
                <w:color w:val="auto"/>
                <w:sz w:val="22"/>
                <w:szCs w:val="22"/>
              </w:rPr>
            </w:pPr>
            <w:r w:rsidRPr="00B56C25">
              <w:rPr>
                <w:b w:val="0"/>
                <w:color w:val="auto"/>
                <w:sz w:val="22"/>
                <w:szCs w:val="22"/>
              </w:rPr>
              <w:t>DFAT notes that a clear strength of the Red Cross movement is its network of national societies. DFAT strongly support</w:t>
            </w:r>
            <w:r>
              <w:rPr>
                <w:b w:val="0"/>
                <w:color w:val="auto"/>
                <w:sz w:val="22"/>
                <w:szCs w:val="22"/>
              </w:rPr>
              <w:t>s</w:t>
            </w:r>
            <w:r w:rsidRPr="00B56C25">
              <w:rPr>
                <w:b w:val="0"/>
                <w:color w:val="auto"/>
                <w:sz w:val="22"/>
                <w:szCs w:val="22"/>
              </w:rPr>
              <w:t xml:space="preserve"> the strengthening of national societies, particularly in the Pacific, in the future partnership design. </w:t>
            </w:r>
          </w:p>
        </w:tc>
        <w:tc>
          <w:tcPr>
            <w:tcW w:w="2835" w:type="dxa"/>
            <w:vAlign w:val="center"/>
          </w:tcPr>
          <w:p w14:paraId="6E5EFAE2" w14:textId="77777777" w:rsidR="003956EC" w:rsidRPr="00B56C25" w:rsidRDefault="003956EC" w:rsidP="006A347A">
            <w:pPr>
              <w:pStyle w:val="BodyText"/>
              <w:spacing w:before="0"/>
              <w:rPr>
                <w:rFonts w:eastAsia="Times New Roman" w:cstheme="majorHAnsi"/>
                <w:sz w:val="22"/>
                <w:szCs w:val="22"/>
                <w:shd w:val="clear" w:color="auto" w:fill="FFFFFF"/>
                <w:lang w:val="en-NZ"/>
              </w:rPr>
            </w:pPr>
            <w:r w:rsidRPr="00B56C25">
              <w:rPr>
                <w:b w:val="0"/>
                <w:color w:val="auto"/>
                <w:sz w:val="22"/>
                <w:szCs w:val="22"/>
              </w:rPr>
              <w:t>ARC to clearly articulate their distinctive point of difference in the future partnership design</w:t>
            </w:r>
            <w:r>
              <w:rPr>
                <w:b w:val="0"/>
                <w:color w:val="auto"/>
                <w:sz w:val="22"/>
                <w:szCs w:val="22"/>
              </w:rPr>
              <w:t xml:space="preserve"> </w:t>
            </w:r>
            <w:r w:rsidRPr="0044666C">
              <w:rPr>
                <w:b w:val="0"/>
                <w:color w:val="auto"/>
                <w:sz w:val="22"/>
                <w:szCs w:val="22"/>
              </w:rPr>
              <w:t xml:space="preserve">including how this can be utilised to strengthen </w:t>
            </w:r>
            <w:r>
              <w:rPr>
                <w:b w:val="0"/>
                <w:color w:val="auto"/>
                <w:sz w:val="22"/>
                <w:szCs w:val="22"/>
              </w:rPr>
              <w:t xml:space="preserve">locally led and </w:t>
            </w:r>
            <w:r w:rsidRPr="0044666C">
              <w:rPr>
                <w:b w:val="0"/>
                <w:color w:val="auto"/>
                <w:sz w:val="22"/>
                <w:szCs w:val="22"/>
              </w:rPr>
              <w:t xml:space="preserve">inclusive </w:t>
            </w:r>
            <w:r>
              <w:rPr>
                <w:b w:val="0"/>
                <w:color w:val="auto"/>
                <w:sz w:val="22"/>
                <w:szCs w:val="22"/>
              </w:rPr>
              <w:t xml:space="preserve">humanitarian assistance. </w:t>
            </w:r>
          </w:p>
        </w:tc>
        <w:tc>
          <w:tcPr>
            <w:tcW w:w="1843" w:type="dxa"/>
            <w:vAlign w:val="center"/>
          </w:tcPr>
          <w:p w14:paraId="4CCB963A" w14:textId="77777777" w:rsidR="003956EC" w:rsidRPr="00B56C25" w:rsidRDefault="003956EC" w:rsidP="006A347A">
            <w:pPr>
              <w:pStyle w:val="BodyText"/>
              <w:spacing w:before="0"/>
              <w:jc w:val="center"/>
              <w:rPr>
                <w:b w:val="0"/>
                <w:color w:val="auto"/>
                <w:sz w:val="22"/>
                <w:szCs w:val="22"/>
              </w:rPr>
            </w:pPr>
            <w:r>
              <w:rPr>
                <w:b w:val="0"/>
                <w:color w:val="auto"/>
                <w:sz w:val="22"/>
                <w:szCs w:val="22"/>
              </w:rPr>
              <w:t xml:space="preserve">By end </w:t>
            </w:r>
            <w:r w:rsidRPr="00B56C25">
              <w:rPr>
                <w:b w:val="0"/>
                <w:color w:val="auto"/>
                <w:sz w:val="22"/>
                <w:szCs w:val="22"/>
              </w:rPr>
              <w:t>Q</w:t>
            </w:r>
            <w:r>
              <w:rPr>
                <w:b w:val="0"/>
                <w:color w:val="auto"/>
                <w:sz w:val="22"/>
                <w:szCs w:val="22"/>
              </w:rPr>
              <w:t>2</w:t>
            </w:r>
            <w:r w:rsidRPr="00B56C25">
              <w:rPr>
                <w:b w:val="0"/>
                <w:color w:val="auto"/>
                <w:sz w:val="22"/>
                <w:szCs w:val="22"/>
              </w:rPr>
              <w:t xml:space="preserve"> 2019</w:t>
            </w:r>
          </w:p>
        </w:tc>
      </w:tr>
      <w:tr w:rsidR="003956EC" w:rsidRPr="003956EC" w14:paraId="18409855" w14:textId="77777777" w:rsidTr="003956EC">
        <w:trPr>
          <w:trHeight w:val="70"/>
          <w:jc w:val="center"/>
        </w:trPr>
        <w:tc>
          <w:tcPr>
            <w:tcW w:w="13887" w:type="dxa"/>
            <w:gridSpan w:val="5"/>
          </w:tcPr>
          <w:p w14:paraId="0882AD57" w14:textId="2EC2A81C" w:rsidR="003956EC" w:rsidRPr="003956EC" w:rsidRDefault="003956EC" w:rsidP="003956EC">
            <w:pPr>
              <w:pStyle w:val="BodyText"/>
              <w:spacing w:before="0"/>
              <w:rPr>
                <w:i/>
                <w:sz w:val="22"/>
                <w:szCs w:val="22"/>
              </w:rPr>
            </w:pPr>
            <w:r w:rsidRPr="003956EC">
              <w:rPr>
                <w:i/>
                <w:sz w:val="22"/>
                <w:szCs w:val="22"/>
              </w:rPr>
              <w:t>Promoting and enabling environment</w:t>
            </w:r>
          </w:p>
        </w:tc>
      </w:tr>
      <w:tr w:rsidR="003956EC" w:rsidRPr="00B56C25" w14:paraId="0912EBF3" w14:textId="77777777" w:rsidTr="003956EC">
        <w:trPr>
          <w:trHeight w:val="3818"/>
          <w:jc w:val="center"/>
        </w:trPr>
        <w:tc>
          <w:tcPr>
            <w:tcW w:w="4390" w:type="dxa"/>
          </w:tcPr>
          <w:p w14:paraId="4A095925" w14:textId="7F4E4EA6" w:rsidR="003956EC" w:rsidRPr="00027970" w:rsidRDefault="003956EC" w:rsidP="00A164C3">
            <w:pPr>
              <w:pStyle w:val="BodyText"/>
              <w:numPr>
                <w:ilvl w:val="1"/>
                <w:numId w:val="1"/>
              </w:numPr>
              <w:spacing w:before="0"/>
              <w:ind w:left="357" w:hanging="357"/>
              <w:jc w:val="both"/>
              <w:rPr>
                <w:rFonts w:cstheme="majorHAnsi"/>
                <w:b w:val="0"/>
                <w:color w:val="333333"/>
                <w:sz w:val="22"/>
                <w:szCs w:val="22"/>
                <w:shd w:val="clear" w:color="auto" w:fill="FFFFFF"/>
              </w:rPr>
            </w:pPr>
            <w:r w:rsidRPr="00027970">
              <w:rPr>
                <w:rFonts w:cstheme="majorHAnsi"/>
                <w:b w:val="0"/>
                <w:color w:val="333333"/>
                <w:sz w:val="22"/>
                <w:szCs w:val="22"/>
                <w:shd w:val="clear" w:color="auto" w:fill="FFFFFF"/>
              </w:rPr>
              <w:lastRenderedPageBreak/>
              <w:t xml:space="preserve">DFAT and ARC]  The Partnership should continue to allocate resources for joint, focused engagement and research to: </w:t>
            </w:r>
          </w:p>
          <w:p w14:paraId="63ADAD04" w14:textId="77777777" w:rsidR="003956EC" w:rsidRDefault="003956EC" w:rsidP="00A164C3">
            <w:pPr>
              <w:pStyle w:val="BodyText"/>
              <w:numPr>
                <w:ilvl w:val="0"/>
                <w:numId w:val="4"/>
              </w:numPr>
              <w:spacing w:before="0"/>
              <w:jc w:val="both"/>
              <w:rPr>
                <w:rFonts w:cstheme="majorHAnsi"/>
                <w:b w:val="0"/>
                <w:color w:val="333333"/>
                <w:sz w:val="22"/>
                <w:szCs w:val="22"/>
                <w:shd w:val="clear" w:color="auto" w:fill="FFFFFF"/>
              </w:rPr>
            </w:pPr>
            <w:r w:rsidRPr="00027970">
              <w:rPr>
                <w:rFonts w:cstheme="majorHAnsi"/>
                <w:b w:val="0"/>
                <w:color w:val="333333"/>
                <w:sz w:val="22"/>
                <w:szCs w:val="22"/>
                <w:shd w:val="clear" w:color="auto" w:fill="FFFFFF"/>
              </w:rPr>
              <w:t>influence the humanitarian reform agenda, including localisation, uptake of humanitarian law and other soft power objectives; and</w:t>
            </w:r>
          </w:p>
          <w:p w14:paraId="18D364B9" w14:textId="77777777" w:rsidR="003956EC" w:rsidRPr="00027970" w:rsidRDefault="003956EC" w:rsidP="00A164C3">
            <w:pPr>
              <w:pStyle w:val="BodyText"/>
              <w:numPr>
                <w:ilvl w:val="0"/>
                <w:numId w:val="4"/>
              </w:numPr>
              <w:spacing w:before="0"/>
              <w:jc w:val="both"/>
              <w:rPr>
                <w:rFonts w:cstheme="majorHAnsi"/>
                <w:b w:val="0"/>
                <w:color w:val="333333"/>
                <w:sz w:val="22"/>
                <w:szCs w:val="22"/>
                <w:shd w:val="clear" w:color="auto" w:fill="FFFFFF"/>
              </w:rPr>
            </w:pPr>
            <w:r w:rsidRPr="00027970">
              <w:rPr>
                <w:rFonts w:cstheme="majorHAnsi"/>
                <w:b w:val="0"/>
                <w:color w:val="333333"/>
                <w:sz w:val="22"/>
                <w:szCs w:val="22"/>
                <w:shd w:val="clear" w:color="auto" w:fill="FFFFFF"/>
              </w:rPr>
              <w:t>strengthen and influence the implementation of legal frameworks. This could include further strategic investments in the Asia-Pacific Disaster Law Programme and support to National Societies and their partners to develop and/or update and implement disaster laws.</w:t>
            </w:r>
          </w:p>
        </w:tc>
        <w:tc>
          <w:tcPr>
            <w:tcW w:w="1417" w:type="dxa"/>
            <w:shd w:val="clear" w:color="auto" w:fill="A8D08D" w:themeFill="accent6" w:themeFillTint="99"/>
            <w:vAlign w:val="center"/>
          </w:tcPr>
          <w:p w14:paraId="00CBC0C3" w14:textId="77777777" w:rsidR="003956EC" w:rsidRPr="00BE7161" w:rsidRDefault="003956EC" w:rsidP="006A347A">
            <w:pPr>
              <w:pStyle w:val="BodyText"/>
              <w:spacing w:before="0"/>
              <w:jc w:val="center"/>
              <w:rPr>
                <w:color w:val="auto"/>
                <w:sz w:val="24"/>
                <w:szCs w:val="24"/>
              </w:rPr>
            </w:pPr>
            <w:r w:rsidRPr="00BE7161">
              <w:rPr>
                <w:color w:val="auto"/>
                <w:sz w:val="24"/>
                <w:szCs w:val="24"/>
              </w:rPr>
              <w:t>Agree</w:t>
            </w:r>
          </w:p>
        </w:tc>
        <w:tc>
          <w:tcPr>
            <w:tcW w:w="3402" w:type="dxa"/>
            <w:vAlign w:val="center"/>
          </w:tcPr>
          <w:p w14:paraId="23AEAB1E" w14:textId="77777777" w:rsidR="003956EC" w:rsidRPr="00B56C25" w:rsidRDefault="003956EC" w:rsidP="006A347A">
            <w:pPr>
              <w:pStyle w:val="BodyText"/>
              <w:spacing w:before="0" w:line="240" w:lineRule="auto"/>
              <w:rPr>
                <w:rFonts w:eastAsia="Times New Roman" w:cstheme="majorHAnsi"/>
                <w:sz w:val="22"/>
                <w:szCs w:val="22"/>
                <w:shd w:val="clear" w:color="auto" w:fill="FFFFFF"/>
                <w:lang w:val="en-NZ"/>
              </w:rPr>
            </w:pPr>
            <w:r w:rsidRPr="00B56C25">
              <w:rPr>
                <w:b w:val="0"/>
                <w:color w:val="auto"/>
                <w:sz w:val="22"/>
                <w:szCs w:val="22"/>
              </w:rPr>
              <w:t>DFAT and ARC agree that   these elements of work should be retained in the future partnership design.</w:t>
            </w:r>
          </w:p>
        </w:tc>
        <w:tc>
          <w:tcPr>
            <w:tcW w:w="2835" w:type="dxa"/>
            <w:vAlign w:val="center"/>
          </w:tcPr>
          <w:p w14:paraId="7EE7732A" w14:textId="77777777" w:rsidR="003956EC" w:rsidRPr="00B56C25" w:rsidRDefault="003956EC" w:rsidP="006A347A">
            <w:pPr>
              <w:pStyle w:val="BodyText"/>
              <w:spacing w:before="0" w:line="240" w:lineRule="auto"/>
              <w:rPr>
                <w:rFonts w:eastAsia="Times New Roman" w:cstheme="majorHAnsi"/>
                <w:sz w:val="22"/>
                <w:szCs w:val="22"/>
                <w:shd w:val="clear" w:color="auto" w:fill="FFFFFF"/>
                <w:lang w:val="en-NZ"/>
              </w:rPr>
            </w:pPr>
            <w:r w:rsidRPr="00B56C25">
              <w:rPr>
                <w:b w:val="0"/>
                <w:color w:val="auto"/>
                <w:sz w:val="22"/>
                <w:szCs w:val="22"/>
              </w:rPr>
              <w:t>ARC to continue to</w:t>
            </w:r>
            <w:r>
              <w:rPr>
                <w:b w:val="0"/>
                <w:color w:val="auto"/>
                <w:sz w:val="22"/>
                <w:szCs w:val="22"/>
              </w:rPr>
              <w:t xml:space="preserve"> deliver on these areas in the current partnership and</w:t>
            </w:r>
            <w:r w:rsidRPr="00B56C25">
              <w:rPr>
                <w:b w:val="0"/>
                <w:color w:val="auto"/>
                <w:sz w:val="22"/>
                <w:szCs w:val="22"/>
              </w:rPr>
              <w:t xml:space="preserve"> </w:t>
            </w:r>
            <w:r>
              <w:rPr>
                <w:b w:val="0"/>
                <w:color w:val="auto"/>
                <w:sz w:val="22"/>
                <w:szCs w:val="22"/>
              </w:rPr>
              <w:t>include them as core areas of work</w:t>
            </w:r>
            <w:r w:rsidRPr="00B56C25">
              <w:rPr>
                <w:b w:val="0"/>
                <w:color w:val="auto"/>
                <w:sz w:val="22"/>
                <w:szCs w:val="22"/>
              </w:rPr>
              <w:t xml:space="preserve"> in the future partnership design</w:t>
            </w:r>
            <w:r>
              <w:rPr>
                <w:b w:val="0"/>
                <w:color w:val="auto"/>
                <w:sz w:val="22"/>
                <w:szCs w:val="22"/>
              </w:rPr>
              <w:t xml:space="preserve"> document</w:t>
            </w:r>
            <w:r w:rsidRPr="00B56C25">
              <w:rPr>
                <w:b w:val="0"/>
                <w:color w:val="auto"/>
                <w:sz w:val="22"/>
                <w:szCs w:val="22"/>
              </w:rPr>
              <w:t>.</w:t>
            </w:r>
          </w:p>
        </w:tc>
        <w:tc>
          <w:tcPr>
            <w:tcW w:w="1843" w:type="dxa"/>
            <w:vAlign w:val="center"/>
          </w:tcPr>
          <w:p w14:paraId="103A12BA" w14:textId="77777777" w:rsidR="003956EC" w:rsidRPr="00B56C25" w:rsidRDefault="003956EC" w:rsidP="006A347A">
            <w:pPr>
              <w:pStyle w:val="BodyText"/>
              <w:spacing w:before="0" w:line="240" w:lineRule="auto"/>
              <w:jc w:val="center"/>
              <w:rPr>
                <w:rFonts w:eastAsia="Times New Roman" w:cstheme="majorHAnsi"/>
                <w:sz w:val="22"/>
                <w:szCs w:val="22"/>
                <w:shd w:val="clear" w:color="auto" w:fill="FFFFFF"/>
                <w:lang w:val="en-NZ"/>
              </w:rPr>
            </w:pPr>
            <w:r>
              <w:rPr>
                <w:b w:val="0"/>
                <w:color w:val="auto"/>
                <w:sz w:val="22"/>
                <w:szCs w:val="22"/>
              </w:rPr>
              <w:t xml:space="preserve">By end </w:t>
            </w:r>
            <w:r w:rsidRPr="00B56C25">
              <w:rPr>
                <w:b w:val="0"/>
                <w:color w:val="auto"/>
                <w:sz w:val="22"/>
                <w:szCs w:val="22"/>
              </w:rPr>
              <w:t>Q</w:t>
            </w:r>
            <w:r>
              <w:rPr>
                <w:b w:val="0"/>
                <w:color w:val="auto"/>
                <w:sz w:val="22"/>
                <w:szCs w:val="22"/>
              </w:rPr>
              <w:t>2</w:t>
            </w:r>
            <w:r w:rsidRPr="00B56C25">
              <w:rPr>
                <w:b w:val="0"/>
                <w:color w:val="auto"/>
                <w:sz w:val="22"/>
                <w:szCs w:val="22"/>
              </w:rPr>
              <w:t xml:space="preserve"> 2019</w:t>
            </w:r>
          </w:p>
        </w:tc>
      </w:tr>
      <w:tr w:rsidR="003956EC" w:rsidRPr="003956EC" w14:paraId="282FB432" w14:textId="77777777" w:rsidTr="000422F0">
        <w:trPr>
          <w:jc w:val="center"/>
        </w:trPr>
        <w:tc>
          <w:tcPr>
            <w:tcW w:w="13887" w:type="dxa"/>
            <w:gridSpan w:val="5"/>
          </w:tcPr>
          <w:p w14:paraId="08B87A12" w14:textId="7E06FEC0" w:rsidR="003956EC" w:rsidRPr="003956EC" w:rsidRDefault="003956EC" w:rsidP="003956EC">
            <w:pPr>
              <w:pStyle w:val="BodyText"/>
              <w:spacing w:before="0"/>
              <w:rPr>
                <w:i/>
                <w:sz w:val="22"/>
                <w:szCs w:val="22"/>
              </w:rPr>
            </w:pPr>
            <w:r w:rsidRPr="003956EC">
              <w:rPr>
                <w:i/>
                <w:sz w:val="22"/>
                <w:szCs w:val="22"/>
              </w:rPr>
              <w:t>Monitoring, Evaluation, Reporting and (adaptive) learning – do it well</w:t>
            </w:r>
          </w:p>
        </w:tc>
      </w:tr>
      <w:tr w:rsidR="003956EC" w:rsidRPr="00B56C25" w14:paraId="708B981A" w14:textId="77777777" w:rsidTr="003956EC">
        <w:trPr>
          <w:jc w:val="center"/>
        </w:trPr>
        <w:tc>
          <w:tcPr>
            <w:tcW w:w="4390" w:type="dxa"/>
          </w:tcPr>
          <w:p w14:paraId="1238E17A" w14:textId="77777777" w:rsidR="003956EC" w:rsidRPr="00027970" w:rsidRDefault="003956EC" w:rsidP="00A164C3">
            <w:pPr>
              <w:pStyle w:val="BodyText"/>
              <w:numPr>
                <w:ilvl w:val="1"/>
                <w:numId w:val="1"/>
              </w:numPr>
              <w:spacing w:before="0"/>
              <w:ind w:left="357" w:hanging="357"/>
              <w:jc w:val="both"/>
              <w:rPr>
                <w:rFonts w:cstheme="majorHAnsi"/>
                <w:b w:val="0"/>
                <w:color w:val="333333"/>
                <w:sz w:val="22"/>
                <w:szCs w:val="22"/>
                <w:shd w:val="clear" w:color="auto" w:fill="FFFFFF"/>
              </w:rPr>
            </w:pPr>
            <w:r w:rsidRPr="00027970">
              <w:rPr>
                <w:rFonts w:cstheme="majorHAnsi"/>
                <w:b w:val="0"/>
                <w:color w:val="333333"/>
                <w:sz w:val="22"/>
                <w:szCs w:val="22"/>
                <w:shd w:val="clear" w:color="auto" w:fill="FFFFFF"/>
              </w:rPr>
              <w:t xml:space="preserve">[ARC] The performance framework should be developed in parallel with the programme design, blending output-level indicators with a select number of outcome-level indicators and a discrete set of partnership effectiveness indicators. (It goes without saying that the Monitoring, Evaluation, Research and Learning (MERL) system must be objective (see Recommendation 15d) and able to collect and report on disaggregated gender and disability inclusion data. </w:t>
            </w:r>
          </w:p>
        </w:tc>
        <w:tc>
          <w:tcPr>
            <w:tcW w:w="1417" w:type="dxa"/>
            <w:shd w:val="clear" w:color="auto" w:fill="A8D08D" w:themeFill="accent6" w:themeFillTint="99"/>
            <w:vAlign w:val="center"/>
          </w:tcPr>
          <w:p w14:paraId="2B2EBAAC" w14:textId="77777777" w:rsidR="003956EC" w:rsidRDefault="003956EC" w:rsidP="006A347A">
            <w:pPr>
              <w:pStyle w:val="BodyText"/>
              <w:spacing w:before="0"/>
              <w:jc w:val="center"/>
              <w:rPr>
                <w:rFonts w:eastAsia="Times New Roman" w:cstheme="majorHAnsi"/>
                <w:sz w:val="22"/>
                <w:szCs w:val="22"/>
                <w:shd w:val="clear" w:color="auto" w:fill="FFFFFF"/>
                <w:lang w:val="en-NZ"/>
              </w:rPr>
            </w:pPr>
            <w:r w:rsidRPr="00BE7161">
              <w:rPr>
                <w:color w:val="auto"/>
                <w:sz w:val="24"/>
                <w:szCs w:val="24"/>
              </w:rPr>
              <w:t>Agree</w:t>
            </w:r>
          </w:p>
        </w:tc>
        <w:tc>
          <w:tcPr>
            <w:tcW w:w="3402" w:type="dxa"/>
            <w:vAlign w:val="center"/>
          </w:tcPr>
          <w:p w14:paraId="3ABC188C" w14:textId="77777777" w:rsidR="003956EC" w:rsidRPr="00B56C25" w:rsidRDefault="003956EC" w:rsidP="006A347A">
            <w:pPr>
              <w:pStyle w:val="BodyText"/>
              <w:spacing w:before="0" w:line="240" w:lineRule="auto"/>
              <w:rPr>
                <w:b w:val="0"/>
                <w:color w:val="auto"/>
                <w:sz w:val="22"/>
                <w:szCs w:val="22"/>
              </w:rPr>
            </w:pPr>
            <w:r w:rsidRPr="00B56C25">
              <w:rPr>
                <w:b w:val="0"/>
                <w:color w:val="auto"/>
                <w:sz w:val="22"/>
                <w:szCs w:val="22"/>
              </w:rPr>
              <w:t xml:space="preserve">ARC and DFAT agree with this recommendation and consider it a priority for the next partnership design, noting that the performance framework should collect </w:t>
            </w:r>
            <w:r>
              <w:rPr>
                <w:b w:val="0"/>
                <w:color w:val="auto"/>
                <w:sz w:val="22"/>
                <w:szCs w:val="22"/>
              </w:rPr>
              <w:t xml:space="preserve">sex, </w:t>
            </w:r>
            <w:r w:rsidRPr="00B56C25">
              <w:rPr>
                <w:b w:val="0"/>
                <w:color w:val="auto"/>
                <w:sz w:val="22"/>
                <w:szCs w:val="22"/>
              </w:rPr>
              <w:t>age</w:t>
            </w:r>
            <w:r>
              <w:rPr>
                <w:b w:val="0"/>
                <w:color w:val="auto"/>
                <w:sz w:val="22"/>
                <w:szCs w:val="22"/>
              </w:rPr>
              <w:t xml:space="preserve"> </w:t>
            </w:r>
            <w:r w:rsidRPr="00B56C25">
              <w:rPr>
                <w:b w:val="0"/>
                <w:color w:val="auto"/>
                <w:sz w:val="22"/>
                <w:szCs w:val="22"/>
              </w:rPr>
              <w:t>and disability disaggregated data.</w:t>
            </w:r>
          </w:p>
        </w:tc>
        <w:tc>
          <w:tcPr>
            <w:tcW w:w="2835" w:type="dxa"/>
            <w:vAlign w:val="center"/>
          </w:tcPr>
          <w:p w14:paraId="5D069850" w14:textId="77777777" w:rsidR="003956EC" w:rsidRDefault="003956EC" w:rsidP="006A347A">
            <w:pPr>
              <w:pStyle w:val="BodyText"/>
              <w:spacing w:before="0" w:line="240" w:lineRule="auto"/>
              <w:rPr>
                <w:b w:val="0"/>
                <w:color w:val="auto"/>
                <w:sz w:val="22"/>
                <w:szCs w:val="22"/>
              </w:rPr>
            </w:pPr>
            <w:r w:rsidRPr="00B56C25">
              <w:rPr>
                <w:b w:val="0"/>
                <w:color w:val="auto"/>
                <w:sz w:val="22"/>
                <w:szCs w:val="22"/>
              </w:rPr>
              <w:t xml:space="preserve">ARC to lead on development of </w:t>
            </w:r>
            <w:r>
              <w:rPr>
                <w:b w:val="0"/>
                <w:color w:val="auto"/>
                <w:sz w:val="22"/>
                <w:szCs w:val="22"/>
              </w:rPr>
              <w:t xml:space="preserve">a </w:t>
            </w:r>
            <w:r w:rsidRPr="00B56C25">
              <w:rPr>
                <w:b w:val="0"/>
                <w:color w:val="auto"/>
                <w:sz w:val="22"/>
                <w:szCs w:val="22"/>
              </w:rPr>
              <w:t>performance framework</w:t>
            </w:r>
            <w:r>
              <w:rPr>
                <w:b w:val="0"/>
                <w:color w:val="auto"/>
                <w:sz w:val="22"/>
                <w:szCs w:val="22"/>
              </w:rPr>
              <w:t xml:space="preserve"> that will form a key component of the future partnership design proposal.</w:t>
            </w:r>
          </w:p>
          <w:p w14:paraId="610E0CA7" w14:textId="77777777" w:rsidR="003956EC" w:rsidRPr="00B56C25" w:rsidRDefault="003956EC" w:rsidP="006A347A">
            <w:pPr>
              <w:pStyle w:val="BodyText"/>
              <w:spacing w:before="0" w:line="240" w:lineRule="auto"/>
              <w:rPr>
                <w:b w:val="0"/>
                <w:color w:val="auto"/>
                <w:sz w:val="22"/>
                <w:szCs w:val="22"/>
              </w:rPr>
            </w:pPr>
            <w:r>
              <w:rPr>
                <w:b w:val="0"/>
                <w:color w:val="auto"/>
                <w:sz w:val="22"/>
                <w:szCs w:val="22"/>
              </w:rPr>
              <w:t>This framework will align with relevant priorities of DFAT’s humanitarian strategy, relevant ARC policies and relevant key international commitments made by both partners.</w:t>
            </w:r>
          </w:p>
        </w:tc>
        <w:tc>
          <w:tcPr>
            <w:tcW w:w="1843" w:type="dxa"/>
            <w:vAlign w:val="center"/>
          </w:tcPr>
          <w:p w14:paraId="73084977" w14:textId="77777777" w:rsidR="003956EC" w:rsidRPr="00B56C25" w:rsidRDefault="003956EC" w:rsidP="006A347A">
            <w:pPr>
              <w:pStyle w:val="BodyText"/>
              <w:spacing w:before="0" w:line="240" w:lineRule="auto"/>
              <w:jc w:val="center"/>
              <w:rPr>
                <w:rFonts w:eastAsia="Times New Roman" w:cstheme="majorHAnsi"/>
                <w:sz w:val="22"/>
                <w:szCs w:val="22"/>
                <w:shd w:val="clear" w:color="auto" w:fill="FFFFFF"/>
                <w:lang w:val="en-NZ"/>
              </w:rPr>
            </w:pPr>
            <w:r>
              <w:rPr>
                <w:b w:val="0"/>
                <w:color w:val="auto"/>
                <w:sz w:val="22"/>
                <w:szCs w:val="22"/>
              </w:rPr>
              <w:t xml:space="preserve">By end </w:t>
            </w:r>
            <w:r w:rsidRPr="00B56C25">
              <w:rPr>
                <w:b w:val="0"/>
                <w:color w:val="auto"/>
                <w:sz w:val="22"/>
                <w:szCs w:val="22"/>
              </w:rPr>
              <w:t>Q</w:t>
            </w:r>
            <w:r>
              <w:rPr>
                <w:b w:val="0"/>
                <w:color w:val="auto"/>
                <w:sz w:val="22"/>
                <w:szCs w:val="22"/>
              </w:rPr>
              <w:t>2</w:t>
            </w:r>
            <w:r w:rsidRPr="00B56C25">
              <w:rPr>
                <w:b w:val="0"/>
                <w:color w:val="auto"/>
                <w:sz w:val="22"/>
                <w:szCs w:val="22"/>
              </w:rPr>
              <w:t xml:space="preserve"> 2019</w:t>
            </w:r>
          </w:p>
        </w:tc>
      </w:tr>
      <w:tr w:rsidR="003956EC" w:rsidRPr="00B56C25" w14:paraId="5B8B520E" w14:textId="77777777" w:rsidTr="003956EC">
        <w:trPr>
          <w:jc w:val="center"/>
        </w:trPr>
        <w:tc>
          <w:tcPr>
            <w:tcW w:w="4390" w:type="dxa"/>
          </w:tcPr>
          <w:p w14:paraId="36570D17" w14:textId="77777777" w:rsidR="003956EC" w:rsidRPr="00027970" w:rsidRDefault="003956EC" w:rsidP="006A347A">
            <w:pPr>
              <w:pStyle w:val="BodyText"/>
              <w:numPr>
                <w:ilvl w:val="1"/>
                <w:numId w:val="1"/>
              </w:numPr>
              <w:spacing w:before="0"/>
              <w:ind w:left="357" w:hanging="357"/>
              <w:jc w:val="both"/>
              <w:rPr>
                <w:rFonts w:cstheme="majorHAnsi"/>
                <w:b w:val="0"/>
                <w:color w:val="auto"/>
                <w:sz w:val="22"/>
                <w:szCs w:val="22"/>
                <w:shd w:val="clear" w:color="auto" w:fill="FFFFFF"/>
              </w:rPr>
            </w:pPr>
            <w:r w:rsidRPr="00027970">
              <w:rPr>
                <w:rFonts w:cstheme="majorHAnsi"/>
                <w:b w:val="0"/>
                <w:color w:val="333333"/>
                <w:sz w:val="22"/>
                <w:szCs w:val="22"/>
                <w:shd w:val="clear" w:color="auto" w:fill="FFFFFF"/>
              </w:rPr>
              <w:lastRenderedPageBreak/>
              <w:t>[DFAT and ARC] The Partnership should adopt a ‘development evaluative’ approach to monitoring and evaluation (M&amp;E), which focuses on adaptive programme management and learning, and allocate resources for regular joint evaluative tasks that will allow DFAT and ARC to tell compelling change stories.</w:t>
            </w:r>
            <w:r w:rsidRPr="0074437F">
              <w:rPr>
                <w:rFonts w:cstheme="majorHAnsi"/>
                <w:b w:val="0"/>
                <w:color w:val="auto"/>
                <w:sz w:val="22"/>
                <w:szCs w:val="22"/>
                <w:shd w:val="clear" w:color="auto" w:fill="FFFFFF"/>
              </w:rPr>
              <w:t xml:space="preserve"> </w:t>
            </w:r>
          </w:p>
        </w:tc>
        <w:tc>
          <w:tcPr>
            <w:tcW w:w="1417" w:type="dxa"/>
            <w:tcBorders>
              <w:bottom w:val="single" w:sz="4" w:space="0" w:color="auto"/>
            </w:tcBorders>
            <w:shd w:val="clear" w:color="auto" w:fill="A8D08D" w:themeFill="accent6" w:themeFillTint="99"/>
            <w:vAlign w:val="center"/>
          </w:tcPr>
          <w:p w14:paraId="449DF7B5" w14:textId="77777777" w:rsidR="003956EC" w:rsidRDefault="003956EC" w:rsidP="006A347A">
            <w:pPr>
              <w:pStyle w:val="BodyText"/>
              <w:spacing w:before="0"/>
              <w:jc w:val="center"/>
              <w:rPr>
                <w:rFonts w:eastAsia="Times New Roman" w:cstheme="majorHAnsi"/>
                <w:sz w:val="22"/>
                <w:szCs w:val="22"/>
                <w:shd w:val="clear" w:color="auto" w:fill="FFFFFF"/>
                <w:lang w:val="en-NZ"/>
              </w:rPr>
            </w:pPr>
            <w:r w:rsidRPr="00BE7161">
              <w:rPr>
                <w:color w:val="auto"/>
                <w:sz w:val="24"/>
                <w:szCs w:val="24"/>
              </w:rPr>
              <w:t>Agree</w:t>
            </w:r>
          </w:p>
        </w:tc>
        <w:tc>
          <w:tcPr>
            <w:tcW w:w="3402" w:type="dxa"/>
            <w:vAlign w:val="center"/>
          </w:tcPr>
          <w:p w14:paraId="7B34B81C" w14:textId="77777777" w:rsidR="003956EC" w:rsidRPr="00B56C25" w:rsidRDefault="003956EC" w:rsidP="006A347A">
            <w:pPr>
              <w:pStyle w:val="BodyText"/>
              <w:spacing w:before="0" w:line="240" w:lineRule="auto"/>
              <w:rPr>
                <w:rFonts w:eastAsia="Times New Roman" w:cstheme="majorHAnsi"/>
                <w:sz w:val="22"/>
                <w:szCs w:val="22"/>
                <w:shd w:val="clear" w:color="auto" w:fill="FFFFFF"/>
                <w:lang w:val="en-NZ"/>
              </w:rPr>
            </w:pPr>
            <w:r w:rsidRPr="00B56C25">
              <w:rPr>
                <w:b w:val="0"/>
                <w:color w:val="auto"/>
                <w:sz w:val="22"/>
                <w:szCs w:val="22"/>
              </w:rPr>
              <w:t>ARC and DFAT agree with this recommendation and consider the development of a</w:t>
            </w:r>
            <w:r>
              <w:rPr>
                <w:b w:val="0"/>
                <w:color w:val="auto"/>
                <w:sz w:val="22"/>
                <w:szCs w:val="22"/>
              </w:rPr>
              <w:t>n</w:t>
            </w:r>
            <w:r w:rsidRPr="00B56C25">
              <w:rPr>
                <w:b w:val="0"/>
                <w:color w:val="auto"/>
                <w:sz w:val="22"/>
                <w:szCs w:val="22"/>
              </w:rPr>
              <w:t xml:space="preserve"> M&amp;E approach that </w:t>
            </w:r>
            <w:r>
              <w:rPr>
                <w:b w:val="0"/>
                <w:color w:val="auto"/>
                <w:sz w:val="22"/>
                <w:szCs w:val="22"/>
              </w:rPr>
              <w:t xml:space="preserve">encourages adaptive management practices drawing on disaggregated data to be </w:t>
            </w:r>
            <w:r w:rsidRPr="00B56C25">
              <w:rPr>
                <w:b w:val="0"/>
                <w:color w:val="auto"/>
                <w:sz w:val="22"/>
                <w:szCs w:val="22"/>
              </w:rPr>
              <w:t>a priority for the next partnership design. DFAT would welcome the opportunity to be engaged in monitoring and learning opportunities, within existing resources.</w:t>
            </w:r>
          </w:p>
        </w:tc>
        <w:tc>
          <w:tcPr>
            <w:tcW w:w="2835" w:type="dxa"/>
            <w:vAlign w:val="center"/>
          </w:tcPr>
          <w:p w14:paraId="308816D0" w14:textId="77777777" w:rsidR="003956EC" w:rsidRPr="00B56C25" w:rsidRDefault="003956EC" w:rsidP="006A347A">
            <w:pPr>
              <w:pStyle w:val="BodyText"/>
              <w:spacing w:before="0" w:line="240" w:lineRule="auto"/>
              <w:rPr>
                <w:b w:val="0"/>
                <w:color w:val="auto"/>
                <w:sz w:val="22"/>
                <w:szCs w:val="22"/>
              </w:rPr>
            </w:pPr>
            <w:r w:rsidRPr="00B56C25">
              <w:rPr>
                <w:b w:val="0"/>
                <w:color w:val="auto"/>
                <w:sz w:val="22"/>
                <w:szCs w:val="22"/>
              </w:rPr>
              <w:t>ARC to lead on design of learning agenda and associated activities</w:t>
            </w:r>
            <w:r>
              <w:rPr>
                <w:b w:val="0"/>
                <w:color w:val="auto"/>
                <w:sz w:val="22"/>
                <w:szCs w:val="22"/>
              </w:rPr>
              <w:t>, including confirming roles and responsibilities for joint monitoring</w:t>
            </w:r>
            <w:r w:rsidRPr="00B56C25">
              <w:rPr>
                <w:b w:val="0"/>
                <w:color w:val="auto"/>
                <w:sz w:val="22"/>
                <w:szCs w:val="22"/>
              </w:rPr>
              <w:t>.</w:t>
            </w:r>
          </w:p>
          <w:p w14:paraId="6FE00127" w14:textId="77777777" w:rsidR="003956EC" w:rsidRPr="00B56C25" w:rsidRDefault="003956EC" w:rsidP="006A347A">
            <w:pPr>
              <w:pStyle w:val="BodyText"/>
              <w:spacing w:before="0" w:line="240" w:lineRule="auto"/>
              <w:rPr>
                <w:rFonts w:eastAsia="Times New Roman" w:cstheme="majorHAnsi"/>
                <w:sz w:val="22"/>
                <w:szCs w:val="22"/>
                <w:shd w:val="clear" w:color="auto" w:fill="FFFFFF"/>
                <w:lang w:val="en-NZ"/>
              </w:rPr>
            </w:pPr>
            <w:r w:rsidRPr="00B56C25">
              <w:rPr>
                <w:b w:val="0"/>
                <w:color w:val="auto"/>
                <w:sz w:val="22"/>
                <w:szCs w:val="22"/>
              </w:rPr>
              <w:t xml:space="preserve">DFAT to allocate </w:t>
            </w:r>
            <w:r>
              <w:rPr>
                <w:b w:val="0"/>
                <w:color w:val="auto"/>
                <w:sz w:val="22"/>
                <w:szCs w:val="22"/>
              </w:rPr>
              <w:t xml:space="preserve">human and financial </w:t>
            </w:r>
            <w:r w:rsidRPr="00B56C25">
              <w:rPr>
                <w:b w:val="0"/>
                <w:color w:val="auto"/>
                <w:sz w:val="22"/>
                <w:szCs w:val="22"/>
              </w:rPr>
              <w:t>resources for at least one joint monitoring mission per financial year.</w:t>
            </w:r>
            <w:r w:rsidRPr="00B56C25">
              <w:rPr>
                <w:rFonts w:eastAsia="Times New Roman" w:cstheme="majorHAnsi"/>
                <w:sz w:val="22"/>
                <w:szCs w:val="22"/>
                <w:shd w:val="clear" w:color="auto" w:fill="FFFFFF"/>
                <w:lang w:val="en-NZ"/>
              </w:rPr>
              <w:t xml:space="preserve"> </w:t>
            </w:r>
          </w:p>
        </w:tc>
        <w:tc>
          <w:tcPr>
            <w:tcW w:w="1843" w:type="dxa"/>
            <w:vAlign w:val="center"/>
          </w:tcPr>
          <w:p w14:paraId="7F991BF7" w14:textId="77777777" w:rsidR="003956EC" w:rsidRPr="00B56C25" w:rsidRDefault="003956EC" w:rsidP="006A347A">
            <w:pPr>
              <w:pStyle w:val="BodyText"/>
              <w:spacing w:before="0" w:line="240" w:lineRule="auto"/>
              <w:jc w:val="center"/>
              <w:rPr>
                <w:rFonts w:eastAsia="Times New Roman" w:cstheme="majorHAnsi"/>
                <w:sz w:val="22"/>
                <w:szCs w:val="22"/>
                <w:shd w:val="clear" w:color="auto" w:fill="FFFFFF"/>
                <w:lang w:val="en-NZ"/>
              </w:rPr>
            </w:pPr>
            <w:r>
              <w:rPr>
                <w:b w:val="0"/>
                <w:color w:val="auto"/>
                <w:sz w:val="22"/>
                <w:szCs w:val="22"/>
              </w:rPr>
              <w:t xml:space="preserve">By end </w:t>
            </w:r>
            <w:r w:rsidRPr="00B56C25">
              <w:rPr>
                <w:b w:val="0"/>
                <w:color w:val="auto"/>
                <w:sz w:val="22"/>
                <w:szCs w:val="22"/>
              </w:rPr>
              <w:t>Q</w:t>
            </w:r>
            <w:r>
              <w:rPr>
                <w:b w:val="0"/>
                <w:color w:val="auto"/>
                <w:sz w:val="22"/>
                <w:szCs w:val="22"/>
              </w:rPr>
              <w:t>2</w:t>
            </w:r>
            <w:r w:rsidRPr="00B56C25">
              <w:rPr>
                <w:b w:val="0"/>
                <w:color w:val="auto"/>
                <w:sz w:val="22"/>
                <w:szCs w:val="22"/>
              </w:rPr>
              <w:t xml:space="preserve"> 2019</w:t>
            </w:r>
          </w:p>
        </w:tc>
      </w:tr>
      <w:tr w:rsidR="003956EC" w:rsidRPr="003956EC" w14:paraId="02EDC45B" w14:textId="77777777" w:rsidTr="00635156">
        <w:trPr>
          <w:jc w:val="center"/>
        </w:trPr>
        <w:tc>
          <w:tcPr>
            <w:tcW w:w="13887" w:type="dxa"/>
            <w:gridSpan w:val="5"/>
          </w:tcPr>
          <w:p w14:paraId="1DE8B17D" w14:textId="03C418A4" w:rsidR="003956EC" w:rsidRPr="003956EC" w:rsidRDefault="003956EC" w:rsidP="003956EC">
            <w:pPr>
              <w:pStyle w:val="BodyText"/>
              <w:spacing w:before="0"/>
              <w:rPr>
                <w:i/>
                <w:sz w:val="22"/>
                <w:szCs w:val="22"/>
              </w:rPr>
            </w:pPr>
            <w:r w:rsidRPr="003956EC">
              <w:rPr>
                <w:i/>
                <w:sz w:val="22"/>
                <w:szCs w:val="22"/>
              </w:rPr>
              <w:t>Protection, gender and inclusion (PGI)</w:t>
            </w:r>
          </w:p>
        </w:tc>
      </w:tr>
      <w:tr w:rsidR="003956EC" w:rsidRPr="00B56C25" w14:paraId="27E06011" w14:textId="77777777" w:rsidTr="003956EC">
        <w:trPr>
          <w:jc w:val="center"/>
        </w:trPr>
        <w:tc>
          <w:tcPr>
            <w:tcW w:w="4390" w:type="dxa"/>
          </w:tcPr>
          <w:p w14:paraId="621E252C" w14:textId="77777777" w:rsidR="003956EC" w:rsidRPr="00DA241A" w:rsidRDefault="003956EC" w:rsidP="006A347A">
            <w:pPr>
              <w:pStyle w:val="BodyText"/>
              <w:numPr>
                <w:ilvl w:val="1"/>
                <w:numId w:val="1"/>
              </w:numPr>
              <w:spacing w:before="0"/>
              <w:ind w:left="448" w:hanging="425"/>
              <w:jc w:val="both"/>
              <w:rPr>
                <w:rFonts w:cstheme="majorHAnsi"/>
                <w:b w:val="0"/>
                <w:color w:val="333333"/>
                <w:sz w:val="22"/>
                <w:szCs w:val="22"/>
                <w:shd w:val="clear" w:color="auto" w:fill="FFFFFF"/>
              </w:rPr>
            </w:pPr>
            <w:r w:rsidRPr="00DA241A">
              <w:rPr>
                <w:rFonts w:cstheme="majorHAnsi"/>
                <w:b w:val="0"/>
                <w:color w:val="333333"/>
                <w:sz w:val="22"/>
                <w:szCs w:val="22"/>
                <w:shd w:val="clear" w:color="auto" w:fill="FFFFFF"/>
              </w:rPr>
              <w:t>ARC should expand support to strengthen National Society capacity to deliver on protection, gender and disability inclusion commitments. This should include continuing, first, to lobby IFRC partners to ensure all National Societies have actionable gender equality and disability inclusion and gender-based violence standards in place; second, to provide technical support to operationalise these standards in organisational and programming practice; and third, to strengthen the capacity of National Societies to support government efforts related to sexual and gender-based violence in disasters.</w:t>
            </w:r>
          </w:p>
        </w:tc>
        <w:tc>
          <w:tcPr>
            <w:tcW w:w="1417" w:type="dxa"/>
            <w:shd w:val="clear" w:color="auto" w:fill="A8D08D" w:themeFill="accent6" w:themeFillTint="99"/>
            <w:vAlign w:val="center"/>
          </w:tcPr>
          <w:p w14:paraId="3984EFDD" w14:textId="77777777" w:rsidR="003956EC" w:rsidRDefault="003956EC" w:rsidP="006A347A">
            <w:pPr>
              <w:pStyle w:val="BodyText"/>
              <w:spacing w:before="0"/>
              <w:jc w:val="center"/>
              <w:rPr>
                <w:rFonts w:eastAsia="Times New Roman" w:cstheme="majorHAnsi"/>
                <w:sz w:val="22"/>
                <w:szCs w:val="22"/>
                <w:shd w:val="clear" w:color="auto" w:fill="FFFFFF"/>
                <w:lang w:val="en-NZ"/>
              </w:rPr>
            </w:pPr>
            <w:r w:rsidRPr="00B05DDF">
              <w:rPr>
                <w:color w:val="auto"/>
                <w:sz w:val="24"/>
                <w:szCs w:val="24"/>
              </w:rPr>
              <w:t>Agree</w:t>
            </w:r>
          </w:p>
        </w:tc>
        <w:tc>
          <w:tcPr>
            <w:tcW w:w="3402" w:type="dxa"/>
            <w:vAlign w:val="center"/>
          </w:tcPr>
          <w:p w14:paraId="3BF2B3D2" w14:textId="77777777" w:rsidR="003956EC" w:rsidRPr="00B56C25" w:rsidRDefault="003956EC" w:rsidP="006A347A">
            <w:pPr>
              <w:pStyle w:val="BodyText"/>
              <w:spacing w:before="0" w:line="240" w:lineRule="auto"/>
              <w:rPr>
                <w:b w:val="0"/>
                <w:color w:val="auto"/>
                <w:sz w:val="22"/>
                <w:szCs w:val="22"/>
              </w:rPr>
            </w:pPr>
            <w:r w:rsidRPr="00B56C25">
              <w:rPr>
                <w:b w:val="0"/>
                <w:color w:val="auto"/>
                <w:sz w:val="22"/>
                <w:szCs w:val="22"/>
              </w:rPr>
              <w:t>ARC and DFAT strongly agree with the recommendation to support strengthening of national societies in Protection, Gender and Inclusion in the next partnership design, and continued advocacy within the Federation on these issues.</w:t>
            </w:r>
          </w:p>
        </w:tc>
        <w:tc>
          <w:tcPr>
            <w:tcW w:w="2835" w:type="dxa"/>
            <w:vAlign w:val="center"/>
          </w:tcPr>
          <w:p w14:paraId="68E96484" w14:textId="77777777" w:rsidR="003956EC" w:rsidRPr="00B56C25" w:rsidRDefault="003956EC" w:rsidP="006A347A">
            <w:pPr>
              <w:pStyle w:val="BodyText"/>
              <w:spacing w:before="0" w:line="240" w:lineRule="auto"/>
              <w:rPr>
                <w:b w:val="0"/>
                <w:color w:val="auto"/>
                <w:sz w:val="22"/>
                <w:szCs w:val="22"/>
              </w:rPr>
            </w:pPr>
            <w:r w:rsidRPr="00B56C25">
              <w:rPr>
                <w:b w:val="0"/>
                <w:color w:val="auto"/>
                <w:sz w:val="22"/>
                <w:szCs w:val="22"/>
              </w:rPr>
              <w:t>ARC</w:t>
            </w:r>
            <w:r>
              <w:rPr>
                <w:b w:val="0"/>
                <w:color w:val="auto"/>
                <w:sz w:val="22"/>
                <w:szCs w:val="22"/>
              </w:rPr>
              <w:t xml:space="preserve"> to</w:t>
            </w:r>
            <w:r w:rsidRPr="00B56C25">
              <w:rPr>
                <w:b w:val="0"/>
                <w:color w:val="auto"/>
                <w:sz w:val="22"/>
                <w:szCs w:val="22"/>
              </w:rPr>
              <w:t xml:space="preserve"> </w:t>
            </w:r>
            <w:r>
              <w:rPr>
                <w:b w:val="0"/>
                <w:color w:val="auto"/>
                <w:sz w:val="22"/>
                <w:szCs w:val="22"/>
              </w:rPr>
              <w:t xml:space="preserve">integrate PGI </w:t>
            </w:r>
            <w:r w:rsidRPr="00B56C25">
              <w:rPr>
                <w:b w:val="0"/>
                <w:color w:val="auto"/>
                <w:sz w:val="22"/>
                <w:szCs w:val="22"/>
              </w:rPr>
              <w:t>into the future partnership design</w:t>
            </w:r>
            <w:r>
              <w:rPr>
                <w:b w:val="0"/>
                <w:color w:val="auto"/>
                <w:sz w:val="22"/>
                <w:szCs w:val="22"/>
              </w:rPr>
              <w:t xml:space="preserve"> document, and ensure allocation of resources</w:t>
            </w:r>
            <w:r w:rsidRPr="00B56C25">
              <w:rPr>
                <w:b w:val="0"/>
                <w:color w:val="auto"/>
                <w:sz w:val="22"/>
                <w:szCs w:val="22"/>
              </w:rPr>
              <w:t>.</w:t>
            </w:r>
          </w:p>
        </w:tc>
        <w:tc>
          <w:tcPr>
            <w:tcW w:w="1843" w:type="dxa"/>
            <w:vAlign w:val="center"/>
          </w:tcPr>
          <w:p w14:paraId="5CC20500" w14:textId="77777777" w:rsidR="003956EC" w:rsidRPr="00B56C25" w:rsidRDefault="003956EC" w:rsidP="006A347A">
            <w:pPr>
              <w:pStyle w:val="BodyText"/>
              <w:spacing w:before="0" w:line="240" w:lineRule="auto"/>
              <w:jc w:val="center"/>
              <w:rPr>
                <w:b w:val="0"/>
                <w:color w:val="auto"/>
                <w:sz w:val="22"/>
                <w:szCs w:val="22"/>
              </w:rPr>
            </w:pPr>
            <w:r>
              <w:rPr>
                <w:b w:val="0"/>
                <w:color w:val="auto"/>
                <w:sz w:val="22"/>
                <w:szCs w:val="22"/>
              </w:rPr>
              <w:t xml:space="preserve">By end </w:t>
            </w:r>
            <w:r w:rsidRPr="00B56C25">
              <w:rPr>
                <w:b w:val="0"/>
                <w:color w:val="auto"/>
                <w:sz w:val="22"/>
                <w:szCs w:val="22"/>
              </w:rPr>
              <w:t>Q</w:t>
            </w:r>
            <w:r>
              <w:rPr>
                <w:b w:val="0"/>
                <w:color w:val="auto"/>
                <w:sz w:val="22"/>
                <w:szCs w:val="22"/>
              </w:rPr>
              <w:t>2</w:t>
            </w:r>
            <w:r w:rsidRPr="00B56C25">
              <w:rPr>
                <w:b w:val="0"/>
                <w:color w:val="auto"/>
                <w:sz w:val="22"/>
                <w:szCs w:val="22"/>
              </w:rPr>
              <w:t xml:space="preserve"> 2019</w:t>
            </w:r>
          </w:p>
        </w:tc>
      </w:tr>
      <w:tr w:rsidR="003956EC" w:rsidRPr="00B56C25" w14:paraId="2D08054F" w14:textId="77777777" w:rsidTr="003956EC">
        <w:trPr>
          <w:jc w:val="center"/>
        </w:trPr>
        <w:tc>
          <w:tcPr>
            <w:tcW w:w="4390" w:type="dxa"/>
          </w:tcPr>
          <w:p w14:paraId="65D239B9" w14:textId="77777777" w:rsidR="003956EC" w:rsidRPr="00DA241A" w:rsidRDefault="003956EC" w:rsidP="006A347A">
            <w:pPr>
              <w:pStyle w:val="BodyText"/>
              <w:numPr>
                <w:ilvl w:val="1"/>
                <w:numId w:val="1"/>
              </w:numPr>
              <w:spacing w:before="0"/>
              <w:jc w:val="both"/>
              <w:rPr>
                <w:rFonts w:cstheme="majorHAnsi"/>
                <w:b w:val="0"/>
                <w:color w:val="333333"/>
                <w:sz w:val="22"/>
                <w:szCs w:val="22"/>
                <w:shd w:val="clear" w:color="auto" w:fill="FFFFFF"/>
              </w:rPr>
            </w:pPr>
            <w:r w:rsidRPr="00DA241A">
              <w:rPr>
                <w:rFonts w:cstheme="majorHAnsi"/>
                <w:b w:val="0"/>
                <w:color w:val="333333"/>
                <w:sz w:val="22"/>
                <w:szCs w:val="22"/>
                <w:shd w:val="clear" w:color="auto" w:fill="FFFFFF"/>
              </w:rPr>
              <w:lastRenderedPageBreak/>
              <w:t>ARC should harness the localised power of the Asia and Pacific Gender &amp; Diversity (G&amp;D) Networks. This could include action-focused learning and expanded dialogue about, for example, gender in emergencies and gender-based violence protection and response in emergencies, supported through expanded and formalised partnerships that draw in the technical expertise of local civil society and ‘local’ research organisations to build an evidence base for change. ARC could also consider supporting a mentoring programme to accompany emerging protection, gender and disability inclusion leadership.</w:t>
            </w:r>
          </w:p>
        </w:tc>
        <w:tc>
          <w:tcPr>
            <w:tcW w:w="1417" w:type="dxa"/>
            <w:shd w:val="clear" w:color="auto" w:fill="A8D08D" w:themeFill="accent6" w:themeFillTint="99"/>
            <w:vAlign w:val="center"/>
          </w:tcPr>
          <w:p w14:paraId="4CFD6E55" w14:textId="77777777" w:rsidR="003956EC" w:rsidRDefault="003956EC" w:rsidP="006A347A">
            <w:pPr>
              <w:pStyle w:val="BodyText"/>
              <w:spacing w:before="0"/>
              <w:jc w:val="center"/>
              <w:rPr>
                <w:rFonts w:eastAsia="Times New Roman" w:cstheme="majorHAnsi"/>
                <w:sz w:val="22"/>
                <w:szCs w:val="22"/>
                <w:shd w:val="clear" w:color="auto" w:fill="FFFFFF"/>
                <w:lang w:val="en-NZ"/>
              </w:rPr>
            </w:pPr>
            <w:r w:rsidRPr="00B05DDF">
              <w:rPr>
                <w:color w:val="auto"/>
                <w:sz w:val="24"/>
                <w:szCs w:val="24"/>
              </w:rPr>
              <w:t>Agree</w:t>
            </w:r>
          </w:p>
        </w:tc>
        <w:tc>
          <w:tcPr>
            <w:tcW w:w="3402" w:type="dxa"/>
            <w:vAlign w:val="center"/>
          </w:tcPr>
          <w:p w14:paraId="317EA3F2" w14:textId="77777777" w:rsidR="003956EC" w:rsidRPr="00B56C25" w:rsidRDefault="003956EC" w:rsidP="006A347A">
            <w:pPr>
              <w:pStyle w:val="BodyText"/>
              <w:spacing w:before="0" w:line="240" w:lineRule="auto"/>
              <w:rPr>
                <w:b w:val="0"/>
                <w:color w:val="auto"/>
                <w:sz w:val="22"/>
                <w:szCs w:val="22"/>
              </w:rPr>
            </w:pPr>
            <w:r w:rsidRPr="00B56C25">
              <w:rPr>
                <w:b w:val="0"/>
                <w:color w:val="auto"/>
                <w:sz w:val="22"/>
                <w:szCs w:val="22"/>
              </w:rPr>
              <w:t xml:space="preserve">ARC and DFAT agree with an increased focus on </w:t>
            </w:r>
            <w:r>
              <w:rPr>
                <w:b w:val="0"/>
                <w:color w:val="auto"/>
                <w:sz w:val="22"/>
                <w:szCs w:val="22"/>
              </w:rPr>
              <w:t xml:space="preserve">expanded dialogue and action focused learning on </w:t>
            </w:r>
            <w:r w:rsidRPr="00B56C25">
              <w:rPr>
                <w:b w:val="0"/>
                <w:color w:val="auto"/>
                <w:sz w:val="22"/>
                <w:szCs w:val="22"/>
              </w:rPr>
              <w:t>Gender and Diversity in the future partnership design.</w:t>
            </w:r>
          </w:p>
        </w:tc>
        <w:tc>
          <w:tcPr>
            <w:tcW w:w="2835" w:type="dxa"/>
            <w:vAlign w:val="center"/>
          </w:tcPr>
          <w:p w14:paraId="6264586C" w14:textId="77777777" w:rsidR="003956EC" w:rsidRPr="00B56C25" w:rsidRDefault="003956EC" w:rsidP="006A347A">
            <w:pPr>
              <w:pStyle w:val="BodyText"/>
              <w:spacing w:before="0" w:line="240" w:lineRule="auto"/>
              <w:rPr>
                <w:b w:val="0"/>
                <w:color w:val="auto"/>
                <w:sz w:val="22"/>
                <w:szCs w:val="22"/>
              </w:rPr>
            </w:pPr>
            <w:r w:rsidRPr="00B56C25">
              <w:rPr>
                <w:b w:val="0"/>
                <w:color w:val="auto"/>
                <w:sz w:val="22"/>
                <w:szCs w:val="22"/>
              </w:rPr>
              <w:t>ARC</w:t>
            </w:r>
            <w:r>
              <w:rPr>
                <w:b w:val="0"/>
                <w:color w:val="auto"/>
                <w:sz w:val="22"/>
                <w:szCs w:val="22"/>
              </w:rPr>
              <w:t xml:space="preserve"> to</w:t>
            </w:r>
            <w:r w:rsidRPr="00B56C25">
              <w:rPr>
                <w:b w:val="0"/>
                <w:color w:val="auto"/>
                <w:sz w:val="22"/>
                <w:szCs w:val="22"/>
              </w:rPr>
              <w:t xml:space="preserve"> </w:t>
            </w:r>
            <w:r>
              <w:rPr>
                <w:b w:val="0"/>
                <w:color w:val="auto"/>
                <w:sz w:val="22"/>
                <w:szCs w:val="22"/>
              </w:rPr>
              <w:t xml:space="preserve">integrate PGI </w:t>
            </w:r>
            <w:r w:rsidRPr="00B56C25">
              <w:rPr>
                <w:b w:val="0"/>
                <w:color w:val="auto"/>
                <w:sz w:val="22"/>
                <w:szCs w:val="22"/>
              </w:rPr>
              <w:t>into the future partnership design</w:t>
            </w:r>
            <w:r>
              <w:rPr>
                <w:b w:val="0"/>
                <w:color w:val="auto"/>
                <w:sz w:val="22"/>
                <w:szCs w:val="22"/>
              </w:rPr>
              <w:t xml:space="preserve"> document, and ensure allocation of resources</w:t>
            </w:r>
            <w:r w:rsidRPr="00B56C25" w:rsidDel="00655ED6">
              <w:rPr>
                <w:b w:val="0"/>
                <w:color w:val="auto"/>
                <w:sz w:val="22"/>
                <w:szCs w:val="22"/>
              </w:rPr>
              <w:t xml:space="preserve"> </w:t>
            </w:r>
            <w:r>
              <w:rPr>
                <w:b w:val="0"/>
                <w:color w:val="auto"/>
                <w:sz w:val="22"/>
                <w:szCs w:val="22"/>
              </w:rPr>
              <w:t>to support national and regional champions.</w:t>
            </w:r>
          </w:p>
        </w:tc>
        <w:tc>
          <w:tcPr>
            <w:tcW w:w="1843" w:type="dxa"/>
            <w:vAlign w:val="center"/>
          </w:tcPr>
          <w:p w14:paraId="3EA11B73" w14:textId="77777777" w:rsidR="003956EC" w:rsidRPr="00B56C25" w:rsidRDefault="003956EC" w:rsidP="006A347A">
            <w:pPr>
              <w:pStyle w:val="BodyText"/>
              <w:spacing w:before="0" w:line="240" w:lineRule="auto"/>
              <w:jc w:val="center"/>
              <w:rPr>
                <w:b w:val="0"/>
                <w:color w:val="auto"/>
                <w:sz w:val="22"/>
                <w:szCs w:val="22"/>
              </w:rPr>
            </w:pPr>
            <w:r>
              <w:rPr>
                <w:b w:val="0"/>
                <w:color w:val="auto"/>
                <w:sz w:val="22"/>
                <w:szCs w:val="22"/>
              </w:rPr>
              <w:t xml:space="preserve">By end </w:t>
            </w:r>
            <w:r w:rsidRPr="00B56C25">
              <w:rPr>
                <w:b w:val="0"/>
                <w:color w:val="auto"/>
                <w:sz w:val="22"/>
                <w:szCs w:val="22"/>
              </w:rPr>
              <w:t>Q</w:t>
            </w:r>
            <w:r>
              <w:rPr>
                <w:b w:val="0"/>
                <w:color w:val="auto"/>
                <w:sz w:val="22"/>
                <w:szCs w:val="22"/>
              </w:rPr>
              <w:t>2</w:t>
            </w:r>
            <w:r w:rsidRPr="00B56C25">
              <w:rPr>
                <w:b w:val="0"/>
                <w:color w:val="auto"/>
                <w:sz w:val="22"/>
                <w:szCs w:val="22"/>
              </w:rPr>
              <w:t xml:space="preserve"> 2019</w:t>
            </w:r>
          </w:p>
        </w:tc>
      </w:tr>
      <w:tr w:rsidR="003956EC" w:rsidRPr="00B56C25" w14:paraId="3EA94A5F" w14:textId="77777777" w:rsidTr="003956EC">
        <w:trPr>
          <w:jc w:val="center"/>
        </w:trPr>
        <w:tc>
          <w:tcPr>
            <w:tcW w:w="4390" w:type="dxa"/>
          </w:tcPr>
          <w:p w14:paraId="27C06059" w14:textId="77777777" w:rsidR="003956EC" w:rsidRPr="00DA241A" w:rsidRDefault="003956EC" w:rsidP="006A347A">
            <w:pPr>
              <w:pStyle w:val="BodyText"/>
              <w:numPr>
                <w:ilvl w:val="1"/>
                <w:numId w:val="1"/>
              </w:numPr>
              <w:spacing w:before="0"/>
              <w:jc w:val="both"/>
              <w:rPr>
                <w:rFonts w:cstheme="majorHAnsi"/>
                <w:b w:val="0"/>
                <w:color w:val="333333"/>
                <w:sz w:val="22"/>
                <w:szCs w:val="22"/>
                <w:shd w:val="clear" w:color="auto" w:fill="FFFFFF"/>
              </w:rPr>
            </w:pPr>
            <w:r w:rsidRPr="00DA241A">
              <w:rPr>
                <w:rFonts w:cstheme="majorHAnsi"/>
                <w:b w:val="0"/>
                <w:color w:val="333333"/>
                <w:sz w:val="22"/>
                <w:szCs w:val="22"/>
                <w:shd w:val="clear" w:color="auto" w:fill="FFFFFF"/>
              </w:rPr>
              <w:t xml:space="preserve">ARC should lobby within IFRC to strengthen protection, gender and disability inclusion accountability mechanisms. ARC could consider, for example, lobbying with IFRC regional structures to have each National Society report on and discuss disaggregated gender and disability inclusion data to increase their awareness of the importance of removing barriers to enable full participation of women and girls, people with disabilities and marginalised groups and to draw on these </w:t>
            </w:r>
            <w:r w:rsidRPr="00DA241A">
              <w:rPr>
                <w:rFonts w:cstheme="majorHAnsi"/>
                <w:b w:val="0"/>
                <w:color w:val="333333"/>
                <w:sz w:val="22"/>
                <w:szCs w:val="22"/>
                <w:shd w:val="clear" w:color="auto" w:fill="FFFFFF"/>
              </w:rPr>
              <w:lastRenderedPageBreak/>
              <w:t>discussions to prioritise allocation of programme resources.</w:t>
            </w:r>
          </w:p>
        </w:tc>
        <w:tc>
          <w:tcPr>
            <w:tcW w:w="1417" w:type="dxa"/>
            <w:shd w:val="clear" w:color="auto" w:fill="A8D08D" w:themeFill="accent6" w:themeFillTint="99"/>
            <w:vAlign w:val="center"/>
          </w:tcPr>
          <w:p w14:paraId="1A3CF619" w14:textId="77777777" w:rsidR="003956EC" w:rsidRDefault="003956EC" w:rsidP="006A347A">
            <w:pPr>
              <w:pStyle w:val="BodyText"/>
              <w:spacing w:before="0"/>
              <w:jc w:val="center"/>
              <w:rPr>
                <w:rFonts w:eastAsia="Times New Roman" w:cstheme="majorHAnsi"/>
                <w:sz w:val="22"/>
                <w:szCs w:val="22"/>
                <w:shd w:val="clear" w:color="auto" w:fill="FFFFFF"/>
                <w:lang w:val="en-NZ"/>
              </w:rPr>
            </w:pPr>
            <w:r>
              <w:rPr>
                <w:color w:val="auto"/>
                <w:sz w:val="24"/>
                <w:szCs w:val="24"/>
              </w:rPr>
              <w:lastRenderedPageBreak/>
              <w:t xml:space="preserve">Agree </w:t>
            </w:r>
          </w:p>
        </w:tc>
        <w:tc>
          <w:tcPr>
            <w:tcW w:w="3402" w:type="dxa"/>
            <w:vAlign w:val="center"/>
          </w:tcPr>
          <w:p w14:paraId="2FB9E6AA" w14:textId="77777777" w:rsidR="003956EC" w:rsidRPr="00B56C25" w:rsidRDefault="003956EC" w:rsidP="006A347A">
            <w:pPr>
              <w:pStyle w:val="BodyText"/>
              <w:spacing w:before="0" w:line="240" w:lineRule="auto"/>
              <w:rPr>
                <w:rFonts w:eastAsia="Times New Roman" w:cstheme="majorHAnsi"/>
                <w:sz w:val="22"/>
                <w:szCs w:val="22"/>
                <w:shd w:val="clear" w:color="auto" w:fill="FFFFFF"/>
                <w:lang w:val="en-NZ"/>
              </w:rPr>
            </w:pPr>
            <w:r w:rsidRPr="00B56C25">
              <w:rPr>
                <w:b w:val="0"/>
                <w:color w:val="auto"/>
                <w:sz w:val="22"/>
                <w:szCs w:val="22"/>
              </w:rPr>
              <w:t>ARC and DFAT agree with the recommendation to continue advocacy on these issues within the Federation</w:t>
            </w:r>
            <w:r w:rsidRPr="00E375DB">
              <w:rPr>
                <w:b w:val="0"/>
                <w:color w:val="auto"/>
                <w:sz w:val="22"/>
                <w:szCs w:val="22"/>
              </w:rPr>
              <w:t>, including in support of prioritising resource allocation to PGI.</w:t>
            </w:r>
          </w:p>
        </w:tc>
        <w:tc>
          <w:tcPr>
            <w:tcW w:w="2835" w:type="dxa"/>
            <w:vAlign w:val="center"/>
          </w:tcPr>
          <w:p w14:paraId="09D2C979" w14:textId="77777777" w:rsidR="003956EC" w:rsidRPr="00B56C25" w:rsidRDefault="003956EC" w:rsidP="006A347A">
            <w:pPr>
              <w:pStyle w:val="BodyText"/>
              <w:spacing w:before="0"/>
              <w:rPr>
                <w:rFonts w:eastAsia="Times New Roman" w:cstheme="majorHAnsi"/>
                <w:sz w:val="22"/>
                <w:szCs w:val="22"/>
                <w:shd w:val="clear" w:color="auto" w:fill="FFFFFF"/>
                <w:lang w:val="en-NZ"/>
              </w:rPr>
            </w:pPr>
            <w:r w:rsidRPr="00B56C25">
              <w:rPr>
                <w:b w:val="0"/>
                <w:color w:val="auto"/>
                <w:sz w:val="22"/>
                <w:szCs w:val="22"/>
              </w:rPr>
              <w:t xml:space="preserve">ARC </w:t>
            </w:r>
            <w:r>
              <w:rPr>
                <w:b w:val="0"/>
                <w:color w:val="auto"/>
                <w:sz w:val="22"/>
                <w:szCs w:val="22"/>
              </w:rPr>
              <w:t xml:space="preserve">to integrate PGI </w:t>
            </w:r>
            <w:r w:rsidRPr="00B56C25">
              <w:rPr>
                <w:b w:val="0"/>
                <w:color w:val="auto"/>
                <w:sz w:val="22"/>
                <w:szCs w:val="22"/>
              </w:rPr>
              <w:t>into the future partnership design</w:t>
            </w:r>
            <w:r>
              <w:rPr>
                <w:b w:val="0"/>
                <w:color w:val="auto"/>
                <w:sz w:val="22"/>
                <w:szCs w:val="22"/>
              </w:rPr>
              <w:t xml:space="preserve"> document, and ensure allocation of resources</w:t>
            </w:r>
            <w:r w:rsidRPr="00B56C25">
              <w:rPr>
                <w:b w:val="0"/>
                <w:color w:val="auto"/>
                <w:sz w:val="22"/>
                <w:szCs w:val="22"/>
              </w:rPr>
              <w:t>.</w:t>
            </w:r>
          </w:p>
        </w:tc>
        <w:tc>
          <w:tcPr>
            <w:tcW w:w="1843" w:type="dxa"/>
            <w:vAlign w:val="center"/>
          </w:tcPr>
          <w:p w14:paraId="7687E5E5" w14:textId="77777777" w:rsidR="003956EC" w:rsidRPr="00B56C25" w:rsidRDefault="003956EC" w:rsidP="006A347A">
            <w:pPr>
              <w:pStyle w:val="BodyText"/>
              <w:spacing w:before="0" w:line="240" w:lineRule="auto"/>
              <w:jc w:val="center"/>
              <w:rPr>
                <w:b w:val="0"/>
                <w:color w:val="auto"/>
                <w:sz w:val="22"/>
                <w:szCs w:val="22"/>
              </w:rPr>
            </w:pPr>
            <w:r>
              <w:rPr>
                <w:b w:val="0"/>
                <w:color w:val="auto"/>
                <w:sz w:val="22"/>
                <w:szCs w:val="22"/>
              </w:rPr>
              <w:t xml:space="preserve">By end </w:t>
            </w:r>
            <w:r w:rsidRPr="00B56C25">
              <w:rPr>
                <w:b w:val="0"/>
                <w:color w:val="auto"/>
                <w:sz w:val="22"/>
                <w:szCs w:val="22"/>
              </w:rPr>
              <w:t>Q</w:t>
            </w:r>
            <w:r>
              <w:rPr>
                <w:b w:val="0"/>
                <w:color w:val="auto"/>
                <w:sz w:val="22"/>
                <w:szCs w:val="22"/>
              </w:rPr>
              <w:t>2</w:t>
            </w:r>
            <w:r w:rsidRPr="00B56C25">
              <w:rPr>
                <w:b w:val="0"/>
                <w:color w:val="auto"/>
                <w:sz w:val="22"/>
                <w:szCs w:val="22"/>
              </w:rPr>
              <w:t xml:space="preserve"> 2019</w:t>
            </w:r>
          </w:p>
        </w:tc>
      </w:tr>
      <w:tr w:rsidR="003956EC" w:rsidRPr="003956EC" w14:paraId="46561CC3" w14:textId="77777777" w:rsidTr="002B19C7">
        <w:trPr>
          <w:jc w:val="center"/>
        </w:trPr>
        <w:tc>
          <w:tcPr>
            <w:tcW w:w="13887" w:type="dxa"/>
            <w:gridSpan w:val="5"/>
          </w:tcPr>
          <w:p w14:paraId="151AF5D8" w14:textId="73AD20D5" w:rsidR="003956EC" w:rsidRPr="003956EC" w:rsidRDefault="003956EC" w:rsidP="003956EC">
            <w:pPr>
              <w:pStyle w:val="BodyText"/>
              <w:spacing w:before="0"/>
              <w:rPr>
                <w:i/>
                <w:sz w:val="22"/>
                <w:szCs w:val="22"/>
              </w:rPr>
            </w:pPr>
            <w:r w:rsidRPr="003956EC">
              <w:rPr>
                <w:i/>
                <w:sz w:val="22"/>
                <w:szCs w:val="22"/>
              </w:rPr>
              <w:t>Commit stable and long-term resources to National Staff Development</w:t>
            </w:r>
          </w:p>
        </w:tc>
      </w:tr>
      <w:tr w:rsidR="003956EC" w:rsidRPr="00B56C25" w14:paraId="2CFABE2D" w14:textId="77777777" w:rsidTr="003956EC">
        <w:trPr>
          <w:jc w:val="center"/>
        </w:trPr>
        <w:tc>
          <w:tcPr>
            <w:tcW w:w="4390" w:type="dxa"/>
          </w:tcPr>
          <w:p w14:paraId="4C66FEBB" w14:textId="77777777" w:rsidR="003956EC" w:rsidRDefault="003956EC" w:rsidP="006A347A">
            <w:pPr>
              <w:pStyle w:val="BodyText"/>
              <w:numPr>
                <w:ilvl w:val="1"/>
                <w:numId w:val="1"/>
              </w:numPr>
              <w:spacing w:before="0"/>
              <w:jc w:val="both"/>
              <w:rPr>
                <w:rFonts w:cstheme="majorHAnsi"/>
                <w:b w:val="0"/>
                <w:color w:val="333333"/>
                <w:sz w:val="22"/>
                <w:szCs w:val="22"/>
                <w:shd w:val="clear" w:color="auto" w:fill="FFFFFF"/>
              </w:rPr>
            </w:pPr>
            <w:r w:rsidRPr="00DA241A">
              <w:rPr>
                <w:rFonts w:cstheme="majorHAnsi"/>
                <w:b w:val="0"/>
                <w:color w:val="333333"/>
                <w:sz w:val="22"/>
                <w:szCs w:val="22"/>
                <w:shd w:val="clear" w:color="auto" w:fill="FFFFFF"/>
              </w:rPr>
              <w:t xml:space="preserve">ARC should continue to invest in: </w:t>
            </w:r>
          </w:p>
          <w:p w14:paraId="26471BF5" w14:textId="77777777" w:rsidR="003956EC" w:rsidRDefault="003956EC" w:rsidP="006A347A">
            <w:pPr>
              <w:pStyle w:val="BodyText"/>
              <w:numPr>
                <w:ilvl w:val="0"/>
                <w:numId w:val="5"/>
              </w:numPr>
              <w:spacing w:before="0"/>
              <w:jc w:val="both"/>
              <w:rPr>
                <w:rFonts w:cstheme="majorHAnsi"/>
                <w:b w:val="0"/>
                <w:color w:val="333333"/>
                <w:sz w:val="22"/>
                <w:szCs w:val="22"/>
                <w:shd w:val="clear" w:color="auto" w:fill="FFFFFF"/>
              </w:rPr>
            </w:pPr>
            <w:r w:rsidRPr="00DA241A">
              <w:rPr>
                <w:rFonts w:cstheme="majorHAnsi"/>
                <w:b w:val="0"/>
                <w:color w:val="333333"/>
                <w:sz w:val="22"/>
                <w:szCs w:val="22"/>
                <w:shd w:val="clear" w:color="auto" w:fill="FFFFFF"/>
              </w:rPr>
              <w:t>maintaining National Society headquarter and branch-level readiness in the face of future emergencies (through, for example, relevant training, simulations and participation in regional networks of Emergency Response Teams); and</w:t>
            </w:r>
          </w:p>
          <w:p w14:paraId="11085F8C" w14:textId="77777777" w:rsidR="003956EC" w:rsidRPr="005A003B" w:rsidRDefault="003956EC" w:rsidP="006A347A">
            <w:pPr>
              <w:pStyle w:val="BodyText"/>
              <w:numPr>
                <w:ilvl w:val="0"/>
                <w:numId w:val="5"/>
              </w:numPr>
              <w:spacing w:before="0"/>
              <w:jc w:val="both"/>
              <w:rPr>
                <w:rFonts w:cstheme="majorHAnsi"/>
                <w:b w:val="0"/>
                <w:color w:val="333333"/>
                <w:sz w:val="22"/>
                <w:szCs w:val="22"/>
                <w:shd w:val="clear" w:color="auto" w:fill="FFFFFF"/>
              </w:rPr>
            </w:pPr>
            <w:r w:rsidRPr="005A003B">
              <w:rPr>
                <w:rFonts w:cstheme="majorHAnsi"/>
                <w:b w:val="0"/>
                <w:color w:val="333333"/>
                <w:sz w:val="22"/>
                <w:szCs w:val="22"/>
                <w:shd w:val="clear" w:color="auto" w:fill="FFFFFF"/>
              </w:rPr>
              <w:t xml:space="preserve">consolidating and expanding sub-national network strength, sustaining the commitment of community-based disaster committees and encouraging volunteer motivation and retention. </w:t>
            </w:r>
          </w:p>
        </w:tc>
        <w:tc>
          <w:tcPr>
            <w:tcW w:w="1417" w:type="dxa"/>
            <w:shd w:val="clear" w:color="auto" w:fill="A8D08D" w:themeFill="accent6" w:themeFillTint="99"/>
            <w:vAlign w:val="center"/>
          </w:tcPr>
          <w:p w14:paraId="094633A9" w14:textId="77777777" w:rsidR="003956EC" w:rsidRDefault="003956EC" w:rsidP="006A347A">
            <w:pPr>
              <w:pStyle w:val="BodyText"/>
              <w:spacing w:before="0"/>
              <w:jc w:val="center"/>
              <w:rPr>
                <w:rFonts w:eastAsia="Times New Roman" w:cstheme="majorHAnsi"/>
                <w:sz w:val="22"/>
                <w:szCs w:val="22"/>
                <w:shd w:val="clear" w:color="auto" w:fill="FFFFFF"/>
                <w:lang w:val="en-NZ"/>
              </w:rPr>
            </w:pPr>
            <w:r w:rsidRPr="007B0DFA">
              <w:rPr>
                <w:color w:val="auto"/>
                <w:sz w:val="24"/>
                <w:szCs w:val="24"/>
              </w:rPr>
              <w:t>Agree</w:t>
            </w:r>
          </w:p>
        </w:tc>
        <w:tc>
          <w:tcPr>
            <w:tcW w:w="3402" w:type="dxa"/>
            <w:vAlign w:val="center"/>
          </w:tcPr>
          <w:p w14:paraId="65389DE7" w14:textId="77777777" w:rsidR="003956EC" w:rsidRPr="00DE1B17" w:rsidRDefault="003956EC" w:rsidP="006A347A">
            <w:pPr>
              <w:pStyle w:val="BodyText"/>
              <w:numPr>
                <w:ilvl w:val="0"/>
                <w:numId w:val="8"/>
              </w:numPr>
              <w:spacing w:before="0" w:line="240" w:lineRule="auto"/>
              <w:rPr>
                <w:rFonts w:eastAsia="Times New Roman" w:cstheme="majorHAnsi"/>
                <w:sz w:val="22"/>
                <w:szCs w:val="22"/>
                <w:shd w:val="clear" w:color="auto" w:fill="FFFFFF"/>
                <w:lang w:val="en-NZ"/>
              </w:rPr>
            </w:pPr>
            <w:r w:rsidRPr="00B56C25">
              <w:rPr>
                <w:b w:val="0"/>
                <w:color w:val="auto"/>
                <w:sz w:val="22"/>
                <w:szCs w:val="22"/>
              </w:rPr>
              <w:t xml:space="preserve">ARC and DFAT support </w:t>
            </w:r>
            <w:r>
              <w:rPr>
                <w:b w:val="0"/>
                <w:color w:val="auto"/>
                <w:sz w:val="22"/>
                <w:szCs w:val="22"/>
              </w:rPr>
              <w:t>the focus on national society headquarter and branch level readiness</w:t>
            </w:r>
            <w:r w:rsidRPr="00B56C25">
              <w:rPr>
                <w:b w:val="0"/>
                <w:color w:val="auto"/>
                <w:sz w:val="22"/>
                <w:szCs w:val="22"/>
              </w:rPr>
              <w:t xml:space="preserve"> - particularly Pacific national societies - in the future partnership design.</w:t>
            </w:r>
          </w:p>
          <w:p w14:paraId="480E9A02" w14:textId="77777777" w:rsidR="003956EC" w:rsidRPr="00D61F0D" w:rsidRDefault="003956EC" w:rsidP="006A347A">
            <w:pPr>
              <w:pStyle w:val="BodyText"/>
              <w:numPr>
                <w:ilvl w:val="0"/>
                <w:numId w:val="8"/>
              </w:numPr>
              <w:spacing w:before="0" w:line="240" w:lineRule="auto"/>
              <w:rPr>
                <w:rFonts w:eastAsia="Times New Roman" w:cstheme="majorHAnsi"/>
                <w:sz w:val="22"/>
                <w:szCs w:val="22"/>
                <w:shd w:val="clear" w:color="auto" w:fill="FFFFFF"/>
                <w:lang w:val="en-NZ"/>
              </w:rPr>
            </w:pPr>
            <w:r w:rsidRPr="00B56C25">
              <w:rPr>
                <w:b w:val="0"/>
                <w:color w:val="auto"/>
                <w:sz w:val="22"/>
                <w:szCs w:val="22"/>
              </w:rPr>
              <w:t xml:space="preserve">ARC and DFAT support </w:t>
            </w:r>
            <w:r>
              <w:rPr>
                <w:b w:val="0"/>
                <w:color w:val="auto"/>
                <w:sz w:val="22"/>
                <w:szCs w:val="22"/>
              </w:rPr>
              <w:t xml:space="preserve">a continued focus on sub-national network strengthening, including strengthening </w:t>
            </w:r>
            <w:r w:rsidRPr="005A003B">
              <w:rPr>
                <w:rFonts w:cstheme="majorHAnsi"/>
                <w:b w:val="0"/>
                <w:color w:val="333333"/>
                <w:sz w:val="22"/>
                <w:szCs w:val="22"/>
                <w:shd w:val="clear" w:color="auto" w:fill="FFFFFF"/>
              </w:rPr>
              <w:t>community-</w:t>
            </w:r>
            <w:r>
              <w:rPr>
                <w:rFonts w:cstheme="majorHAnsi"/>
                <w:b w:val="0"/>
                <w:color w:val="333333"/>
                <w:sz w:val="22"/>
                <w:szCs w:val="22"/>
                <w:shd w:val="clear" w:color="auto" w:fill="FFFFFF"/>
              </w:rPr>
              <w:t xml:space="preserve">led initiatives to reduce disaster risk and enhance response </w:t>
            </w:r>
            <w:r w:rsidRPr="005A003B">
              <w:rPr>
                <w:rFonts w:cstheme="majorHAnsi"/>
                <w:b w:val="0"/>
                <w:color w:val="333333"/>
                <w:sz w:val="22"/>
                <w:szCs w:val="22"/>
                <w:shd w:val="clear" w:color="auto" w:fill="FFFFFF"/>
              </w:rPr>
              <w:t>and encouraging volunteer motivation and retention</w:t>
            </w:r>
            <w:r>
              <w:rPr>
                <w:rFonts w:cstheme="majorHAnsi"/>
                <w:b w:val="0"/>
                <w:color w:val="333333"/>
                <w:sz w:val="22"/>
                <w:szCs w:val="22"/>
                <w:shd w:val="clear" w:color="auto" w:fill="FFFFFF"/>
              </w:rPr>
              <w:t>, in</w:t>
            </w:r>
            <w:r w:rsidRPr="00B56C25">
              <w:rPr>
                <w:b w:val="0"/>
                <w:color w:val="auto"/>
                <w:sz w:val="22"/>
                <w:szCs w:val="22"/>
              </w:rPr>
              <w:t xml:space="preserve"> the future partnership design.</w:t>
            </w:r>
          </w:p>
        </w:tc>
        <w:tc>
          <w:tcPr>
            <w:tcW w:w="2835" w:type="dxa"/>
            <w:vAlign w:val="center"/>
          </w:tcPr>
          <w:p w14:paraId="73371890" w14:textId="77777777" w:rsidR="003956EC" w:rsidRPr="00B56C25" w:rsidRDefault="003956EC" w:rsidP="006A347A">
            <w:pPr>
              <w:pStyle w:val="BodyText"/>
              <w:spacing w:before="0"/>
              <w:rPr>
                <w:rFonts w:eastAsia="Times New Roman" w:cstheme="majorHAnsi"/>
                <w:sz w:val="22"/>
                <w:szCs w:val="22"/>
                <w:shd w:val="clear" w:color="auto" w:fill="FFFFFF"/>
                <w:lang w:val="en-NZ"/>
              </w:rPr>
            </w:pPr>
            <w:r w:rsidRPr="00B56C25">
              <w:rPr>
                <w:b w:val="0"/>
                <w:color w:val="auto"/>
                <w:sz w:val="22"/>
                <w:szCs w:val="22"/>
              </w:rPr>
              <w:t>ARC</w:t>
            </w:r>
            <w:r>
              <w:rPr>
                <w:b w:val="0"/>
                <w:color w:val="auto"/>
                <w:sz w:val="22"/>
                <w:szCs w:val="22"/>
              </w:rPr>
              <w:t xml:space="preserve"> to address these recommendations in developing</w:t>
            </w:r>
            <w:r w:rsidRPr="00B56C25">
              <w:rPr>
                <w:b w:val="0"/>
                <w:color w:val="auto"/>
                <w:sz w:val="22"/>
                <w:szCs w:val="22"/>
              </w:rPr>
              <w:t xml:space="preserve"> </w:t>
            </w:r>
            <w:r>
              <w:rPr>
                <w:b w:val="0"/>
                <w:color w:val="auto"/>
                <w:sz w:val="22"/>
                <w:szCs w:val="22"/>
              </w:rPr>
              <w:t xml:space="preserve">the future </w:t>
            </w:r>
            <w:r w:rsidRPr="00B56C25">
              <w:rPr>
                <w:b w:val="0"/>
                <w:color w:val="auto"/>
                <w:sz w:val="22"/>
                <w:szCs w:val="22"/>
              </w:rPr>
              <w:t>partnership design</w:t>
            </w:r>
            <w:r>
              <w:rPr>
                <w:b w:val="0"/>
                <w:color w:val="auto"/>
                <w:sz w:val="22"/>
                <w:szCs w:val="22"/>
              </w:rPr>
              <w:t xml:space="preserve"> document, and ensure allocation of resources</w:t>
            </w:r>
            <w:r w:rsidRPr="00B56C25">
              <w:rPr>
                <w:b w:val="0"/>
                <w:color w:val="auto"/>
                <w:sz w:val="22"/>
                <w:szCs w:val="22"/>
              </w:rPr>
              <w:t>.</w:t>
            </w:r>
          </w:p>
        </w:tc>
        <w:tc>
          <w:tcPr>
            <w:tcW w:w="1843" w:type="dxa"/>
            <w:vAlign w:val="center"/>
          </w:tcPr>
          <w:p w14:paraId="23B6445A" w14:textId="77777777" w:rsidR="003956EC" w:rsidRPr="00B56C25" w:rsidRDefault="003956EC" w:rsidP="006A347A">
            <w:pPr>
              <w:pStyle w:val="BodyText"/>
              <w:spacing w:before="0" w:line="240" w:lineRule="auto"/>
              <w:jc w:val="center"/>
              <w:rPr>
                <w:b w:val="0"/>
                <w:color w:val="auto"/>
                <w:sz w:val="22"/>
                <w:szCs w:val="22"/>
              </w:rPr>
            </w:pPr>
            <w:r>
              <w:rPr>
                <w:b w:val="0"/>
                <w:color w:val="auto"/>
                <w:sz w:val="22"/>
                <w:szCs w:val="22"/>
              </w:rPr>
              <w:t xml:space="preserve">By end </w:t>
            </w:r>
            <w:r w:rsidRPr="00B56C25">
              <w:rPr>
                <w:b w:val="0"/>
                <w:color w:val="auto"/>
                <w:sz w:val="22"/>
                <w:szCs w:val="22"/>
              </w:rPr>
              <w:t>Q</w:t>
            </w:r>
            <w:r>
              <w:rPr>
                <w:b w:val="0"/>
                <w:color w:val="auto"/>
                <w:sz w:val="22"/>
                <w:szCs w:val="22"/>
              </w:rPr>
              <w:t>2</w:t>
            </w:r>
            <w:r w:rsidRPr="00B56C25">
              <w:rPr>
                <w:b w:val="0"/>
                <w:color w:val="auto"/>
                <w:sz w:val="22"/>
                <w:szCs w:val="22"/>
              </w:rPr>
              <w:t xml:space="preserve"> 2019</w:t>
            </w:r>
          </w:p>
        </w:tc>
      </w:tr>
      <w:tr w:rsidR="003956EC" w:rsidRPr="00B56C25" w14:paraId="585FCCE7" w14:textId="77777777" w:rsidTr="003956EC">
        <w:trPr>
          <w:jc w:val="center"/>
        </w:trPr>
        <w:tc>
          <w:tcPr>
            <w:tcW w:w="4390" w:type="dxa"/>
          </w:tcPr>
          <w:p w14:paraId="2A5E87DC" w14:textId="77777777" w:rsidR="003956EC" w:rsidRPr="005A003B" w:rsidRDefault="003956EC" w:rsidP="006A347A">
            <w:pPr>
              <w:pStyle w:val="BodyText"/>
              <w:numPr>
                <w:ilvl w:val="1"/>
                <w:numId w:val="1"/>
              </w:numPr>
              <w:spacing w:before="0" w:after="80"/>
              <w:jc w:val="both"/>
              <w:rPr>
                <w:rFonts w:cstheme="majorHAnsi"/>
                <w:b w:val="0"/>
                <w:color w:val="auto"/>
                <w:sz w:val="22"/>
                <w:szCs w:val="22"/>
                <w:shd w:val="clear" w:color="auto" w:fill="FFFFFF"/>
              </w:rPr>
            </w:pPr>
            <w:r w:rsidRPr="005A003B">
              <w:rPr>
                <w:rFonts w:cstheme="majorHAnsi"/>
                <w:b w:val="0"/>
                <w:color w:val="333333"/>
                <w:sz w:val="22"/>
                <w:szCs w:val="22"/>
                <w:shd w:val="clear" w:color="auto" w:fill="FFFFFF"/>
              </w:rPr>
              <w:t>ARC should also continue to invest in supporting National Societies to put in place robust strategic and business planning, financial sustainability and accountable governance structures, as these are a foundation for sustainable organisational development and for advancing the localisation agenda.</w:t>
            </w:r>
            <w:r w:rsidRPr="0074437F">
              <w:rPr>
                <w:rFonts w:cstheme="majorHAnsi"/>
                <w:b w:val="0"/>
                <w:color w:val="auto"/>
                <w:sz w:val="22"/>
                <w:szCs w:val="22"/>
                <w:shd w:val="clear" w:color="auto" w:fill="FFFFFF"/>
              </w:rPr>
              <w:t xml:space="preserve"> </w:t>
            </w:r>
          </w:p>
        </w:tc>
        <w:tc>
          <w:tcPr>
            <w:tcW w:w="1417" w:type="dxa"/>
            <w:shd w:val="clear" w:color="auto" w:fill="A8D08D" w:themeFill="accent6" w:themeFillTint="99"/>
            <w:vAlign w:val="center"/>
          </w:tcPr>
          <w:p w14:paraId="078ECFA7" w14:textId="77777777" w:rsidR="003956EC" w:rsidRDefault="003956EC" w:rsidP="006A347A">
            <w:pPr>
              <w:pStyle w:val="BodyText"/>
              <w:spacing w:before="0"/>
              <w:jc w:val="center"/>
              <w:rPr>
                <w:rFonts w:eastAsia="Times New Roman" w:cstheme="majorHAnsi"/>
                <w:sz w:val="22"/>
                <w:szCs w:val="22"/>
                <w:shd w:val="clear" w:color="auto" w:fill="FFFFFF"/>
                <w:lang w:val="en-NZ"/>
              </w:rPr>
            </w:pPr>
            <w:r>
              <w:rPr>
                <w:color w:val="auto"/>
                <w:sz w:val="24"/>
                <w:szCs w:val="24"/>
              </w:rPr>
              <w:t>Agree</w:t>
            </w:r>
          </w:p>
        </w:tc>
        <w:tc>
          <w:tcPr>
            <w:tcW w:w="3402" w:type="dxa"/>
            <w:vAlign w:val="center"/>
          </w:tcPr>
          <w:p w14:paraId="0CC0ED26" w14:textId="77777777" w:rsidR="003956EC" w:rsidRPr="00B56C25" w:rsidRDefault="003956EC" w:rsidP="006A347A">
            <w:pPr>
              <w:pStyle w:val="BodyText"/>
              <w:spacing w:before="0" w:line="240" w:lineRule="auto"/>
              <w:rPr>
                <w:rFonts w:eastAsia="Times New Roman" w:cstheme="majorHAnsi"/>
                <w:sz w:val="22"/>
                <w:szCs w:val="22"/>
                <w:shd w:val="clear" w:color="auto" w:fill="FFFFFF"/>
                <w:lang w:val="en-NZ"/>
              </w:rPr>
            </w:pPr>
            <w:r w:rsidRPr="00B56C25">
              <w:rPr>
                <w:b w:val="0"/>
                <w:color w:val="auto"/>
                <w:sz w:val="22"/>
                <w:szCs w:val="22"/>
              </w:rPr>
              <w:t>ARC and DFAT support an increased focus on national society strengthening - particularly Pacific national societies - in the future partnership design.</w:t>
            </w:r>
          </w:p>
        </w:tc>
        <w:tc>
          <w:tcPr>
            <w:tcW w:w="2835" w:type="dxa"/>
            <w:vAlign w:val="center"/>
          </w:tcPr>
          <w:p w14:paraId="6056761D" w14:textId="77777777" w:rsidR="003956EC" w:rsidRPr="00B56C25" w:rsidRDefault="003956EC" w:rsidP="006A347A">
            <w:pPr>
              <w:pStyle w:val="BodyText"/>
              <w:spacing w:before="0"/>
              <w:rPr>
                <w:rFonts w:eastAsia="Times New Roman" w:cstheme="majorHAnsi"/>
                <w:sz w:val="22"/>
                <w:szCs w:val="22"/>
                <w:shd w:val="clear" w:color="auto" w:fill="FFFFFF"/>
                <w:lang w:val="en-NZ"/>
              </w:rPr>
            </w:pPr>
            <w:r w:rsidRPr="00B56C25">
              <w:rPr>
                <w:b w:val="0"/>
                <w:color w:val="auto"/>
                <w:sz w:val="22"/>
                <w:szCs w:val="22"/>
              </w:rPr>
              <w:t>ARC</w:t>
            </w:r>
            <w:r>
              <w:rPr>
                <w:b w:val="0"/>
                <w:color w:val="auto"/>
                <w:sz w:val="22"/>
                <w:szCs w:val="22"/>
              </w:rPr>
              <w:t xml:space="preserve"> to address these recommendations in developing</w:t>
            </w:r>
            <w:r w:rsidRPr="00B56C25">
              <w:rPr>
                <w:b w:val="0"/>
                <w:color w:val="auto"/>
                <w:sz w:val="22"/>
                <w:szCs w:val="22"/>
              </w:rPr>
              <w:t xml:space="preserve"> </w:t>
            </w:r>
            <w:r>
              <w:rPr>
                <w:b w:val="0"/>
                <w:color w:val="auto"/>
                <w:sz w:val="22"/>
                <w:szCs w:val="22"/>
              </w:rPr>
              <w:t xml:space="preserve">the future </w:t>
            </w:r>
            <w:r w:rsidRPr="00B56C25">
              <w:rPr>
                <w:b w:val="0"/>
                <w:color w:val="auto"/>
                <w:sz w:val="22"/>
                <w:szCs w:val="22"/>
              </w:rPr>
              <w:t>partnership design</w:t>
            </w:r>
            <w:r>
              <w:rPr>
                <w:b w:val="0"/>
                <w:color w:val="auto"/>
                <w:sz w:val="22"/>
                <w:szCs w:val="22"/>
              </w:rPr>
              <w:t xml:space="preserve"> document, and ensure allocation of resources</w:t>
            </w:r>
            <w:r w:rsidRPr="00B56C25">
              <w:rPr>
                <w:b w:val="0"/>
                <w:color w:val="auto"/>
                <w:sz w:val="22"/>
                <w:szCs w:val="22"/>
              </w:rPr>
              <w:t>.</w:t>
            </w:r>
          </w:p>
        </w:tc>
        <w:tc>
          <w:tcPr>
            <w:tcW w:w="1843" w:type="dxa"/>
            <w:vAlign w:val="center"/>
          </w:tcPr>
          <w:p w14:paraId="6FFE0FEC" w14:textId="77777777" w:rsidR="003956EC" w:rsidRPr="00B56C25" w:rsidRDefault="003956EC" w:rsidP="006A347A">
            <w:pPr>
              <w:pStyle w:val="BodyText"/>
              <w:spacing w:before="0" w:line="240" w:lineRule="auto"/>
              <w:jc w:val="center"/>
              <w:rPr>
                <w:b w:val="0"/>
                <w:color w:val="auto"/>
                <w:sz w:val="22"/>
                <w:szCs w:val="22"/>
              </w:rPr>
            </w:pPr>
            <w:r>
              <w:rPr>
                <w:b w:val="0"/>
                <w:color w:val="auto"/>
                <w:sz w:val="22"/>
                <w:szCs w:val="22"/>
              </w:rPr>
              <w:t xml:space="preserve">By end </w:t>
            </w:r>
            <w:r w:rsidRPr="00B56C25">
              <w:rPr>
                <w:b w:val="0"/>
                <w:color w:val="auto"/>
                <w:sz w:val="22"/>
                <w:szCs w:val="22"/>
              </w:rPr>
              <w:t>Q</w:t>
            </w:r>
            <w:r>
              <w:rPr>
                <w:b w:val="0"/>
                <w:color w:val="auto"/>
                <w:sz w:val="22"/>
                <w:szCs w:val="22"/>
              </w:rPr>
              <w:t>2</w:t>
            </w:r>
            <w:r w:rsidRPr="00B56C25">
              <w:rPr>
                <w:b w:val="0"/>
                <w:color w:val="auto"/>
                <w:sz w:val="22"/>
                <w:szCs w:val="22"/>
              </w:rPr>
              <w:t xml:space="preserve"> 2019</w:t>
            </w:r>
          </w:p>
        </w:tc>
      </w:tr>
      <w:tr w:rsidR="003956EC" w:rsidRPr="00B56C25" w14:paraId="09FB0A1B" w14:textId="77777777" w:rsidTr="003956EC">
        <w:trPr>
          <w:jc w:val="center"/>
        </w:trPr>
        <w:tc>
          <w:tcPr>
            <w:tcW w:w="4390" w:type="dxa"/>
          </w:tcPr>
          <w:p w14:paraId="6E44AC42" w14:textId="77777777" w:rsidR="003956EC" w:rsidRPr="005A003B" w:rsidRDefault="003956EC" w:rsidP="006A347A">
            <w:pPr>
              <w:pStyle w:val="BodyText"/>
              <w:numPr>
                <w:ilvl w:val="1"/>
                <w:numId w:val="1"/>
              </w:numPr>
              <w:spacing w:before="0" w:after="80"/>
              <w:jc w:val="both"/>
              <w:rPr>
                <w:rFonts w:cstheme="majorHAnsi"/>
                <w:b w:val="0"/>
                <w:color w:val="auto"/>
                <w:sz w:val="22"/>
                <w:szCs w:val="22"/>
                <w:shd w:val="clear" w:color="auto" w:fill="FFFFFF"/>
              </w:rPr>
            </w:pPr>
            <w:r w:rsidRPr="005A003B">
              <w:rPr>
                <w:rFonts w:cstheme="majorHAnsi"/>
                <w:b w:val="0"/>
                <w:color w:val="333333"/>
                <w:sz w:val="22"/>
                <w:szCs w:val="22"/>
                <w:shd w:val="clear" w:color="auto" w:fill="FFFFFF"/>
              </w:rPr>
              <w:lastRenderedPageBreak/>
              <w:t>ARC should expand efforts to invest in private sector partnerships and technologies (both as a mechanism to support cost-efficient preparedness and response capacities and to enhance the localisation agenda).</w:t>
            </w:r>
            <w:r w:rsidRPr="0074437F">
              <w:rPr>
                <w:rFonts w:cstheme="majorHAnsi"/>
                <w:b w:val="0"/>
                <w:color w:val="auto"/>
                <w:sz w:val="22"/>
                <w:szCs w:val="22"/>
                <w:shd w:val="clear" w:color="auto" w:fill="FFFFFF"/>
              </w:rPr>
              <w:t xml:space="preserve"> </w:t>
            </w:r>
          </w:p>
        </w:tc>
        <w:tc>
          <w:tcPr>
            <w:tcW w:w="1417" w:type="dxa"/>
            <w:shd w:val="clear" w:color="auto" w:fill="A8D08D" w:themeFill="accent6" w:themeFillTint="99"/>
            <w:vAlign w:val="center"/>
          </w:tcPr>
          <w:p w14:paraId="5B914C52" w14:textId="77777777" w:rsidR="003956EC" w:rsidRDefault="003956EC" w:rsidP="006A347A">
            <w:pPr>
              <w:pStyle w:val="BodyText"/>
              <w:spacing w:before="0"/>
              <w:jc w:val="center"/>
              <w:rPr>
                <w:color w:val="auto"/>
                <w:sz w:val="24"/>
                <w:szCs w:val="24"/>
              </w:rPr>
            </w:pPr>
            <w:r>
              <w:rPr>
                <w:color w:val="auto"/>
                <w:sz w:val="24"/>
                <w:szCs w:val="24"/>
              </w:rPr>
              <w:t>Agree</w:t>
            </w:r>
          </w:p>
        </w:tc>
        <w:tc>
          <w:tcPr>
            <w:tcW w:w="3402" w:type="dxa"/>
            <w:vAlign w:val="center"/>
          </w:tcPr>
          <w:p w14:paraId="7029D8CD" w14:textId="77777777" w:rsidR="003956EC" w:rsidRPr="00B56C25" w:rsidRDefault="003956EC" w:rsidP="006A347A">
            <w:pPr>
              <w:pStyle w:val="BodyText"/>
              <w:spacing w:before="0"/>
              <w:rPr>
                <w:b w:val="0"/>
                <w:color w:val="auto"/>
                <w:sz w:val="22"/>
                <w:szCs w:val="22"/>
              </w:rPr>
            </w:pPr>
            <w:r w:rsidRPr="00B56C25">
              <w:rPr>
                <w:b w:val="0"/>
                <w:color w:val="auto"/>
                <w:sz w:val="22"/>
                <w:szCs w:val="22"/>
              </w:rPr>
              <w:t>ARC and DFAT support the recommendation for increased private sector engagement.</w:t>
            </w:r>
          </w:p>
          <w:p w14:paraId="106F29B6" w14:textId="77777777" w:rsidR="003956EC" w:rsidRPr="00B56C25" w:rsidRDefault="003956EC" w:rsidP="006A347A">
            <w:pPr>
              <w:pStyle w:val="BodyText"/>
              <w:spacing w:before="0"/>
              <w:rPr>
                <w:b w:val="0"/>
                <w:color w:val="auto"/>
                <w:sz w:val="22"/>
                <w:szCs w:val="22"/>
              </w:rPr>
            </w:pPr>
            <w:r w:rsidRPr="00B56C25">
              <w:rPr>
                <w:b w:val="0"/>
                <w:color w:val="auto"/>
                <w:sz w:val="22"/>
                <w:szCs w:val="22"/>
              </w:rPr>
              <w:t>Noting that a clear strength of the Red Cross movement is its network of national societies DFAT strongly support</w:t>
            </w:r>
            <w:r>
              <w:rPr>
                <w:b w:val="0"/>
                <w:color w:val="auto"/>
                <w:sz w:val="22"/>
                <w:szCs w:val="22"/>
              </w:rPr>
              <w:t>s</w:t>
            </w:r>
            <w:r w:rsidRPr="00B56C25">
              <w:rPr>
                <w:b w:val="0"/>
                <w:color w:val="auto"/>
                <w:sz w:val="22"/>
                <w:szCs w:val="22"/>
              </w:rPr>
              <w:t xml:space="preserve"> engaging the private sector in activities that increase the capacity of national societies to respond and recover from disasters in the future partnership design.</w:t>
            </w:r>
          </w:p>
        </w:tc>
        <w:tc>
          <w:tcPr>
            <w:tcW w:w="2835" w:type="dxa"/>
            <w:vAlign w:val="center"/>
          </w:tcPr>
          <w:p w14:paraId="139FDAB3" w14:textId="77777777" w:rsidR="003956EC" w:rsidRPr="00B56C25" w:rsidRDefault="003956EC" w:rsidP="006A347A">
            <w:pPr>
              <w:pStyle w:val="BodyText"/>
              <w:spacing w:before="0"/>
              <w:rPr>
                <w:b w:val="0"/>
                <w:color w:val="auto"/>
                <w:sz w:val="22"/>
                <w:szCs w:val="22"/>
              </w:rPr>
            </w:pPr>
            <w:r w:rsidRPr="00B56C25">
              <w:rPr>
                <w:b w:val="0"/>
                <w:color w:val="auto"/>
                <w:sz w:val="22"/>
                <w:szCs w:val="22"/>
              </w:rPr>
              <w:t>ARC</w:t>
            </w:r>
            <w:r>
              <w:rPr>
                <w:b w:val="0"/>
                <w:color w:val="auto"/>
                <w:sz w:val="22"/>
                <w:szCs w:val="22"/>
              </w:rPr>
              <w:t xml:space="preserve"> to address these recommendations in developing</w:t>
            </w:r>
            <w:r w:rsidRPr="00B56C25">
              <w:rPr>
                <w:b w:val="0"/>
                <w:color w:val="auto"/>
                <w:sz w:val="22"/>
                <w:szCs w:val="22"/>
              </w:rPr>
              <w:t xml:space="preserve"> </w:t>
            </w:r>
            <w:r>
              <w:rPr>
                <w:b w:val="0"/>
                <w:color w:val="auto"/>
                <w:sz w:val="22"/>
                <w:szCs w:val="22"/>
              </w:rPr>
              <w:t xml:space="preserve">the future </w:t>
            </w:r>
            <w:r w:rsidRPr="00B56C25">
              <w:rPr>
                <w:b w:val="0"/>
                <w:color w:val="auto"/>
                <w:sz w:val="22"/>
                <w:szCs w:val="22"/>
              </w:rPr>
              <w:t>partnership design</w:t>
            </w:r>
            <w:r>
              <w:rPr>
                <w:b w:val="0"/>
                <w:color w:val="auto"/>
                <w:sz w:val="22"/>
                <w:szCs w:val="22"/>
              </w:rPr>
              <w:t xml:space="preserve"> document, and ensure allocation of resources</w:t>
            </w:r>
            <w:r w:rsidRPr="00B56C25">
              <w:rPr>
                <w:b w:val="0"/>
                <w:color w:val="auto"/>
                <w:sz w:val="22"/>
                <w:szCs w:val="22"/>
              </w:rPr>
              <w:t>.</w:t>
            </w:r>
          </w:p>
        </w:tc>
        <w:tc>
          <w:tcPr>
            <w:tcW w:w="1843" w:type="dxa"/>
            <w:vAlign w:val="center"/>
          </w:tcPr>
          <w:p w14:paraId="7695C59D" w14:textId="77777777" w:rsidR="003956EC" w:rsidRPr="00B56C25" w:rsidRDefault="003956EC" w:rsidP="006A347A">
            <w:pPr>
              <w:pStyle w:val="BodyText"/>
              <w:spacing w:before="0" w:line="240" w:lineRule="auto"/>
              <w:jc w:val="center"/>
              <w:rPr>
                <w:b w:val="0"/>
                <w:color w:val="auto"/>
                <w:sz w:val="22"/>
                <w:szCs w:val="22"/>
              </w:rPr>
            </w:pPr>
            <w:r>
              <w:rPr>
                <w:b w:val="0"/>
                <w:color w:val="auto"/>
                <w:sz w:val="22"/>
                <w:szCs w:val="22"/>
              </w:rPr>
              <w:t xml:space="preserve">By end </w:t>
            </w:r>
            <w:r w:rsidRPr="00B56C25">
              <w:rPr>
                <w:b w:val="0"/>
                <w:color w:val="auto"/>
                <w:sz w:val="22"/>
                <w:szCs w:val="22"/>
              </w:rPr>
              <w:t>Q</w:t>
            </w:r>
            <w:r>
              <w:rPr>
                <w:b w:val="0"/>
                <w:color w:val="auto"/>
                <w:sz w:val="22"/>
                <w:szCs w:val="22"/>
              </w:rPr>
              <w:t>2</w:t>
            </w:r>
            <w:r w:rsidRPr="00B56C25">
              <w:rPr>
                <w:b w:val="0"/>
                <w:color w:val="auto"/>
                <w:sz w:val="22"/>
                <w:szCs w:val="22"/>
              </w:rPr>
              <w:t xml:space="preserve"> 2019</w:t>
            </w:r>
          </w:p>
        </w:tc>
      </w:tr>
      <w:tr w:rsidR="003956EC" w:rsidRPr="00B56C25" w14:paraId="114CD58C" w14:textId="77777777" w:rsidTr="003956EC">
        <w:trPr>
          <w:jc w:val="center"/>
        </w:trPr>
        <w:tc>
          <w:tcPr>
            <w:tcW w:w="4390" w:type="dxa"/>
          </w:tcPr>
          <w:p w14:paraId="7EBF518C" w14:textId="77777777" w:rsidR="003956EC" w:rsidRPr="005A003B" w:rsidRDefault="003956EC" w:rsidP="006A347A">
            <w:pPr>
              <w:pStyle w:val="BodyText"/>
              <w:numPr>
                <w:ilvl w:val="1"/>
                <w:numId w:val="1"/>
              </w:numPr>
              <w:spacing w:before="0" w:after="80"/>
              <w:jc w:val="both"/>
              <w:rPr>
                <w:rFonts w:cstheme="majorHAnsi"/>
                <w:b w:val="0"/>
                <w:color w:val="333333"/>
                <w:sz w:val="22"/>
                <w:szCs w:val="22"/>
                <w:shd w:val="clear" w:color="auto" w:fill="FFFFFF"/>
              </w:rPr>
            </w:pPr>
            <w:r w:rsidRPr="005A003B">
              <w:rPr>
                <w:rFonts w:cstheme="majorHAnsi"/>
                <w:b w:val="0"/>
                <w:color w:val="333333"/>
                <w:sz w:val="22"/>
                <w:szCs w:val="22"/>
                <w:shd w:val="clear" w:color="auto" w:fill="FFFFFF"/>
              </w:rPr>
              <w:t>National Society organisational development outcomes should be linked to the MERL system, with resources allocated to monitor learning application. There is potential to adopt the Core Humanitarian Standard as a complementary self-assessment and monitoring tool within the context of disaster risk management programming.</w:t>
            </w:r>
          </w:p>
        </w:tc>
        <w:tc>
          <w:tcPr>
            <w:tcW w:w="1417" w:type="dxa"/>
            <w:shd w:val="clear" w:color="auto" w:fill="A8D08D" w:themeFill="accent6" w:themeFillTint="99"/>
            <w:vAlign w:val="center"/>
          </w:tcPr>
          <w:p w14:paraId="0CA85A5A" w14:textId="77777777" w:rsidR="003956EC" w:rsidRDefault="003956EC" w:rsidP="006A347A">
            <w:pPr>
              <w:pStyle w:val="BodyText"/>
              <w:spacing w:before="0"/>
              <w:jc w:val="center"/>
              <w:rPr>
                <w:color w:val="auto"/>
                <w:sz w:val="24"/>
                <w:szCs w:val="24"/>
              </w:rPr>
            </w:pPr>
            <w:r>
              <w:rPr>
                <w:color w:val="auto"/>
                <w:sz w:val="24"/>
                <w:szCs w:val="24"/>
              </w:rPr>
              <w:t>Agree</w:t>
            </w:r>
          </w:p>
        </w:tc>
        <w:tc>
          <w:tcPr>
            <w:tcW w:w="3402" w:type="dxa"/>
            <w:vAlign w:val="center"/>
          </w:tcPr>
          <w:p w14:paraId="319EF727" w14:textId="77777777" w:rsidR="003956EC" w:rsidRPr="00B56C25" w:rsidRDefault="003956EC" w:rsidP="006A347A">
            <w:pPr>
              <w:pStyle w:val="BodyText"/>
              <w:spacing w:before="0"/>
              <w:rPr>
                <w:b w:val="0"/>
                <w:color w:val="auto"/>
                <w:sz w:val="22"/>
                <w:szCs w:val="22"/>
              </w:rPr>
            </w:pPr>
            <w:r w:rsidRPr="00B56C25">
              <w:rPr>
                <w:b w:val="0"/>
                <w:color w:val="auto"/>
                <w:sz w:val="22"/>
                <w:szCs w:val="22"/>
              </w:rPr>
              <w:t xml:space="preserve">ARC and DFAT agree that clear and practical </w:t>
            </w:r>
            <w:r>
              <w:rPr>
                <w:b w:val="0"/>
                <w:color w:val="auto"/>
                <w:sz w:val="22"/>
                <w:szCs w:val="22"/>
              </w:rPr>
              <w:t>policies and practices</w:t>
            </w:r>
            <w:r w:rsidRPr="00B56C25">
              <w:rPr>
                <w:b w:val="0"/>
                <w:color w:val="auto"/>
                <w:sz w:val="22"/>
                <w:szCs w:val="22"/>
              </w:rPr>
              <w:t xml:space="preserve"> should be in place </w:t>
            </w:r>
            <w:r>
              <w:rPr>
                <w:b w:val="0"/>
                <w:color w:val="auto"/>
                <w:sz w:val="22"/>
                <w:szCs w:val="22"/>
              </w:rPr>
              <w:t>within</w:t>
            </w:r>
            <w:r w:rsidRPr="00B56C25">
              <w:rPr>
                <w:b w:val="0"/>
                <w:color w:val="auto"/>
                <w:sz w:val="22"/>
                <w:szCs w:val="22"/>
              </w:rPr>
              <w:t xml:space="preserve"> </w:t>
            </w:r>
            <w:r>
              <w:rPr>
                <w:b w:val="0"/>
                <w:color w:val="auto"/>
                <w:sz w:val="22"/>
                <w:szCs w:val="22"/>
              </w:rPr>
              <w:t>N</w:t>
            </w:r>
            <w:r w:rsidRPr="00B56C25">
              <w:rPr>
                <w:b w:val="0"/>
                <w:color w:val="auto"/>
                <w:sz w:val="22"/>
                <w:szCs w:val="22"/>
              </w:rPr>
              <w:t xml:space="preserve">ational </w:t>
            </w:r>
            <w:r>
              <w:rPr>
                <w:b w:val="0"/>
                <w:color w:val="auto"/>
                <w:sz w:val="22"/>
                <w:szCs w:val="22"/>
              </w:rPr>
              <w:t>S</w:t>
            </w:r>
            <w:r w:rsidRPr="00B56C25">
              <w:rPr>
                <w:b w:val="0"/>
                <w:color w:val="auto"/>
                <w:sz w:val="22"/>
                <w:szCs w:val="22"/>
              </w:rPr>
              <w:t xml:space="preserve">ociety funding </w:t>
            </w:r>
            <w:r>
              <w:rPr>
                <w:b w:val="0"/>
                <w:color w:val="auto"/>
                <w:sz w:val="22"/>
                <w:szCs w:val="22"/>
              </w:rPr>
              <w:t xml:space="preserve">to ensure accountability to affected people </w:t>
            </w:r>
            <w:r w:rsidRPr="00B56C25">
              <w:rPr>
                <w:b w:val="0"/>
                <w:color w:val="auto"/>
                <w:sz w:val="22"/>
                <w:szCs w:val="22"/>
              </w:rPr>
              <w:t xml:space="preserve">and be linked to </w:t>
            </w:r>
            <w:r>
              <w:rPr>
                <w:b w:val="0"/>
                <w:color w:val="auto"/>
                <w:sz w:val="22"/>
                <w:szCs w:val="22"/>
              </w:rPr>
              <w:t xml:space="preserve">organisational development outcomes in </w:t>
            </w:r>
            <w:r w:rsidRPr="00B56C25">
              <w:rPr>
                <w:b w:val="0"/>
                <w:color w:val="auto"/>
                <w:sz w:val="22"/>
                <w:szCs w:val="22"/>
              </w:rPr>
              <w:t xml:space="preserve">the performance framework. </w:t>
            </w:r>
          </w:p>
          <w:p w14:paraId="14C6E7F8" w14:textId="77777777" w:rsidR="003956EC" w:rsidRDefault="003956EC" w:rsidP="006A347A">
            <w:pPr>
              <w:pStyle w:val="BodyText"/>
              <w:spacing w:before="0"/>
              <w:rPr>
                <w:b w:val="0"/>
                <w:color w:val="auto"/>
                <w:sz w:val="22"/>
                <w:szCs w:val="22"/>
              </w:rPr>
            </w:pPr>
            <w:r w:rsidRPr="00B56C25">
              <w:rPr>
                <w:b w:val="0"/>
                <w:color w:val="auto"/>
                <w:sz w:val="22"/>
                <w:szCs w:val="22"/>
              </w:rPr>
              <w:t xml:space="preserve">Specific tools for measuring progress </w:t>
            </w:r>
            <w:r>
              <w:rPr>
                <w:b w:val="0"/>
                <w:color w:val="auto"/>
                <w:sz w:val="22"/>
                <w:szCs w:val="22"/>
              </w:rPr>
              <w:t>will</w:t>
            </w:r>
            <w:r w:rsidRPr="00B56C25">
              <w:rPr>
                <w:b w:val="0"/>
                <w:color w:val="auto"/>
                <w:sz w:val="22"/>
                <w:szCs w:val="22"/>
              </w:rPr>
              <w:t xml:space="preserve"> be determined through the development of the performance framework, leveraging and compl</w:t>
            </w:r>
            <w:r>
              <w:rPr>
                <w:b w:val="0"/>
                <w:color w:val="auto"/>
                <w:sz w:val="22"/>
                <w:szCs w:val="22"/>
              </w:rPr>
              <w:t>e</w:t>
            </w:r>
            <w:r w:rsidRPr="00B56C25">
              <w:rPr>
                <w:b w:val="0"/>
                <w:color w:val="auto"/>
                <w:sz w:val="22"/>
                <w:szCs w:val="22"/>
              </w:rPr>
              <w:t>menting whole of RC</w:t>
            </w:r>
            <w:r>
              <w:rPr>
                <w:b w:val="0"/>
                <w:color w:val="auto"/>
                <w:sz w:val="22"/>
                <w:szCs w:val="22"/>
              </w:rPr>
              <w:t>R</w:t>
            </w:r>
            <w:r w:rsidRPr="00B56C25">
              <w:rPr>
                <w:b w:val="0"/>
                <w:color w:val="auto"/>
                <w:sz w:val="22"/>
                <w:szCs w:val="22"/>
              </w:rPr>
              <w:t>C Movement ways of working in an effort to harmonise and streamline reporting burdens on partners.</w:t>
            </w:r>
          </w:p>
          <w:p w14:paraId="3A7C5F72" w14:textId="388D035D" w:rsidR="00A164C3" w:rsidRPr="00B56C25" w:rsidRDefault="00A164C3" w:rsidP="006A347A">
            <w:pPr>
              <w:pStyle w:val="BodyText"/>
              <w:spacing w:before="0"/>
              <w:rPr>
                <w:rFonts w:eastAsia="Times New Roman" w:cstheme="majorHAnsi"/>
                <w:sz w:val="22"/>
                <w:szCs w:val="22"/>
                <w:shd w:val="clear" w:color="auto" w:fill="FFFFFF"/>
                <w:lang w:val="en-NZ"/>
              </w:rPr>
            </w:pPr>
          </w:p>
        </w:tc>
        <w:tc>
          <w:tcPr>
            <w:tcW w:w="2835" w:type="dxa"/>
            <w:vAlign w:val="center"/>
          </w:tcPr>
          <w:p w14:paraId="50666ECE" w14:textId="77777777" w:rsidR="003956EC" w:rsidRPr="00B56C25" w:rsidRDefault="003956EC" w:rsidP="006A347A">
            <w:pPr>
              <w:pStyle w:val="BodyText"/>
              <w:spacing w:before="0"/>
              <w:rPr>
                <w:rFonts w:eastAsia="Times New Roman" w:cstheme="majorHAnsi"/>
                <w:sz w:val="22"/>
                <w:szCs w:val="22"/>
                <w:shd w:val="clear" w:color="auto" w:fill="FFFFFF"/>
                <w:lang w:val="en-NZ"/>
              </w:rPr>
            </w:pPr>
            <w:r w:rsidRPr="00B56C25">
              <w:rPr>
                <w:b w:val="0"/>
                <w:color w:val="auto"/>
                <w:sz w:val="22"/>
                <w:szCs w:val="22"/>
              </w:rPr>
              <w:t xml:space="preserve">ARC to integrate accountability </w:t>
            </w:r>
            <w:r>
              <w:rPr>
                <w:b w:val="0"/>
                <w:color w:val="auto"/>
                <w:sz w:val="22"/>
                <w:szCs w:val="22"/>
              </w:rPr>
              <w:t>standards</w:t>
            </w:r>
            <w:r w:rsidRPr="00B56C25">
              <w:rPr>
                <w:b w:val="0"/>
                <w:color w:val="auto"/>
                <w:sz w:val="22"/>
                <w:szCs w:val="22"/>
              </w:rPr>
              <w:t xml:space="preserve"> into the </w:t>
            </w:r>
            <w:r>
              <w:rPr>
                <w:b w:val="0"/>
                <w:color w:val="auto"/>
                <w:sz w:val="22"/>
                <w:szCs w:val="22"/>
              </w:rPr>
              <w:t>p</w:t>
            </w:r>
            <w:r w:rsidRPr="00B56C25">
              <w:rPr>
                <w:b w:val="0"/>
                <w:color w:val="auto"/>
                <w:sz w:val="22"/>
                <w:szCs w:val="22"/>
              </w:rPr>
              <w:t>erformance framework</w:t>
            </w:r>
            <w:r>
              <w:rPr>
                <w:b w:val="0"/>
                <w:color w:val="auto"/>
                <w:sz w:val="22"/>
                <w:szCs w:val="22"/>
              </w:rPr>
              <w:t>, aligning with Movement-wide practice where relevant and noting that DFAT’s Humanitarian Strategy encourages adherence to the Core Humanitarian Standard as well as Sphere Handbook.</w:t>
            </w:r>
          </w:p>
        </w:tc>
        <w:tc>
          <w:tcPr>
            <w:tcW w:w="1843" w:type="dxa"/>
            <w:vAlign w:val="center"/>
          </w:tcPr>
          <w:p w14:paraId="04B5BF3D" w14:textId="77777777" w:rsidR="003956EC" w:rsidRPr="00B56C25" w:rsidRDefault="003956EC" w:rsidP="006A347A">
            <w:pPr>
              <w:pStyle w:val="BodyText"/>
              <w:spacing w:before="0" w:line="240" w:lineRule="auto"/>
              <w:jc w:val="center"/>
              <w:rPr>
                <w:b w:val="0"/>
                <w:color w:val="auto"/>
                <w:sz w:val="22"/>
                <w:szCs w:val="22"/>
              </w:rPr>
            </w:pPr>
            <w:r>
              <w:rPr>
                <w:b w:val="0"/>
                <w:color w:val="auto"/>
                <w:sz w:val="22"/>
                <w:szCs w:val="22"/>
              </w:rPr>
              <w:t xml:space="preserve">By end </w:t>
            </w:r>
            <w:r w:rsidRPr="00B56C25">
              <w:rPr>
                <w:b w:val="0"/>
                <w:color w:val="auto"/>
                <w:sz w:val="22"/>
                <w:szCs w:val="22"/>
              </w:rPr>
              <w:t>Q</w:t>
            </w:r>
            <w:r>
              <w:rPr>
                <w:b w:val="0"/>
                <w:color w:val="auto"/>
                <w:sz w:val="22"/>
                <w:szCs w:val="22"/>
              </w:rPr>
              <w:t>2</w:t>
            </w:r>
            <w:r w:rsidRPr="00B56C25">
              <w:rPr>
                <w:b w:val="0"/>
                <w:color w:val="auto"/>
                <w:sz w:val="22"/>
                <w:szCs w:val="22"/>
              </w:rPr>
              <w:t xml:space="preserve"> 2019</w:t>
            </w:r>
          </w:p>
        </w:tc>
      </w:tr>
      <w:tr w:rsidR="003956EC" w:rsidRPr="00A164C3" w14:paraId="05F0D5BE" w14:textId="77777777" w:rsidTr="00100331">
        <w:trPr>
          <w:jc w:val="center"/>
        </w:trPr>
        <w:tc>
          <w:tcPr>
            <w:tcW w:w="13887" w:type="dxa"/>
            <w:gridSpan w:val="5"/>
          </w:tcPr>
          <w:p w14:paraId="4AAA64FB" w14:textId="0F2709F4" w:rsidR="003956EC" w:rsidRPr="00A164C3" w:rsidRDefault="003956EC" w:rsidP="003956EC">
            <w:pPr>
              <w:pStyle w:val="BodyText"/>
              <w:spacing w:before="0"/>
              <w:rPr>
                <w:i/>
                <w:sz w:val="22"/>
                <w:szCs w:val="22"/>
              </w:rPr>
            </w:pPr>
            <w:r w:rsidRPr="00A164C3">
              <w:rPr>
                <w:i/>
                <w:sz w:val="22"/>
                <w:szCs w:val="22"/>
              </w:rPr>
              <w:lastRenderedPageBreak/>
              <w:t>Future</w:t>
            </w:r>
            <w:r w:rsidR="00A164C3" w:rsidRPr="00A164C3">
              <w:rPr>
                <w:i/>
                <w:sz w:val="22"/>
                <w:szCs w:val="22"/>
              </w:rPr>
              <w:t>-fit the partnership management, governance and communication arrangements</w:t>
            </w:r>
          </w:p>
        </w:tc>
      </w:tr>
      <w:tr w:rsidR="003956EC" w:rsidRPr="00B56C25" w14:paraId="72370ED3" w14:textId="77777777" w:rsidTr="003956EC">
        <w:trPr>
          <w:jc w:val="center"/>
        </w:trPr>
        <w:tc>
          <w:tcPr>
            <w:tcW w:w="4390" w:type="dxa"/>
          </w:tcPr>
          <w:p w14:paraId="4CB3797D" w14:textId="77777777" w:rsidR="003956EC" w:rsidRDefault="003956EC" w:rsidP="006A347A">
            <w:pPr>
              <w:pStyle w:val="BodyText"/>
              <w:numPr>
                <w:ilvl w:val="1"/>
                <w:numId w:val="1"/>
              </w:numPr>
              <w:spacing w:before="0"/>
              <w:jc w:val="both"/>
              <w:rPr>
                <w:rFonts w:cstheme="majorHAnsi"/>
                <w:b w:val="0"/>
                <w:color w:val="333333"/>
                <w:sz w:val="22"/>
                <w:szCs w:val="22"/>
                <w:shd w:val="clear" w:color="auto" w:fill="FFFFFF"/>
              </w:rPr>
            </w:pPr>
            <w:r w:rsidRPr="0071775F">
              <w:rPr>
                <w:rFonts w:cstheme="majorHAnsi"/>
                <w:b w:val="0"/>
                <w:color w:val="333333"/>
                <w:sz w:val="22"/>
                <w:szCs w:val="22"/>
                <w:shd w:val="clear" w:color="auto" w:fill="FFFFFF"/>
              </w:rPr>
              <w:t xml:space="preserve">DFAT and ARC should engage partnership brokering/design expertise to work with DFAT and ARC ‘at design’ to develop a partnering framework (integrated within the design) that can: </w:t>
            </w:r>
          </w:p>
          <w:p w14:paraId="1C488947" w14:textId="77777777" w:rsidR="003956EC" w:rsidRPr="00F34AAF" w:rsidRDefault="003956EC" w:rsidP="006A347A">
            <w:pPr>
              <w:pStyle w:val="BodyText"/>
              <w:numPr>
                <w:ilvl w:val="0"/>
                <w:numId w:val="7"/>
              </w:numPr>
              <w:spacing w:before="0"/>
              <w:jc w:val="both"/>
              <w:rPr>
                <w:rFonts w:cstheme="majorHAnsi"/>
                <w:b w:val="0"/>
                <w:color w:val="333333"/>
                <w:sz w:val="22"/>
                <w:szCs w:val="22"/>
                <w:shd w:val="clear" w:color="auto" w:fill="FFFFFF"/>
              </w:rPr>
            </w:pPr>
            <w:r w:rsidRPr="00F34AAF">
              <w:rPr>
                <w:rFonts w:cstheme="majorHAnsi"/>
                <w:b w:val="0"/>
                <w:color w:val="333333"/>
                <w:sz w:val="22"/>
                <w:szCs w:val="22"/>
                <w:shd w:val="clear" w:color="auto" w:fill="FFFFFF"/>
              </w:rPr>
              <w:t xml:space="preserve">move beyond ARC’s utility as a service provider to a more sophisticated relationship with articulates the shared value, common goals and draws upon ARC’s unique assets as in the humanitarian sector; </w:t>
            </w:r>
          </w:p>
          <w:p w14:paraId="25C72C9B" w14:textId="77777777" w:rsidR="003956EC" w:rsidRDefault="003956EC" w:rsidP="006A347A">
            <w:pPr>
              <w:pStyle w:val="BodyText"/>
              <w:numPr>
                <w:ilvl w:val="0"/>
                <w:numId w:val="7"/>
              </w:numPr>
              <w:spacing w:before="0"/>
              <w:jc w:val="both"/>
              <w:rPr>
                <w:rFonts w:cstheme="majorHAnsi"/>
                <w:b w:val="0"/>
                <w:color w:val="333333"/>
                <w:sz w:val="22"/>
                <w:szCs w:val="22"/>
                <w:shd w:val="clear" w:color="auto" w:fill="FFFFFF"/>
              </w:rPr>
            </w:pPr>
            <w:r w:rsidRPr="0071775F">
              <w:rPr>
                <w:rFonts w:cstheme="majorHAnsi"/>
                <w:b w:val="0"/>
                <w:color w:val="333333"/>
                <w:sz w:val="22"/>
                <w:szCs w:val="22"/>
                <w:shd w:val="clear" w:color="auto" w:fill="FFFFFF"/>
              </w:rPr>
              <w:t>clarify how DFAT and ARC can best dedicate resources to manage the Partnership in a meaningful way, ensuring that a strong performance story is created and that strategic opportunities are identified and implemented by both agencies to their mutual benefit;</w:t>
            </w:r>
          </w:p>
          <w:p w14:paraId="6506F88B" w14:textId="77777777" w:rsidR="003956EC" w:rsidRDefault="003956EC" w:rsidP="006A347A">
            <w:pPr>
              <w:pStyle w:val="BodyText"/>
              <w:numPr>
                <w:ilvl w:val="0"/>
                <w:numId w:val="7"/>
              </w:numPr>
              <w:spacing w:before="0"/>
              <w:jc w:val="both"/>
              <w:rPr>
                <w:rFonts w:cstheme="majorHAnsi"/>
                <w:b w:val="0"/>
                <w:color w:val="333333"/>
                <w:sz w:val="22"/>
                <w:szCs w:val="22"/>
                <w:shd w:val="clear" w:color="auto" w:fill="FFFFFF"/>
              </w:rPr>
            </w:pPr>
            <w:r>
              <w:rPr>
                <w:rFonts w:cstheme="majorHAnsi"/>
                <w:b w:val="0"/>
                <w:color w:val="333333"/>
                <w:sz w:val="22"/>
                <w:szCs w:val="22"/>
                <w:shd w:val="clear" w:color="auto" w:fill="FFFFFF"/>
              </w:rPr>
              <w:t>S</w:t>
            </w:r>
            <w:r w:rsidRPr="0071775F">
              <w:rPr>
                <w:rFonts w:cstheme="majorHAnsi"/>
                <w:b w:val="0"/>
                <w:color w:val="333333"/>
                <w:sz w:val="22"/>
                <w:szCs w:val="22"/>
                <w:shd w:val="clear" w:color="auto" w:fill="FFFFFF"/>
              </w:rPr>
              <w:t xml:space="preserve">treamline contractual arrangements in order that these provide improved line of sight and linkages with the key policy and programming areas in DFAT and strengthen linkages and communication with Posts; </w:t>
            </w:r>
          </w:p>
          <w:p w14:paraId="5779DC37" w14:textId="77777777" w:rsidR="003956EC" w:rsidRPr="0018770B" w:rsidRDefault="003956EC" w:rsidP="006A347A">
            <w:pPr>
              <w:pStyle w:val="BodyText"/>
              <w:numPr>
                <w:ilvl w:val="0"/>
                <w:numId w:val="7"/>
              </w:numPr>
              <w:spacing w:before="0"/>
              <w:jc w:val="both"/>
              <w:rPr>
                <w:rFonts w:cstheme="majorHAnsi"/>
                <w:b w:val="0"/>
                <w:color w:val="333333"/>
                <w:sz w:val="22"/>
                <w:szCs w:val="22"/>
                <w:shd w:val="clear" w:color="auto" w:fill="FFFFFF"/>
              </w:rPr>
            </w:pPr>
            <w:r w:rsidRPr="0018770B">
              <w:rPr>
                <w:rFonts w:cstheme="majorHAnsi"/>
                <w:b w:val="0"/>
                <w:color w:val="333333"/>
                <w:sz w:val="22"/>
                <w:szCs w:val="22"/>
                <w:shd w:val="clear" w:color="auto" w:fill="FFFFFF"/>
              </w:rPr>
              <w:t xml:space="preserve">discuss the potential value of bringing forward an external and objective lens </w:t>
            </w:r>
            <w:r w:rsidRPr="0018770B">
              <w:rPr>
                <w:rFonts w:cstheme="majorHAnsi"/>
                <w:b w:val="0"/>
                <w:color w:val="333333"/>
                <w:sz w:val="22"/>
                <w:szCs w:val="22"/>
                <w:shd w:val="clear" w:color="auto" w:fill="FFFFFF"/>
              </w:rPr>
              <w:lastRenderedPageBreak/>
              <w:t>into the M&amp;E framework (through, for example, positioning an external M&amp;E Adviser or forming an M&amp;E Reference Group that could support annual or bi-annual learning reflections); and</w:t>
            </w:r>
          </w:p>
          <w:p w14:paraId="7901FD26" w14:textId="77777777" w:rsidR="003956EC" w:rsidRPr="0071775F" w:rsidRDefault="003956EC" w:rsidP="006A347A">
            <w:pPr>
              <w:pStyle w:val="BodyText"/>
              <w:numPr>
                <w:ilvl w:val="0"/>
                <w:numId w:val="7"/>
              </w:numPr>
              <w:spacing w:before="0"/>
              <w:jc w:val="both"/>
              <w:rPr>
                <w:rFonts w:cstheme="majorHAnsi"/>
                <w:b w:val="0"/>
                <w:color w:val="333333"/>
                <w:sz w:val="22"/>
                <w:szCs w:val="22"/>
                <w:shd w:val="clear" w:color="auto" w:fill="FFFFFF"/>
              </w:rPr>
            </w:pPr>
            <w:r w:rsidRPr="0071775F">
              <w:rPr>
                <w:rFonts w:cstheme="majorHAnsi"/>
                <w:b w:val="0"/>
                <w:color w:val="333333"/>
                <w:sz w:val="22"/>
                <w:szCs w:val="22"/>
                <w:shd w:val="clear" w:color="auto" w:fill="FFFFFF"/>
              </w:rPr>
              <w:t>revisit financing arrangements including piloting a new arrangement for prepositioned funds for humanitarian crises, removing ANCP funding from the Agreement and providing resources for humanitarian leadership and soft power joint action.</w:t>
            </w:r>
          </w:p>
        </w:tc>
        <w:tc>
          <w:tcPr>
            <w:tcW w:w="1417" w:type="dxa"/>
            <w:tcBorders>
              <w:bottom w:val="single" w:sz="4" w:space="0" w:color="auto"/>
            </w:tcBorders>
            <w:shd w:val="clear" w:color="auto" w:fill="FFC000"/>
            <w:vAlign w:val="center"/>
          </w:tcPr>
          <w:p w14:paraId="5C598C78" w14:textId="77777777" w:rsidR="003956EC" w:rsidRPr="007B0DFA" w:rsidRDefault="003956EC" w:rsidP="006A347A">
            <w:pPr>
              <w:pStyle w:val="BodyText"/>
              <w:spacing w:before="0"/>
              <w:jc w:val="center"/>
              <w:rPr>
                <w:color w:val="auto"/>
                <w:sz w:val="24"/>
                <w:szCs w:val="24"/>
              </w:rPr>
            </w:pPr>
            <w:r w:rsidRPr="007B0DFA">
              <w:rPr>
                <w:color w:val="auto"/>
                <w:sz w:val="24"/>
                <w:szCs w:val="24"/>
              </w:rPr>
              <w:lastRenderedPageBreak/>
              <w:t>Agree in Part</w:t>
            </w:r>
          </w:p>
        </w:tc>
        <w:tc>
          <w:tcPr>
            <w:tcW w:w="3402" w:type="dxa"/>
            <w:vAlign w:val="center"/>
          </w:tcPr>
          <w:p w14:paraId="726EC68F" w14:textId="77777777" w:rsidR="003956EC" w:rsidRPr="00B56C25" w:rsidRDefault="003956EC" w:rsidP="004D0089">
            <w:pPr>
              <w:pStyle w:val="BodyText"/>
              <w:spacing w:before="0"/>
              <w:rPr>
                <w:b w:val="0"/>
                <w:color w:val="auto"/>
                <w:sz w:val="22"/>
                <w:szCs w:val="22"/>
              </w:rPr>
            </w:pPr>
            <w:r w:rsidRPr="00B56C25">
              <w:rPr>
                <w:b w:val="0"/>
                <w:color w:val="auto"/>
                <w:sz w:val="22"/>
                <w:szCs w:val="22"/>
              </w:rPr>
              <w:t xml:space="preserve">DFAT </w:t>
            </w:r>
            <w:r>
              <w:rPr>
                <w:b w:val="0"/>
                <w:color w:val="auto"/>
                <w:sz w:val="22"/>
                <w:szCs w:val="22"/>
              </w:rPr>
              <w:t xml:space="preserve">and ARC </w:t>
            </w:r>
            <w:r w:rsidRPr="00B56C25">
              <w:rPr>
                <w:b w:val="0"/>
                <w:color w:val="auto"/>
                <w:sz w:val="22"/>
                <w:szCs w:val="22"/>
              </w:rPr>
              <w:t>agree with the recommendation of having a facilitated discussion at the outset of the partnership design process</w:t>
            </w:r>
            <w:r>
              <w:rPr>
                <w:b w:val="0"/>
                <w:color w:val="auto"/>
                <w:sz w:val="22"/>
                <w:szCs w:val="22"/>
              </w:rPr>
              <w:t xml:space="preserve"> to agree on key principles for the partnership</w:t>
            </w:r>
            <w:r w:rsidRPr="00B56C25">
              <w:rPr>
                <w:b w:val="0"/>
                <w:color w:val="auto"/>
                <w:sz w:val="22"/>
                <w:szCs w:val="22"/>
              </w:rPr>
              <w:t>.</w:t>
            </w:r>
          </w:p>
          <w:p w14:paraId="1EC45C87" w14:textId="77777777" w:rsidR="003956EC" w:rsidRPr="00B56C25" w:rsidRDefault="003956EC" w:rsidP="006A347A">
            <w:pPr>
              <w:pStyle w:val="BodyText"/>
              <w:numPr>
                <w:ilvl w:val="0"/>
                <w:numId w:val="14"/>
              </w:numPr>
              <w:spacing w:before="0"/>
              <w:rPr>
                <w:b w:val="0"/>
                <w:color w:val="auto"/>
                <w:sz w:val="22"/>
                <w:szCs w:val="22"/>
              </w:rPr>
            </w:pPr>
            <w:r w:rsidRPr="00B56C25">
              <w:rPr>
                <w:b w:val="0"/>
                <w:color w:val="auto"/>
                <w:sz w:val="22"/>
                <w:szCs w:val="22"/>
              </w:rPr>
              <w:t>DFAT</w:t>
            </w:r>
            <w:r>
              <w:rPr>
                <w:b w:val="0"/>
                <w:color w:val="auto"/>
                <w:sz w:val="22"/>
                <w:szCs w:val="22"/>
              </w:rPr>
              <w:t xml:space="preserve"> and ARC</w:t>
            </w:r>
            <w:r w:rsidRPr="00B56C25">
              <w:rPr>
                <w:b w:val="0"/>
                <w:color w:val="auto"/>
                <w:sz w:val="22"/>
                <w:szCs w:val="22"/>
              </w:rPr>
              <w:t xml:space="preserve"> agree that internal coordination with all areas of the R</w:t>
            </w:r>
            <w:r>
              <w:rPr>
                <w:b w:val="0"/>
                <w:color w:val="auto"/>
                <w:sz w:val="22"/>
                <w:szCs w:val="22"/>
              </w:rPr>
              <w:t>CRC M</w:t>
            </w:r>
            <w:r w:rsidRPr="00B56C25">
              <w:rPr>
                <w:b w:val="0"/>
                <w:color w:val="auto"/>
                <w:sz w:val="22"/>
                <w:szCs w:val="22"/>
              </w:rPr>
              <w:t xml:space="preserve">ovement </w:t>
            </w:r>
            <w:r>
              <w:rPr>
                <w:b w:val="0"/>
                <w:color w:val="auto"/>
                <w:sz w:val="22"/>
                <w:szCs w:val="22"/>
              </w:rPr>
              <w:t xml:space="preserve">within DFAT </w:t>
            </w:r>
            <w:r w:rsidRPr="00B56C25">
              <w:rPr>
                <w:b w:val="0"/>
                <w:color w:val="auto"/>
                <w:sz w:val="22"/>
                <w:szCs w:val="22"/>
              </w:rPr>
              <w:t>could be strengthened</w:t>
            </w:r>
            <w:r>
              <w:rPr>
                <w:b w:val="0"/>
                <w:color w:val="auto"/>
                <w:sz w:val="22"/>
                <w:szCs w:val="22"/>
              </w:rPr>
              <w:t>, to ensure that both agencies are identifying and leveraging opportunities for mutual benefit. DFAT and ARC however</w:t>
            </w:r>
            <w:r w:rsidRPr="00B56C25">
              <w:rPr>
                <w:b w:val="0"/>
                <w:color w:val="auto"/>
                <w:sz w:val="22"/>
                <w:szCs w:val="22"/>
              </w:rPr>
              <w:t xml:space="preserve"> do not see a compelling reason to create a secretariat to support the partnership.</w:t>
            </w:r>
          </w:p>
          <w:p w14:paraId="6E1E7531" w14:textId="77777777" w:rsidR="003956EC" w:rsidRPr="00B56C25" w:rsidRDefault="003956EC" w:rsidP="006A347A">
            <w:pPr>
              <w:pStyle w:val="BodyText"/>
              <w:numPr>
                <w:ilvl w:val="0"/>
                <w:numId w:val="14"/>
              </w:numPr>
              <w:spacing w:before="0"/>
              <w:rPr>
                <w:b w:val="0"/>
                <w:color w:val="auto"/>
                <w:sz w:val="22"/>
                <w:szCs w:val="22"/>
              </w:rPr>
            </w:pPr>
            <w:r w:rsidRPr="00B56C25">
              <w:rPr>
                <w:b w:val="0"/>
                <w:color w:val="auto"/>
                <w:sz w:val="22"/>
                <w:szCs w:val="22"/>
              </w:rPr>
              <w:t>DFAT agrees that contractual arrangements should be streamlined to minimise the administrative burden for all parties, whilst complying with relevant Australian Government contracting and policy frameworks.</w:t>
            </w:r>
          </w:p>
          <w:p w14:paraId="2182C3F3" w14:textId="77777777" w:rsidR="003956EC" w:rsidRPr="00B56C25" w:rsidRDefault="003956EC" w:rsidP="006A347A">
            <w:pPr>
              <w:pStyle w:val="BodyText"/>
              <w:numPr>
                <w:ilvl w:val="0"/>
                <w:numId w:val="14"/>
              </w:numPr>
              <w:spacing w:before="0" w:line="240" w:lineRule="auto"/>
              <w:rPr>
                <w:b w:val="0"/>
                <w:color w:val="auto"/>
                <w:sz w:val="22"/>
                <w:szCs w:val="22"/>
              </w:rPr>
            </w:pPr>
            <w:r w:rsidRPr="00B56C25">
              <w:rPr>
                <w:b w:val="0"/>
                <w:color w:val="auto"/>
                <w:sz w:val="22"/>
                <w:szCs w:val="22"/>
              </w:rPr>
              <w:t xml:space="preserve">DFAT </w:t>
            </w:r>
            <w:r>
              <w:rPr>
                <w:b w:val="0"/>
                <w:color w:val="auto"/>
                <w:sz w:val="22"/>
                <w:szCs w:val="22"/>
              </w:rPr>
              <w:t xml:space="preserve">and ARC </w:t>
            </w:r>
            <w:r w:rsidRPr="00B56C25">
              <w:rPr>
                <w:b w:val="0"/>
                <w:color w:val="auto"/>
                <w:sz w:val="22"/>
                <w:szCs w:val="22"/>
              </w:rPr>
              <w:t xml:space="preserve">support an independent appraisal of the </w:t>
            </w:r>
            <w:r w:rsidRPr="00B56C25">
              <w:rPr>
                <w:b w:val="0"/>
                <w:color w:val="auto"/>
                <w:sz w:val="22"/>
                <w:szCs w:val="22"/>
              </w:rPr>
              <w:lastRenderedPageBreak/>
              <w:t xml:space="preserve">design </w:t>
            </w:r>
            <w:r>
              <w:rPr>
                <w:b w:val="0"/>
                <w:color w:val="auto"/>
                <w:sz w:val="22"/>
                <w:szCs w:val="22"/>
              </w:rPr>
              <w:t xml:space="preserve">document and performance </w:t>
            </w:r>
            <w:r w:rsidRPr="00B56C25">
              <w:rPr>
                <w:b w:val="0"/>
                <w:color w:val="auto"/>
                <w:sz w:val="22"/>
                <w:szCs w:val="22"/>
              </w:rPr>
              <w:t>framework, as well as independent evaluations through the life of the partnership.</w:t>
            </w:r>
          </w:p>
          <w:p w14:paraId="30A41187" w14:textId="55325193" w:rsidR="003956EC" w:rsidRPr="00B56C25" w:rsidRDefault="003956EC" w:rsidP="006A347A">
            <w:pPr>
              <w:pStyle w:val="BodyText"/>
              <w:numPr>
                <w:ilvl w:val="0"/>
                <w:numId w:val="14"/>
              </w:numPr>
              <w:spacing w:before="0"/>
              <w:rPr>
                <w:b w:val="0"/>
                <w:color w:val="auto"/>
                <w:sz w:val="22"/>
                <w:szCs w:val="22"/>
              </w:rPr>
            </w:pPr>
            <w:r w:rsidRPr="00B56C25">
              <w:rPr>
                <w:b w:val="0"/>
                <w:color w:val="auto"/>
                <w:sz w:val="22"/>
                <w:szCs w:val="22"/>
              </w:rPr>
              <w:t>ARC</w:t>
            </w:r>
            <w:r>
              <w:rPr>
                <w:b w:val="0"/>
                <w:color w:val="auto"/>
                <w:sz w:val="22"/>
                <w:szCs w:val="22"/>
              </w:rPr>
              <w:t xml:space="preserve"> will be responsible </w:t>
            </w:r>
            <w:r w:rsidRPr="00B56C25">
              <w:rPr>
                <w:b w:val="0"/>
                <w:color w:val="auto"/>
                <w:sz w:val="22"/>
                <w:szCs w:val="22"/>
              </w:rPr>
              <w:t>for ensuring a robust M&amp;E system</w:t>
            </w:r>
            <w:r>
              <w:rPr>
                <w:b w:val="0"/>
                <w:color w:val="auto"/>
                <w:sz w:val="22"/>
                <w:szCs w:val="22"/>
              </w:rPr>
              <w:t xml:space="preserve"> is</w:t>
            </w:r>
            <w:r w:rsidRPr="00B56C25">
              <w:rPr>
                <w:b w:val="0"/>
                <w:color w:val="auto"/>
                <w:sz w:val="22"/>
                <w:szCs w:val="22"/>
              </w:rPr>
              <w:t xml:space="preserve"> in place and operating effectivel</w:t>
            </w:r>
            <w:r>
              <w:rPr>
                <w:b w:val="0"/>
                <w:color w:val="auto"/>
                <w:sz w:val="22"/>
                <w:szCs w:val="22"/>
              </w:rPr>
              <w:t>y.</w:t>
            </w:r>
            <w:r w:rsidR="004D0089">
              <w:rPr>
                <w:b w:val="0"/>
                <w:color w:val="auto"/>
                <w:sz w:val="22"/>
                <w:szCs w:val="22"/>
              </w:rPr>
              <w:t xml:space="preserve"> </w:t>
            </w:r>
            <w:r>
              <w:rPr>
                <w:b w:val="0"/>
                <w:color w:val="auto"/>
                <w:sz w:val="22"/>
                <w:szCs w:val="22"/>
              </w:rPr>
              <w:t>ARC will ensure that appropriate resources are included in the program budget for monitoring and evaluation.</w:t>
            </w:r>
            <w:r w:rsidR="004D0089">
              <w:rPr>
                <w:b w:val="0"/>
                <w:color w:val="auto"/>
                <w:sz w:val="22"/>
                <w:szCs w:val="22"/>
              </w:rPr>
              <w:t xml:space="preserve"> DFAT and ARC will consider engaging independent M&amp;E advice during the life of the partnership, if required</w:t>
            </w:r>
            <w:r w:rsidR="00B115ED">
              <w:rPr>
                <w:b w:val="0"/>
                <w:color w:val="auto"/>
                <w:sz w:val="22"/>
                <w:szCs w:val="22"/>
              </w:rPr>
              <w:t>, as mutually agreed</w:t>
            </w:r>
            <w:r w:rsidR="004D0089">
              <w:rPr>
                <w:b w:val="0"/>
                <w:color w:val="auto"/>
                <w:sz w:val="22"/>
                <w:szCs w:val="22"/>
              </w:rPr>
              <w:t>.</w:t>
            </w:r>
            <w:r w:rsidRPr="00B56C25">
              <w:rPr>
                <w:b w:val="0"/>
                <w:color w:val="auto"/>
                <w:sz w:val="22"/>
                <w:szCs w:val="22"/>
              </w:rPr>
              <w:t xml:space="preserve"> </w:t>
            </w:r>
          </w:p>
          <w:p w14:paraId="5CE00B6C" w14:textId="77777777" w:rsidR="003956EC" w:rsidRPr="00B56C25" w:rsidRDefault="003956EC" w:rsidP="006A347A">
            <w:pPr>
              <w:pStyle w:val="BodyText"/>
              <w:numPr>
                <w:ilvl w:val="0"/>
                <w:numId w:val="14"/>
              </w:numPr>
              <w:spacing w:before="0"/>
              <w:rPr>
                <w:b w:val="0"/>
                <w:color w:val="auto"/>
                <w:sz w:val="22"/>
                <w:szCs w:val="22"/>
              </w:rPr>
            </w:pPr>
            <w:r w:rsidRPr="00B56C25">
              <w:rPr>
                <w:b w:val="0"/>
                <w:color w:val="auto"/>
                <w:sz w:val="22"/>
                <w:szCs w:val="22"/>
              </w:rPr>
              <w:t>DFAT is open to including a flexible response fund within the next partnership agreement.</w:t>
            </w:r>
          </w:p>
        </w:tc>
        <w:tc>
          <w:tcPr>
            <w:tcW w:w="2835" w:type="dxa"/>
            <w:vAlign w:val="center"/>
          </w:tcPr>
          <w:p w14:paraId="1A23193C" w14:textId="05666DBF" w:rsidR="003956EC" w:rsidRDefault="003956EC" w:rsidP="004D0089">
            <w:pPr>
              <w:pStyle w:val="BodyText"/>
              <w:spacing w:before="0"/>
              <w:rPr>
                <w:b w:val="0"/>
                <w:color w:val="auto"/>
                <w:sz w:val="22"/>
                <w:szCs w:val="22"/>
              </w:rPr>
            </w:pPr>
            <w:r w:rsidRPr="0072385D">
              <w:rPr>
                <w:b w:val="0"/>
                <w:color w:val="auto"/>
                <w:sz w:val="22"/>
                <w:szCs w:val="22"/>
              </w:rPr>
              <w:lastRenderedPageBreak/>
              <w:t xml:space="preserve">DFAT and ARC to </w:t>
            </w:r>
            <w:r w:rsidRPr="00250B79">
              <w:rPr>
                <w:b w:val="0"/>
                <w:color w:val="auto"/>
                <w:sz w:val="22"/>
                <w:szCs w:val="22"/>
              </w:rPr>
              <w:t xml:space="preserve">engage in a facilitated partnership discussion to agree on priorities for </w:t>
            </w:r>
            <w:r w:rsidRPr="00B115ED">
              <w:rPr>
                <w:b w:val="0"/>
                <w:color w:val="auto"/>
                <w:sz w:val="22"/>
                <w:szCs w:val="22"/>
              </w:rPr>
              <w:t>the partnership and the principles that</w:t>
            </w:r>
            <w:r>
              <w:rPr>
                <w:b w:val="0"/>
                <w:color w:val="auto"/>
                <w:sz w:val="22"/>
                <w:szCs w:val="22"/>
              </w:rPr>
              <w:t xml:space="preserve"> will govern it</w:t>
            </w:r>
            <w:r w:rsidRPr="00DE1B17">
              <w:rPr>
                <w:color w:val="auto"/>
                <w:sz w:val="22"/>
                <w:szCs w:val="22"/>
              </w:rPr>
              <w:t>.</w:t>
            </w:r>
          </w:p>
          <w:p w14:paraId="4F8BD4F5" w14:textId="77777777" w:rsidR="003956EC" w:rsidRPr="00B56C25" w:rsidRDefault="003956EC" w:rsidP="006A347A">
            <w:pPr>
              <w:pStyle w:val="BodyText"/>
              <w:numPr>
                <w:ilvl w:val="0"/>
                <w:numId w:val="15"/>
              </w:numPr>
              <w:spacing w:before="0"/>
              <w:rPr>
                <w:b w:val="0"/>
                <w:color w:val="auto"/>
                <w:sz w:val="22"/>
                <w:szCs w:val="22"/>
              </w:rPr>
            </w:pPr>
            <w:r w:rsidRPr="00B56C25">
              <w:rPr>
                <w:b w:val="0"/>
                <w:color w:val="auto"/>
                <w:sz w:val="22"/>
                <w:szCs w:val="22"/>
              </w:rPr>
              <w:t>DFAT and ARC to discuss strategic engagement under the new partnership</w:t>
            </w:r>
            <w:r>
              <w:rPr>
                <w:b w:val="0"/>
                <w:color w:val="auto"/>
                <w:sz w:val="22"/>
                <w:szCs w:val="22"/>
              </w:rPr>
              <w:t>, including strengthened engagement with DFAT Posts,</w:t>
            </w:r>
            <w:r w:rsidRPr="00B56C25">
              <w:rPr>
                <w:b w:val="0"/>
                <w:color w:val="auto"/>
                <w:sz w:val="22"/>
                <w:szCs w:val="22"/>
              </w:rPr>
              <w:t xml:space="preserve"> during the facilitated partnership discussion</w:t>
            </w:r>
            <w:r>
              <w:rPr>
                <w:b w:val="0"/>
                <w:color w:val="auto"/>
                <w:sz w:val="22"/>
                <w:szCs w:val="22"/>
              </w:rPr>
              <w:t xml:space="preserve"> in December 2018</w:t>
            </w:r>
            <w:r w:rsidRPr="00B56C25">
              <w:rPr>
                <w:b w:val="0"/>
                <w:color w:val="auto"/>
                <w:sz w:val="22"/>
                <w:szCs w:val="22"/>
              </w:rPr>
              <w:t>.</w:t>
            </w:r>
          </w:p>
          <w:p w14:paraId="4275A3C1" w14:textId="77777777" w:rsidR="003956EC" w:rsidRPr="00B56C25" w:rsidRDefault="003956EC" w:rsidP="006A347A">
            <w:pPr>
              <w:pStyle w:val="BodyText"/>
              <w:spacing w:before="0"/>
              <w:rPr>
                <w:b w:val="0"/>
                <w:color w:val="auto"/>
                <w:sz w:val="22"/>
                <w:szCs w:val="22"/>
              </w:rPr>
            </w:pPr>
          </w:p>
          <w:p w14:paraId="1F3D2579" w14:textId="77777777" w:rsidR="003956EC" w:rsidRPr="00B56C25" w:rsidRDefault="003956EC" w:rsidP="006A347A">
            <w:pPr>
              <w:pStyle w:val="BodyText"/>
              <w:numPr>
                <w:ilvl w:val="0"/>
                <w:numId w:val="15"/>
              </w:numPr>
              <w:spacing w:before="0"/>
              <w:rPr>
                <w:b w:val="0"/>
                <w:color w:val="auto"/>
                <w:sz w:val="22"/>
                <w:szCs w:val="22"/>
              </w:rPr>
            </w:pPr>
            <w:r w:rsidRPr="00B56C25">
              <w:rPr>
                <w:b w:val="0"/>
                <w:color w:val="auto"/>
                <w:sz w:val="22"/>
                <w:szCs w:val="22"/>
              </w:rPr>
              <w:t>DFAT to provide clarity (seeking advice from Aid Business Branch) on potential contracting mechanisms and discuss with ARC.</w:t>
            </w:r>
          </w:p>
          <w:p w14:paraId="07D3635C" w14:textId="77777777" w:rsidR="003956EC" w:rsidRPr="00B56C25" w:rsidRDefault="003956EC" w:rsidP="006A347A">
            <w:pPr>
              <w:pStyle w:val="BodyText"/>
              <w:spacing w:before="0"/>
              <w:rPr>
                <w:b w:val="0"/>
                <w:color w:val="auto"/>
                <w:sz w:val="22"/>
                <w:szCs w:val="22"/>
              </w:rPr>
            </w:pPr>
          </w:p>
          <w:p w14:paraId="4A584DEC" w14:textId="65FA0082" w:rsidR="004D0089" w:rsidRPr="004D0089" w:rsidRDefault="003956EC" w:rsidP="004D0089">
            <w:pPr>
              <w:pStyle w:val="BodyText"/>
              <w:numPr>
                <w:ilvl w:val="0"/>
                <w:numId w:val="15"/>
              </w:numPr>
              <w:spacing w:before="0"/>
              <w:rPr>
                <w:b w:val="0"/>
                <w:color w:val="auto"/>
                <w:sz w:val="22"/>
                <w:szCs w:val="22"/>
              </w:rPr>
            </w:pPr>
            <w:r w:rsidRPr="00B56C25">
              <w:rPr>
                <w:b w:val="0"/>
                <w:color w:val="auto"/>
                <w:sz w:val="22"/>
                <w:szCs w:val="22"/>
              </w:rPr>
              <w:t xml:space="preserve">DFAT to arrange independent appraisal of the partnership design </w:t>
            </w:r>
            <w:r w:rsidRPr="00B56C25">
              <w:rPr>
                <w:b w:val="0"/>
                <w:color w:val="auto"/>
                <w:sz w:val="22"/>
                <w:szCs w:val="22"/>
              </w:rPr>
              <w:lastRenderedPageBreak/>
              <w:t xml:space="preserve">(including </w:t>
            </w:r>
            <w:r>
              <w:rPr>
                <w:b w:val="0"/>
                <w:color w:val="auto"/>
                <w:sz w:val="22"/>
                <w:szCs w:val="22"/>
              </w:rPr>
              <w:t xml:space="preserve">performance </w:t>
            </w:r>
            <w:r w:rsidRPr="00B56C25">
              <w:rPr>
                <w:b w:val="0"/>
                <w:color w:val="auto"/>
                <w:sz w:val="22"/>
                <w:szCs w:val="22"/>
              </w:rPr>
              <w:t xml:space="preserve"> framework)</w:t>
            </w:r>
            <w:r>
              <w:rPr>
                <w:b w:val="0"/>
                <w:color w:val="auto"/>
                <w:sz w:val="22"/>
                <w:szCs w:val="22"/>
              </w:rPr>
              <w:t xml:space="preserve"> as per the DFAT design quality assurance process.</w:t>
            </w:r>
          </w:p>
          <w:p w14:paraId="710C34E6" w14:textId="77777777" w:rsidR="003956EC" w:rsidRPr="00B56C25" w:rsidRDefault="003956EC" w:rsidP="006A347A">
            <w:pPr>
              <w:pStyle w:val="BodyText"/>
              <w:numPr>
                <w:ilvl w:val="0"/>
                <w:numId w:val="15"/>
              </w:numPr>
              <w:spacing w:before="0"/>
              <w:rPr>
                <w:b w:val="0"/>
                <w:color w:val="auto"/>
                <w:sz w:val="22"/>
                <w:szCs w:val="22"/>
              </w:rPr>
            </w:pPr>
            <w:r>
              <w:rPr>
                <w:b w:val="0"/>
                <w:color w:val="auto"/>
                <w:sz w:val="22"/>
                <w:szCs w:val="22"/>
              </w:rPr>
              <w:t>ARC to articulate approach to M&amp;E in</w:t>
            </w:r>
            <w:r w:rsidRPr="00B56C25">
              <w:rPr>
                <w:b w:val="0"/>
                <w:color w:val="auto"/>
                <w:sz w:val="22"/>
                <w:szCs w:val="22"/>
              </w:rPr>
              <w:t xml:space="preserve"> partnership design</w:t>
            </w:r>
            <w:r>
              <w:rPr>
                <w:b w:val="0"/>
                <w:color w:val="auto"/>
                <w:sz w:val="22"/>
                <w:szCs w:val="22"/>
              </w:rPr>
              <w:t xml:space="preserve"> document, and ensure appropriate allocation of resources.</w:t>
            </w:r>
          </w:p>
          <w:p w14:paraId="7C564F64" w14:textId="77777777" w:rsidR="003956EC" w:rsidRPr="00B56C25" w:rsidRDefault="003956EC" w:rsidP="006A347A">
            <w:pPr>
              <w:pStyle w:val="BodyText"/>
              <w:spacing w:before="0"/>
              <w:rPr>
                <w:b w:val="0"/>
                <w:color w:val="auto"/>
                <w:sz w:val="22"/>
                <w:szCs w:val="22"/>
              </w:rPr>
            </w:pPr>
          </w:p>
          <w:p w14:paraId="63C2520D" w14:textId="77777777" w:rsidR="003956EC" w:rsidRPr="00B56C25" w:rsidRDefault="003956EC" w:rsidP="006A347A">
            <w:pPr>
              <w:pStyle w:val="BodyText"/>
              <w:spacing w:before="0"/>
              <w:rPr>
                <w:b w:val="0"/>
                <w:color w:val="auto"/>
                <w:sz w:val="22"/>
                <w:szCs w:val="22"/>
              </w:rPr>
            </w:pPr>
          </w:p>
          <w:p w14:paraId="30D29896" w14:textId="77777777" w:rsidR="003956EC" w:rsidRPr="00B56C25" w:rsidRDefault="003956EC" w:rsidP="006A347A">
            <w:pPr>
              <w:pStyle w:val="BodyText"/>
              <w:spacing w:before="0"/>
              <w:rPr>
                <w:b w:val="0"/>
                <w:color w:val="auto"/>
                <w:sz w:val="22"/>
                <w:szCs w:val="22"/>
              </w:rPr>
            </w:pPr>
          </w:p>
          <w:p w14:paraId="6B1720E6" w14:textId="0670476D" w:rsidR="004D0089" w:rsidRDefault="004D0089" w:rsidP="004D0089">
            <w:pPr>
              <w:pStyle w:val="BodyText"/>
              <w:spacing w:before="0"/>
              <w:ind w:left="360"/>
              <w:rPr>
                <w:b w:val="0"/>
                <w:color w:val="auto"/>
                <w:sz w:val="22"/>
                <w:szCs w:val="22"/>
              </w:rPr>
            </w:pPr>
          </w:p>
          <w:p w14:paraId="1C70DDF7" w14:textId="77777777" w:rsidR="00B115ED" w:rsidRDefault="00B115ED" w:rsidP="004D0089">
            <w:pPr>
              <w:pStyle w:val="BodyText"/>
              <w:spacing w:before="0"/>
              <w:ind w:left="360"/>
              <w:rPr>
                <w:b w:val="0"/>
                <w:color w:val="auto"/>
                <w:sz w:val="22"/>
                <w:szCs w:val="22"/>
              </w:rPr>
            </w:pPr>
          </w:p>
          <w:p w14:paraId="3F8F06AA" w14:textId="140D99DB" w:rsidR="003956EC" w:rsidRPr="004D0089" w:rsidRDefault="003956EC" w:rsidP="006A347A">
            <w:pPr>
              <w:pStyle w:val="BodyText"/>
              <w:numPr>
                <w:ilvl w:val="0"/>
                <w:numId w:val="15"/>
              </w:numPr>
              <w:spacing w:before="0"/>
              <w:rPr>
                <w:b w:val="0"/>
                <w:color w:val="auto"/>
                <w:sz w:val="22"/>
                <w:szCs w:val="22"/>
              </w:rPr>
            </w:pPr>
            <w:r w:rsidRPr="00B56C25">
              <w:rPr>
                <w:b w:val="0"/>
                <w:color w:val="auto"/>
                <w:sz w:val="22"/>
                <w:szCs w:val="22"/>
              </w:rPr>
              <w:t>ARC to detail how a potential flexible response fund be implemented, within the future partnership design.</w:t>
            </w:r>
          </w:p>
        </w:tc>
        <w:tc>
          <w:tcPr>
            <w:tcW w:w="1843" w:type="dxa"/>
            <w:vAlign w:val="center"/>
          </w:tcPr>
          <w:p w14:paraId="6CFF75DD" w14:textId="77777777" w:rsidR="003956EC" w:rsidRPr="00B56C25" w:rsidRDefault="003956EC" w:rsidP="004D0089">
            <w:pPr>
              <w:pStyle w:val="BodyText"/>
              <w:spacing w:before="0"/>
              <w:ind w:left="360"/>
              <w:rPr>
                <w:b w:val="0"/>
                <w:color w:val="auto"/>
                <w:sz w:val="22"/>
                <w:szCs w:val="22"/>
              </w:rPr>
            </w:pPr>
            <w:r w:rsidRPr="00B56C25">
              <w:rPr>
                <w:b w:val="0"/>
                <w:color w:val="auto"/>
                <w:sz w:val="22"/>
                <w:szCs w:val="22"/>
              </w:rPr>
              <w:lastRenderedPageBreak/>
              <w:t>December 2018</w:t>
            </w:r>
          </w:p>
          <w:p w14:paraId="1F599287" w14:textId="77777777" w:rsidR="003956EC" w:rsidRPr="00B56C25" w:rsidRDefault="003956EC" w:rsidP="006A347A">
            <w:pPr>
              <w:pStyle w:val="BodyText"/>
              <w:spacing w:before="0"/>
              <w:jc w:val="center"/>
              <w:rPr>
                <w:b w:val="0"/>
                <w:color w:val="auto"/>
                <w:sz w:val="22"/>
                <w:szCs w:val="22"/>
              </w:rPr>
            </w:pPr>
          </w:p>
          <w:p w14:paraId="4A57069B" w14:textId="77777777" w:rsidR="003956EC" w:rsidRPr="00B56C25" w:rsidRDefault="003956EC" w:rsidP="006A347A">
            <w:pPr>
              <w:pStyle w:val="BodyText"/>
              <w:spacing w:before="0"/>
              <w:jc w:val="center"/>
              <w:rPr>
                <w:b w:val="0"/>
                <w:color w:val="auto"/>
                <w:sz w:val="22"/>
                <w:szCs w:val="22"/>
              </w:rPr>
            </w:pPr>
          </w:p>
          <w:p w14:paraId="7890DFA6" w14:textId="77777777" w:rsidR="003956EC" w:rsidRPr="00B56C25" w:rsidRDefault="003956EC" w:rsidP="006A347A">
            <w:pPr>
              <w:pStyle w:val="BodyText"/>
              <w:numPr>
                <w:ilvl w:val="0"/>
                <w:numId w:val="17"/>
              </w:numPr>
              <w:spacing w:before="0"/>
              <w:rPr>
                <w:b w:val="0"/>
                <w:color w:val="auto"/>
                <w:sz w:val="22"/>
                <w:szCs w:val="22"/>
              </w:rPr>
            </w:pPr>
            <w:r w:rsidRPr="00B56C25">
              <w:rPr>
                <w:b w:val="0"/>
                <w:color w:val="auto"/>
                <w:sz w:val="22"/>
                <w:szCs w:val="22"/>
              </w:rPr>
              <w:t>December 2018</w:t>
            </w:r>
          </w:p>
          <w:p w14:paraId="68E0D68B" w14:textId="77777777" w:rsidR="003956EC" w:rsidRPr="00B56C25" w:rsidRDefault="003956EC" w:rsidP="006A347A">
            <w:pPr>
              <w:pStyle w:val="BodyText"/>
              <w:spacing w:before="0"/>
              <w:jc w:val="center"/>
              <w:rPr>
                <w:b w:val="0"/>
                <w:color w:val="auto"/>
                <w:sz w:val="22"/>
                <w:szCs w:val="22"/>
              </w:rPr>
            </w:pPr>
          </w:p>
          <w:p w14:paraId="14937A6D" w14:textId="77777777" w:rsidR="003956EC" w:rsidRPr="00B56C25" w:rsidRDefault="003956EC" w:rsidP="006A347A">
            <w:pPr>
              <w:pStyle w:val="BodyText"/>
              <w:spacing w:before="0"/>
              <w:jc w:val="center"/>
              <w:rPr>
                <w:b w:val="0"/>
                <w:color w:val="auto"/>
                <w:sz w:val="22"/>
                <w:szCs w:val="22"/>
              </w:rPr>
            </w:pPr>
          </w:p>
          <w:p w14:paraId="78CC5899" w14:textId="77777777" w:rsidR="003956EC" w:rsidRPr="00B56C25" w:rsidRDefault="003956EC" w:rsidP="006A347A">
            <w:pPr>
              <w:pStyle w:val="BodyText"/>
              <w:spacing w:before="0"/>
              <w:jc w:val="center"/>
              <w:rPr>
                <w:b w:val="0"/>
                <w:color w:val="auto"/>
                <w:sz w:val="22"/>
                <w:szCs w:val="22"/>
              </w:rPr>
            </w:pPr>
          </w:p>
          <w:p w14:paraId="526FDDD7" w14:textId="77777777" w:rsidR="003956EC" w:rsidRPr="00B56C25" w:rsidRDefault="003956EC" w:rsidP="006A347A">
            <w:pPr>
              <w:pStyle w:val="BodyText"/>
              <w:spacing w:before="0"/>
              <w:jc w:val="center"/>
              <w:rPr>
                <w:b w:val="0"/>
                <w:color w:val="auto"/>
                <w:sz w:val="22"/>
                <w:szCs w:val="22"/>
              </w:rPr>
            </w:pPr>
          </w:p>
          <w:p w14:paraId="289E6F7A" w14:textId="77777777" w:rsidR="003956EC" w:rsidRPr="00B56C25" w:rsidRDefault="003956EC" w:rsidP="006A347A">
            <w:pPr>
              <w:pStyle w:val="BodyText"/>
              <w:spacing w:before="0"/>
              <w:jc w:val="center"/>
              <w:rPr>
                <w:b w:val="0"/>
                <w:color w:val="auto"/>
                <w:sz w:val="22"/>
                <w:szCs w:val="22"/>
              </w:rPr>
            </w:pPr>
          </w:p>
          <w:p w14:paraId="61276426" w14:textId="77777777" w:rsidR="003956EC" w:rsidRDefault="003956EC" w:rsidP="006A347A">
            <w:pPr>
              <w:pStyle w:val="BodyText"/>
              <w:spacing w:before="0"/>
              <w:jc w:val="center"/>
              <w:rPr>
                <w:b w:val="0"/>
                <w:color w:val="auto"/>
                <w:sz w:val="22"/>
                <w:szCs w:val="22"/>
              </w:rPr>
            </w:pPr>
          </w:p>
          <w:p w14:paraId="3F39F4EC" w14:textId="77777777" w:rsidR="003956EC" w:rsidRDefault="003956EC" w:rsidP="006A347A">
            <w:pPr>
              <w:pStyle w:val="BodyText"/>
              <w:spacing w:before="0"/>
              <w:jc w:val="center"/>
              <w:rPr>
                <w:b w:val="0"/>
                <w:color w:val="auto"/>
                <w:sz w:val="22"/>
                <w:szCs w:val="22"/>
              </w:rPr>
            </w:pPr>
          </w:p>
          <w:p w14:paraId="15EE323B" w14:textId="77777777" w:rsidR="003956EC" w:rsidRPr="00B56C25" w:rsidRDefault="003956EC" w:rsidP="006A347A">
            <w:pPr>
              <w:pStyle w:val="BodyText"/>
              <w:numPr>
                <w:ilvl w:val="0"/>
                <w:numId w:val="17"/>
              </w:numPr>
              <w:spacing w:before="0"/>
              <w:rPr>
                <w:b w:val="0"/>
                <w:color w:val="auto"/>
                <w:sz w:val="22"/>
                <w:szCs w:val="22"/>
              </w:rPr>
            </w:pPr>
            <w:r w:rsidRPr="00B56C25">
              <w:rPr>
                <w:b w:val="0"/>
                <w:color w:val="auto"/>
                <w:sz w:val="22"/>
                <w:szCs w:val="22"/>
              </w:rPr>
              <w:t>December 2018</w:t>
            </w:r>
          </w:p>
          <w:p w14:paraId="6E09BF66" w14:textId="1E08D5F1" w:rsidR="003956EC" w:rsidRDefault="003956EC" w:rsidP="006A347A">
            <w:pPr>
              <w:pStyle w:val="BodyText"/>
              <w:spacing w:before="0"/>
              <w:jc w:val="center"/>
              <w:rPr>
                <w:b w:val="0"/>
                <w:color w:val="auto"/>
                <w:sz w:val="22"/>
                <w:szCs w:val="22"/>
              </w:rPr>
            </w:pPr>
          </w:p>
          <w:p w14:paraId="540452D8" w14:textId="44EB0F92" w:rsidR="004D0089" w:rsidRDefault="004D0089" w:rsidP="006A347A">
            <w:pPr>
              <w:pStyle w:val="BodyText"/>
              <w:spacing w:before="0"/>
              <w:jc w:val="center"/>
              <w:rPr>
                <w:b w:val="0"/>
                <w:color w:val="auto"/>
                <w:sz w:val="22"/>
                <w:szCs w:val="22"/>
              </w:rPr>
            </w:pPr>
          </w:p>
          <w:p w14:paraId="08C12B7C" w14:textId="75ADE68C" w:rsidR="004D0089" w:rsidRDefault="004D0089" w:rsidP="006A347A">
            <w:pPr>
              <w:pStyle w:val="BodyText"/>
              <w:spacing w:before="0"/>
              <w:jc w:val="center"/>
              <w:rPr>
                <w:b w:val="0"/>
                <w:color w:val="auto"/>
                <w:sz w:val="22"/>
                <w:szCs w:val="22"/>
              </w:rPr>
            </w:pPr>
          </w:p>
          <w:p w14:paraId="2B727309" w14:textId="77777777" w:rsidR="004D0089" w:rsidRPr="00B56C25" w:rsidRDefault="004D0089" w:rsidP="006A347A">
            <w:pPr>
              <w:pStyle w:val="BodyText"/>
              <w:spacing w:before="0"/>
              <w:jc w:val="center"/>
              <w:rPr>
                <w:b w:val="0"/>
                <w:color w:val="auto"/>
                <w:sz w:val="22"/>
                <w:szCs w:val="22"/>
              </w:rPr>
            </w:pPr>
          </w:p>
          <w:p w14:paraId="426F0291" w14:textId="77777777" w:rsidR="003956EC" w:rsidRPr="00B56C25" w:rsidRDefault="003956EC" w:rsidP="004D0089">
            <w:pPr>
              <w:pStyle w:val="BodyText"/>
              <w:numPr>
                <w:ilvl w:val="0"/>
                <w:numId w:val="17"/>
              </w:numPr>
              <w:spacing w:before="0"/>
              <w:rPr>
                <w:b w:val="0"/>
                <w:color w:val="auto"/>
                <w:sz w:val="22"/>
                <w:szCs w:val="22"/>
              </w:rPr>
            </w:pPr>
            <w:r>
              <w:rPr>
                <w:b w:val="0"/>
                <w:color w:val="auto"/>
                <w:sz w:val="22"/>
                <w:szCs w:val="22"/>
              </w:rPr>
              <w:t xml:space="preserve">By end </w:t>
            </w:r>
            <w:r w:rsidRPr="00B56C25">
              <w:rPr>
                <w:b w:val="0"/>
                <w:color w:val="auto"/>
                <w:sz w:val="22"/>
                <w:szCs w:val="22"/>
              </w:rPr>
              <w:t>Q2 2019</w:t>
            </w:r>
          </w:p>
          <w:p w14:paraId="37C24EF7" w14:textId="77777777" w:rsidR="003956EC" w:rsidRPr="00B56C25" w:rsidRDefault="003956EC" w:rsidP="006A347A">
            <w:pPr>
              <w:pStyle w:val="BodyText"/>
              <w:spacing w:before="0"/>
              <w:jc w:val="center"/>
              <w:rPr>
                <w:b w:val="0"/>
                <w:color w:val="auto"/>
                <w:sz w:val="22"/>
                <w:szCs w:val="22"/>
              </w:rPr>
            </w:pPr>
          </w:p>
          <w:p w14:paraId="345C2EDA" w14:textId="77777777" w:rsidR="003956EC" w:rsidRPr="00B56C25" w:rsidRDefault="003956EC" w:rsidP="006A347A">
            <w:pPr>
              <w:pStyle w:val="BodyText"/>
              <w:spacing w:before="0"/>
              <w:jc w:val="center"/>
              <w:rPr>
                <w:b w:val="0"/>
                <w:color w:val="auto"/>
                <w:sz w:val="22"/>
                <w:szCs w:val="22"/>
              </w:rPr>
            </w:pPr>
          </w:p>
          <w:p w14:paraId="4F7E21DC" w14:textId="77777777" w:rsidR="003956EC" w:rsidRPr="00B56C25" w:rsidRDefault="003956EC" w:rsidP="006A347A">
            <w:pPr>
              <w:pStyle w:val="BodyText"/>
              <w:spacing w:before="0"/>
              <w:jc w:val="center"/>
              <w:rPr>
                <w:b w:val="0"/>
                <w:color w:val="auto"/>
                <w:sz w:val="22"/>
                <w:szCs w:val="22"/>
              </w:rPr>
            </w:pPr>
          </w:p>
          <w:p w14:paraId="5AA87410" w14:textId="77777777" w:rsidR="003956EC" w:rsidRDefault="003956EC" w:rsidP="006A347A">
            <w:pPr>
              <w:pStyle w:val="BodyText"/>
              <w:numPr>
                <w:ilvl w:val="0"/>
                <w:numId w:val="17"/>
              </w:numPr>
              <w:spacing w:before="0"/>
              <w:rPr>
                <w:b w:val="0"/>
                <w:color w:val="auto"/>
                <w:sz w:val="22"/>
                <w:szCs w:val="22"/>
              </w:rPr>
            </w:pPr>
            <w:r>
              <w:rPr>
                <w:b w:val="0"/>
                <w:color w:val="auto"/>
                <w:sz w:val="22"/>
                <w:szCs w:val="22"/>
              </w:rPr>
              <w:t xml:space="preserve">By end </w:t>
            </w:r>
            <w:r w:rsidRPr="00B56C25">
              <w:rPr>
                <w:b w:val="0"/>
                <w:color w:val="auto"/>
                <w:sz w:val="22"/>
                <w:szCs w:val="22"/>
              </w:rPr>
              <w:t>Q</w:t>
            </w:r>
            <w:r>
              <w:rPr>
                <w:b w:val="0"/>
                <w:color w:val="auto"/>
                <w:sz w:val="22"/>
                <w:szCs w:val="22"/>
              </w:rPr>
              <w:t>2</w:t>
            </w:r>
            <w:r w:rsidRPr="00B56C25">
              <w:rPr>
                <w:b w:val="0"/>
                <w:color w:val="auto"/>
                <w:sz w:val="22"/>
                <w:szCs w:val="22"/>
              </w:rPr>
              <w:t xml:space="preserve"> 2019</w:t>
            </w:r>
          </w:p>
          <w:p w14:paraId="0B7967C7" w14:textId="77777777" w:rsidR="003956EC" w:rsidRDefault="003956EC" w:rsidP="006A347A">
            <w:pPr>
              <w:pStyle w:val="BodyText"/>
              <w:spacing w:before="0"/>
              <w:rPr>
                <w:b w:val="0"/>
                <w:color w:val="auto"/>
                <w:sz w:val="22"/>
                <w:szCs w:val="22"/>
              </w:rPr>
            </w:pPr>
          </w:p>
          <w:p w14:paraId="738409DF" w14:textId="3360A78F" w:rsidR="003956EC" w:rsidRDefault="003956EC" w:rsidP="006A347A">
            <w:pPr>
              <w:pStyle w:val="BodyText"/>
              <w:spacing w:before="0"/>
              <w:rPr>
                <w:b w:val="0"/>
                <w:color w:val="auto"/>
                <w:sz w:val="22"/>
                <w:szCs w:val="22"/>
              </w:rPr>
            </w:pPr>
          </w:p>
          <w:p w14:paraId="2B7BB755" w14:textId="77777777" w:rsidR="003956EC" w:rsidRDefault="003956EC" w:rsidP="006A347A">
            <w:pPr>
              <w:pStyle w:val="BodyText"/>
              <w:spacing w:before="0"/>
              <w:rPr>
                <w:b w:val="0"/>
                <w:color w:val="auto"/>
                <w:sz w:val="22"/>
                <w:szCs w:val="22"/>
              </w:rPr>
            </w:pPr>
          </w:p>
          <w:p w14:paraId="44351384" w14:textId="77777777" w:rsidR="003956EC" w:rsidRDefault="003956EC" w:rsidP="006A347A">
            <w:pPr>
              <w:pStyle w:val="BodyText"/>
              <w:spacing w:before="0"/>
              <w:rPr>
                <w:b w:val="0"/>
                <w:color w:val="auto"/>
                <w:sz w:val="22"/>
                <w:szCs w:val="22"/>
              </w:rPr>
            </w:pPr>
          </w:p>
          <w:p w14:paraId="433A8E69" w14:textId="77777777" w:rsidR="003956EC" w:rsidRDefault="003956EC" w:rsidP="006A347A">
            <w:pPr>
              <w:pStyle w:val="BodyText"/>
              <w:spacing w:before="0"/>
              <w:rPr>
                <w:b w:val="0"/>
                <w:color w:val="auto"/>
                <w:sz w:val="22"/>
                <w:szCs w:val="22"/>
              </w:rPr>
            </w:pPr>
          </w:p>
          <w:p w14:paraId="38763BB8" w14:textId="60B3E294" w:rsidR="003956EC" w:rsidRDefault="003956EC" w:rsidP="006A347A">
            <w:pPr>
              <w:pStyle w:val="BodyText"/>
              <w:spacing w:before="0"/>
              <w:rPr>
                <w:b w:val="0"/>
                <w:color w:val="auto"/>
                <w:sz w:val="22"/>
                <w:szCs w:val="22"/>
              </w:rPr>
            </w:pPr>
          </w:p>
          <w:p w14:paraId="70083E73" w14:textId="31001D81" w:rsidR="004D0089" w:rsidRDefault="004D0089" w:rsidP="006A347A">
            <w:pPr>
              <w:pStyle w:val="BodyText"/>
              <w:spacing w:before="0"/>
              <w:rPr>
                <w:b w:val="0"/>
                <w:color w:val="auto"/>
                <w:sz w:val="22"/>
                <w:szCs w:val="22"/>
              </w:rPr>
            </w:pPr>
          </w:p>
          <w:p w14:paraId="6C78B05B" w14:textId="77777777" w:rsidR="00B115ED" w:rsidRDefault="00B115ED" w:rsidP="006A347A">
            <w:pPr>
              <w:pStyle w:val="BodyText"/>
              <w:spacing w:before="0"/>
              <w:rPr>
                <w:b w:val="0"/>
                <w:color w:val="auto"/>
                <w:sz w:val="22"/>
                <w:szCs w:val="22"/>
              </w:rPr>
            </w:pPr>
          </w:p>
          <w:p w14:paraId="2ADDD910" w14:textId="77777777" w:rsidR="003956EC" w:rsidRPr="00B56C25" w:rsidRDefault="003956EC" w:rsidP="006A347A">
            <w:pPr>
              <w:pStyle w:val="BodyText"/>
              <w:numPr>
                <w:ilvl w:val="0"/>
                <w:numId w:val="17"/>
              </w:numPr>
              <w:spacing w:before="0"/>
              <w:rPr>
                <w:b w:val="0"/>
                <w:color w:val="auto"/>
                <w:sz w:val="22"/>
                <w:szCs w:val="22"/>
              </w:rPr>
            </w:pPr>
            <w:r>
              <w:rPr>
                <w:b w:val="0"/>
                <w:color w:val="auto"/>
                <w:sz w:val="22"/>
                <w:szCs w:val="22"/>
              </w:rPr>
              <w:t>By end Q2 2019</w:t>
            </w:r>
          </w:p>
        </w:tc>
      </w:tr>
    </w:tbl>
    <w:p w14:paraId="796C8890" w14:textId="77777777" w:rsidR="006232A0" w:rsidRDefault="006232A0"/>
    <w:p w14:paraId="26105776" w14:textId="77777777" w:rsidR="000D63AD" w:rsidRDefault="000D63AD"/>
    <w:sectPr w:rsidR="000D63AD" w:rsidSect="00BF11F0">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E34B4A" w16cid:durableId="1FAFBC1D"/>
  <w16cid:commentId w16cid:paraId="33D99E6E" w16cid:durableId="1FAFDA17"/>
  <w16cid:commentId w16cid:paraId="74389F6B" w16cid:durableId="1FAFBC1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88071" w14:textId="77777777" w:rsidR="00525E2C" w:rsidRDefault="00525E2C" w:rsidP="00525E2C">
      <w:pPr>
        <w:spacing w:after="0" w:line="240" w:lineRule="auto"/>
      </w:pPr>
      <w:r>
        <w:separator/>
      </w:r>
    </w:p>
  </w:endnote>
  <w:endnote w:type="continuationSeparator" w:id="0">
    <w:p w14:paraId="3401EBAB" w14:textId="77777777" w:rsidR="00525E2C" w:rsidRDefault="00525E2C" w:rsidP="00525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9D360" w14:textId="77777777" w:rsidR="00525E2C" w:rsidRDefault="00525E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E156D" w14:textId="77777777" w:rsidR="00525E2C" w:rsidRDefault="00525E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944EB" w14:textId="77777777" w:rsidR="00525E2C" w:rsidRDefault="00525E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92D52" w14:textId="77777777" w:rsidR="00525E2C" w:rsidRDefault="00525E2C" w:rsidP="00525E2C">
      <w:pPr>
        <w:spacing w:after="0" w:line="240" w:lineRule="auto"/>
      </w:pPr>
      <w:r>
        <w:separator/>
      </w:r>
    </w:p>
  </w:footnote>
  <w:footnote w:type="continuationSeparator" w:id="0">
    <w:p w14:paraId="16CE18BD" w14:textId="77777777" w:rsidR="00525E2C" w:rsidRDefault="00525E2C" w:rsidP="00525E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21CA3" w14:textId="77777777" w:rsidR="00525E2C" w:rsidRDefault="00525E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D568A" w14:textId="77777777" w:rsidR="00525E2C" w:rsidRDefault="00525E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BF167" w14:textId="77777777" w:rsidR="00525E2C" w:rsidRDefault="00525E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425D"/>
    <w:multiLevelType w:val="multilevel"/>
    <w:tmpl w:val="EC10C73A"/>
    <w:lvl w:ilvl="0">
      <w:start w:val="1"/>
      <w:numFmt w:val="decimal"/>
      <w:lvlText w:val="%1"/>
      <w:lvlJc w:val="left"/>
      <w:pPr>
        <w:ind w:left="360" w:hanging="360"/>
      </w:pPr>
      <w:rPr>
        <w:rFonts w:hint="default"/>
        <w:b w:val="0"/>
        <w:color w:val="333333"/>
      </w:rPr>
    </w:lvl>
    <w:lvl w:ilvl="1">
      <w:start w:val="1"/>
      <w:numFmt w:val="decimal"/>
      <w:lvlText w:val="%2."/>
      <w:lvlJc w:val="left"/>
      <w:pPr>
        <w:ind w:left="717" w:hanging="360"/>
      </w:pPr>
      <w:rPr>
        <w:rFonts w:asciiTheme="majorHAnsi" w:eastAsia="Arial" w:hAnsiTheme="majorHAnsi" w:cstheme="majorHAnsi"/>
        <w:b w:val="0"/>
        <w:color w:val="333333"/>
      </w:rPr>
    </w:lvl>
    <w:lvl w:ilvl="2">
      <w:start w:val="1"/>
      <w:numFmt w:val="decimal"/>
      <w:lvlText w:val="%1.%2.%3"/>
      <w:lvlJc w:val="left"/>
      <w:pPr>
        <w:ind w:left="1434" w:hanging="720"/>
      </w:pPr>
      <w:rPr>
        <w:rFonts w:hint="default"/>
        <w:b w:val="0"/>
        <w:color w:val="333333"/>
      </w:rPr>
    </w:lvl>
    <w:lvl w:ilvl="3">
      <w:start w:val="1"/>
      <w:numFmt w:val="decimal"/>
      <w:lvlText w:val="%1.%2.%3.%4"/>
      <w:lvlJc w:val="left"/>
      <w:pPr>
        <w:ind w:left="1791" w:hanging="720"/>
      </w:pPr>
      <w:rPr>
        <w:rFonts w:hint="default"/>
        <w:b w:val="0"/>
        <w:color w:val="333333"/>
      </w:rPr>
    </w:lvl>
    <w:lvl w:ilvl="4">
      <w:start w:val="1"/>
      <w:numFmt w:val="decimal"/>
      <w:lvlText w:val="%1.%2.%3.%4.%5"/>
      <w:lvlJc w:val="left"/>
      <w:pPr>
        <w:ind w:left="2508" w:hanging="1080"/>
      </w:pPr>
      <w:rPr>
        <w:rFonts w:hint="default"/>
        <w:b w:val="0"/>
        <w:color w:val="333333"/>
      </w:rPr>
    </w:lvl>
    <w:lvl w:ilvl="5">
      <w:start w:val="1"/>
      <w:numFmt w:val="decimal"/>
      <w:lvlText w:val="%1.%2.%3.%4.%5.%6"/>
      <w:lvlJc w:val="left"/>
      <w:pPr>
        <w:ind w:left="2865" w:hanging="1080"/>
      </w:pPr>
      <w:rPr>
        <w:rFonts w:hint="default"/>
        <w:b w:val="0"/>
        <w:color w:val="333333"/>
      </w:rPr>
    </w:lvl>
    <w:lvl w:ilvl="6">
      <w:start w:val="1"/>
      <w:numFmt w:val="decimal"/>
      <w:lvlText w:val="%1.%2.%3.%4.%5.%6.%7"/>
      <w:lvlJc w:val="left"/>
      <w:pPr>
        <w:ind w:left="3582" w:hanging="1440"/>
      </w:pPr>
      <w:rPr>
        <w:rFonts w:hint="default"/>
        <w:b w:val="0"/>
        <w:color w:val="333333"/>
      </w:rPr>
    </w:lvl>
    <w:lvl w:ilvl="7">
      <w:start w:val="1"/>
      <w:numFmt w:val="decimal"/>
      <w:lvlText w:val="%1.%2.%3.%4.%5.%6.%7.%8"/>
      <w:lvlJc w:val="left"/>
      <w:pPr>
        <w:ind w:left="3939" w:hanging="1440"/>
      </w:pPr>
      <w:rPr>
        <w:rFonts w:hint="default"/>
        <w:b w:val="0"/>
        <w:color w:val="333333"/>
      </w:rPr>
    </w:lvl>
    <w:lvl w:ilvl="8">
      <w:start w:val="1"/>
      <w:numFmt w:val="decimal"/>
      <w:lvlText w:val="%1.%2.%3.%4.%5.%6.%7.%8.%9"/>
      <w:lvlJc w:val="left"/>
      <w:pPr>
        <w:ind w:left="4296" w:hanging="1440"/>
      </w:pPr>
      <w:rPr>
        <w:rFonts w:hint="default"/>
        <w:b w:val="0"/>
        <w:color w:val="333333"/>
      </w:rPr>
    </w:lvl>
  </w:abstractNum>
  <w:abstractNum w:abstractNumId="1" w15:restartNumberingAfterBreak="0">
    <w:nsid w:val="03835D49"/>
    <w:multiLevelType w:val="hybridMultilevel"/>
    <w:tmpl w:val="9B989612"/>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07A59B0"/>
    <w:multiLevelType w:val="hybridMultilevel"/>
    <w:tmpl w:val="BC78FC22"/>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C010710"/>
    <w:multiLevelType w:val="multilevel"/>
    <w:tmpl w:val="E3B8970A"/>
    <w:lvl w:ilvl="0">
      <w:start w:val="1"/>
      <w:numFmt w:val="decimal"/>
      <w:lvlText w:val="%1."/>
      <w:lvlJc w:val="left"/>
      <w:pPr>
        <w:ind w:left="720" w:hanging="360"/>
      </w:pPr>
      <w:rPr>
        <w:rFonts w:asciiTheme="majorHAnsi" w:eastAsia="Arial" w:hAnsiTheme="majorHAnsi" w:cstheme="majorHAnsi"/>
        <w:b w:val="0"/>
        <w:i w:val="0"/>
        <w:color w:val="000000" w:themeColor="text1"/>
        <w:sz w:val="22"/>
      </w:rPr>
    </w:lvl>
    <w:lvl w:ilvl="1">
      <w:start w:val="1"/>
      <w:numFmt w:val="decimal"/>
      <w:isLgl/>
      <w:lvlText w:val="%2."/>
      <w:lvlJc w:val="left"/>
      <w:pPr>
        <w:ind w:left="502" w:hanging="360"/>
      </w:pPr>
      <w:rPr>
        <w:rFonts w:asciiTheme="majorHAnsi" w:eastAsia="Arial" w:hAnsiTheme="majorHAnsi" w:cstheme="majorHAnsi"/>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C77263D"/>
    <w:multiLevelType w:val="hybridMultilevel"/>
    <w:tmpl w:val="BF2EEFC2"/>
    <w:lvl w:ilvl="0" w:tplc="FA4861C2">
      <w:start w:val="1"/>
      <w:numFmt w:val="lowerLetter"/>
      <w:lvlText w:val="%1."/>
      <w:lvlJc w:val="left"/>
      <w:pPr>
        <w:ind w:left="360" w:hanging="360"/>
      </w:pPr>
      <w:rPr>
        <w:rFonts w:eastAsia="Arial" w:cs="Times New Roman" w:hint="default"/>
        <w:b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9642261"/>
    <w:multiLevelType w:val="hybridMultilevel"/>
    <w:tmpl w:val="A8184EDC"/>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18D259D"/>
    <w:multiLevelType w:val="hybridMultilevel"/>
    <w:tmpl w:val="52CA94B2"/>
    <w:lvl w:ilvl="0" w:tplc="1294F792">
      <w:start w:val="1"/>
      <w:numFmt w:val="lowerLetter"/>
      <w:lvlText w:val="%1."/>
      <w:lvlJc w:val="left"/>
      <w:pPr>
        <w:ind w:left="360" w:hanging="360"/>
      </w:pPr>
      <w:rPr>
        <w:rFonts w:eastAsia="Arial" w:cs="Times New Roman" w:hint="default"/>
        <w:b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4FC5BE2"/>
    <w:multiLevelType w:val="multilevel"/>
    <w:tmpl w:val="EC10C73A"/>
    <w:lvl w:ilvl="0">
      <w:start w:val="1"/>
      <w:numFmt w:val="decimal"/>
      <w:lvlText w:val="%1"/>
      <w:lvlJc w:val="left"/>
      <w:pPr>
        <w:ind w:left="360" w:hanging="360"/>
      </w:pPr>
      <w:rPr>
        <w:rFonts w:hint="default"/>
        <w:b w:val="0"/>
        <w:color w:val="333333"/>
      </w:rPr>
    </w:lvl>
    <w:lvl w:ilvl="1">
      <w:start w:val="1"/>
      <w:numFmt w:val="decimal"/>
      <w:lvlText w:val="%2."/>
      <w:lvlJc w:val="left"/>
      <w:pPr>
        <w:ind w:left="717" w:hanging="360"/>
      </w:pPr>
      <w:rPr>
        <w:rFonts w:asciiTheme="majorHAnsi" w:eastAsia="Arial" w:hAnsiTheme="majorHAnsi" w:cstheme="majorHAnsi"/>
        <w:b w:val="0"/>
        <w:color w:val="333333"/>
      </w:rPr>
    </w:lvl>
    <w:lvl w:ilvl="2">
      <w:start w:val="1"/>
      <w:numFmt w:val="decimal"/>
      <w:lvlText w:val="%1.%2.%3"/>
      <w:lvlJc w:val="left"/>
      <w:pPr>
        <w:ind w:left="1434" w:hanging="720"/>
      </w:pPr>
      <w:rPr>
        <w:rFonts w:hint="default"/>
        <w:b w:val="0"/>
        <w:color w:val="333333"/>
      </w:rPr>
    </w:lvl>
    <w:lvl w:ilvl="3">
      <w:start w:val="1"/>
      <w:numFmt w:val="decimal"/>
      <w:lvlText w:val="%1.%2.%3.%4"/>
      <w:lvlJc w:val="left"/>
      <w:pPr>
        <w:ind w:left="1791" w:hanging="720"/>
      </w:pPr>
      <w:rPr>
        <w:rFonts w:hint="default"/>
        <w:b w:val="0"/>
        <w:color w:val="333333"/>
      </w:rPr>
    </w:lvl>
    <w:lvl w:ilvl="4">
      <w:start w:val="1"/>
      <w:numFmt w:val="decimal"/>
      <w:lvlText w:val="%1.%2.%3.%4.%5"/>
      <w:lvlJc w:val="left"/>
      <w:pPr>
        <w:ind w:left="2508" w:hanging="1080"/>
      </w:pPr>
      <w:rPr>
        <w:rFonts w:hint="default"/>
        <w:b w:val="0"/>
        <w:color w:val="333333"/>
      </w:rPr>
    </w:lvl>
    <w:lvl w:ilvl="5">
      <w:start w:val="1"/>
      <w:numFmt w:val="decimal"/>
      <w:lvlText w:val="%1.%2.%3.%4.%5.%6"/>
      <w:lvlJc w:val="left"/>
      <w:pPr>
        <w:ind w:left="2865" w:hanging="1080"/>
      </w:pPr>
      <w:rPr>
        <w:rFonts w:hint="default"/>
        <w:b w:val="0"/>
        <w:color w:val="333333"/>
      </w:rPr>
    </w:lvl>
    <w:lvl w:ilvl="6">
      <w:start w:val="1"/>
      <w:numFmt w:val="decimal"/>
      <w:lvlText w:val="%1.%2.%3.%4.%5.%6.%7"/>
      <w:lvlJc w:val="left"/>
      <w:pPr>
        <w:ind w:left="3582" w:hanging="1440"/>
      </w:pPr>
      <w:rPr>
        <w:rFonts w:hint="default"/>
        <w:b w:val="0"/>
        <w:color w:val="333333"/>
      </w:rPr>
    </w:lvl>
    <w:lvl w:ilvl="7">
      <w:start w:val="1"/>
      <w:numFmt w:val="decimal"/>
      <w:lvlText w:val="%1.%2.%3.%4.%5.%6.%7.%8"/>
      <w:lvlJc w:val="left"/>
      <w:pPr>
        <w:ind w:left="3939" w:hanging="1440"/>
      </w:pPr>
      <w:rPr>
        <w:rFonts w:hint="default"/>
        <w:b w:val="0"/>
        <w:color w:val="333333"/>
      </w:rPr>
    </w:lvl>
    <w:lvl w:ilvl="8">
      <w:start w:val="1"/>
      <w:numFmt w:val="decimal"/>
      <w:lvlText w:val="%1.%2.%3.%4.%5.%6.%7.%8.%9"/>
      <w:lvlJc w:val="left"/>
      <w:pPr>
        <w:ind w:left="4296" w:hanging="1440"/>
      </w:pPr>
      <w:rPr>
        <w:rFonts w:hint="default"/>
        <w:b w:val="0"/>
        <w:color w:val="333333"/>
      </w:rPr>
    </w:lvl>
  </w:abstractNum>
  <w:abstractNum w:abstractNumId="8" w15:restartNumberingAfterBreak="0">
    <w:nsid w:val="466609BE"/>
    <w:multiLevelType w:val="hybridMultilevel"/>
    <w:tmpl w:val="F4BA1E62"/>
    <w:lvl w:ilvl="0" w:tplc="172A27E6">
      <w:start w:val="1"/>
      <w:numFmt w:val="lowerLetter"/>
      <w:lvlText w:val="%1."/>
      <w:lvlJc w:val="left"/>
      <w:pPr>
        <w:ind w:left="720" w:hanging="360"/>
      </w:pPr>
      <w:rPr>
        <w:rFonts w:asciiTheme="majorHAnsi" w:eastAsia="Arial" w:hAnsiTheme="majorHAnsi" w:cstheme="majorHAns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6B6176"/>
    <w:multiLevelType w:val="hybridMultilevel"/>
    <w:tmpl w:val="B7C8013E"/>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E2823EF"/>
    <w:multiLevelType w:val="hybridMultilevel"/>
    <w:tmpl w:val="3564CA28"/>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4E8215A4"/>
    <w:multiLevelType w:val="hybridMultilevel"/>
    <w:tmpl w:val="83CED780"/>
    <w:lvl w:ilvl="0" w:tplc="5BC85CCC">
      <w:start w:val="1"/>
      <w:numFmt w:val="lowerLetter"/>
      <w:lvlText w:val="%1."/>
      <w:lvlJc w:val="left"/>
      <w:pPr>
        <w:ind w:left="1437" w:hanging="360"/>
      </w:pPr>
      <w:rPr>
        <w:rFonts w:hint="default"/>
      </w:rPr>
    </w:lvl>
    <w:lvl w:ilvl="1" w:tplc="04090019">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12" w15:restartNumberingAfterBreak="0">
    <w:nsid w:val="4FF77316"/>
    <w:multiLevelType w:val="hybridMultilevel"/>
    <w:tmpl w:val="E00853C0"/>
    <w:lvl w:ilvl="0" w:tplc="0E26313C">
      <w:start w:val="1"/>
      <w:numFmt w:val="bullet"/>
      <w:lvlText w:val=""/>
      <w:lvlJc w:val="left"/>
      <w:pPr>
        <w:ind w:left="720" w:hanging="360"/>
      </w:pPr>
      <w:rPr>
        <w:rFonts w:ascii="Wingdings" w:hAnsi="Wingdings" w:hint="default"/>
        <w:color w:val="auto"/>
      </w:rPr>
    </w:lvl>
    <w:lvl w:ilvl="1" w:tplc="04090019">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3" w15:restartNumberingAfterBreak="0">
    <w:nsid w:val="582A0A33"/>
    <w:multiLevelType w:val="hybridMultilevel"/>
    <w:tmpl w:val="014C0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F807DC3"/>
    <w:multiLevelType w:val="hybridMultilevel"/>
    <w:tmpl w:val="8572F3A2"/>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608B7ECD"/>
    <w:multiLevelType w:val="hybridMultilevel"/>
    <w:tmpl w:val="484CE62A"/>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F49186D"/>
    <w:multiLevelType w:val="hybridMultilevel"/>
    <w:tmpl w:val="7188D356"/>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70780C32"/>
    <w:multiLevelType w:val="hybridMultilevel"/>
    <w:tmpl w:val="BBDEB4BE"/>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71F52505"/>
    <w:multiLevelType w:val="hybridMultilevel"/>
    <w:tmpl w:val="95C2DE5C"/>
    <w:lvl w:ilvl="0" w:tplc="F8CC5800">
      <w:start w:val="1"/>
      <w:numFmt w:val="lowerLetter"/>
      <w:lvlText w:val="%1."/>
      <w:lvlJc w:val="left"/>
      <w:pPr>
        <w:ind w:left="720" w:hanging="360"/>
      </w:pPr>
      <w:rPr>
        <w:rFonts w:asciiTheme="majorHAnsi" w:eastAsia="Arial" w:hAnsiTheme="majorHAnsi" w:cstheme="majorHAns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0"/>
  </w:num>
  <w:num w:numId="4">
    <w:abstractNumId w:val="13"/>
  </w:num>
  <w:num w:numId="5">
    <w:abstractNumId w:val="8"/>
  </w:num>
  <w:num w:numId="6">
    <w:abstractNumId w:val="11"/>
  </w:num>
  <w:num w:numId="7">
    <w:abstractNumId w:val="18"/>
  </w:num>
  <w:num w:numId="8">
    <w:abstractNumId w:val="6"/>
  </w:num>
  <w:num w:numId="9">
    <w:abstractNumId w:val="4"/>
  </w:num>
  <w:num w:numId="10">
    <w:abstractNumId w:val="2"/>
  </w:num>
  <w:num w:numId="11">
    <w:abstractNumId w:val="10"/>
  </w:num>
  <w:num w:numId="12">
    <w:abstractNumId w:val="14"/>
  </w:num>
  <w:num w:numId="13">
    <w:abstractNumId w:val="1"/>
  </w:num>
  <w:num w:numId="14">
    <w:abstractNumId w:val="9"/>
  </w:num>
  <w:num w:numId="15">
    <w:abstractNumId w:val="15"/>
  </w:num>
  <w:num w:numId="16">
    <w:abstractNumId w:val="17"/>
  </w:num>
  <w:num w:numId="17">
    <w:abstractNumId w:val="16"/>
  </w:num>
  <w:num w:numId="18">
    <w:abstractNumId w:val="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4CE"/>
    <w:rsid w:val="00027970"/>
    <w:rsid w:val="00036AC1"/>
    <w:rsid w:val="000413E1"/>
    <w:rsid w:val="00044749"/>
    <w:rsid w:val="000A760F"/>
    <w:rsid w:val="000D63AD"/>
    <w:rsid w:val="00100FBC"/>
    <w:rsid w:val="00126434"/>
    <w:rsid w:val="00126CBE"/>
    <w:rsid w:val="00136AEE"/>
    <w:rsid w:val="00136F8F"/>
    <w:rsid w:val="0018770B"/>
    <w:rsid w:val="001E28F9"/>
    <w:rsid w:val="00216853"/>
    <w:rsid w:val="00250B79"/>
    <w:rsid w:val="00255710"/>
    <w:rsid w:val="002A7ACB"/>
    <w:rsid w:val="002B0F07"/>
    <w:rsid w:val="002F5190"/>
    <w:rsid w:val="00324574"/>
    <w:rsid w:val="00383853"/>
    <w:rsid w:val="003956EC"/>
    <w:rsid w:val="00397D3E"/>
    <w:rsid w:val="003D1860"/>
    <w:rsid w:val="0044666C"/>
    <w:rsid w:val="00455243"/>
    <w:rsid w:val="004D0089"/>
    <w:rsid w:val="004F752D"/>
    <w:rsid w:val="005164CE"/>
    <w:rsid w:val="00525E2C"/>
    <w:rsid w:val="00533FD1"/>
    <w:rsid w:val="005354F5"/>
    <w:rsid w:val="00544571"/>
    <w:rsid w:val="00557B10"/>
    <w:rsid w:val="005704FD"/>
    <w:rsid w:val="005A003B"/>
    <w:rsid w:val="005A4D29"/>
    <w:rsid w:val="005C6F9C"/>
    <w:rsid w:val="005F1CCF"/>
    <w:rsid w:val="006232A0"/>
    <w:rsid w:val="00655ED6"/>
    <w:rsid w:val="0067609B"/>
    <w:rsid w:val="00677568"/>
    <w:rsid w:val="006962D2"/>
    <w:rsid w:val="0069678C"/>
    <w:rsid w:val="006C00D9"/>
    <w:rsid w:val="00703DF2"/>
    <w:rsid w:val="0071775F"/>
    <w:rsid w:val="0072385D"/>
    <w:rsid w:val="007A385B"/>
    <w:rsid w:val="007B0DFA"/>
    <w:rsid w:val="007C0CD1"/>
    <w:rsid w:val="007F23F0"/>
    <w:rsid w:val="007F6968"/>
    <w:rsid w:val="00850954"/>
    <w:rsid w:val="0089777A"/>
    <w:rsid w:val="00925854"/>
    <w:rsid w:val="00975C20"/>
    <w:rsid w:val="00A164C3"/>
    <w:rsid w:val="00A374AA"/>
    <w:rsid w:val="00A55475"/>
    <w:rsid w:val="00AE33FF"/>
    <w:rsid w:val="00B05DDF"/>
    <w:rsid w:val="00B115ED"/>
    <w:rsid w:val="00B26847"/>
    <w:rsid w:val="00B51E09"/>
    <w:rsid w:val="00B55FED"/>
    <w:rsid w:val="00B56C25"/>
    <w:rsid w:val="00B619C6"/>
    <w:rsid w:val="00B75217"/>
    <w:rsid w:val="00B7640F"/>
    <w:rsid w:val="00B93B58"/>
    <w:rsid w:val="00BC3A29"/>
    <w:rsid w:val="00BD11F7"/>
    <w:rsid w:val="00BD5749"/>
    <w:rsid w:val="00BE7161"/>
    <w:rsid w:val="00BF11F0"/>
    <w:rsid w:val="00C32653"/>
    <w:rsid w:val="00C9625F"/>
    <w:rsid w:val="00CB0B47"/>
    <w:rsid w:val="00CF185E"/>
    <w:rsid w:val="00D00ADD"/>
    <w:rsid w:val="00D215D5"/>
    <w:rsid w:val="00D61F0D"/>
    <w:rsid w:val="00D94A63"/>
    <w:rsid w:val="00DA241A"/>
    <w:rsid w:val="00DE1B17"/>
    <w:rsid w:val="00DE6F51"/>
    <w:rsid w:val="00E244F8"/>
    <w:rsid w:val="00E35F89"/>
    <w:rsid w:val="00E375DB"/>
    <w:rsid w:val="00E479C2"/>
    <w:rsid w:val="00E929C6"/>
    <w:rsid w:val="00EB42C3"/>
    <w:rsid w:val="00F34AAF"/>
    <w:rsid w:val="00F77502"/>
    <w:rsid w:val="00FB0E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1AB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D63A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unhideWhenUsed/>
    <w:qFormat/>
    <w:rsid w:val="000D63AD"/>
    <w:pPr>
      <w:suppressAutoHyphens/>
      <w:spacing w:before="480" w:after="120" w:line="360" w:lineRule="atLeast"/>
      <w:contextualSpacing/>
      <w:outlineLvl w:val="2"/>
    </w:pPr>
    <w:rPr>
      <w:bCs/>
      <w:color w:val="44546A" w:themeColor="text2"/>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164CE"/>
    <w:pPr>
      <w:spacing w:before="200" w:after="120" w:line="264" w:lineRule="auto"/>
    </w:pPr>
    <w:rPr>
      <w:rFonts w:asciiTheme="majorHAnsi" w:eastAsia="Arial" w:hAnsiTheme="majorHAnsi" w:cs="Times New Roman"/>
      <w:b/>
      <w:color w:val="5B9BD5" w:themeColor="accent1"/>
      <w:sz w:val="28"/>
      <w:szCs w:val="20"/>
    </w:rPr>
  </w:style>
  <w:style w:type="character" w:customStyle="1" w:styleId="BodyTextChar">
    <w:name w:val="Body Text Char"/>
    <w:basedOn w:val="DefaultParagraphFont"/>
    <w:link w:val="BodyText"/>
    <w:rsid w:val="005164CE"/>
    <w:rPr>
      <w:rFonts w:asciiTheme="majorHAnsi" w:eastAsia="Arial" w:hAnsiTheme="majorHAnsi" w:cs="Times New Roman"/>
      <w:b/>
      <w:color w:val="5B9BD5" w:themeColor="accent1"/>
      <w:sz w:val="28"/>
      <w:szCs w:val="20"/>
    </w:rPr>
  </w:style>
  <w:style w:type="table" w:styleId="TableGrid">
    <w:name w:val="Table Grid"/>
    <w:basedOn w:val="TableNormal"/>
    <w:uiPriority w:val="39"/>
    <w:rsid w:val="00516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64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4CE"/>
    <w:rPr>
      <w:rFonts w:ascii="Segoe UI" w:hAnsi="Segoe UI" w:cs="Segoe UI"/>
      <w:sz w:val="18"/>
      <w:szCs w:val="18"/>
    </w:rPr>
  </w:style>
  <w:style w:type="character" w:customStyle="1" w:styleId="Heading3Char">
    <w:name w:val="Heading 3 Char"/>
    <w:basedOn w:val="DefaultParagraphFont"/>
    <w:link w:val="Heading3"/>
    <w:rsid w:val="000D63AD"/>
    <w:rPr>
      <w:rFonts w:asciiTheme="majorHAnsi" w:eastAsiaTheme="majorEastAsia" w:hAnsiTheme="majorHAnsi" w:cstheme="majorBidi"/>
      <w:bCs/>
      <w:color w:val="44546A" w:themeColor="text2"/>
      <w:sz w:val="30"/>
      <w:szCs w:val="26"/>
    </w:rPr>
  </w:style>
  <w:style w:type="paragraph" w:customStyle="1" w:styleId="TableHeaderRow">
    <w:name w:val="Table Header Row"/>
    <w:basedOn w:val="Normal"/>
    <w:qFormat/>
    <w:rsid w:val="000D63AD"/>
    <w:pPr>
      <w:suppressAutoHyphens/>
      <w:spacing w:before="60" w:after="60" w:line="260" w:lineRule="atLeast"/>
    </w:pPr>
    <w:rPr>
      <w:rFonts w:ascii="Calibri" w:hAnsi="Calibri"/>
      <w:b/>
      <w:color w:val="FFFFFF" w:themeColor="background1"/>
      <w:szCs w:val="21"/>
      <w:lang w:val="en-GB"/>
    </w:rPr>
  </w:style>
  <w:style w:type="table" w:customStyle="1" w:styleId="DFATTable1">
    <w:name w:val="DFAT Table 1"/>
    <w:basedOn w:val="TableNormal"/>
    <w:uiPriority w:val="99"/>
    <w:rsid w:val="000D63AD"/>
    <w:pPr>
      <w:spacing w:before="60" w:after="60" w:line="260" w:lineRule="atLeast"/>
    </w:pPr>
    <w:rPr>
      <w:rFonts w:ascii="Calibri" w:hAnsi="Calibri"/>
      <w:color w:val="44546A" w:themeColor="text2"/>
    </w:rPr>
    <w:tblPr>
      <w:tblStyleRowBandSize w:val="1"/>
      <w:tblStyleColBandSize w:val="1"/>
      <w:tblBorders>
        <w:top w:val="single" w:sz="4" w:space="0" w:color="44546A" w:themeColor="text2"/>
        <w:bottom w:val="single" w:sz="4" w:space="0" w:color="44546A" w:themeColor="text2"/>
        <w:insideH w:val="single" w:sz="4" w:space="0" w:color="44546A" w:themeColor="text2"/>
      </w:tblBorders>
      <w:tblCellMar>
        <w:top w:w="57" w:type="dxa"/>
        <w:bottom w:w="57" w:type="dxa"/>
      </w:tblCellMar>
    </w:tblPr>
    <w:tblStylePr w:type="firstRow">
      <w:rPr>
        <w:b w:val="0"/>
      </w:rPr>
      <w:tblPr/>
      <w:trPr>
        <w:tblHeader/>
      </w:trPr>
      <w:tcPr>
        <w:tcBorders>
          <w:top w:val="single" w:sz="4" w:space="0" w:color="5B9BD5" w:themeColor="accent1"/>
          <w:bottom w:val="single" w:sz="4" w:space="0" w:color="5B9BD5" w:themeColor="accent1"/>
          <w:insideH w:val="single" w:sz="4" w:space="0" w:color="5B9BD5" w:themeColor="accent1"/>
        </w:tcBorders>
        <w:shd w:val="clear" w:color="auto" w:fill="5B9BD5" w:themeFill="accent1"/>
      </w:tcPr>
    </w:tblStylePr>
    <w:tblStylePr w:type="lastRow">
      <w:rPr>
        <w:b/>
        <w:color w:val="FFFFFF" w:themeColor="background1"/>
      </w:rPr>
      <w:tblPr/>
      <w:tcPr>
        <w:shd w:val="clear" w:color="auto" w:fill="44546A" w:themeFill="text2"/>
      </w:tcPr>
    </w:tblStylePr>
    <w:tblStylePr w:type="firstCol">
      <w:tblPr/>
      <w:tcPr>
        <w:shd w:val="clear" w:color="auto" w:fill="E7E6E6" w:themeFill="background2"/>
      </w:tcPr>
    </w:tblStylePr>
    <w:tblStylePr w:type="lastCol">
      <w:tblPr/>
      <w:tcPr>
        <w:shd w:val="clear" w:color="auto" w:fill="E7E6E6" w:themeFill="background2"/>
      </w:tcPr>
    </w:tblStylePr>
    <w:tblStylePr w:type="band1Vert">
      <w:tblPr/>
      <w:tcPr>
        <w:shd w:val="clear" w:color="auto" w:fill="DEEAF6" w:themeFill="accent1" w:themeFillTint="33"/>
      </w:tcPr>
    </w:tblStylePr>
    <w:tblStylePr w:type="band2Vert">
      <w:tblPr/>
      <w:tcPr>
        <w:shd w:val="clear" w:color="auto" w:fill="BDD6EE" w:themeFill="accent1" w:themeFillTint="66"/>
      </w:tcPr>
    </w:tblStylePr>
    <w:tblStylePr w:type="band1Horz">
      <w:tblPr/>
      <w:tcPr>
        <w:shd w:val="clear" w:color="auto" w:fill="DEEAF6" w:themeFill="accent1" w:themeFillTint="33"/>
      </w:tcPr>
    </w:tblStylePr>
    <w:tblStylePr w:type="band2Horz">
      <w:tblPr/>
      <w:tcPr>
        <w:shd w:val="clear" w:color="auto" w:fill="BDD6EE" w:themeFill="accent1" w:themeFillTint="66"/>
      </w:tcPr>
    </w:tblStylePr>
  </w:style>
  <w:style w:type="character" w:customStyle="1" w:styleId="Heading2Char">
    <w:name w:val="Heading 2 Char"/>
    <w:basedOn w:val="DefaultParagraphFont"/>
    <w:link w:val="Heading2"/>
    <w:uiPriority w:val="9"/>
    <w:semiHidden/>
    <w:rsid w:val="000D63AD"/>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EB42C3"/>
    <w:rPr>
      <w:sz w:val="16"/>
      <w:szCs w:val="16"/>
    </w:rPr>
  </w:style>
  <w:style w:type="paragraph" w:styleId="CommentText">
    <w:name w:val="annotation text"/>
    <w:basedOn w:val="Normal"/>
    <w:link w:val="CommentTextChar"/>
    <w:uiPriority w:val="99"/>
    <w:unhideWhenUsed/>
    <w:rsid w:val="00EB42C3"/>
    <w:pPr>
      <w:spacing w:line="240" w:lineRule="auto"/>
    </w:pPr>
    <w:rPr>
      <w:sz w:val="20"/>
      <w:szCs w:val="20"/>
    </w:rPr>
  </w:style>
  <w:style w:type="character" w:customStyle="1" w:styleId="CommentTextChar">
    <w:name w:val="Comment Text Char"/>
    <w:basedOn w:val="DefaultParagraphFont"/>
    <w:link w:val="CommentText"/>
    <w:uiPriority w:val="99"/>
    <w:rsid w:val="00EB42C3"/>
    <w:rPr>
      <w:sz w:val="20"/>
      <w:szCs w:val="20"/>
    </w:rPr>
  </w:style>
  <w:style w:type="paragraph" w:styleId="CommentSubject">
    <w:name w:val="annotation subject"/>
    <w:basedOn w:val="CommentText"/>
    <w:next w:val="CommentText"/>
    <w:link w:val="CommentSubjectChar"/>
    <w:uiPriority w:val="99"/>
    <w:semiHidden/>
    <w:unhideWhenUsed/>
    <w:rsid w:val="00EB42C3"/>
    <w:rPr>
      <w:b/>
      <w:bCs/>
    </w:rPr>
  </w:style>
  <w:style w:type="character" w:customStyle="1" w:styleId="CommentSubjectChar">
    <w:name w:val="Comment Subject Char"/>
    <w:basedOn w:val="CommentTextChar"/>
    <w:link w:val="CommentSubject"/>
    <w:uiPriority w:val="99"/>
    <w:semiHidden/>
    <w:rsid w:val="00EB42C3"/>
    <w:rPr>
      <w:b/>
      <w:bCs/>
      <w:sz w:val="20"/>
      <w:szCs w:val="20"/>
    </w:rPr>
  </w:style>
  <w:style w:type="character" w:customStyle="1" w:styleId="normaltextrun">
    <w:name w:val="normaltextrun"/>
    <w:basedOn w:val="DefaultParagraphFont"/>
    <w:rsid w:val="00E479C2"/>
  </w:style>
  <w:style w:type="character" w:customStyle="1" w:styleId="contextualspellingandgrammarerror">
    <w:name w:val="contextualspellingandgrammarerror"/>
    <w:basedOn w:val="DefaultParagraphFont"/>
    <w:rsid w:val="00E479C2"/>
  </w:style>
  <w:style w:type="paragraph" w:styleId="Revision">
    <w:name w:val="Revision"/>
    <w:hidden/>
    <w:uiPriority w:val="99"/>
    <w:semiHidden/>
    <w:rsid w:val="00216853"/>
    <w:pPr>
      <w:spacing w:after="0" w:line="240" w:lineRule="auto"/>
    </w:pPr>
  </w:style>
  <w:style w:type="paragraph" w:styleId="ListParagraph">
    <w:name w:val="List Paragraph"/>
    <w:basedOn w:val="Normal"/>
    <w:uiPriority w:val="34"/>
    <w:qFormat/>
    <w:rsid w:val="004D0089"/>
    <w:pPr>
      <w:ind w:left="720"/>
      <w:contextualSpacing/>
    </w:pPr>
  </w:style>
  <w:style w:type="paragraph" w:styleId="Header">
    <w:name w:val="header"/>
    <w:basedOn w:val="Normal"/>
    <w:link w:val="HeaderChar"/>
    <w:uiPriority w:val="99"/>
    <w:unhideWhenUsed/>
    <w:rsid w:val="00525E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5E2C"/>
  </w:style>
  <w:style w:type="paragraph" w:styleId="Footer">
    <w:name w:val="footer"/>
    <w:basedOn w:val="Normal"/>
    <w:link w:val="FooterChar"/>
    <w:uiPriority w:val="99"/>
    <w:unhideWhenUsed/>
    <w:rsid w:val="00525E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5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740E599-E9DB-43FD-B798-213299AA8B4F}"/>
</file>

<file path=customXml/itemProps2.xml><?xml version="1.0" encoding="utf-8"?>
<ds:datastoreItem xmlns:ds="http://schemas.openxmlformats.org/officeDocument/2006/customXml" ds:itemID="{E701755A-1204-4419-9CC3-1C6AB9262AF4}"/>
</file>

<file path=customXml/itemProps3.xml><?xml version="1.0" encoding="utf-8"?>
<ds:datastoreItem xmlns:ds="http://schemas.openxmlformats.org/officeDocument/2006/customXml" ds:itemID="{18051DBA-C863-4683-85CB-81E02FE28A71}"/>
</file>

<file path=docProps/app.xml><?xml version="1.0" encoding="utf-8"?>
<Properties xmlns="http://schemas.openxmlformats.org/officeDocument/2006/extended-properties" xmlns:vt="http://schemas.openxmlformats.org/officeDocument/2006/docPropsVTypes">
  <Template>Normal.dotm</Template>
  <TotalTime>0</TotalTime>
  <Pages>10</Pages>
  <Words>2685</Words>
  <Characters>15309</Characters>
  <Application>Microsoft Office Word</Application>
  <DocSecurity>0</DocSecurity>
  <Lines>127</Lines>
  <Paragraphs>35</Paragraphs>
  <ScaleCrop>false</ScaleCrop>
  <Company/>
  <LinksUpToDate>false</LinksUpToDate>
  <CharactersWithSpaces>17959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2018-12-12T04:16:00Z</dcterms:created>
  <dcterms:modified xsi:type="dcterms:W3CDTF">2018-12-12T04:16:00Z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ec95bda2-2086-4e02-a0ee-72d9489b23c6</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1209600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