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46" w:rsidRDefault="000E65FF" w:rsidP="007D2962">
      <w:pPr>
        <w:jc w:val="center"/>
        <w:rPr>
          <w:b/>
          <w:sz w:val="28"/>
          <w:szCs w:val="28"/>
        </w:rPr>
      </w:pPr>
      <w:bookmarkStart w:id="0" w:name="_GoBack"/>
      <w:bookmarkEnd w:id="0"/>
      <w:r>
        <w:rPr>
          <w:b/>
          <w:sz w:val="28"/>
          <w:szCs w:val="28"/>
        </w:rPr>
        <w:t>Australian Passport Office - Performance Framework</w:t>
      </w:r>
    </w:p>
    <w:p w:rsidR="007D2962" w:rsidRDefault="007D2962" w:rsidP="00606646"/>
    <w:tbl>
      <w:tblPr>
        <w:tblStyle w:val="TableGrid"/>
        <w:tblW w:w="14884" w:type="dxa"/>
        <w:tblInd w:w="-459" w:type="dxa"/>
        <w:tblLook w:val="04A0" w:firstRow="1" w:lastRow="0" w:firstColumn="1" w:lastColumn="0" w:noHBand="0" w:noVBand="1"/>
      </w:tblPr>
      <w:tblGrid>
        <w:gridCol w:w="2943"/>
        <w:gridCol w:w="5562"/>
        <w:gridCol w:w="6379"/>
      </w:tblGrid>
      <w:tr w:rsidR="00606646" w:rsidRPr="00D727C8" w:rsidTr="00446A11">
        <w:tc>
          <w:tcPr>
            <w:tcW w:w="2943" w:type="dxa"/>
            <w:shd w:val="clear" w:color="auto" w:fill="FABF8F" w:themeFill="accent6" w:themeFillTint="99"/>
          </w:tcPr>
          <w:p w:rsidR="00606646" w:rsidRPr="00D727C8" w:rsidRDefault="00606646" w:rsidP="005E00E4">
            <w:pPr>
              <w:rPr>
                <w:b/>
              </w:rPr>
            </w:pPr>
            <w:r w:rsidRPr="00D727C8">
              <w:rPr>
                <w:b/>
              </w:rPr>
              <w:t>Key Performance Indicator</w:t>
            </w:r>
            <w:r>
              <w:rPr>
                <w:b/>
              </w:rPr>
              <w:t>s</w:t>
            </w:r>
          </w:p>
        </w:tc>
        <w:tc>
          <w:tcPr>
            <w:tcW w:w="5562" w:type="dxa"/>
            <w:shd w:val="clear" w:color="auto" w:fill="FABF8F" w:themeFill="accent6" w:themeFillTint="99"/>
          </w:tcPr>
          <w:p w:rsidR="00606646" w:rsidRPr="00D727C8" w:rsidRDefault="00606646" w:rsidP="005E00E4">
            <w:pPr>
              <w:rPr>
                <w:b/>
              </w:rPr>
            </w:pPr>
            <w:r w:rsidRPr="00D727C8">
              <w:rPr>
                <w:b/>
              </w:rPr>
              <w:t xml:space="preserve">Relevance to </w:t>
            </w:r>
            <w:r w:rsidR="000E65FF">
              <w:rPr>
                <w:b/>
              </w:rPr>
              <w:t xml:space="preserve">the </w:t>
            </w:r>
            <w:r>
              <w:rPr>
                <w:b/>
              </w:rPr>
              <w:t>Australian Passport Office</w:t>
            </w:r>
          </w:p>
        </w:tc>
        <w:tc>
          <w:tcPr>
            <w:tcW w:w="6379" w:type="dxa"/>
            <w:shd w:val="clear" w:color="auto" w:fill="FABF8F" w:themeFill="accent6" w:themeFillTint="99"/>
          </w:tcPr>
          <w:p w:rsidR="00606646" w:rsidRPr="00D727C8" w:rsidRDefault="00606646" w:rsidP="005E00E4">
            <w:pPr>
              <w:rPr>
                <w:b/>
              </w:rPr>
            </w:pPr>
            <w:r w:rsidRPr="00D727C8">
              <w:rPr>
                <w:b/>
              </w:rPr>
              <w:t>Metrics for Self-Assessment</w:t>
            </w:r>
          </w:p>
        </w:tc>
      </w:tr>
      <w:tr w:rsidR="00B63758" w:rsidRPr="00B63758" w:rsidTr="002C600C">
        <w:trPr>
          <w:trHeight w:val="1541"/>
        </w:trPr>
        <w:tc>
          <w:tcPr>
            <w:tcW w:w="2943" w:type="dxa"/>
          </w:tcPr>
          <w:p w:rsidR="00606646" w:rsidRDefault="00606646" w:rsidP="00312210">
            <w:pPr>
              <w:spacing w:before="60" w:after="60"/>
            </w:pPr>
            <w:r w:rsidRPr="00B63758">
              <w:rPr>
                <w:b/>
              </w:rPr>
              <w:t>KPI 1</w:t>
            </w:r>
            <w:r w:rsidRPr="00B63758">
              <w:t>: Regulators do not unnecessarily impede the efficient operation of regulated entities.</w:t>
            </w:r>
          </w:p>
          <w:p w:rsidR="00F85722" w:rsidRDefault="00F85722" w:rsidP="00312210">
            <w:pPr>
              <w:spacing w:before="60" w:after="60"/>
            </w:pPr>
          </w:p>
          <w:p w:rsidR="00F85722" w:rsidRPr="00F85722" w:rsidRDefault="00F85722" w:rsidP="00312210">
            <w:pPr>
              <w:spacing w:before="60" w:after="60"/>
              <w:rPr>
                <w:color w:val="00B0F0"/>
              </w:rPr>
            </w:pPr>
          </w:p>
        </w:tc>
        <w:tc>
          <w:tcPr>
            <w:tcW w:w="5562" w:type="dxa"/>
          </w:tcPr>
          <w:p w:rsidR="00F85722" w:rsidRPr="000D619E" w:rsidRDefault="00DD7D89" w:rsidP="005875BF">
            <w:pPr>
              <w:spacing w:before="60" w:after="60"/>
            </w:pPr>
            <w:r>
              <w:t xml:space="preserve">The </w:t>
            </w:r>
            <w:r w:rsidR="000E65FF">
              <w:t>Australian Passport Office (</w:t>
            </w:r>
            <w:r>
              <w:t>APO</w:t>
            </w:r>
            <w:r w:rsidR="000E65FF">
              <w:t>)</w:t>
            </w:r>
            <w:r>
              <w:t xml:space="preserve"> issue</w:t>
            </w:r>
            <w:r w:rsidR="002D71BB">
              <w:t>s</w:t>
            </w:r>
            <w:r>
              <w:t xml:space="preserve"> Australian travel documents under a framework of legislation, policy and administration.  </w:t>
            </w:r>
            <w:r w:rsidR="00F85722" w:rsidRPr="003C7D36">
              <w:t xml:space="preserve">The APO strives to continuously improve </w:t>
            </w:r>
            <w:r w:rsidR="003C7D36" w:rsidRPr="003C7D36">
              <w:t xml:space="preserve">its </w:t>
            </w:r>
            <w:r w:rsidR="000D619E">
              <w:t>s</w:t>
            </w:r>
            <w:r w:rsidR="005875BF">
              <w:t>ervice delivery</w:t>
            </w:r>
            <w:r w:rsidR="003C7D36" w:rsidRPr="003C7D36">
              <w:t xml:space="preserve"> </w:t>
            </w:r>
            <w:r w:rsidR="000D619E">
              <w:t>and</w:t>
            </w:r>
            <w:r w:rsidR="003C7D36" w:rsidRPr="003C7D36">
              <w:t xml:space="preserve"> </w:t>
            </w:r>
            <w:r w:rsidR="000D619E" w:rsidRPr="00AE7C11">
              <w:t>re</w:t>
            </w:r>
            <w:r w:rsidR="000D619E">
              <w:t>duce</w:t>
            </w:r>
            <w:r w:rsidR="000D619E" w:rsidRPr="00AE7C11">
              <w:t xml:space="preserve"> unnecessary requirements</w:t>
            </w:r>
            <w:r w:rsidR="000D619E">
              <w:t xml:space="preserve"> for issuing travel documents</w:t>
            </w:r>
            <w:r w:rsidR="00463035">
              <w:t>,</w:t>
            </w:r>
            <w:r w:rsidR="000D619E">
              <w:t xml:space="preserve"> while maintaining the security, integrity and efficiency of the Australian passports system.</w:t>
            </w:r>
          </w:p>
        </w:tc>
        <w:tc>
          <w:tcPr>
            <w:tcW w:w="6379" w:type="dxa"/>
          </w:tcPr>
          <w:p w:rsidR="003C7D36" w:rsidRDefault="003C7D36" w:rsidP="00312210">
            <w:pPr>
              <w:pStyle w:val="ListParagraph"/>
              <w:spacing w:before="60" w:after="60"/>
              <w:ind w:left="34"/>
            </w:pPr>
            <w:r>
              <w:t xml:space="preserve">Measures </w:t>
            </w:r>
            <w:r w:rsidR="00C459A2">
              <w:t xml:space="preserve">taken </w:t>
            </w:r>
            <w:r>
              <w:t xml:space="preserve">to improve and refine the APO’s </w:t>
            </w:r>
            <w:r w:rsidR="002D71BB">
              <w:t>service delivery and requirements</w:t>
            </w:r>
            <w:r w:rsidR="003C4051">
              <w:t xml:space="preserve"> for issuing travel documents</w:t>
            </w:r>
            <w:r>
              <w:t xml:space="preserve">.  </w:t>
            </w:r>
          </w:p>
          <w:p w:rsidR="00974520" w:rsidRDefault="00974520" w:rsidP="00312210">
            <w:pPr>
              <w:pStyle w:val="ListParagraph"/>
              <w:spacing w:before="60" w:after="60"/>
              <w:ind w:left="34"/>
            </w:pPr>
          </w:p>
          <w:p w:rsidR="00EC3654" w:rsidRPr="00312210" w:rsidRDefault="003C7D36" w:rsidP="00312210">
            <w:pPr>
              <w:pStyle w:val="ListParagraph"/>
              <w:spacing w:before="60" w:after="60"/>
              <w:ind w:left="34"/>
            </w:pPr>
            <w:r>
              <w:t>APO performance in meeting targets for proce</w:t>
            </w:r>
            <w:r w:rsidR="002D71BB">
              <w:t>ssing passport applications</w:t>
            </w:r>
            <w:r w:rsidR="007D2962">
              <w:t xml:space="preserve"> once all required information has been submitted</w:t>
            </w:r>
            <w:r w:rsidR="002D71BB">
              <w:t xml:space="preserve"> (10-</w:t>
            </w:r>
            <w:r>
              <w:t>day turnaround</w:t>
            </w:r>
            <w:r w:rsidR="002D71BB">
              <w:t xml:space="preserve"> for ordinary passport applications and 2-day turnaround for p</w:t>
            </w:r>
            <w:r>
              <w:t>riority</w:t>
            </w:r>
            <w:r w:rsidR="002D71BB">
              <w:t xml:space="preserve"> processed</w:t>
            </w:r>
            <w:r>
              <w:t xml:space="preserve"> passport applications</w:t>
            </w:r>
            <w:r w:rsidR="002D71BB">
              <w:t>)</w:t>
            </w:r>
            <w:r w:rsidR="00BF07B9">
              <w:t xml:space="preserve"> </w:t>
            </w:r>
            <w:r w:rsidR="00974520">
              <w:t xml:space="preserve">to </w:t>
            </w:r>
            <w:r w:rsidR="00BF07B9">
              <w:t xml:space="preserve">ensure clients receive </w:t>
            </w:r>
            <w:r w:rsidR="002D71BB">
              <w:t>their passports in a timely and reliable manner</w:t>
            </w:r>
            <w:r w:rsidR="00BF07B9">
              <w:t xml:space="preserve">. </w:t>
            </w:r>
          </w:p>
        </w:tc>
      </w:tr>
      <w:tr w:rsidR="00B63758" w:rsidRPr="00B63758" w:rsidTr="002C600C">
        <w:tc>
          <w:tcPr>
            <w:tcW w:w="2943" w:type="dxa"/>
          </w:tcPr>
          <w:p w:rsidR="00606646" w:rsidRDefault="004D138A" w:rsidP="00312210">
            <w:pPr>
              <w:spacing w:before="60" w:after="60"/>
            </w:pPr>
            <w:r>
              <w:br w:type="page"/>
            </w:r>
            <w:r w:rsidR="00606646" w:rsidRPr="00B63758">
              <w:rPr>
                <w:b/>
              </w:rPr>
              <w:t>KPI 2</w:t>
            </w:r>
            <w:r w:rsidR="00606646" w:rsidRPr="00B63758">
              <w:t>: Communication with regulated entities is clear, targeted and effective.</w:t>
            </w:r>
          </w:p>
          <w:p w:rsidR="004D138A" w:rsidRDefault="004D138A" w:rsidP="00312210">
            <w:pPr>
              <w:spacing w:before="60" w:after="60"/>
            </w:pPr>
          </w:p>
          <w:p w:rsidR="00D71F1E" w:rsidRPr="004D138A" w:rsidRDefault="00D71F1E" w:rsidP="00312210">
            <w:pPr>
              <w:spacing w:before="60" w:after="60"/>
              <w:rPr>
                <w:color w:val="365F91" w:themeColor="accent1" w:themeShade="BF"/>
              </w:rPr>
            </w:pPr>
          </w:p>
        </w:tc>
        <w:tc>
          <w:tcPr>
            <w:tcW w:w="5562" w:type="dxa"/>
          </w:tcPr>
          <w:p w:rsidR="004D138A" w:rsidRDefault="001D15DD" w:rsidP="00312210">
            <w:pPr>
              <w:spacing w:before="60" w:after="60"/>
            </w:pPr>
            <w:r>
              <w:t xml:space="preserve">The APO communicates with clients through:  APIS helpline, Australia Post agents, officers in DFAT passport offices and overseas posts, </w:t>
            </w:r>
            <w:r w:rsidR="003C4342">
              <w:t>APO</w:t>
            </w:r>
            <w:r>
              <w:t xml:space="preserve"> website, passport application forms, brochures, posters and </w:t>
            </w:r>
            <w:r w:rsidR="00C91CE5" w:rsidRPr="00B63758">
              <w:t>through print and electronic media</w:t>
            </w:r>
            <w:r w:rsidR="00CA6A87" w:rsidRPr="00B63758">
              <w:t>.</w:t>
            </w:r>
            <w:r w:rsidR="00C91CE5" w:rsidRPr="00B63758">
              <w:t xml:space="preserve">  </w:t>
            </w:r>
          </w:p>
          <w:p w:rsidR="004D138A" w:rsidRPr="00B63758" w:rsidRDefault="004D138A" w:rsidP="00312210">
            <w:pPr>
              <w:spacing w:before="60" w:after="60"/>
            </w:pPr>
          </w:p>
        </w:tc>
        <w:tc>
          <w:tcPr>
            <w:tcW w:w="6379" w:type="dxa"/>
          </w:tcPr>
          <w:p w:rsidR="007D2962" w:rsidRDefault="007D2962" w:rsidP="00312210">
            <w:pPr>
              <w:spacing w:before="60" w:after="60"/>
            </w:pPr>
            <w:r w:rsidRPr="00B01EA9">
              <w:t>APO public communications material is clear, current and responsive to client needs</w:t>
            </w:r>
            <w:r>
              <w:t>.</w:t>
            </w:r>
            <w:r w:rsidRPr="00B63758">
              <w:t xml:space="preserve">  </w:t>
            </w:r>
          </w:p>
          <w:p w:rsidR="00DD7D89" w:rsidRPr="00D71F1E" w:rsidRDefault="007D2962" w:rsidP="00312210">
            <w:pPr>
              <w:spacing w:before="60" w:after="60"/>
              <w:rPr>
                <w:color w:val="365F91" w:themeColor="accent1" w:themeShade="BF"/>
              </w:rPr>
            </w:pPr>
            <w:r>
              <w:t xml:space="preserve">Client feedback, as measured by the </w:t>
            </w:r>
            <w:r w:rsidRPr="00B01EA9">
              <w:t>APIS Call Centre Feedback Management Survey and the Australian Passport Office Client Satisfaction Survey,</w:t>
            </w:r>
            <w:r>
              <w:t xml:space="preserve"> shows a satisfactory experience with communication</w:t>
            </w:r>
            <w:r w:rsidR="009C3784">
              <w:t>s</w:t>
            </w:r>
            <w:r>
              <w:t xml:space="preserve"> from the APO and its agents.</w:t>
            </w:r>
            <w:r>
              <w:rPr>
                <w:color w:val="1F497D"/>
              </w:rPr>
              <w:t xml:space="preserve"> </w:t>
            </w:r>
          </w:p>
        </w:tc>
      </w:tr>
      <w:tr w:rsidR="00785FB6" w:rsidRPr="00785FB6" w:rsidTr="00312210">
        <w:trPr>
          <w:trHeight w:val="150"/>
        </w:trPr>
        <w:tc>
          <w:tcPr>
            <w:tcW w:w="2943" w:type="dxa"/>
          </w:tcPr>
          <w:p w:rsidR="00D71F1E" w:rsidRPr="00312210" w:rsidRDefault="0000578A" w:rsidP="00312210">
            <w:pPr>
              <w:spacing w:before="60" w:after="60"/>
            </w:pPr>
            <w:r>
              <w:br w:type="page"/>
            </w:r>
            <w:r w:rsidR="00606646" w:rsidRPr="00785FB6">
              <w:rPr>
                <w:b/>
              </w:rPr>
              <w:t>KPI 3</w:t>
            </w:r>
            <w:r w:rsidR="00606646" w:rsidRPr="00785FB6">
              <w:t>: Actions undertaken by regulators are proportionate to the regulatory risk being managed.</w:t>
            </w:r>
          </w:p>
        </w:tc>
        <w:tc>
          <w:tcPr>
            <w:tcW w:w="5562" w:type="dxa"/>
          </w:tcPr>
          <w:p w:rsidR="002D71BB" w:rsidRDefault="00AE7C11" w:rsidP="00312210">
            <w:pPr>
              <w:spacing w:before="60" w:after="60"/>
            </w:pPr>
            <w:r w:rsidRPr="00AE7C11">
              <w:t>The APO continu</w:t>
            </w:r>
            <w:r w:rsidR="002D71BB">
              <w:t>ously reviews and monitors its</w:t>
            </w:r>
            <w:r w:rsidRPr="00AE7C11">
              <w:t xml:space="preserve"> requirements </w:t>
            </w:r>
            <w:r w:rsidR="003C4051">
              <w:t xml:space="preserve">for issuing travel documents </w:t>
            </w:r>
            <w:r w:rsidRPr="00AE7C11">
              <w:t xml:space="preserve">to ensure they are proportionate and necessary to maintaining the security </w:t>
            </w:r>
            <w:r w:rsidR="004F6CB1">
              <w:t xml:space="preserve">and integrity </w:t>
            </w:r>
            <w:r w:rsidRPr="00AE7C11">
              <w:t xml:space="preserve">of Australian travel documents.  </w:t>
            </w:r>
            <w:r w:rsidR="00A42BA2" w:rsidRPr="00AE7C11">
              <w:t>The key risks being managed by the APO are</w:t>
            </w:r>
            <w:r w:rsidR="002D71BB">
              <w:t>:</w:t>
            </w:r>
          </w:p>
          <w:p w:rsidR="002D71BB" w:rsidRDefault="002D71BB" w:rsidP="00312210">
            <w:pPr>
              <w:pStyle w:val="ListParagraph"/>
              <w:numPr>
                <w:ilvl w:val="0"/>
                <w:numId w:val="16"/>
              </w:numPr>
              <w:spacing w:before="60" w:after="60"/>
            </w:pPr>
            <w:r>
              <w:t>identity theft and crime that uses passports as an enabler, such as financial fraud, drug smuggling and terrorism;</w:t>
            </w:r>
          </w:p>
          <w:p w:rsidR="002D71BB" w:rsidRDefault="002D71BB" w:rsidP="00312210">
            <w:pPr>
              <w:pStyle w:val="ListParagraph"/>
              <w:numPr>
                <w:ilvl w:val="0"/>
                <w:numId w:val="16"/>
              </w:numPr>
              <w:spacing w:before="60" w:after="60"/>
            </w:pPr>
            <w:r>
              <w:t>international parental child abduction; and</w:t>
            </w:r>
          </w:p>
          <w:p w:rsidR="002D71BB" w:rsidRPr="00785FB6" w:rsidRDefault="00AE7C11" w:rsidP="00312210">
            <w:pPr>
              <w:pStyle w:val="ListParagraph"/>
              <w:numPr>
                <w:ilvl w:val="0"/>
                <w:numId w:val="16"/>
              </w:numPr>
              <w:spacing w:before="60" w:after="60"/>
            </w:pPr>
            <w:r w:rsidRPr="00AE7C11">
              <w:t>ensur</w:t>
            </w:r>
            <w:r w:rsidR="002D71BB">
              <w:t>ing</w:t>
            </w:r>
            <w:r w:rsidRPr="00AE7C11">
              <w:t xml:space="preserve"> Australian travel documents </w:t>
            </w:r>
            <w:r w:rsidR="002D71BB">
              <w:t xml:space="preserve">meet International Standards so that Australian travel documents operate at every international </w:t>
            </w:r>
            <w:r w:rsidRPr="00AE7C11">
              <w:t>border</w:t>
            </w:r>
            <w:r w:rsidR="00A42BA2">
              <w:t>.</w:t>
            </w:r>
          </w:p>
        </w:tc>
        <w:tc>
          <w:tcPr>
            <w:tcW w:w="6379" w:type="dxa"/>
          </w:tcPr>
          <w:p w:rsidR="004230F8" w:rsidRPr="00312210" w:rsidRDefault="004418B8" w:rsidP="00312210">
            <w:pPr>
              <w:pStyle w:val="ListParagraph"/>
              <w:spacing w:before="60" w:after="60"/>
              <w:ind w:left="34"/>
              <w:rPr>
                <w:color w:val="365F91" w:themeColor="accent1" w:themeShade="BF"/>
              </w:rPr>
            </w:pPr>
            <w:r w:rsidRPr="00AE7C11">
              <w:t>Measures</w:t>
            </w:r>
            <w:r w:rsidR="00AE7C11" w:rsidRPr="00AE7C11">
              <w:t>/assessments</w:t>
            </w:r>
            <w:r w:rsidRPr="00AE7C11">
              <w:t xml:space="preserve"> the APO has undertaken to </w:t>
            </w:r>
            <w:r w:rsidR="0011110F">
              <w:t>identify</w:t>
            </w:r>
            <w:r w:rsidR="00AE7C11" w:rsidRPr="00AE7C11">
              <w:t xml:space="preserve"> and </w:t>
            </w:r>
            <w:r w:rsidRPr="00AE7C11">
              <w:t>re</w:t>
            </w:r>
            <w:r w:rsidR="0011110F">
              <w:t>duce</w:t>
            </w:r>
            <w:r w:rsidRPr="00AE7C11">
              <w:t xml:space="preserve"> unnecessary requirements</w:t>
            </w:r>
            <w:r w:rsidR="00264F63">
              <w:t xml:space="preserve"> for</w:t>
            </w:r>
            <w:r w:rsidR="003C4051">
              <w:t xml:space="preserve"> issuing travel document</w:t>
            </w:r>
            <w:r w:rsidR="00264F63">
              <w:t>s while maintaining the security, integrity and efficiency of the Australian passports system.</w:t>
            </w:r>
          </w:p>
        </w:tc>
      </w:tr>
      <w:tr w:rsidR="00606646" w:rsidTr="00553948">
        <w:trPr>
          <w:trHeight w:val="1142"/>
        </w:trPr>
        <w:tc>
          <w:tcPr>
            <w:tcW w:w="2943" w:type="dxa"/>
          </w:tcPr>
          <w:p w:rsidR="00606646" w:rsidRDefault="00F15FC0" w:rsidP="00312210">
            <w:pPr>
              <w:spacing w:before="60" w:after="60"/>
            </w:pPr>
            <w:r>
              <w:lastRenderedPageBreak/>
              <w:br w:type="page"/>
            </w:r>
            <w:r w:rsidR="00606646" w:rsidRPr="00C458DB">
              <w:rPr>
                <w:b/>
              </w:rPr>
              <w:t>KPI 4</w:t>
            </w:r>
            <w:r w:rsidR="00606646" w:rsidRPr="00C458DB">
              <w:t xml:space="preserve">: Compliance and monitoring approaches are streamlined and </w:t>
            </w:r>
            <w:r w:rsidR="00606646" w:rsidRPr="00D72D91">
              <w:t>coordinated.</w:t>
            </w:r>
          </w:p>
          <w:p w:rsidR="00F15FC0" w:rsidRDefault="00F15FC0" w:rsidP="00312210">
            <w:pPr>
              <w:spacing w:before="60" w:after="60"/>
            </w:pPr>
          </w:p>
          <w:p w:rsidR="009B3E21" w:rsidRPr="00F15FC0" w:rsidRDefault="009B3E21" w:rsidP="00312210">
            <w:pPr>
              <w:spacing w:before="60" w:after="60"/>
              <w:rPr>
                <w:color w:val="365F91" w:themeColor="accent1" w:themeShade="BF"/>
              </w:rPr>
            </w:pPr>
          </w:p>
        </w:tc>
        <w:tc>
          <w:tcPr>
            <w:tcW w:w="5562" w:type="dxa"/>
          </w:tcPr>
          <w:p w:rsidR="009B3E21" w:rsidRPr="00312210" w:rsidRDefault="009B3E21" w:rsidP="00312210">
            <w:pPr>
              <w:spacing w:before="60" w:after="60"/>
            </w:pPr>
            <w:r w:rsidRPr="00771969">
              <w:t>Client compliance involves:  completing application forms honestly</w:t>
            </w:r>
            <w:r w:rsidR="00445E15" w:rsidRPr="00771969">
              <w:t>,</w:t>
            </w:r>
            <w:r w:rsidRPr="00771969">
              <w:t xml:space="preserve"> in the accepted form</w:t>
            </w:r>
            <w:r w:rsidR="00445E15" w:rsidRPr="00771969">
              <w:t xml:space="preserve"> and</w:t>
            </w:r>
            <w:r w:rsidRPr="00771969">
              <w:t xml:space="preserve"> with the required payment</w:t>
            </w:r>
            <w:r w:rsidR="00445E15" w:rsidRPr="00771969">
              <w:t>; and</w:t>
            </w:r>
            <w:r w:rsidRPr="00771969">
              <w:t xml:space="preserve"> using travel documents in accordance wit</w:t>
            </w:r>
            <w:r w:rsidR="00445E15" w:rsidRPr="00771969">
              <w:t xml:space="preserve">h the law (see offences in the </w:t>
            </w:r>
            <w:r w:rsidR="00445E15" w:rsidRPr="00771969">
              <w:rPr>
                <w:i/>
              </w:rPr>
              <w:t>Australian Passports Act 2005</w:t>
            </w:r>
            <w:r w:rsidR="001E37F0" w:rsidRPr="00771969">
              <w:t xml:space="preserve"> and other Commonwealth legislation</w:t>
            </w:r>
            <w:r w:rsidR="00445E15" w:rsidRPr="00771969">
              <w:t>).</w:t>
            </w:r>
          </w:p>
        </w:tc>
        <w:tc>
          <w:tcPr>
            <w:tcW w:w="6379" w:type="dxa"/>
          </w:tcPr>
          <w:p w:rsidR="00771969" w:rsidRDefault="001543C8" w:rsidP="00312210">
            <w:pPr>
              <w:spacing w:before="60" w:after="60"/>
              <w:rPr>
                <w:bCs/>
              </w:rPr>
            </w:pPr>
            <w:r>
              <w:rPr>
                <w:bCs/>
              </w:rPr>
              <w:t xml:space="preserve">The extent that </w:t>
            </w:r>
            <w:r w:rsidR="00A704AA">
              <w:rPr>
                <w:bCs/>
              </w:rPr>
              <w:t xml:space="preserve">APO’s </w:t>
            </w:r>
            <w:r>
              <w:rPr>
                <w:bCs/>
              </w:rPr>
              <w:t>compliance and monitoring</w:t>
            </w:r>
            <w:r w:rsidR="00A704AA">
              <w:rPr>
                <w:bCs/>
              </w:rPr>
              <w:t xml:space="preserve"> activities</w:t>
            </w:r>
            <w:r>
              <w:rPr>
                <w:bCs/>
              </w:rPr>
              <w:t xml:space="preserve"> are streamlined and coordinated.  </w:t>
            </w:r>
          </w:p>
          <w:p w:rsidR="00771969" w:rsidRDefault="00771969" w:rsidP="00312210">
            <w:pPr>
              <w:spacing w:before="60" w:after="60"/>
              <w:rPr>
                <w:bCs/>
              </w:rPr>
            </w:pPr>
          </w:p>
          <w:p w:rsidR="00C12A52" w:rsidRPr="001543C8" w:rsidRDefault="00C12A52" w:rsidP="00312210">
            <w:pPr>
              <w:spacing w:before="60" w:after="60"/>
            </w:pPr>
          </w:p>
        </w:tc>
      </w:tr>
      <w:tr w:rsidR="00C458DB" w:rsidRPr="00C458DB" w:rsidTr="004F6CB1">
        <w:tc>
          <w:tcPr>
            <w:tcW w:w="2943" w:type="dxa"/>
          </w:tcPr>
          <w:p w:rsidR="00606646" w:rsidRDefault="001E37F0" w:rsidP="00312210">
            <w:pPr>
              <w:spacing w:before="60" w:after="60"/>
            </w:pPr>
            <w:r>
              <w:br w:type="page"/>
            </w:r>
            <w:r w:rsidR="00606646" w:rsidRPr="00C458DB">
              <w:rPr>
                <w:b/>
              </w:rPr>
              <w:t>KPI 5</w:t>
            </w:r>
            <w:r w:rsidR="00606646" w:rsidRPr="00C458DB">
              <w:t>: Regulators are open and transparent in their dealings with regulated entities.</w:t>
            </w:r>
          </w:p>
          <w:p w:rsidR="00F15FC0" w:rsidRDefault="00F15FC0" w:rsidP="00312210">
            <w:pPr>
              <w:spacing w:before="60" w:after="60"/>
            </w:pPr>
          </w:p>
          <w:p w:rsidR="00F15FC0" w:rsidRPr="00F15FC0" w:rsidRDefault="00F15FC0" w:rsidP="00312210">
            <w:pPr>
              <w:spacing w:before="60" w:after="60"/>
              <w:rPr>
                <w:color w:val="365F91" w:themeColor="accent1" w:themeShade="BF"/>
              </w:rPr>
            </w:pPr>
          </w:p>
        </w:tc>
        <w:tc>
          <w:tcPr>
            <w:tcW w:w="5562" w:type="dxa"/>
          </w:tcPr>
          <w:p w:rsidR="00606646" w:rsidRPr="00312210" w:rsidRDefault="00606646" w:rsidP="009C3784">
            <w:pPr>
              <w:spacing w:before="60" w:after="60"/>
              <w:rPr>
                <w:color w:val="00B0F0"/>
              </w:rPr>
            </w:pPr>
            <w:r w:rsidRPr="00C458DB">
              <w:t>The</w:t>
            </w:r>
            <w:r w:rsidR="004F6CB1">
              <w:t xml:space="preserve"> APO</w:t>
            </w:r>
            <w:r w:rsidRPr="00C458DB">
              <w:t xml:space="preserve"> Client Service Charter sets out the standard of service passport clients can expect from the APO and its agents.  The charter advises clients how and where to get passports information and what to do if services do not meet the standards outlined in the </w:t>
            </w:r>
            <w:r w:rsidR="002B75BF">
              <w:t>c</w:t>
            </w:r>
            <w:r w:rsidRPr="00C458DB">
              <w:t xml:space="preserve">harter. </w:t>
            </w:r>
            <w:r w:rsidR="002B75BF">
              <w:t xml:space="preserve"> </w:t>
            </w:r>
            <w:r w:rsidR="00B61F4E">
              <w:t xml:space="preserve">The DFAT website provides information on the passports application process and system, including links to </w:t>
            </w:r>
            <w:r w:rsidR="009C3784">
              <w:t>the</w:t>
            </w:r>
            <w:r w:rsidR="00B61F4E">
              <w:t xml:space="preserve"> passport legislation</w:t>
            </w:r>
            <w:r w:rsidR="00264F63">
              <w:t xml:space="preserve">.  </w:t>
            </w:r>
          </w:p>
        </w:tc>
        <w:tc>
          <w:tcPr>
            <w:tcW w:w="6379" w:type="dxa"/>
          </w:tcPr>
          <w:p w:rsidR="007D2962" w:rsidRDefault="007D2962" w:rsidP="00312210">
            <w:pPr>
              <w:spacing w:before="60" w:after="60"/>
            </w:pPr>
            <w:r w:rsidRPr="00B01EA9">
              <w:t>APO public communications material is clear, current and responsive to client needs</w:t>
            </w:r>
            <w:r>
              <w:t>.</w:t>
            </w:r>
            <w:r w:rsidRPr="00B63758">
              <w:t xml:space="preserve">  </w:t>
            </w:r>
          </w:p>
          <w:p w:rsidR="00032829" w:rsidRPr="00032829" w:rsidRDefault="007D2962" w:rsidP="00312210">
            <w:pPr>
              <w:spacing w:before="60" w:after="60"/>
              <w:rPr>
                <w:color w:val="365F91" w:themeColor="accent1" w:themeShade="BF"/>
              </w:rPr>
            </w:pPr>
            <w:r>
              <w:t xml:space="preserve">Client feedback, as measured by the </w:t>
            </w:r>
            <w:r w:rsidRPr="00B01EA9">
              <w:t>APIS Call Centre Feedback Management Survey and the Australian Passport Office Client Satisfaction Survey,</w:t>
            </w:r>
            <w:r>
              <w:t xml:space="preserve"> shows a satisfactory experience with communication from the APO and its agents.</w:t>
            </w:r>
            <w:r>
              <w:rPr>
                <w:color w:val="1F497D"/>
              </w:rPr>
              <w:t xml:space="preserve"> </w:t>
            </w:r>
          </w:p>
        </w:tc>
      </w:tr>
      <w:tr w:rsidR="00B63758" w:rsidRPr="00B63758" w:rsidTr="00312210">
        <w:trPr>
          <w:trHeight w:val="1289"/>
        </w:trPr>
        <w:tc>
          <w:tcPr>
            <w:tcW w:w="2943" w:type="dxa"/>
          </w:tcPr>
          <w:p w:rsidR="00032829" w:rsidRPr="00312210" w:rsidRDefault="00E7400D" w:rsidP="00312210">
            <w:pPr>
              <w:spacing w:before="60" w:after="60"/>
            </w:pPr>
            <w:r>
              <w:br w:type="page"/>
            </w:r>
            <w:r w:rsidR="00606646" w:rsidRPr="00B63758">
              <w:rPr>
                <w:b/>
              </w:rPr>
              <w:t>KPI 6</w:t>
            </w:r>
            <w:r w:rsidR="00606646" w:rsidRPr="00B63758">
              <w:t>: Regulators actively contribute to the continuous improv</w:t>
            </w:r>
            <w:r w:rsidR="00312210">
              <w:t>ement of regulatory frameworks.</w:t>
            </w:r>
          </w:p>
        </w:tc>
        <w:tc>
          <w:tcPr>
            <w:tcW w:w="5562" w:type="dxa"/>
          </w:tcPr>
          <w:p w:rsidR="00606646" w:rsidRDefault="00606646" w:rsidP="00312210">
            <w:pPr>
              <w:spacing w:before="60" w:after="60"/>
            </w:pPr>
            <w:r w:rsidRPr="00B63758">
              <w:t xml:space="preserve">The APO </w:t>
            </w:r>
            <w:r w:rsidR="00E87828">
              <w:t>strives</w:t>
            </w:r>
            <w:r w:rsidRPr="00B63758">
              <w:t xml:space="preserve"> to </w:t>
            </w:r>
            <w:r w:rsidR="002B75BF">
              <w:t xml:space="preserve">continuously </w:t>
            </w:r>
            <w:r w:rsidRPr="00B63758">
              <w:t xml:space="preserve">improve its passport processes </w:t>
            </w:r>
            <w:r w:rsidR="002B75BF">
              <w:t>within</w:t>
            </w:r>
            <w:r w:rsidRPr="00B63758">
              <w:t xml:space="preserve"> the framework of providing a secure, efficient and responsive service for Australians.  </w:t>
            </w:r>
          </w:p>
          <w:p w:rsidR="00032829" w:rsidRPr="00032829" w:rsidRDefault="00032829" w:rsidP="00312210">
            <w:pPr>
              <w:spacing w:before="60" w:after="60"/>
              <w:rPr>
                <w:color w:val="365F91" w:themeColor="accent1" w:themeShade="BF"/>
              </w:rPr>
            </w:pPr>
          </w:p>
        </w:tc>
        <w:tc>
          <w:tcPr>
            <w:tcW w:w="6379" w:type="dxa"/>
          </w:tcPr>
          <w:p w:rsidR="00676DEE" w:rsidRPr="00A42BA2" w:rsidRDefault="00264F63" w:rsidP="00312210">
            <w:pPr>
              <w:pStyle w:val="ListParagraph"/>
              <w:spacing w:before="60" w:after="60"/>
              <w:ind w:left="34"/>
              <w:rPr>
                <w:color w:val="365F91" w:themeColor="accent1" w:themeShade="BF"/>
              </w:rPr>
            </w:pPr>
            <w:r w:rsidRPr="00AE7C11">
              <w:t xml:space="preserve">Measures/assessments the APO has undertaken to </w:t>
            </w:r>
            <w:r>
              <w:t>identify</w:t>
            </w:r>
            <w:r w:rsidRPr="00AE7C11">
              <w:t xml:space="preserve"> and re</w:t>
            </w:r>
            <w:r>
              <w:t>duce</w:t>
            </w:r>
            <w:r w:rsidRPr="00AE7C11">
              <w:t xml:space="preserve"> unnecessary requirements</w:t>
            </w:r>
            <w:r>
              <w:t xml:space="preserve"> for</w:t>
            </w:r>
            <w:r w:rsidR="009F19F0">
              <w:t xml:space="preserve"> issuing travel document</w:t>
            </w:r>
            <w:r>
              <w:t>s while maintaining the security, integrity and efficiency of the Australian passports system.</w:t>
            </w:r>
          </w:p>
        </w:tc>
      </w:tr>
    </w:tbl>
    <w:p w:rsidR="00606646" w:rsidRPr="00B809F2" w:rsidRDefault="00606646" w:rsidP="00032829">
      <w:pPr>
        <w:rPr>
          <w:sz w:val="28"/>
          <w:szCs w:val="28"/>
        </w:rPr>
      </w:pPr>
    </w:p>
    <w:sectPr w:rsidR="00606646" w:rsidRPr="00B809F2" w:rsidSect="007737B0">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8E" w:rsidRDefault="00382A8E" w:rsidP="00D60F0B">
      <w:r>
        <w:separator/>
      </w:r>
    </w:p>
  </w:endnote>
  <w:endnote w:type="continuationSeparator" w:id="0">
    <w:p w:rsidR="00382A8E" w:rsidRDefault="00382A8E" w:rsidP="00D6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45" w:rsidRDefault="00D74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39598"/>
      <w:docPartObj>
        <w:docPartGallery w:val="Page Numbers (Bottom of Page)"/>
        <w:docPartUnique/>
      </w:docPartObj>
    </w:sdtPr>
    <w:sdtEndPr>
      <w:rPr>
        <w:color w:val="808080" w:themeColor="background1" w:themeShade="80"/>
        <w:spacing w:val="60"/>
      </w:rPr>
    </w:sdtEndPr>
    <w:sdtContent>
      <w:p w:rsidR="0096753F" w:rsidRDefault="0096753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855B5" w:rsidRPr="002855B5">
          <w:rPr>
            <w:b/>
            <w:bCs/>
            <w:noProof/>
          </w:rPr>
          <w:t>1</w:t>
        </w:r>
        <w:r>
          <w:rPr>
            <w:b/>
            <w:bCs/>
            <w:noProof/>
          </w:rPr>
          <w:fldChar w:fldCharType="end"/>
        </w:r>
        <w:r>
          <w:rPr>
            <w:b/>
            <w:bCs/>
          </w:rPr>
          <w:t xml:space="preserve"> | </w:t>
        </w:r>
        <w:r>
          <w:rPr>
            <w:color w:val="808080" w:themeColor="background1" w:themeShade="80"/>
            <w:spacing w:val="60"/>
          </w:rPr>
          <w:t>Page</w:t>
        </w:r>
      </w:p>
    </w:sdtContent>
  </w:sdt>
  <w:p w:rsidR="00D60F0B" w:rsidRDefault="00D60F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45" w:rsidRDefault="00D74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8E" w:rsidRDefault="00382A8E" w:rsidP="00D60F0B">
      <w:r>
        <w:separator/>
      </w:r>
    </w:p>
  </w:footnote>
  <w:footnote w:type="continuationSeparator" w:id="0">
    <w:p w:rsidR="00382A8E" w:rsidRDefault="00382A8E" w:rsidP="00D60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45" w:rsidRDefault="00D74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0B" w:rsidRDefault="00D60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45" w:rsidRDefault="00D74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692"/>
    <w:multiLevelType w:val="multilevel"/>
    <w:tmpl w:val="12E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92DBE"/>
    <w:multiLevelType w:val="multilevel"/>
    <w:tmpl w:val="13D071C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nsid w:val="0CBF2CDA"/>
    <w:multiLevelType w:val="hybridMultilevel"/>
    <w:tmpl w:val="C91CB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027879"/>
    <w:multiLevelType w:val="multilevel"/>
    <w:tmpl w:val="ED00C85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1E955F4C"/>
    <w:multiLevelType w:val="multilevel"/>
    <w:tmpl w:val="AA96EA8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33156032"/>
    <w:multiLevelType w:val="hybridMultilevel"/>
    <w:tmpl w:val="5C324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54C5B01"/>
    <w:multiLevelType w:val="hybridMultilevel"/>
    <w:tmpl w:val="E648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A81AAF"/>
    <w:multiLevelType w:val="multilevel"/>
    <w:tmpl w:val="213ED0E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3B501C27"/>
    <w:multiLevelType w:val="hybridMultilevel"/>
    <w:tmpl w:val="95E27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0D840E3"/>
    <w:multiLevelType w:val="multilevel"/>
    <w:tmpl w:val="FAAE701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nsid w:val="613171E3"/>
    <w:multiLevelType w:val="multilevel"/>
    <w:tmpl w:val="E522CBD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nsid w:val="6EFA4F25"/>
    <w:multiLevelType w:val="hybridMultilevel"/>
    <w:tmpl w:val="F69C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D945E4"/>
    <w:multiLevelType w:val="multilevel"/>
    <w:tmpl w:val="2D8E1FE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nsid w:val="78314FFC"/>
    <w:multiLevelType w:val="hybridMultilevel"/>
    <w:tmpl w:val="9754F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9504611"/>
    <w:multiLevelType w:val="multilevel"/>
    <w:tmpl w:val="E4089F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nsid w:val="7C547DF9"/>
    <w:multiLevelType w:val="hybridMultilevel"/>
    <w:tmpl w:val="36DA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6"/>
  </w:num>
  <w:num w:numId="4">
    <w:abstractNumId w:val="13"/>
  </w:num>
  <w:num w:numId="5">
    <w:abstractNumId w:val="0"/>
  </w:num>
  <w:num w:numId="6">
    <w:abstractNumId w:val="2"/>
  </w:num>
  <w:num w:numId="7">
    <w:abstractNumId w:val="5"/>
  </w:num>
  <w:num w:numId="8">
    <w:abstractNumId w:val="11"/>
  </w:num>
  <w:num w:numId="9">
    <w:abstractNumId w:val="4"/>
  </w:num>
  <w:num w:numId="10">
    <w:abstractNumId w:val="14"/>
  </w:num>
  <w:num w:numId="11">
    <w:abstractNumId w:val="7"/>
  </w:num>
  <w:num w:numId="12">
    <w:abstractNumId w:val="9"/>
  </w:num>
  <w:num w:numId="13">
    <w:abstractNumId w:val="12"/>
  </w:num>
  <w:num w:numId="14">
    <w:abstractNumId w:val="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C8"/>
    <w:rsid w:val="0000578A"/>
    <w:rsid w:val="00032829"/>
    <w:rsid w:val="000516AE"/>
    <w:rsid w:val="00052C42"/>
    <w:rsid w:val="00063A81"/>
    <w:rsid w:val="0006490D"/>
    <w:rsid w:val="0006767D"/>
    <w:rsid w:val="000677A9"/>
    <w:rsid w:val="00082484"/>
    <w:rsid w:val="000B598B"/>
    <w:rsid w:val="000C148F"/>
    <w:rsid w:val="000D6072"/>
    <w:rsid w:val="000D619E"/>
    <w:rsid w:val="000D62A9"/>
    <w:rsid w:val="000E65FF"/>
    <w:rsid w:val="000E7A79"/>
    <w:rsid w:val="000E7AD0"/>
    <w:rsid w:val="0011110F"/>
    <w:rsid w:val="0011213D"/>
    <w:rsid w:val="00141E26"/>
    <w:rsid w:val="00143A3D"/>
    <w:rsid w:val="001528E3"/>
    <w:rsid w:val="001543C8"/>
    <w:rsid w:val="00171A0D"/>
    <w:rsid w:val="001A6673"/>
    <w:rsid w:val="001D15DD"/>
    <w:rsid w:val="001D43C0"/>
    <w:rsid w:val="001E37F0"/>
    <w:rsid w:val="001F0A1D"/>
    <w:rsid w:val="00202862"/>
    <w:rsid w:val="00215D22"/>
    <w:rsid w:val="002279F7"/>
    <w:rsid w:val="00250269"/>
    <w:rsid w:val="00264F63"/>
    <w:rsid w:val="00266320"/>
    <w:rsid w:val="002855B5"/>
    <w:rsid w:val="002A1B10"/>
    <w:rsid w:val="002A321F"/>
    <w:rsid w:val="002B75BF"/>
    <w:rsid w:val="002C600C"/>
    <w:rsid w:val="002C6094"/>
    <w:rsid w:val="002D71BB"/>
    <w:rsid w:val="00312210"/>
    <w:rsid w:val="003129EE"/>
    <w:rsid w:val="00344A74"/>
    <w:rsid w:val="00367C2D"/>
    <w:rsid w:val="00370B79"/>
    <w:rsid w:val="00382A8E"/>
    <w:rsid w:val="003963D8"/>
    <w:rsid w:val="003A2D6C"/>
    <w:rsid w:val="003B5C2B"/>
    <w:rsid w:val="003C4051"/>
    <w:rsid w:val="003C4342"/>
    <w:rsid w:val="003C7D36"/>
    <w:rsid w:val="00417258"/>
    <w:rsid w:val="004213DA"/>
    <w:rsid w:val="004230F8"/>
    <w:rsid w:val="004312E6"/>
    <w:rsid w:val="0043504C"/>
    <w:rsid w:val="004418B8"/>
    <w:rsid w:val="00445E15"/>
    <w:rsid w:val="00446A11"/>
    <w:rsid w:val="00452754"/>
    <w:rsid w:val="00463035"/>
    <w:rsid w:val="00476131"/>
    <w:rsid w:val="00480946"/>
    <w:rsid w:val="004975C4"/>
    <w:rsid w:val="004B3716"/>
    <w:rsid w:val="004B449B"/>
    <w:rsid w:val="004D138A"/>
    <w:rsid w:val="004F121D"/>
    <w:rsid w:val="004F6CB1"/>
    <w:rsid w:val="00512814"/>
    <w:rsid w:val="00533D8A"/>
    <w:rsid w:val="00536998"/>
    <w:rsid w:val="00553948"/>
    <w:rsid w:val="00555882"/>
    <w:rsid w:val="005875BF"/>
    <w:rsid w:val="005C3D38"/>
    <w:rsid w:val="005C6E1E"/>
    <w:rsid w:val="005C7764"/>
    <w:rsid w:val="005D2D76"/>
    <w:rsid w:val="005F7BDD"/>
    <w:rsid w:val="006006E3"/>
    <w:rsid w:val="00606646"/>
    <w:rsid w:val="00614E2E"/>
    <w:rsid w:val="00676DEE"/>
    <w:rsid w:val="006A64CB"/>
    <w:rsid w:val="006E2C81"/>
    <w:rsid w:val="007013B8"/>
    <w:rsid w:val="00763222"/>
    <w:rsid w:val="00771969"/>
    <w:rsid w:val="007737B0"/>
    <w:rsid w:val="00785FB6"/>
    <w:rsid w:val="007B73BC"/>
    <w:rsid w:val="007C5D67"/>
    <w:rsid w:val="007D2962"/>
    <w:rsid w:val="007F5ADA"/>
    <w:rsid w:val="00807DEE"/>
    <w:rsid w:val="00821A9C"/>
    <w:rsid w:val="00824BFB"/>
    <w:rsid w:val="00827AF6"/>
    <w:rsid w:val="00844416"/>
    <w:rsid w:val="00867168"/>
    <w:rsid w:val="00876978"/>
    <w:rsid w:val="008A2316"/>
    <w:rsid w:val="008B009A"/>
    <w:rsid w:val="008D2DFC"/>
    <w:rsid w:val="00905AE4"/>
    <w:rsid w:val="00911D03"/>
    <w:rsid w:val="00913F38"/>
    <w:rsid w:val="00952ED4"/>
    <w:rsid w:val="00965166"/>
    <w:rsid w:val="0096753F"/>
    <w:rsid w:val="00974520"/>
    <w:rsid w:val="00983E53"/>
    <w:rsid w:val="009A66D3"/>
    <w:rsid w:val="009B317D"/>
    <w:rsid w:val="009B3E21"/>
    <w:rsid w:val="009C3784"/>
    <w:rsid w:val="009F19F0"/>
    <w:rsid w:val="009F1BAF"/>
    <w:rsid w:val="00A14383"/>
    <w:rsid w:val="00A16EDF"/>
    <w:rsid w:val="00A26CDF"/>
    <w:rsid w:val="00A3749F"/>
    <w:rsid w:val="00A42BA2"/>
    <w:rsid w:val="00A53036"/>
    <w:rsid w:val="00A62BB0"/>
    <w:rsid w:val="00A63BFB"/>
    <w:rsid w:val="00A67B2A"/>
    <w:rsid w:val="00A704AA"/>
    <w:rsid w:val="00A97EE1"/>
    <w:rsid w:val="00AC13BC"/>
    <w:rsid w:val="00AD27B0"/>
    <w:rsid w:val="00AE7C11"/>
    <w:rsid w:val="00B465D5"/>
    <w:rsid w:val="00B61EA2"/>
    <w:rsid w:val="00B61F4E"/>
    <w:rsid w:val="00B62778"/>
    <w:rsid w:val="00B63758"/>
    <w:rsid w:val="00B73853"/>
    <w:rsid w:val="00B7672D"/>
    <w:rsid w:val="00B809F2"/>
    <w:rsid w:val="00BB3FAA"/>
    <w:rsid w:val="00BD5A3E"/>
    <w:rsid w:val="00BF07B9"/>
    <w:rsid w:val="00C01487"/>
    <w:rsid w:val="00C12A52"/>
    <w:rsid w:val="00C137B1"/>
    <w:rsid w:val="00C17DEB"/>
    <w:rsid w:val="00C458DB"/>
    <w:rsid w:val="00C459A2"/>
    <w:rsid w:val="00C5592D"/>
    <w:rsid w:val="00C63A5F"/>
    <w:rsid w:val="00C71E2A"/>
    <w:rsid w:val="00C77A81"/>
    <w:rsid w:val="00C91CE5"/>
    <w:rsid w:val="00C97C8B"/>
    <w:rsid w:val="00CA6A87"/>
    <w:rsid w:val="00D03DA8"/>
    <w:rsid w:val="00D20E73"/>
    <w:rsid w:val="00D45077"/>
    <w:rsid w:val="00D60F0B"/>
    <w:rsid w:val="00D64185"/>
    <w:rsid w:val="00D675AA"/>
    <w:rsid w:val="00D70D86"/>
    <w:rsid w:val="00D71F1E"/>
    <w:rsid w:val="00D727C8"/>
    <w:rsid w:val="00D72D91"/>
    <w:rsid w:val="00D74B45"/>
    <w:rsid w:val="00D81864"/>
    <w:rsid w:val="00DC6833"/>
    <w:rsid w:val="00DD7D89"/>
    <w:rsid w:val="00DE64ED"/>
    <w:rsid w:val="00DF0104"/>
    <w:rsid w:val="00E7400D"/>
    <w:rsid w:val="00E75068"/>
    <w:rsid w:val="00E87828"/>
    <w:rsid w:val="00E9527C"/>
    <w:rsid w:val="00EC3654"/>
    <w:rsid w:val="00EC7B79"/>
    <w:rsid w:val="00EF45B3"/>
    <w:rsid w:val="00F15FC0"/>
    <w:rsid w:val="00F2270A"/>
    <w:rsid w:val="00F2627C"/>
    <w:rsid w:val="00F46D07"/>
    <w:rsid w:val="00F61318"/>
    <w:rsid w:val="00F758FF"/>
    <w:rsid w:val="00F765EE"/>
    <w:rsid w:val="00F85722"/>
    <w:rsid w:val="00FA0F99"/>
    <w:rsid w:val="00FA4333"/>
    <w:rsid w:val="00FA4AFD"/>
    <w:rsid w:val="00FD03D5"/>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6753F"/>
    <w:pPr>
      <w:keepNext/>
      <w:keepLines/>
      <w:spacing w:before="480"/>
      <w:outlineLvl w:val="0"/>
    </w:pPr>
    <w:rPr>
      <w:rFonts w:ascii="Cambria" w:hAnsi="Cambria"/>
      <w:b/>
      <w:bCs/>
      <w:color w:val="365F91"/>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7B0"/>
    <w:pPr>
      <w:ind w:left="720"/>
      <w:contextualSpacing/>
    </w:pPr>
  </w:style>
  <w:style w:type="paragraph" w:styleId="BalloonText">
    <w:name w:val="Balloon Text"/>
    <w:basedOn w:val="Normal"/>
    <w:link w:val="BalloonTextChar"/>
    <w:rsid w:val="00A16EDF"/>
    <w:rPr>
      <w:rFonts w:ascii="Tahoma" w:hAnsi="Tahoma" w:cs="Tahoma"/>
      <w:sz w:val="16"/>
      <w:szCs w:val="16"/>
    </w:rPr>
  </w:style>
  <w:style w:type="character" w:customStyle="1" w:styleId="BalloonTextChar">
    <w:name w:val="Balloon Text Char"/>
    <w:basedOn w:val="DefaultParagraphFont"/>
    <w:link w:val="BalloonText"/>
    <w:rsid w:val="00A16EDF"/>
    <w:rPr>
      <w:rFonts w:ascii="Tahoma" w:hAnsi="Tahoma" w:cs="Tahoma"/>
      <w:sz w:val="16"/>
      <w:szCs w:val="16"/>
      <w:lang w:eastAsia="en-US"/>
    </w:rPr>
  </w:style>
  <w:style w:type="paragraph" w:styleId="Header">
    <w:name w:val="header"/>
    <w:basedOn w:val="Normal"/>
    <w:link w:val="HeaderChar"/>
    <w:rsid w:val="00D60F0B"/>
    <w:pPr>
      <w:tabs>
        <w:tab w:val="center" w:pos="4513"/>
        <w:tab w:val="right" w:pos="9026"/>
      </w:tabs>
    </w:pPr>
  </w:style>
  <w:style w:type="character" w:customStyle="1" w:styleId="HeaderChar">
    <w:name w:val="Header Char"/>
    <w:basedOn w:val="DefaultParagraphFont"/>
    <w:link w:val="Header"/>
    <w:rsid w:val="00D60F0B"/>
    <w:rPr>
      <w:sz w:val="24"/>
      <w:szCs w:val="24"/>
      <w:lang w:eastAsia="en-US"/>
    </w:rPr>
  </w:style>
  <w:style w:type="paragraph" w:styleId="Footer">
    <w:name w:val="footer"/>
    <w:basedOn w:val="Normal"/>
    <w:link w:val="FooterChar"/>
    <w:uiPriority w:val="99"/>
    <w:rsid w:val="00D60F0B"/>
    <w:pPr>
      <w:tabs>
        <w:tab w:val="center" w:pos="4513"/>
        <w:tab w:val="right" w:pos="9026"/>
      </w:tabs>
    </w:pPr>
  </w:style>
  <w:style w:type="character" w:customStyle="1" w:styleId="FooterChar">
    <w:name w:val="Footer Char"/>
    <w:basedOn w:val="DefaultParagraphFont"/>
    <w:link w:val="Footer"/>
    <w:uiPriority w:val="99"/>
    <w:rsid w:val="00D60F0B"/>
    <w:rPr>
      <w:sz w:val="24"/>
      <w:szCs w:val="24"/>
      <w:lang w:eastAsia="en-US"/>
    </w:rPr>
  </w:style>
  <w:style w:type="character" w:customStyle="1" w:styleId="apple-converted-space">
    <w:name w:val="apple-converted-space"/>
    <w:basedOn w:val="DefaultParagraphFont"/>
    <w:rsid w:val="00C71E2A"/>
  </w:style>
  <w:style w:type="paragraph" w:styleId="NormalWeb">
    <w:name w:val="Normal (Web)"/>
    <w:basedOn w:val="Normal"/>
    <w:uiPriority w:val="99"/>
    <w:semiHidden/>
    <w:unhideWhenUsed/>
    <w:rsid w:val="00C71E2A"/>
    <w:pPr>
      <w:spacing w:before="100" w:beforeAutospacing="1" w:after="100" w:afterAutospacing="1"/>
    </w:pPr>
    <w:rPr>
      <w:lang w:eastAsia="en-AU"/>
    </w:rPr>
  </w:style>
  <w:style w:type="character" w:styleId="Hyperlink">
    <w:name w:val="Hyperlink"/>
    <w:basedOn w:val="DefaultParagraphFont"/>
    <w:uiPriority w:val="99"/>
    <w:semiHidden/>
    <w:unhideWhenUsed/>
    <w:rsid w:val="00C71E2A"/>
    <w:rPr>
      <w:color w:val="0000FF"/>
      <w:u w:val="single"/>
    </w:rPr>
  </w:style>
  <w:style w:type="character" w:customStyle="1" w:styleId="Heading1Char">
    <w:name w:val="Heading 1 Char"/>
    <w:basedOn w:val="DefaultParagraphFont"/>
    <w:link w:val="Heading1"/>
    <w:rsid w:val="0096753F"/>
    <w:rPr>
      <w:rFonts w:ascii="Cambria" w:hAnsi="Cambria"/>
      <w:b/>
      <w:bCs/>
      <w:color w:val="365F91"/>
      <w:sz w:val="28"/>
      <w:szCs w:val="28"/>
    </w:rPr>
  </w:style>
  <w:style w:type="paragraph" w:customStyle="1" w:styleId="Default">
    <w:name w:val="Default"/>
    <w:rsid w:val="007B73B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6753F"/>
    <w:pPr>
      <w:keepNext/>
      <w:keepLines/>
      <w:spacing w:before="480"/>
      <w:outlineLvl w:val="0"/>
    </w:pPr>
    <w:rPr>
      <w:rFonts w:ascii="Cambria" w:hAnsi="Cambria"/>
      <w:b/>
      <w:bCs/>
      <w:color w:val="365F91"/>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7B0"/>
    <w:pPr>
      <w:ind w:left="720"/>
      <w:contextualSpacing/>
    </w:pPr>
  </w:style>
  <w:style w:type="paragraph" w:styleId="BalloonText">
    <w:name w:val="Balloon Text"/>
    <w:basedOn w:val="Normal"/>
    <w:link w:val="BalloonTextChar"/>
    <w:rsid w:val="00A16EDF"/>
    <w:rPr>
      <w:rFonts w:ascii="Tahoma" w:hAnsi="Tahoma" w:cs="Tahoma"/>
      <w:sz w:val="16"/>
      <w:szCs w:val="16"/>
    </w:rPr>
  </w:style>
  <w:style w:type="character" w:customStyle="1" w:styleId="BalloonTextChar">
    <w:name w:val="Balloon Text Char"/>
    <w:basedOn w:val="DefaultParagraphFont"/>
    <w:link w:val="BalloonText"/>
    <w:rsid w:val="00A16EDF"/>
    <w:rPr>
      <w:rFonts w:ascii="Tahoma" w:hAnsi="Tahoma" w:cs="Tahoma"/>
      <w:sz w:val="16"/>
      <w:szCs w:val="16"/>
      <w:lang w:eastAsia="en-US"/>
    </w:rPr>
  </w:style>
  <w:style w:type="paragraph" w:styleId="Header">
    <w:name w:val="header"/>
    <w:basedOn w:val="Normal"/>
    <w:link w:val="HeaderChar"/>
    <w:rsid w:val="00D60F0B"/>
    <w:pPr>
      <w:tabs>
        <w:tab w:val="center" w:pos="4513"/>
        <w:tab w:val="right" w:pos="9026"/>
      </w:tabs>
    </w:pPr>
  </w:style>
  <w:style w:type="character" w:customStyle="1" w:styleId="HeaderChar">
    <w:name w:val="Header Char"/>
    <w:basedOn w:val="DefaultParagraphFont"/>
    <w:link w:val="Header"/>
    <w:rsid w:val="00D60F0B"/>
    <w:rPr>
      <w:sz w:val="24"/>
      <w:szCs w:val="24"/>
      <w:lang w:eastAsia="en-US"/>
    </w:rPr>
  </w:style>
  <w:style w:type="paragraph" w:styleId="Footer">
    <w:name w:val="footer"/>
    <w:basedOn w:val="Normal"/>
    <w:link w:val="FooterChar"/>
    <w:uiPriority w:val="99"/>
    <w:rsid w:val="00D60F0B"/>
    <w:pPr>
      <w:tabs>
        <w:tab w:val="center" w:pos="4513"/>
        <w:tab w:val="right" w:pos="9026"/>
      </w:tabs>
    </w:pPr>
  </w:style>
  <w:style w:type="character" w:customStyle="1" w:styleId="FooterChar">
    <w:name w:val="Footer Char"/>
    <w:basedOn w:val="DefaultParagraphFont"/>
    <w:link w:val="Footer"/>
    <w:uiPriority w:val="99"/>
    <w:rsid w:val="00D60F0B"/>
    <w:rPr>
      <w:sz w:val="24"/>
      <w:szCs w:val="24"/>
      <w:lang w:eastAsia="en-US"/>
    </w:rPr>
  </w:style>
  <w:style w:type="character" w:customStyle="1" w:styleId="apple-converted-space">
    <w:name w:val="apple-converted-space"/>
    <w:basedOn w:val="DefaultParagraphFont"/>
    <w:rsid w:val="00C71E2A"/>
  </w:style>
  <w:style w:type="paragraph" w:styleId="NormalWeb">
    <w:name w:val="Normal (Web)"/>
    <w:basedOn w:val="Normal"/>
    <w:uiPriority w:val="99"/>
    <w:semiHidden/>
    <w:unhideWhenUsed/>
    <w:rsid w:val="00C71E2A"/>
    <w:pPr>
      <w:spacing w:before="100" w:beforeAutospacing="1" w:after="100" w:afterAutospacing="1"/>
    </w:pPr>
    <w:rPr>
      <w:lang w:eastAsia="en-AU"/>
    </w:rPr>
  </w:style>
  <w:style w:type="character" w:styleId="Hyperlink">
    <w:name w:val="Hyperlink"/>
    <w:basedOn w:val="DefaultParagraphFont"/>
    <w:uiPriority w:val="99"/>
    <w:semiHidden/>
    <w:unhideWhenUsed/>
    <w:rsid w:val="00C71E2A"/>
    <w:rPr>
      <w:color w:val="0000FF"/>
      <w:u w:val="single"/>
    </w:rPr>
  </w:style>
  <w:style w:type="character" w:customStyle="1" w:styleId="Heading1Char">
    <w:name w:val="Heading 1 Char"/>
    <w:basedOn w:val="DefaultParagraphFont"/>
    <w:link w:val="Heading1"/>
    <w:rsid w:val="0096753F"/>
    <w:rPr>
      <w:rFonts w:ascii="Cambria" w:hAnsi="Cambria"/>
      <w:b/>
      <w:bCs/>
      <w:color w:val="365F91"/>
      <w:sz w:val="28"/>
      <w:szCs w:val="28"/>
    </w:rPr>
  </w:style>
  <w:style w:type="paragraph" w:customStyle="1" w:styleId="Default">
    <w:name w:val="Default"/>
    <w:rsid w:val="007B73B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20592">
      <w:bodyDiv w:val="1"/>
      <w:marLeft w:val="0"/>
      <w:marRight w:val="0"/>
      <w:marTop w:val="0"/>
      <w:marBottom w:val="0"/>
      <w:divBdr>
        <w:top w:val="none" w:sz="0" w:space="0" w:color="auto"/>
        <w:left w:val="none" w:sz="0" w:space="0" w:color="auto"/>
        <w:bottom w:val="none" w:sz="0" w:space="0" w:color="auto"/>
        <w:right w:val="none" w:sz="0" w:space="0" w:color="auto"/>
      </w:divBdr>
    </w:div>
    <w:div w:id="8928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C854D524D61E45ABD0AE72A95E1425" ma:contentTypeVersion="1" ma:contentTypeDescription="Create a new document." ma:contentTypeScope="" ma:versionID="006771967579c688560bf2857edaad74">
  <xsd:schema xmlns:xsd="http://www.w3.org/2001/XMLSchema" xmlns:xs="http://www.w3.org/2001/XMLSchema" xmlns:p="http://schemas.microsoft.com/office/2006/metadata/properties" xmlns:ns1="http://schemas.microsoft.com/sharepoint/v3" targetNamespace="http://schemas.microsoft.com/office/2006/metadata/properties" ma:root="true" ma:fieldsID="5e6c4f69963ac938d6c7f3ce0738420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8A78B-749E-4306-B826-E0D63559062D}"/>
</file>

<file path=customXml/itemProps2.xml><?xml version="1.0" encoding="utf-8"?>
<ds:datastoreItem xmlns:ds="http://schemas.openxmlformats.org/officeDocument/2006/customXml" ds:itemID="{30347A7B-BE28-4FEC-9E9E-50A475B8C745}"/>
</file>

<file path=customXml/itemProps3.xml><?xml version="1.0" encoding="utf-8"?>
<ds:datastoreItem xmlns:ds="http://schemas.openxmlformats.org/officeDocument/2006/customXml" ds:itemID="{8FC60D5D-4C2C-4825-99D7-91F8E2A3AA98}"/>
</file>

<file path=customXml/itemProps4.xml><?xml version="1.0" encoding="utf-8"?>
<ds:datastoreItem xmlns:ds="http://schemas.openxmlformats.org/officeDocument/2006/customXml" ds:itemID="{95176EE8-E5F2-4696-99BB-CBA629095A47}"/>
</file>

<file path=docProps/app.xml><?xml version="1.0" encoding="utf-8"?>
<Properties xmlns="http://schemas.openxmlformats.org/officeDocument/2006/extended-properties" xmlns:vt="http://schemas.openxmlformats.org/officeDocument/2006/docPropsVTypes">
  <Template>4734FBDA</Template>
  <TotalTime>0</TotalTime>
  <Pages>2</Pages>
  <Words>586</Words>
  <Characters>3665</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2016-01-12T03:59:00Z</dcterms:created>
  <dcterms:modified xsi:type="dcterms:W3CDTF">2016-01-12T03:59:00Z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0x010100B4C854D524D61E45ABD0AE72A95E1425</vt:lpwstr>
  </property>
  <property fmtid="{D5CDD505-2E9C-101B-9397-08002B2CF9AE}" pid="3" name="Order">
    <vt:r8>945600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