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83AC9" w14:textId="77777777" w:rsidR="00314587" w:rsidRPr="00BF17B0" w:rsidRDefault="00314587" w:rsidP="007D4662"/>
    <w:p w14:paraId="7E63E431" w14:textId="77777777" w:rsidR="00C05CDC" w:rsidRPr="00BF17B0" w:rsidRDefault="00C05CDC" w:rsidP="00C05CDC">
      <w:pPr>
        <w:jc w:val="center"/>
        <w:rPr>
          <w:rFonts w:asciiTheme="minorHAnsi" w:hAnsiTheme="minorHAnsi" w:cstheme="minorHAnsi"/>
          <w:sz w:val="32"/>
          <w:szCs w:val="32"/>
        </w:rPr>
      </w:pPr>
    </w:p>
    <w:p w14:paraId="59362E53" w14:textId="77777777" w:rsidR="00C05CDC" w:rsidRPr="00BF17B0" w:rsidRDefault="00C05CDC" w:rsidP="00C05CDC">
      <w:pPr>
        <w:jc w:val="center"/>
        <w:rPr>
          <w:rFonts w:asciiTheme="minorHAnsi" w:hAnsiTheme="minorHAnsi" w:cstheme="minorHAnsi"/>
          <w:sz w:val="32"/>
          <w:szCs w:val="32"/>
        </w:rPr>
      </w:pPr>
    </w:p>
    <w:p w14:paraId="0E9C102E" w14:textId="77777777" w:rsidR="00387294" w:rsidRPr="00BF17B0" w:rsidRDefault="00387294" w:rsidP="00C05CDC">
      <w:pPr>
        <w:jc w:val="center"/>
        <w:rPr>
          <w:rFonts w:asciiTheme="minorHAnsi" w:hAnsiTheme="minorHAnsi" w:cstheme="minorHAnsi"/>
          <w:sz w:val="32"/>
          <w:szCs w:val="32"/>
        </w:rPr>
      </w:pPr>
    </w:p>
    <w:p w14:paraId="14256904" w14:textId="77777777" w:rsidR="00387294" w:rsidRPr="00BF17B0" w:rsidRDefault="00387294" w:rsidP="00C05CDC">
      <w:pPr>
        <w:jc w:val="center"/>
        <w:rPr>
          <w:rFonts w:asciiTheme="minorHAnsi" w:hAnsiTheme="minorHAnsi" w:cstheme="minorHAnsi"/>
          <w:sz w:val="32"/>
          <w:szCs w:val="32"/>
        </w:rPr>
      </w:pPr>
    </w:p>
    <w:p w14:paraId="7A3A69AF" w14:textId="77777777" w:rsidR="00C05CDC" w:rsidRPr="00BF17B0" w:rsidRDefault="00C05CDC" w:rsidP="00C05CDC">
      <w:pPr>
        <w:jc w:val="center"/>
        <w:rPr>
          <w:rFonts w:asciiTheme="minorHAnsi" w:hAnsiTheme="minorHAnsi" w:cstheme="minorHAnsi"/>
          <w:sz w:val="32"/>
          <w:szCs w:val="32"/>
        </w:rPr>
      </w:pPr>
    </w:p>
    <w:p w14:paraId="2DF5575C" w14:textId="77777777" w:rsidR="00226A05" w:rsidRPr="00BF17B0" w:rsidRDefault="00C05CDC" w:rsidP="00222C72">
      <w:pPr>
        <w:pStyle w:val="Title"/>
        <w:jc w:val="center"/>
        <w:rPr>
          <w:rFonts w:asciiTheme="minorHAnsi" w:hAnsiTheme="minorHAnsi" w:cstheme="minorHAnsi"/>
          <w:caps/>
          <w:spacing w:val="10"/>
          <w:sz w:val="28"/>
          <w:szCs w:val="28"/>
        </w:rPr>
      </w:pPr>
      <w:r w:rsidRPr="00BF17B0">
        <w:rPr>
          <w:rFonts w:asciiTheme="minorHAnsi" w:hAnsiTheme="minorHAnsi" w:cstheme="minorHAnsi"/>
          <w:caps/>
          <w:spacing w:val="10"/>
          <w:sz w:val="28"/>
          <w:szCs w:val="28"/>
        </w:rPr>
        <w:t>Australia</w:t>
      </w:r>
      <w:r w:rsidR="00A71C33" w:rsidRPr="00BF17B0">
        <w:rPr>
          <w:rFonts w:asciiTheme="minorHAnsi" w:hAnsiTheme="minorHAnsi" w:cstheme="minorHAnsi"/>
          <w:caps/>
          <w:spacing w:val="10"/>
          <w:sz w:val="28"/>
          <w:szCs w:val="28"/>
        </w:rPr>
        <w:t xml:space="preserve"> </w:t>
      </w:r>
      <w:r w:rsidRPr="00BF17B0">
        <w:rPr>
          <w:rFonts w:asciiTheme="minorHAnsi" w:hAnsiTheme="minorHAnsi" w:cstheme="minorHAnsi"/>
          <w:caps/>
          <w:spacing w:val="10"/>
          <w:sz w:val="28"/>
          <w:szCs w:val="28"/>
        </w:rPr>
        <w:t>–</w:t>
      </w:r>
      <w:r w:rsidR="00A71C33" w:rsidRPr="00BF17B0">
        <w:rPr>
          <w:rFonts w:asciiTheme="minorHAnsi" w:hAnsiTheme="minorHAnsi" w:cstheme="minorHAnsi"/>
          <w:caps/>
          <w:spacing w:val="10"/>
          <w:sz w:val="28"/>
          <w:szCs w:val="28"/>
        </w:rPr>
        <w:t xml:space="preserve"> </w:t>
      </w:r>
      <w:r w:rsidRPr="00BF17B0">
        <w:rPr>
          <w:rFonts w:asciiTheme="minorHAnsi" w:hAnsiTheme="minorHAnsi" w:cstheme="minorHAnsi"/>
          <w:caps/>
          <w:spacing w:val="10"/>
          <w:sz w:val="28"/>
          <w:szCs w:val="28"/>
        </w:rPr>
        <w:t>World Bank</w:t>
      </w:r>
    </w:p>
    <w:p w14:paraId="382536C5" w14:textId="77777777" w:rsidR="00B61450" w:rsidRPr="00BF17B0" w:rsidRDefault="00C05CDC" w:rsidP="00222C72">
      <w:pPr>
        <w:pStyle w:val="Title"/>
        <w:jc w:val="center"/>
        <w:rPr>
          <w:rFonts w:asciiTheme="minorHAnsi" w:hAnsiTheme="minorHAnsi" w:cstheme="minorHAnsi"/>
          <w:caps/>
          <w:sz w:val="28"/>
          <w:szCs w:val="28"/>
        </w:rPr>
      </w:pPr>
      <w:r w:rsidRPr="00BF17B0">
        <w:rPr>
          <w:rFonts w:asciiTheme="minorHAnsi" w:hAnsiTheme="minorHAnsi" w:cstheme="minorHAnsi"/>
          <w:caps/>
          <w:sz w:val="28"/>
          <w:szCs w:val="28"/>
        </w:rPr>
        <w:t>Philippines Development Trust Fund</w:t>
      </w:r>
    </w:p>
    <w:p w14:paraId="06B2EEF3" w14:textId="36E50519" w:rsidR="00C05CDC" w:rsidRPr="00AE3416" w:rsidRDefault="00AE3416" w:rsidP="00C05CDC">
      <w:pPr>
        <w:jc w:val="center"/>
        <w:rPr>
          <w:rFonts w:asciiTheme="minorHAnsi" w:hAnsiTheme="minorHAnsi" w:cstheme="minorHAnsi"/>
          <w:sz w:val="28"/>
          <w:szCs w:val="28"/>
        </w:rPr>
      </w:pPr>
      <w:r>
        <w:rPr>
          <w:rFonts w:asciiTheme="minorHAnsi" w:hAnsiTheme="minorHAnsi" w:cstheme="minorHAnsi"/>
          <w:sz w:val="28"/>
          <w:szCs w:val="28"/>
        </w:rPr>
        <w:t>Evaluation Report</w:t>
      </w:r>
    </w:p>
    <w:p w14:paraId="1985896A" w14:textId="77777777" w:rsidR="00C05CDC" w:rsidRPr="00BF17B0" w:rsidRDefault="00C05CDC" w:rsidP="00C05CDC">
      <w:pPr>
        <w:jc w:val="center"/>
        <w:rPr>
          <w:rFonts w:asciiTheme="minorHAnsi" w:hAnsiTheme="minorHAnsi" w:cstheme="minorHAnsi"/>
          <w:b/>
          <w:sz w:val="28"/>
          <w:szCs w:val="28"/>
        </w:rPr>
      </w:pPr>
    </w:p>
    <w:p w14:paraId="32F576A2" w14:textId="77777777" w:rsidR="00387294" w:rsidRPr="00BF17B0" w:rsidRDefault="00387294" w:rsidP="00C05CDC">
      <w:pPr>
        <w:jc w:val="center"/>
        <w:rPr>
          <w:rFonts w:asciiTheme="minorHAnsi" w:hAnsiTheme="minorHAnsi" w:cstheme="minorHAnsi"/>
          <w:b/>
          <w:sz w:val="28"/>
          <w:szCs w:val="28"/>
        </w:rPr>
      </w:pPr>
    </w:p>
    <w:p w14:paraId="0DD4F780" w14:textId="77777777" w:rsidR="00387294" w:rsidRPr="00BF17B0" w:rsidRDefault="00387294" w:rsidP="00C05CDC">
      <w:pPr>
        <w:jc w:val="center"/>
        <w:rPr>
          <w:rFonts w:asciiTheme="minorHAnsi" w:hAnsiTheme="minorHAnsi" w:cstheme="minorHAnsi"/>
          <w:b/>
          <w:sz w:val="28"/>
          <w:szCs w:val="28"/>
        </w:rPr>
      </w:pPr>
    </w:p>
    <w:p w14:paraId="3E27AA63" w14:textId="77777777" w:rsidR="00C05CDC" w:rsidRPr="00BF17B0" w:rsidRDefault="00DB2F6A" w:rsidP="00C05CDC">
      <w:pPr>
        <w:jc w:val="center"/>
        <w:rPr>
          <w:rFonts w:asciiTheme="minorHAnsi" w:hAnsiTheme="minorHAnsi" w:cstheme="minorHAnsi"/>
          <w:b/>
          <w:caps/>
          <w:spacing w:val="20"/>
          <w:sz w:val="28"/>
          <w:szCs w:val="28"/>
        </w:rPr>
      </w:pPr>
      <w:r w:rsidRPr="00BF17B0">
        <w:rPr>
          <w:rFonts w:asciiTheme="minorHAnsi" w:hAnsiTheme="minorHAnsi" w:cstheme="minorHAnsi"/>
          <w:b/>
          <w:caps/>
          <w:spacing w:val="20"/>
          <w:sz w:val="28"/>
          <w:szCs w:val="28"/>
        </w:rPr>
        <w:t xml:space="preserve">A DECADE OF </w:t>
      </w:r>
      <w:r w:rsidR="00AA336E" w:rsidRPr="00BF17B0">
        <w:rPr>
          <w:rFonts w:asciiTheme="minorHAnsi" w:hAnsiTheme="minorHAnsi" w:cstheme="minorHAnsi"/>
          <w:b/>
          <w:caps/>
          <w:spacing w:val="20"/>
          <w:sz w:val="28"/>
          <w:szCs w:val="28"/>
        </w:rPr>
        <w:t>partnership</w:t>
      </w:r>
    </w:p>
    <w:p w14:paraId="12C07D59" w14:textId="79DC8D72" w:rsidR="00C05CDC" w:rsidRPr="00BF17B0" w:rsidRDefault="00537623" w:rsidP="00C05CDC">
      <w:pPr>
        <w:jc w:val="center"/>
        <w:rPr>
          <w:rFonts w:asciiTheme="minorHAnsi" w:hAnsiTheme="minorHAnsi" w:cstheme="minorHAnsi"/>
          <w:sz w:val="28"/>
          <w:szCs w:val="28"/>
        </w:rPr>
      </w:pPr>
      <w:r>
        <w:rPr>
          <w:rFonts w:asciiTheme="minorHAnsi" w:hAnsiTheme="minorHAnsi" w:cstheme="minorHAnsi"/>
          <w:sz w:val="28"/>
          <w:szCs w:val="28"/>
        </w:rPr>
        <w:t>2009 - 2018</w:t>
      </w:r>
    </w:p>
    <w:p w14:paraId="7D956997" w14:textId="77777777" w:rsidR="0075589F" w:rsidRPr="00BF17B0" w:rsidRDefault="0075589F">
      <w:pPr>
        <w:rPr>
          <w:rFonts w:asciiTheme="minorHAnsi" w:hAnsiTheme="minorHAnsi" w:cstheme="minorHAnsi"/>
          <w:b/>
          <w:sz w:val="28"/>
          <w:szCs w:val="28"/>
        </w:rPr>
        <w:sectPr w:rsidR="0075589F" w:rsidRPr="00BF17B0" w:rsidSect="00C52140">
          <w:footerReference w:type="default" r:id="rId11"/>
          <w:footerReference w:type="first" r:id="rId12"/>
          <w:pgSz w:w="11906" w:h="16838"/>
          <w:pgMar w:top="1440" w:right="1440" w:bottom="1440" w:left="1440" w:header="708" w:footer="708" w:gutter="0"/>
          <w:pgNumType w:fmt="lowerRoman"/>
          <w:cols w:space="708"/>
          <w:titlePg/>
          <w:docGrid w:linePitch="360"/>
        </w:sectPr>
      </w:pPr>
    </w:p>
    <w:p w14:paraId="6800B0C7" w14:textId="77777777" w:rsidR="009E18F4" w:rsidRPr="00BF17B0" w:rsidRDefault="009E18F4" w:rsidP="009E18F4">
      <w:pPr>
        <w:rPr>
          <w:rFonts w:asciiTheme="minorHAnsi" w:hAnsiTheme="minorHAnsi" w:cstheme="minorHAnsi"/>
        </w:rPr>
      </w:pPr>
    </w:p>
    <w:p w14:paraId="7D8AA3EC" w14:textId="77777777" w:rsidR="009E18F4" w:rsidRPr="00BF17B0" w:rsidRDefault="009E18F4" w:rsidP="009E18F4">
      <w:pPr>
        <w:rPr>
          <w:rFonts w:asciiTheme="minorHAnsi" w:hAnsiTheme="minorHAnsi" w:cstheme="minorHAnsi"/>
        </w:rPr>
      </w:pPr>
    </w:p>
    <w:p w14:paraId="4ABF8893" w14:textId="77777777" w:rsidR="009E18F4" w:rsidRPr="00BF17B0" w:rsidRDefault="009E18F4" w:rsidP="009E18F4">
      <w:pPr>
        <w:rPr>
          <w:rFonts w:asciiTheme="minorHAnsi" w:hAnsiTheme="minorHAnsi" w:cstheme="minorHAnsi"/>
        </w:rPr>
      </w:pPr>
    </w:p>
    <w:p w14:paraId="30E74259" w14:textId="77777777" w:rsidR="009E18F4" w:rsidRPr="00BF17B0" w:rsidRDefault="009E18F4" w:rsidP="009E18F4">
      <w:pPr>
        <w:rPr>
          <w:rFonts w:asciiTheme="minorHAnsi" w:hAnsiTheme="minorHAnsi" w:cstheme="minorHAnsi"/>
        </w:rPr>
      </w:pPr>
    </w:p>
    <w:p w14:paraId="32E92D18" w14:textId="77777777" w:rsidR="009E18F4" w:rsidRPr="00BF17B0" w:rsidRDefault="009E18F4" w:rsidP="009E18F4">
      <w:pPr>
        <w:rPr>
          <w:rFonts w:asciiTheme="minorHAnsi" w:hAnsiTheme="minorHAnsi" w:cstheme="minorHAnsi"/>
        </w:rPr>
      </w:pPr>
    </w:p>
    <w:p w14:paraId="3673C69D" w14:textId="77777777" w:rsidR="009E18F4" w:rsidRPr="00BF17B0" w:rsidRDefault="009E18F4" w:rsidP="009E18F4">
      <w:pPr>
        <w:rPr>
          <w:rFonts w:asciiTheme="minorHAnsi" w:hAnsiTheme="minorHAnsi" w:cstheme="minorHAnsi"/>
        </w:rPr>
      </w:pPr>
    </w:p>
    <w:p w14:paraId="12974729" w14:textId="77777777" w:rsidR="009E18F4" w:rsidRPr="00BF17B0" w:rsidRDefault="009E18F4" w:rsidP="009E18F4">
      <w:pPr>
        <w:rPr>
          <w:rFonts w:asciiTheme="minorHAnsi" w:hAnsiTheme="minorHAnsi" w:cstheme="minorHAnsi"/>
        </w:rPr>
      </w:pPr>
    </w:p>
    <w:p w14:paraId="5091A65E" w14:textId="77777777" w:rsidR="009E18F4" w:rsidRPr="00BF17B0" w:rsidRDefault="009E18F4" w:rsidP="009E18F4">
      <w:pPr>
        <w:rPr>
          <w:rFonts w:asciiTheme="minorHAnsi" w:hAnsiTheme="minorHAnsi" w:cstheme="minorHAnsi"/>
        </w:rPr>
      </w:pPr>
    </w:p>
    <w:p w14:paraId="7EA84002" w14:textId="77777777" w:rsidR="009E18F4" w:rsidRPr="00BF17B0" w:rsidRDefault="009E18F4" w:rsidP="009E18F4">
      <w:pPr>
        <w:rPr>
          <w:rFonts w:asciiTheme="minorHAnsi" w:hAnsiTheme="minorHAnsi" w:cstheme="minorHAnsi"/>
        </w:rPr>
      </w:pPr>
    </w:p>
    <w:p w14:paraId="17AC8118" w14:textId="77777777" w:rsidR="009E18F4" w:rsidRPr="00BF17B0" w:rsidRDefault="009E18F4" w:rsidP="009E18F4">
      <w:pPr>
        <w:rPr>
          <w:rFonts w:asciiTheme="minorHAnsi" w:hAnsiTheme="minorHAnsi" w:cstheme="minorHAnsi"/>
        </w:rPr>
      </w:pPr>
    </w:p>
    <w:p w14:paraId="4FE12CA4" w14:textId="77777777" w:rsidR="009E18F4" w:rsidRPr="00BF17B0" w:rsidRDefault="009E18F4" w:rsidP="009E18F4">
      <w:pPr>
        <w:rPr>
          <w:rFonts w:asciiTheme="minorHAnsi" w:hAnsiTheme="minorHAnsi" w:cstheme="minorHAnsi"/>
        </w:rPr>
      </w:pPr>
    </w:p>
    <w:p w14:paraId="0C7A6EE4" w14:textId="77777777" w:rsidR="00C55309" w:rsidRPr="00BF17B0" w:rsidRDefault="00C55309" w:rsidP="006D175B">
      <w:pPr>
        <w:pStyle w:val="NoSpacing"/>
        <w:rPr>
          <w:rFonts w:asciiTheme="minorHAnsi" w:hAnsiTheme="minorHAnsi" w:cstheme="minorHAnsi"/>
        </w:rPr>
      </w:pPr>
      <w:r w:rsidRPr="00BF17B0">
        <w:rPr>
          <w:rFonts w:asciiTheme="minorHAnsi" w:hAnsiTheme="minorHAnsi" w:cstheme="minorHAnsi"/>
        </w:rPr>
        <w:t xml:space="preserve">© 2018 The World Bank  </w:t>
      </w:r>
    </w:p>
    <w:p w14:paraId="4FFCD61A" w14:textId="77777777" w:rsidR="00C55309" w:rsidRPr="00BF17B0" w:rsidRDefault="00C55309" w:rsidP="006D175B">
      <w:pPr>
        <w:pStyle w:val="NoSpacing"/>
        <w:rPr>
          <w:rFonts w:asciiTheme="minorHAnsi" w:hAnsiTheme="minorHAnsi" w:cstheme="minorHAnsi"/>
        </w:rPr>
      </w:pPr>
      <w:r w:rsidRPr="00BF17B0">
        <w:rPr>
          <w:rFonts w:asciiTheme="minorHAnsi" w:hAnsiTheme="minorHAnsi" w:cstheme="minorHAnsi"/>
        </w:rPr>
        <w:t xml:space="preserve">1818 H Street NW, Washington DC 20433  </w:t>
      </w:r>
    </w:p>
    <w:p w14:paraId="31AE82E8" w14:textId="77777777" w:rsidR="00C55309" w:rsidRPr="00BF17B0" w:rsidRDefault="00C55309" w:rsidP="006D175B">
      <w:pPr>
        <w:pStyle w:val="NoSpacing"/>
        <w:rPr>
          <w:rFonts w:asciiTheme="minorHAnsi" w:hAnsiTheme="minorHAnsi" w:cstheme="minorHAnsi"/>
        </w:rPr>
      </w:pPr>
      <w:r w:rsidRPr="00BF17B0">
        <w:rPr>
          <w:rFonts w:asciiTheme="minorHAnsi" w:hAnsiTheme="minorHAnsi" w:cstheme="minorHAnsi"/>
        </w:rPr>
        <w:t xml:space="preserve">Telephone: 202-473-1000; Internet: </w:t>
      </w:r>
      <w:hyperlink r:id="rId13" w:history="1">
        <w:r w:rsidRPr="00BF17B0">
          <w:rPr>
            <w:rFonts w:asciiTheme="minorHAnsi" w:hAnsiTheme="minorHAnsi" w:cstheme="minorHAnsi"/>
            <w:color w:val="0563C1"/>
            <w:u w:val="single"/>
          </w:rPr>
          <w:t>www.worldbank.org</w:t>
        </w:r>
      </w:hyperlink>
      <w:r w:rsidRPr="00BF17B0">
        <w:rPr>
          <w:rFonts w:asciiTheme="minorHAnsi" w:hAnsiTheme="minorHAnsi" w:cstheme="minorHAnsi"/>
        </w:rPr>
        <w:t xml:space="preserve"> </w:t>
      </w:r>
    </w:p>
    <w:p w14:paraId="0EE0C17F" w14:textId="77777777" w:rsidR="00C55309" w:rsidRPr="00BF17B0" w:rsidRDefault="00C55309" w:rsidP="006D175B">
      <w:pPr>
        <w:pStyle w:val="NoSpacing"/>
        <w:rPr>
          <w:rFonts w:asciiTheme="minorHAnsi" w:hAnsiTheme="minorHAnsi" w:cstheme="minorHAnsi"/>
        </w:rPr>
      </w:pPr>
      <w:r w:rsidRPr="00BF17B0">
        <w:rPr>
          <w:rFonts w:asciiTheme="minorHAnsi" w:hAnsiTheme="minorHAnsi" w:cstheme="minorHAnsi"/>
        </w:rPr>
        <w:t> </w:t>
      </w:r>
    </w:p>
    <w:p w14:paraId="5F6BD5FD" w14:textId="77777777" w:rsidR="00C55309" w:rsidRPr="00BF17B0" w:rsidRDefault="00C55309" w:rsidP="006D175B">
      <w:pPr>
        <w:pStyle w:val="NoSpacing"/>
        <w:rPr>
          <w:rFonts w:asciiTheme="minorHAnsi" w:hAnsiTheme="minorHAnsi" w:cstheme="minorHAnsi"/>
        </w:rPr>
      </w:pPr>
      <w:r w:rsidRPr="00BF17B0">
        <w:rPr>
          <w:rFonts w:asciiTheme="minorHAnsi" w:hAnsiTheme="minorHAnsi" w:cstheme="minorHAnsi"/>
        </w:rPr>
        <w:t xml:space="preserve">Some rights reserved </w:t>
      </w:r>
    </w:p>
    <w:p w14:paraId="46FD353C" w14:textId="77777777" w:rsidR="00C55309" w:rsidRPr="00BF17B0" w:rsidRDefault="00C55309" w:rsidP="006D175B">
      <w:pPr>
        <w:pStyle w:val="NoSpacing"/>
        <w:rPr>
          <w:rFonts w:asciiTheme="minorHAnsi" w:hAnsiTheme="minorHAnsi" w:cstheme="minorHAnsi"/>
        </w:rPr>
      </w:pPr>
      <w:r w:rsidRPr="00BF17B0">
        <w:rPr>
          <w:rFonts w:asciiTheme="minorHAnsi" w:hAnsiTheme="minorHAnsi" w:cstheme="minorHAnsi"/>
        </w:rPr>
        <w:t> </w:t>
      </w:r>
    </w:p>
    <w:p w14:paraId="7AF00EF8" w14:textId="11F02657" w:rsidR="00C55309" w:rsidRPr="00BF17B0" w:rsidRDefault="00C55309" w:rsidP="006D175B">
      <w:pPr>
        <w:pStyle w:val="NoSpacing"/>
        <w:rPr>
          <w:rFonts w:asciiTheme="minorHAnsi" w:hAnsiTheme="minorHAnsi" w:cstheme="minorHAnsi"/>
        </w:rPr>
      </w:pPr>
      <w:r w:rsidRPr="00BF17B0">
        <w:rPr>
          <w:rFonts w:asciiTheme="minorHAnsi" w:hAnsiTheme="minorHAnsi" w:cstheme="minorHAnsi"/>
        </w:rPr>
        <w:t xml:space="preserve">This work is a product of the staff </w:t>
      </w:r>
      <w:r w:rsidR="001A0F96">
        <w:rPr>
          <w:rFonts w:asciiTheme="minorHAnsi" w:hAnsiTheme="minorHAnsi" w:cstheme="minorHAnsi"/>
        </w:rPr>
        <w:t xml:space="preserve">and contractors </w:t>
      </w:r>
      <w:r w:rsidRPr="00BF17B0">
        <w:rPr>
          <w:rFonts w:asciiTheme="minorHAnsi" w:hAnsiTheme="minorHAnsi" w:cstheme="minorHAnsi"/>
        </w:rPr>
        <w:t>of The World Bank. The findings, interpretations, and conclusions expressed in this work do not necessarily reflect the views of the Executive Directors of The World Bank or the governments they represent. The World Bank does not guarantee the accuracy of the data included in this work. The boundaries, colors, denominations, and other information shown on any map in this work do not imply any judgment on the part of The World Bank concerning the legal status of any territory or the endorsement or acceptance of such boundaries</w:t>
      </w:r>
      <w:r w:rsidR="00EB211F" w:rsidRPr="00BF17B0">
        <w:rPr>
          <w:rFonts w:asciiTheme="minorHAnsi" w:hAnsiTheme="minorHAnsi" w:cstheme="minorHAnsi"/>
        </w:rPr>
        <w:t xml:space="preserve">. </w:t>
      </w:r>
    </w:p>
    <w:p w14:paraId="667B2791" w14:textId="77777777" w:rsidR="00C55309" w:rsidRPr="00BF17B0" w:rsidRDefault="00C55309" w:rsidP="006D175B">
      <w:pPr>
        <w:pStyle w:val="NoSpacing"/>
        <w:rPr>
          <w:rFonts w:asciiTheme="minorHAnsi" w:hAnsiTheme="minorHAnsi" w:cstheme="minorHAnsi"/>
        </w:rPr>
      </w:pPr>
      <w:r w:rsidRPr="00BF17B0">
        <w:rPr>
          <w:rFonts w:asciiTheme="minorHAnsi" w:hAnsiTheme="minorHAnsi" w:cstheme="minorHAnsi"/>
        </w:rPr>
        <w:t> </w:t>
      </w:r>
    </w:p>
    <w:p w14:paraId="1DA9E009" w14:textId="77777777" w:rsidR="00C55309" w:rsidRPr="00BF17B0" w:rsidRDefault="00C55309" w:rsidP="006D175B">
      <w:pPr>
        <w:pStyle w:val="NoSpacing"/>
        <w:rPr>
          <w:rFonts w:asciiTheme="minorHAnsi" w:hAnsiTheme="minorHAnsi" w:cstheme="minorHAnsi"/>
        </w:rPr>
      </w:pPr>
      <w:r w:rsidRPr="00BF17B0">
        <w:rPr>
          <w:rFonts w:asciiTheme="minorHAnsi" w:hAnsiTheme="minorHAnsi" w:cstheme="minorHAnsi"/>
        </w:rPr>
        <w:t xml:space="preserve">Rights and Permissions </w:t>
      </w:r>
    </w:p>
    <w:p w14:paraId="19048480" w14:textId="77777777" w:rsidR="00C55309" w:rsidRPr="00BF17B0" w:rsidRDefault="00C55309" w:rsidP="006D175B">
      <w:pPr>
        <w:pStyle w:val="NoSpacing"/>
        <w:rPr>
          <w:rFonts w:asciiTheme="minorHAnsi" w:hAnsiTheme="minorHAnsi" w:cstheme="minorHAnsi"/>
        </w:rPr>
      </w:pPr>
      <w:r w:rsidRPr="00BF17B0">
        <w:rPr>
          <w:rFonts w:asciiTheme="minorHAnsi" w:hAnsiTheme="minorHAnsi" w:cstheme="minorHAnsi"/>
        </w:rPr>
        <w:t>The material in this work is subject to copyright. Because the World Bank encourages dissemination of its knowledge, this work may be reproduced, in whole or in part, for non</w:t>
      </w:r>
      <w:r w:rsidR="00AC49A2" w:rsidRPr="00BF17B0">
        <w:rPr>
          <w:rFonts w:asciiTheme="minorHAnsi" w:hAnsiTheme="minorHAnsi" w:cstheme="minorHAnsi"/>
        </w:rPr>
        <w:t>-</w:t>
      </w:r>
      <w:r w:rsidRPr="00BF17B0">
        <w:rPr>
          <w:rFonts w:asciiTheme="minorHAnsi" w:hAnsiTheme="minorHAnsi" w:cstheme="minorHAnsi"/>
        </w:rPr>
        <w:t>commercial purposes as long as full attribution to this work is given</w:t>
      </w:r>
      <w:r w:rsidR="00EB211F" w:rsidRPr="00BF17B0">
        <w:rPr>
          <w:rFonts w:asciiTheme="minorHAnsi" w:hAnsiTheme="minorHAnsi" w:cstheme="minorHAnsi"/>
        </w:rPr>
        <w:t xml:space="preserve">. </w:t>
      </w:r>
    </w:p>
    <w:p w14:paraId="5D5BE410" w14:textId="77777777" w:rsidR="00C55309" w:rsidRPr="00BF17B0" w:rsidRDefault="00C55309" w:rsidP="006D175B">
      <w:pPr>
        <w:pStyle w:val="NoSpacing"/>
        <w:rPr>
          <w:rFonts w:asciiTheme="minorHAnsi" w:hAnsiTheme="minorHAnsi" w:cstheme="minorHAnsi"/>
        </w:rPr>
      </w:pPr>
      <w:r w:rsidRPr="00BF17B0">
        <w:rPr>
          <w:rFonts w:asciiTheme="minorHAnsi" w:hAnsiTheme="minorHAnsi" w:cstheme="minorHAnsi"/>
        </w:rPr>
        <w:t> </w:t>
      </w:r>
    </w:p>
    <w:p w14:paraId="2949112E" w14:textId="43184262" w:rsidR="00C55309" w:rsidRPr="00BF17B0" w:rsidRDefault="00C55309" w:rsidP="006D175B">
      <w:pPr>
        <w:pStyle w:val="NoSpacing"/>
        <w:rPr>
          <w:rFonts w:asciiTheme="minorHAnsi" w:hAnsiTheme="minorHAnsi" w:cstheme="minorHAnsi"/>
        </w:rPr>
      </w:pPr>
      <w:r w:rsidRPr="00BF17B0">
        <w:rPr>
          <w:rFonts w:asciiTheme="minorHAnsi" w:hAnsiTheme="minorHAnsi" w:cstheme="minorHAnsi"/>
        </w:rPr>
        <w:t>Attribution—Please cite the work as follows: “</w:t>
      </w:r>
      <w:r w:rsidR="00B50179" w:rsidRPr="00B50179">
        <w:rPr>
          <w:rFonts w:asciiTheme="minorHAnsi" w:hAnsiTheme="minorHAnsi" w:cstheme="minorHAnsi"/>
        </w:rPr>
        <w:t>Australia - World Bank Philippines Development Trust Fund: A De</w:t>
      </w:r>
      <w:r w:rsidR="0007738E">
        <w:rPr>
          <w:rFonts w:asciiTheme="minorHAnsi" w:hAnsiTheme="minorHAnsi" w:cstheme="minorHAnsi"/>
        </w:rPr>
        <w:t>cade of Partnership, 2009 - 2018</w:t>
      </w:r>
      <w:r w:rsidR="00B50179" w:rsidRPr="00B50179">
        <w:rPr>
          <w:rFonts w:asciiTheme="minorHAnsi" w:hAnsiTheme="minorHAnsi" w:cstheme="minorHAnsi"/>
        </w:rPr>
        <w:t>.</w:t>
      </w:r>
      <w:r w:rsidRPr="00BF17B0">
        <w:rPr>
          <w:rFonts w:asciiTheme="minorHAnsi" w:hAnsiTheme="minorHAnsi" w:cstheme="minorHAnsi"/>
        </w:rPr>
        <w:t xml:space="preserve"> © World Bank.” </w:t>
      </w:r>
    </w:p>
    <w:p w14:paraId="7324E39B" w14:textId="77777777" w:rsidR="00C55309" w:rsidRPr="00BF17B0" w:rsidRDefault="00C55309" w:rsidP="006D175B">
      <w:pPr>
        <w:pStyle w:val="NoSpacing"/>
        <w:rPr>
          <w:rFonts w:asciiTheme="minorHAnsi" w:hAnsiTheme="minorHAnsi" w:cstheme="minorHAnsi"/>
        </w:rPr>
      </w:pPr>
      <w:r w:rsidRPr="00BF17B0">
        <w:rPr>
          <w:rFonts w:asciiTheme="minorHAnsi" w:hAnsiTheme="minorHAnsi" w:cstheme="minorHAnsi"/>
        </w:rPr>
        <w:t> </w:t>
      </w:r>
    </w:p>
    <w:p w14:paraId="693C9F9A" w14:textId="77777777" w:rsidR="00C55309" w:rsidRPr="00BF17B0" w:rsidRDefault="00C55309" w:rsidP="006D175B">
      <w:pPr>
        <w:pStyle w:val="NoSpacing"/>
        <w:rPr>
          <w:rFonts w:asciiTheme="minorHAnsi" w:hAnsiTheme="minorHAnsi" w:cstheme="minorHAnsi"/>
        </w:rPr>
      </w:pPr>
      <w:r w:rsidRPr="00BF17B0">
        <w:rPr>
          <w:rFonts w:asciiTheme="minorHAnsi" w:hAnsiTheme="minorHAnsi" w:cstheme="minorHAnsi"/>
        </w:rPr>
        <w:t xml:space="preserve">All queries on rights and licenses, including subsidiary rights, should be addressed to World Bank Publications, The World Bank Group, 1818 H Street NW, Washington, DC 20433, USA; fax: 202-522-2625; e-mail: </w:t>
      </w:r>
      <w:hyperlink r:id="rId14" w:history="1">
        <w:r w:rsidRPr="00BF17B0">
          <w:rPr>
            <w:rFonts w:asciiTheme="minorHAnsi" w:hAnsiTheme="minorHAnsi" w:cstheme="minorHAnsi"/>
            <w:color w:val="0563C1"/>
            <w:u w:val="single"/>
          </w:rPr>
          <w:t>pubrights@worldbank.org</w:t>
        </w:r>
      </w:hyperlink>
      <w:r w:rsidR="00EB211F" w:rsidRPr="00BF17B0">
        <w:rPr>
          <w:rFonts w:asciiTheme="minorHAnsi" w:hAnsiTheme="minorHAnsi" w:cstheme="minorHAnsi"/>
        </w:rPr>
        <w:t xml:space="preserve">. </w:t>
      </w:r>
    </w:p>
    <w:p w14:paraId="55C3BF2B" w14:textId="77777777" w:rsidR="00582466" w:rsidRPr="00BF17B0" w:rsidRDefault="00582466" w:rsidP="006D175B">
      <w:pPr>
        <w:pStyle w:val="NoSpacing"/>
        <w:rPr>
          <w:rFonts w:asciiTheme="minorHAnsi" w:hAnsiTheme="minorHAnsi" w:cstheme="minorHAnsi"/>
        </w:rPr>
      </w:pPr>
    </w:p>
    <w:p w14:paraId="5189C7DC" w14:textId="77777777" w:rsidR="00BC61F4" w:rsidRPr="00BF17B0" w:rsidRDefault="00BC61F4" w:rsidP="00C55309">
      <w:pPr>
        <w:rPr>
          <w:rFonts w:asciiTheme="minorHAnsi" w:eastAsia="Calibri" w:hAnsiTheme="minorHAnsi" w:cstheme="minorHAnsi"/>
        </w:rPr>
        <w:sectPr w:rsidR="00BC61F4" w:rsidRPr="00BF17B0" w:rsidSect="00C52140">
          <w:pgSz w:w="11906" w:h="16838"/>
          <w:pgMar w:top="1440" w:right="1440" w:bottom="1440" w:left="1440" w:header="708" w:footer="708" w:gutter="0"/>
          <w:pgNumType w:fmt="lowerRoman"/>
          <w:cols w:space="708"/>
          <w:titlePg/>
          <w:docGrid w:linePitch="360"/>
        </w:sectPr>
      </w:pPr>
    </w:p>
    <w:p w14:paraId="2DC52AB3" w14:textId="77777777" w:rsidR="00582466" w:rsidRPr="00BF17B0" w:rsidRDefault="00582466" w:rsidP="00582466">
      <w:pPr>
        <w:pStyle w:val="Heading1"/>
        <w:numPr>
          <w:ilvl w:val="0"/>
          <w:numId w:val="0"/>
        </w:numPr>
        <w:rPr>
          <w:rFonts w:asciiTheme="minorHAnsi" w:hAnsiTheme="minorHAnsi" w:cstheme="minorHAnsi"/>
        </w:rPr>
      </w:pPr>
      <w:bookmarkStart w:id="0" w:name="_Toc532994284"/>
      <w:r w:rsidRPr="00BF17B0">
        <w:rPr>
          <w:rFonts w:asciiTheme="minorHAnsi" w:hAnsiTheme="minorHAnsi" w:cstheme="minorHAnsi"/>
        </w:rPr>
        <w:lastRenderedPageBreak/>
        <w:t>Abbreviations</w:t>
      </w:r>
      <w:bookmarkEnd w:id="0"/>
    </w:p>
    <w:p w14:paraId="0003DE76" w14:textId="77777777" w:rsidR="00530431" w:rsidRPr="00BF17B0" w:rsidRDefault="00530431" w:rsidP="00530431">
      <w:pPr>
        <w:pStyle w:val="NoSpacing"/>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041"/>
      </w:tblGrid>
      <w:tr w:rsidR="00582466" w:rsidRPr="00BF17B0" w14:paraId="5F8FC75A" w14:textId="77777777" w:rsidTr="00530431">
        <w:tc>
          <w:tcPr>
            <w:tcW w:w="1975" w:type="dxa"/>
          </w:tcPr>
          <w:p w14:paraId="2F7A08A5" w14:textId="77777777" w:rsidR="00582466" w:rsidRPr="00BF17B0" w:rsidRDefault="00582466" w:rsidP="00530431">
            <w:pPr>
              <w:pStyle w:val="TableText"/>
            </w:pPr>
            <w:r w:rsidRPr="00BF17B0">
              <w:t>4Ps</w:t>
            </w:r>
          </w:p>
        </w:tc>
        <w:tc>
          <w:tcPr>
            <w:tcW w:w="7041" w:type="dxa"/>
          </w:tcPr>
          <w:p w14:paraId="77AA691F" w14:textId="77777777" w:rsidR="00582466" w:rsidRPr="00BF17B0" w:rsidRDefault="00582466" w:rsidP="00530431">
            <w:pPr>
              <w:pStyle w:val="TableText"/>
            </w:pPr>
            <w:r w:rsidRPr="00BF17B0">
              <w:t>Pantawid Pamilyang Pilipino Program</w:t>
            </w:r>
          </w:p>
        </w:tc>
      </w:tr>
      <w:tr w:rsidR="00582466" w:rsidRPr="00BF17B0" w14:paraId="6C825C74" w14:textId="77777777" w:rsidTr="00530431">
        <w:tc>
          <w:tcPr>
            <w:tcW w:w="1975" w:type="dxa"/>
          </w:tcPr>
          <w:p w14:paraId="29DFBE4F" w14:textId="77777777" w:rsidR="00582466" w:rsidRPr="00BF17B0" w:rsidRDefault="00582466" w:rsidP="00530431">
            <w:pPr>
              <w:pStyle w:val="TableText"/>
            </w:pPr>
            <w:r w:rsidRPr="00BF17B0">
              <w:t>AA</w:t>
            </w:r>
          </w:p>
        </w:tc>
        <w:tc>
          <w:tcPr>
            <w:tcW w:w="7041" w:type="dxa"/>
          </w:tcPr>
          <w:p w14:paraId="0794A4C9" w14:textId="77777777" w:rsidR="00582466" w:rsidRPr="00BF17B0" w:rsidRDefault="00582466" w:rsidP="00530431">
            <w:pPr>
              <w:pStyle w:val="TableText"/>
            </w:pPr>
            <w:r w:rsidRPr="00BF17B0">
              <w:t>administration agreement</w:t>
            </w:r>
          </w:p>
        </w:tc>
      </w:tr>
      <w:tr w:rsidR="00582466" w:rsidRPr="00BF17B0" w14:paraId="098778EA" w14:textId="77777777" w:rsidTr="00530431">
        <w:tc>
          <w:tcPr>
            <w:tcW w:w="1975" w:type="dxa"/>
          </w:tcPr>
          <w:p w14:paraId="6021B923" w14:textId="77777777" w:rsidR="00582466" w:rsidRPr="00BF17B0" w:rsidRDefault="00582466" w:rsidP="00530431">
            <w:pPr>
              <w:pStyle w:val="TableText"/>
            </w:pPr>
            <w:r w:rsidRPr="00BF17B0">
              <w:t>AAA</w:t>
            </w:r>
          </w:p>
        </w:tc>
        <w:tc>
          <w:tcPr>
            <w:tcW w:w="7041" w:type="dxa"/>
          </w:tcPr>
          <w:p w14:paraId="08C85C3E" w14:textId="77777777" w:rsidR="00582466" w:rsidRPr="00BF17B0" w:rsidRDefault="00582466" w:rsidP="00530431">
            <w:pPr>
              <w:pStyle w:val="TableText"/>
            </w:pPr>
            <w:r w:rsidRPr="00BF17B0">
              <w:t>analytical and advisory activities</w:t>
            </w:r>
          </w:p>
        </w:tc>
      </w:tr>
      <w:tr w:rsidR="00582466" w:rsidRPr="00BF17B0" w14:paraId="3EF4A5F3" w14:textId="77777777" w:rsidTr="00530431">
        <w:tc>
          <w:tcPr>
            <w:tcW w:w="1975" w:type="dxa"/>
          </w:tcPr>
          <w:p w14:paraId="2D3659F0" w14:textId="77777777" w:rsidR="00582466" w:rsidRPr="00BF17B0" w:rsidRDefault="00582466" w:rsidP="00530431">
            <w:pPr>
              <w:pStyle w:val="TableText"/>
            </w:pPr>
            <w:r w:rsidRPr="00BF17B0">
              <w:t>ARMM</w:t>
            </w:r>
          </w:p>
        </w:tc>
        <w:tc>
          <w:tcPr>
            <w:tcW w:w="7041" w:type="dxa"/>
          </w:tcPr>
          <w:p w14:paraId="1925171E" w14:textId="77777777" w:rsidR="00582466" w:rsidRPr="00BF17B0" w:rsidRDefault="00582466" w:rsidP="00530431">
            <w:pPr>
              <w:pStyle w:val="TableText"/>
            </w:pPr>
            <w:r w:rsidRPr="00BF17B0">
              <w:t>Autonomous Region in Muslim Mindanao</w:t>
            </w:r>
          </w:p>
        </w:tc>
      </w:tr>
      <w:tr w:rsidR="00582466" w:rsidRPr="00BF17B0" w14:paraId="5F4DC0FB" w14:textId="77777777" w:rsidTr="00530431">
        <w:tc>
          <w:tcPr>
            <w:tcW w:w="1975" w:type="dxa"/>
          </w:tcPr>
          <w:p w14:paraId="4A8F4321" w14:textId="77777777" w:rsidR="00582466" w:rsidRPr="00BF17B0" w:rsidRDefault="00582466" w:rsidP="00530431">
            <w:pPr>
              <w:pStyle w:val="TableText"/>
            </w:pPr>
            <w:r w:rsidRPr="00BF17B0">
              <w:t>ASA</w:t>
            </w:r>
          </w:p>
        </w:tc>
        <w:tc>
          <w:tcPr>
            <w:tcW w:w="7041" w:type="dxa"/>
          </w:tcPr>
          <w:p w14:paraId="750F1962" w14:textId="77777777" w:rsidR="00582466" w:rsidRPr="00BF17B0" w:rsidRDefault="00582466" w:rsidP="00530431">
            <w:pPr>
              <w:pStyle w:val="TableText"/>
            </w:pPr>
            <w:r w:rsidRPr="00BF17B0">
              <w:t>advisory services and analytics</w:t>
            </w:r>
          </w:p>
        </w:tc>
      </w:tr>
      <w:tr w:rsidR="00582466" w:rsidRPr="00BF17B0" w14:paraId="2A090949" w14:textId="77777777" w:rsidTr="00530431">
        <w:tc>
          <w:tcPr>
            <w:tcW w:w="1975" w:type="dxa"/>
          </w:tcPr>
          <w:p w14:paraId="44F14B1A" w14:textId="77777777" w:rsidR="00582466" w:rsidRPr="00BF17B0" w:rsidRDefault="00582466" w:rsidP="00530431">
            <w:pPr>
              <w:pStyle w:val="TableText"/>
            </w:pPr>
            <w:r w:rsidRPr="00BF17B0">
              <w:t>BB</w:t>
            </w:r>
          </w:p>
        </w:tc>
        <w:tc>
          <w:tcPr>
            <w:tcW w:w="7041" w:type="dxa"/>
          </w:tcPr>
          <w:p w14:paraId="77DB1030" w14:textId="77777777" w:rsidR="00582466" w:rsidRPr="00BF17B0" w:rsidRDefault="00582466" w:rsidP="00530431">
            <w:pPr>
              <w:pStyle w:val="TableText"/>
            </w:pPr>
            <w:r w:rsidRPr="00BF17B0">
              <w:t>Bank budget</w:t>
            </w:r>
          </w:p>
        </w:tc>
      </w:tr>
      <w:tr w:rsidR="00582466" w:rsidRPr="00BF17B0" w14:paraId="7A7CC25F" w14:textId="77777777" w:rsidTr="00530431">
        <w:tc>
          <w:tcPr>
            <w:tcW w:w="1975" w:type="dxa"/>
          </w:tcPr>
          <w:p w14:paraId="37B5F522" w14:textId="77777777" w:rsidR="00582466" w:rsidRPr="00BF17B0" w:rsidRDefault="00582466" w:rsidP="00530431">
            <w:pPr>
              <w:pStyle w:val="TableText"/>
            </w:pPr>
            <w:r w:rsidRPr="00BF17B0">
              <w:t>BE</w:t>
            </w:r>
          </w:p>
        </w:tc>
        <w:tc>
          <w:tcPr>
            <w:tcW w:w="7041" w:type="dxa"/>
          </w:tcPr>
          <w:p w14:paraId="5A89FB5B" w14:textId="77777777" w:rsidR="00582466" w:rsidRPr="00BF17B0" w:rsidRDefault="00582466" w:rsidP="00530431">
            <w:pPr>
              <w:pStyle w:val="TableText"/>
            </w:pPr>
            <w:r w:rsidRPr="00BF17B0">
              <w:t>Bank-executed (trust fund grant)</w:t>
            </w:r>
          </w:p>
        </w:tc>
      </w:tr>
      <w:tr w:rsidR="00582466" w:rsidRPr="00BF17B0" w14:paraId="74EE03A9" w14:textId="77777777" w:rsidTr="00530431">
        <w:tc>
          <w:tcPr>
            <w:tcW w:w="1975" w:type="dxa"/>
          </w:tcPr>
          <w:p w14:paraId="1F39C16E" w14:textId="77777777" w:rsidR="00582466" w:rsidRPr="00BF17B0" w:rsidRDefault="00582466" w:rsidP="00530431">
            <w:pPr>
              <w:pStyle w:val="TableText"/>
            </w:pPr>
            <w:r w:rsidRPr="00BF17B0">
              <w:t>CCT</w:t>
            </w:r>
          </w:p>
        </w:tc>
        <w:tc>
          <w:tcPr>
            <w:tcW w:w="7041" w:type="dxa"/>
          </w:tcPr>
          <w:p w14:paraId="05BE69D0" w14:textId="77777777" w:rsidR="00582466" w:rsidRPr="00BF17B0" w:rsidRDefault="00582466" w:rsidP="00530431">
            <w:pPr>
              <w:pStyle w:val="TableText"/>
            </w:pPr>
            <w:r w:rsidRPr="00BF17B0">
              <w:t>conditional cash transfers</w:t>
            </w:r>
          </w:p>
        </w:tc>
      </w:tr>
      <w:tr w:rsidR="00582466" w:rsidRPr="00BF17B0" w14:paraId="4DBE6EA7" w14:textId="77777777" w:rsidTr="00530431">
        <w:tc>
          <w:tcPr>
            <w:tcW w:w="1975" w:type="dxa"/>
          </w:tcPr>
          <w:p w14:paraId="6A0F65F3" w14:textId="77777777" w:rsidR="00582466" w:rsidRPr="00BF17B0" w:rsidRDefault="00582466" w:rsidP="00530431">
            <w:pPr>
              <w:pStyle w:val="TableText"/>
            </w:pPr>
            <w:r w:rsidRPr="00BF17B0">
              <w:t>CDD</w:t>
            </w:r>
          </w:p>
        </w:tc>
        <w:tc>
          <w:tcPr>
            <w:tcW w:w="7041" w:type="dxa"/>
          </w:tcPr>
          <w:p w14:paraId="6BC70958" w14:textId="77777777" w:rsidR="00582466" w:rsidRPr="00BF17B0" w:rsidRDefault="00582466" w:rsidP="00530431">
            <w:pPr>
              <w:pStyle w:val="TableText"/>
            </w:pPr>
            <w:r w:rsidRPr="00BF17B0">
              <w:t>community-driven development</w:t>
            </w:r>
          </w:p>
        </w:tc>
      </w:tr>
      <w:tr w:rsidR="00582466" w:rsidRPr="00BF17B0" w14:paraId="2AC4A3D2" w14:textId="77777777" w:rsidTr="00530431">
        <w:tc>
          <w:tcPr>
            <w:tcW w:w="1975" w:type="dxa"/>
          </w:tcPr>
          <w:p w14:paraId="1DA7D5E9" w14:textId="77777777" w:rsidR="00582466" w:rsidRPr="00BF17B0" w:rsidRDefault="00582466" w:rsidP="00530431">
            <w:pPr>
              <w:pStyle w:val="TableText"/>
            </w:pPr>
            <w:r w:rsidRPr="00BF17B0">
              <w:t>DepEd</w:t>
            </w:r>
          </w:p>
        </w:tc>
        <w:tc>
          <w:tcPr>
            <w:tcW w:w="7041" w:type="dxa"/>
          </w:tcPr>
          <w:p w14:paraId="4AC60BEF" w14:textId="77777777" w:rsidR="00582466" w:rsidRPr="00BF17B0" w:rsidRDefault="00582466" w:rsidP="00530431">
            <w:pPr>
              <w:pStyle w:val="TableText"/>
            </w:pPr>
            <w:r w:rsidRPr="00BF17B0">
              <w:t>Department of Education</w:t>
            </w:r>
          </w:p>
        </w:tc>
      </w:tr>
      <w:tr w:rsidR="00582466" w:rsidRPr="00BF17B0" w14:paraId="1E6EEC1B" w14:textId="77777777" w:rsidTr="00530431">
        <w:tc>
          <w:tcPr>
            <w:tcW w:w="1975" w:type="dxa"/>
          </w:tcPr>
          <w:p w14:paraId="54CD7A84" w14:textId="77777777" w:rsidR="00582466" w:rsidRPr="00BF17B0" w:rsidRDefault="00582466" w:rsidP="00530431">
            <w:pPr>
              <w:pStyle w:val="TableText"/>
            </w:pPr>
            <w:r w:rsidRPr="00BF17B0">
              <w:t>DFAT</w:t>
            </w:r>
          </w:p>
        </w:tc>
        <w:tc>
          <w:tcPr>
            <w:tcW w:w="7041" w:type="dxa"/>
          </w:tcPr>
          <w:p w14:paraId="69E201E0" w14:textId="77777777" w:rsidR="00582466" w:rsidRPr="00BF17B0" w:rsidRDefault="00582466" w:rsidP="00530431">
            <w:pPr>
              <w:pStyle w:val="TableText"/>
            </w:pPr>
            <w:r w:rsidRPr="00BF17B0">
              <w:t>Department of Foreign Affairs and Trade (Australia)</w:t>
            </w:r>
          </w:p>
        </w:tc>
      </w:tr>
      <w:tr w:rsidR="00582466" w:rsidRPr="00BF17B0" w14:paraId="3FE12DCD" w14:textId="77777777" w:rsidTr="00530431">
        <w:tc>
          <w:tcPr>
            <w:tcW w:w="1975" w:type="dxa"/>
          </w:tcPr>
          <w:p w14:paraId="206499B5" w14:textId="77777777" w:rsidR="00582466" w:rsidRPr="00BF17B0" w:rsidRDefault="00582466" w:rsidP="00530431">
            <w:pPr>
              <w:pStyle w:val="TableText"/>
            </w:pPr>
            <w:r w:rsidRPr="00BF17B0">
              <w:t>DPWH</w:t>
            </w:r>
          </w:p>
        </w:tc>
        <w:tc>
          <w:tcPr>
            <w:tcW w:w="7041" w:type="dxa"/>
          </w:tcPr>
          <w:p w14:paraId="4E697CAF" w14:textId="77777777" w:rsidR="00582466" w:rsidRPr="00BF17B0" w:rsidRDefault="00582466" w:rsidP="00530431">
            <w:pPr>
              <w:pStyle w:val="TableText"/>
            </w:pPr>
            <w:r w:rsidRPr="00BF17B0">
              <w:t>Department of Public Works and Highways</w:t>
            </w:r>
          </w:p>
        </w:tc>
      </w:tr>
      <w:tr w:rsidR="00582466" w:rsidRPr="00BF17B0" w14:paraId="4BB7CF9A" w14:textId="77777777" w:rsidTr="00530431">
        <w:tc>
          <w:tcPr>
            <w:tcW w:w="1975" w:type="dxa"/>
          </w:tcPr>
          <w:p w14:paraId="3CA6DE5A" w14:textId="77777777" w:rsidR="00582466" w:rsidRPr="00BF17B0" w:rsidRDefault="00582466" w:rsidP="00530431">
            <w:pPr>
              <w:pStyle w:val="TableText"/>
            </w:pPr>
            <w:r w:rsidRPr="00BF17B0">
              <w:t>DROM</w:t>
            </w:r>
          </w:p>
        </w:tc>
        <w:tc>
          <w:tcPr>
            <w:tcW w:w="7041" w:type="dxa"/>
          </w:tcPr>
          <w:p w14:paraId="68ACE41B" w14:textId="77777777" w:rsidR="00582466" w:rsidRPr="00BF17B0" w:rsidRDefault="00582466" w:rsidP="00530431">
            <w:pPr>
              <w:pStyle w:val="TableText"/>
            </w:pPr>
            <w:r w:rsidRPr="00BF17B0">
              <w:t>disaster response operations modality</w:t>
            </w:r>
          </w:p>
        </w:tc>
      </w:tr>
      <w:tr w:rsidR="00582466" w:rsidRPr="00BF17B0" w14:paraId="6BF75740" w14:textId="77777777" w:rsidTr="00530431">
        <w:tc>
          <w:tcPr>
            <w:tcW w:w="1975" w:type="dxa"/>
          </w:tcPr>
          <w:p w14:paraId="65A42115" w14:textId="77777777" w:rsidR="00582466" w:rsidRPr="00BF17B0" w:rsidRDefault="00582466" w:rsidP="00530431">
            <w:pPr>
              <w:pStyle w:val="TableText"/>
            </w:pPr>
            <w:r w:rsidRPr="00BF17B0">
              <w:t>DSWD</w:t>
            </w:r>
          </w:p>
        </w:tc>
        <w:tc>
          <w:tcPr>
            <w:tcW w:w="7041" w:type="dxa"/>
          </w:tcPr>
          <w:p w14:paraId="6496102C" w14:textId="77777777" w:rsidR="00582466" w:rsidRPr="00BF17B0" w:rsidRDefault="00582466" w:rsidP="00530431">
            <w:pPr>
              <w:pStyle w:val="TableText"/>
            </w:pPr>
            <w:r w:rsidRPr="00BF17B0">
              <w:t>Department of Social Welfare and Development</w:t>
            </w:r>
          </w:p>
        </w:tc>
      </w:tr>
      <w:tr w:rsidR="00582466" w:rsidRPr="00BF17B0" w14:paraId="7198F6B6" w14:textId="77777777" w:rsidTr="00530431">
        <w:tc>
          <w:tcPr>
            <w:tcW w:w="1975" w:type="dxa"/>
          </w:tcPr>
          <w:p w14:paraId="0ADB2857" w14:textId="77777777" w:rsidR="00582466" w:rsidRPr="00BF17B0" w:rsidRDefault="00582466" w:rsidP="00530431">
            <w:pPr>
              <w:pStyle w:val="TableText"/>
            </w:pPr>
            <w:r w:rsidRPr="00BF17B0">
              <w:t>eFOI</w:t>
            </w:r>
          </w:p>
        </w:tc>
        <w:tc>
          <w:tcPr>
            <w:tcW w:w="7041" w:type="dxa"/>
          </w:tcPr>
          <w:p w14:paraId="14A74F46" w14:textId="77777777" w:rsidR="00582466" w:rsidRPr="00BF17B0" w:rsidRDefault="00582466" w:rsidP="00530431">
            <w:pPr>
              <w:pStyle w:val="TableText"/>
            </w:pPr>
            <w:r w:rsidRPr="00BF17B0">
              <w:t>electronic Freedom of Information</w:t>
            </w:r>
          </w:p>
        </w:tc>
      </w:tr>
      <w:tr w:rsidR="00582466" w:rsidRPr="00BF17B0" w14:paraId="744471E5" w14:textId="77777777" w:rsidTr="00530431">
        <w:tc>
          <w:tcPr>
            <w:tcW w:w="1975" w:type="dxa"/>
          </w:tcPr>
          <w:p w14:paraId="143D8C7F" w14:textId="77777777" w:rsidR="00582466" w:rsidRPr="00BF17B0" w:rsidRDefault="00582466" w:rsidP="00530431">
            <w:pPr>
              <w:pStyle w:val="TableText"/>
            </w:pPr>
            <w:r w:rsidRPr="00BF17B0">
              <w:t>ESW</w:t>
            </w:r>
          </w:p>
        </w:tc>
        <w:tc>
          <w:tcPr>
            <w:tcW w:w="7041" w:type="dxa"/>
          </w:tcPr>
          <w:p w14:paraId="184398AA" w14:textId="77777777" w:rsidR="00582466" w:rsidRPr="00BF17B0" w:rsidRDefault="00582466" w:rsidP="00530431">
            <w:pPr>
              <w:pStyle w:val="TableText"/>
            </w:pPr>
            <w:r w:rsidRPr="00BF17B0">
              <w:t>economic and social work</w:t>
            </w:r>
          </w:p>
        </w:tc>
      </w:tr>
      <w:tr w:rsidR="00582466" w:rsidRPr="00BF17B0" w14:paraId="7871E7E9" w14:textId="77777777" w:rsidTr="00530431">
        <w:tc>
          <w:tcPr>
            <w:tcW w:w="1975" w:type="dxa"/>
          </w:tcPr>
          <w:p w14:paraId="00D24A9E" w14:textId="77777777" w:rsidR="00582466" w:rsidRPr="00BF17B0" w:rsidRDefault="00582466" w:rsidP="00530431">
            <w:pPr>
              <w:pStyle w:val="TableText"/>
            </w:pPr>
            <w:r w:rsidRPr="00BF17B0">
              <w:t>GFR</w:t>
            </w:r>
          </w:p>
        </w:tc>
        <w:tc>
          <w:tcPr>
            <w:tcW w:w="7041" w:type="dxa"/>
          </w:tcPr>
          <w:p w14:paraId="1E853C95" w14:textId="77777777" w:rsidR="00582466" w:rsidRPr="00BF17B0" w:rsidRDefault="00582466" w:rsidP="00530431">
            <w:pPr>
              <w:pStyle w:val="TableText"/>
            </w:pPr>
            <w:r w:rsidRPr="00BF17B0">
              <w:t>grant funding request</w:t>
            </w:r>
          </w:p>
        </w:tc>
      </w:tr>
      <w:tr w:rsidR="00582466" w:rsidRPr="00BF17B0" w14:paraId="677E2A99" w14:textId="77777777" w:rsidTr="00530431">
        <w:tc>
          <w:tcPr>
            <w:tcW w:w="1975" w:type="dxa"/>
          </w:tcPr>
          <w:p w14:paraId="44DABB6F" w14:textId="77777777" w:rsidR="00582466" w:rsidRPr="00BF17B0" w:rsidRDefault="00582466" w:rsidP="00530431">
            <w:pPr>
              <w:pStyle w:val="TableText"/>
            </w:pPr>
            <w:r w:rsidRPr="00BF17B0">
              <w:t>GIS</w:t>
            </w:r>
          </w:p>
        </w:tc>
        <w:tc>
          <w:tcPr>
            <w:tcW w:w="7041" w:type="dxa"/>
          </w:tcPr>
          <w:p w14:paraId="16557535" w14:textId="77777777" w:rsidR="00582466" w:rsidRPr="00BF17B0" w:rsidRDefault="00582466" w:rsidP="00530431">
            <w:pPr>
              <w:pStyle w:val="TableText"/>
            </w:pPr>
            <w:r w:rsidRPr="00BF17B0">
              <w:t>geographic information system</w:t>
            </w:r>
          </w:p>
        </w:tc>
      </w:tr>
      <w:tr w:rsidR="0042236D" w:rsidRPr="00BF17B0" w14:paraId="4F810924" w14:textId="77777777" w:rsidTr="00530431">
        <w:tc>
          <w:tcPr>
            <w:tcW w:w="1975" w:type="dxa"/>
          </w:tcPr>
          <w:p w14:paraId="088AB952" w14:textId="6ADDF4BF" w:rsidR="0042236D" w:rsidRPr="00BF17B0" w:rsidRDefault="0042236D" w:rsidP="00530431">
            <w:pPr>
              <w:pStyle w:val="TableText"/>
            </w:pPr>
            <w:r>
              <w:t>GoP</w:t>
            </w:r>
          </w:p>
        </w:tc>
        <w:tc>
          <w:tcPr>
            <w:tcW w:w="7041" w:type="dxa"/>
          </w:tcPr>
          <w:p w14:paraId="4CF43423" w14:textId="408E4A4C" w:rsidR="0042236D" w:rsidRPr="00BF17B0" w:rsidRDefault="0042236D" w:rsidP="00530431">
            <w:pPr>
              <w:pStyle w:val="TableText"/>
            </w:pPr>
            <w:r>
              <w:t>Government of the Philippines</w:t>
            </w:r>
          </w:p>
        </w:tc>
      </w:tr>
      <w:tr w:rsidR="00582466" w:rsidRPr="00BF17B0" w14:paraId="1C9F6D96" w14:textId="77777777" w:rsidTr="00530431">
        <w:tc>
          <w:tcPr>
            <w:tcW w:w="1975" w:type="dxa"/>
          </w:tcPr>
          <w:p w14:paraId="6E352032" w14:textId="77777777" w:rsidR="00582466" w:rsidRPr="00BF17B0" w:rsidRDefault="00582466" w:rsidP="00530431">
            <w:pPr>
              <w:pStyle w:val="TableText"/>
            </w:pPr>
            <w:r w:rsidRPr="00BF17B0">
              <w:t>GRM</w:t>
            </w:r>
          </w:p>
        </w:tc>
        <w:tc>
          <w:tcPr>
            <w:tcW w:w="7041" w:type="dxa"/>
          </w:tcPr>
          <w:p w14:paraId="07211E98" w14:textId="77777777" w:rsidR="00582466" w:rsidRPr="00BF17B0" w:rsidRDefault="00582466" w:rsidP="00530431">
            <w:pPr>
              <w:pStyle w:val="TableText"/>
            </w:pPr>
            <w:r w:rsidRPr="00BF17B0">
              <w:t>Grant Reporting and Monitoring (system)</w:t>
            </w:r>
          </w:p>
        </w:tc>
      </w:tr>
      <w:tr w:rsidR="00582466" w:rsidRPr="00BF17B0" w14:paraId="2AD111F4" w14:textId="77777777" w:rsidTr="00530431">
        <w:tc>
          <w:tcPr>
            <w:tcW w:w="1975" w:type="dxa"/>
          </w:tcPr>
          <w:p w14:paraId="2B3BC818" w14:textId="77777777" w:rsidR="00582466" w:rsidRPr="00BF17B0" w:rsidRDefault="00582466" w:rsidP="00530431">
            <w:pPr>
              <w:pStyle w:val="TableText"/>
            </w:pPr>
            <w:r w:rsidRPr="00BF17B0">
              <w:t>IPs</w:t>
            </w:r>
          </w:p>
        </w:tc>
        <w:tc>
          <w:tcPr>
            <w:tcW w:w="7041" w:type="dxa"/>
          </w:tcPr>
          <w:p w14:paraId="2F7807D4" w14:textId="77777777" w:rsidR="00582466" w:rsidRPr="00BF17B0" w:rsidRDefault="00582466" w:rsidP="00530431">
            <w:pPr>
              <w:pStyle w:val="TableText"/>
            </w:pPr>
            <w:r w:rsidRPr="00BF17B0">
              <w:t>indigenous peoples</w:t>
            </w:r>
          </w:p>
        </w:tc>
      </w:tr>
      <w:tr w:rsidR="00582466" w:rsidRPr="00BF17B0" w14:paraId="3C5F3432" w14:textId="77777777" w:rsidTr="00530431">
        <w:tc>
          <w:tcPr>
            <w:tcW w:w="1975" w:type="dxa"/>
          </w:tcPr>
          <w:p w14:paraId="31AA917D" w14:textId="77777777" w:rsidR="00582466" w:rsidRPr="00BF17B0" w:rsidRDefault="00582466" w:rsidP="00530431">
            <w:pPr>
              <w:pStyle w:val="TableText"/>
            </w:pPr>
            <w:r w:rsidRPr="00BF17B0">
              <w:t>IRAP</w:t>
            </w:r>
          </w:p>
        </w:tc>
        <w:tc>
          <w:tcPr>
            <w:tcW w:w="7041" w:type="dxa"/>
          </w:tcPr>
          <w:p w14:paraId="779C25B3" w14:textId="77777777" w:rsidR="00582466" w:rsidRPr="00BF17B0" w:rsidRDefault="00582466" w:rsidP="00530431">
            <w:pPr>
              <w:pStyle w:val="TableText"/>
            </w:pPr>
            <w:r w:rsidRPr="00BF17B0">
              <w:t>International Road Assessment Program</w:t>
            </w:r>
          </w:p>
        </w:tc>
      </w:tr>
      <w:tr w:rsidR="00582466" w:rsidRPr="00BF17B0" w14:paraId="1E740741" w14:textId="77777777" w:rsidTr="00530431">
        <w:tc>
          <w:tcPr>
            <w:tcW w:w="1975" w:type="dxa"/>
          </w:tcPr>
          <w:p w14:paraId="2B6238DC" w14:textId="77777777" w:rsidR="00582466" w:rsidRPr="00BF17B0" w:rsidRDefault="00582466" w:rsidP="00530431">
            <w:pPr>
              <w:pStyle w:val="TableText"/>
            </w:pPr>
            <w:r w:rsidRPr="00BF17B0">
              <w:t>ISF</w:t>
            </w:r>
          </w:p>
        </w:tc>
        <w:tc>
          <w:tcPr>
            <w:tcW w:w="7041" w:type="dxa"/>
          </w:tcPr>
          <w:p w14:paraId="722C0977" w14:textId="77777777" w:rsidR="00582466" w:rsidRPr="00BF17B0" w:rsidRDefault="00582466" w:rsidP="00530431">
            <w:pPr>
              <w:pStyle w:val="TableText"/>
            </w:pPr>
            <w:r w:rsidRPr="00BF17B0">
              <w:t>informal settler family</w:t>
            </w:r>
          </w:p>
        </w:tc>
      </w:tr>
      <w:tr w:rsidR="00582466" w:rsidRPr="00BF17B0" w14:paraId="428BADC0" w14:textId="77777777" w:rsidTr="00530431">
        <w:tc>
          <w:tcPr>
            <w:tcW w:w="1975" w:type="dxa"/>
          </w:tcPr>
          <w:p w14:paraId="6447072D" w14:textId="77777777" w:rsidR="00582466" w:rsidRPr="00BF17B0" w:rsidRDefault="00582466" w:rsidP="00530431">
            <w:pPr>
              <w:pStyle w:val="TableText"/>
            </w:pPr>
            <w:r w:rsidRPr="00BF17B0">
              <w:t>KALAHI-</w:t>
            </w:r>
            <w:r w:rsidR="00530431" w:rsidRPr="00BF17B0">
              <w:t>C</w:t>
            </w:r>
            <w:r w:rsidRPr="00BF17B0">
              <w:t>IDSS</w:t>
            </w:r>
          </w:p>
        </w:tc>
        <w:tc>
          <w:tcPr>
            <w:tcW w:w="7041" w:type="dxa"/>
          </w:tcPr>
          <w:p w14:paraId="13EB3CE4" w14:textId="77777777" w:rsidR="00582466" w:rsidRPr="00BF17B0" w:rsidRDefault="00582466" w:rsidP="00530431">
            <w:pPr>
              <w:pStyle w:val="TableText"/>
            </w:pPr>
            <w:r w:rsidRPr="00BF17B0">
              <w:t>Kapit-Bisig Laban sa Kahirapan - Comprehensive and Integrated Delivery of Social Services</w:t>
            </w:r>
          </w:p>
        </w:tc>
      </w:tr>
      <w:tr w:rsidR="00582466" w:rsidRPr="00BF17B0" w14:paraId="5DF4E873" w14:textId="77777777" w:rsidTr="00530431">
        <w:tc>
          <w:tcPr>
            <w:tcW w:w="1975" w:type="dxa"/>
          </w:tcPr>
          <w:p w14:paraId="03957E10" w14:textId="77777777" w:rsidR="00582466" w:rsidRPr="00BF17B0" w:rsidRDefault="00582466" w:rsidP="00530431">
            <w:pPr>
              <w:pStyle w:val="TableText"/>
            </w:pPr>
            <w:r w:rsidRPr="00BF17B0">
              <w:t>M&amp;E</w:t>
            </w:r>
          </w:p>
        </w:tc>
        <w:tc>
          <w:tcPr>
            <w:tcW w:w="7041" w:type="dxa"/>
          </w:tcPr>
          <w:p w14:paraId="1911E117" w14:textId="77777777" w:rsidR="00582466" w:rsidRPr="00BF17B0" w:rsidRDefault="00582466" w:rsidP="00530431">
            <w:pPr>
              <w:pStyle w:val="TableText"/>
            </w:pPr>
            <w:r w:rsidRPr="00BF17B0">
              <w:t>monitoring and evaluation</w:t>
            </w:r>
          </w:p>
        </w:tc>
      </w:tr>
      <w:tr w:rsidR="00582466" w:rsidRPr="00BF17B0" w14:paraId="661690F7" w14:textId="77777777" w:rsidTr="00530431">
        <w:tc>
          <w:tcPr>
            <w:tcW w:w="1975" w:type="dxa"/>
          </w:tcPr>
          <w:p w14:paraId="17866D5B" w14:textId="77777777" w:rsidR="00582466" w:rsidRPr="00BF17B0" w:rsidRDefault="00582466" w:rsidP="00530431">
            <w:pPr>
              <w:pStyle w:val="TableText"/>
            </w:pPr>
            <w:r w:rsidRPr="00BF17B0">
              <w:t>MDG</w:t>
            </w:r>
          </w:p>
        </w:tc>
        <w:tc>
          <w:tcPr>
            <w:tcW w:w="7041" w:type="dxa"/>
          </w:tcPr>
          <w:p w14:paraId="1B1DECEA" w14:textId="77777777" w:rsidR="00582466" w:rsidRPr="00BF17B0" w:rsidRDefault="00582466" w:rsidP="00530431">
            <w:pPr>
              <w:pStyle w:val="TableText"/>
            </w:pPr>
            <w:r w:rsidRPr="00BF17B0">
              <w:t>Millennium Development Goal</w:t>
            </w:r>
          </w:p>
        </w:tc>
      </w:tr>
      <w:tr w:rsidR="00582466" w:rsidRPr="00BF17B0" w14:paraId="74C78AA1" w14:textId="77777777" w:rsidTr="00530431">
        <w:tc>
          <w:tcPr>
            <w:tcW w:w="1975" w:type="dxa"/>
          </w:tcPr>
          <w:p w14:paraId="0AC44A45" w14:textId="77777777" w:rsidR="00582466" w:rsidRPr="00BF17B0" w:rsidRDefault="00582466" w:rsidP="00530431">
            <w:pPr>
              <w:pStyle w:val="TableText"/>
            </w:pPr>
            <w:r w:rsidRPr="00BF17B0">
              <w:t>MFM</w:t>
            </w:r>
          </w:p>
        </w:tc>
        <w:tc>
          <w:tcPr>
            <w:tcW w:w="7041" w:type="dxa"/>
          </w:tcPr>
          <w:p w14:paraId="2761FA2E" w14:textId="77777777" w:rsidR="00582466" w:rsidRPr="00BF17B0" w:rsidRDefault="00582466" w:rsidP="00530431">
            <w:pPr>
              <w:pStyle w:val="TableText"/>
            </w:pPr>
            <w:r w:rsidRPr="00BF17B0">
              <w:t>Macroeconomics and Fiscal Management</w:t>
            </w:r>
          </w:p>
        </w:tc>
      </w:tr>
      <w:tr w:rsidR="00582466" w:rsidRPr="00BF17B0" w14:paraId="42AE5635" w14:textId="77777777" w:rsidTr="00530431">
        <w:tc>
          <w:tcPr>
            <w:tcW w:w="1975" w:type="dxa"/>
          </w:tcPr>
          <w:p w14:paraId="261E2D1D" w14:textId="77777777" w:rsidR="00582466" w:rsidRPr="00BF17B0" w:rsidRDefault="00582466" w:rsidP="00530431">
            <w:pPr>
              <w:pStyle w:val="TableText"/>
            </w:pPr>
            <w:r w:rsidRPr="00BF17B0">
              <w:t>MRDP</w:t>
            </w:r>
          </w:p>
        </w:tc>
        <w:tc>
          <w:tcPr>
            <w:tcW w:w="7041" w:type="dxa"/>
          </w:tcPr>
          <w:p w14:paraId="6EB5774A" w14:textId="77777777" w:rsidR="00582466" w:rsidRPr="00BF17B0" w:rsidRDefault="00582466" w:rsidP="00530431">
            <w:pPr>
              <w:pStyle w:val="TableText"/>
            </w:pPr>
            <w:r w:rsidRPr="00BF17B0">
              <w:t>Mindanao Rural Development Project</w:t>
            </w:r>
          </w:p>
        </w:tc>
      </w:tr>
      <w:tr w:rsidR="00582466" w:rsidRPr="00BF17B0" w14:paraId="15CA14F7" w14:textId="77777777" w:rsidTr="00530431">
        <w:tc>
          <w:tcPr>
            <w:tcW w:w="1975" w:type="dxa"/>
          </w:tcPr>
          <w:p w14:paraId="352E00B4" w14:textId="77777777" w:rsidR="00582466" w:rsidRPr="00BF17B0" w:rsidRDefault="00582466" w:rsidP="00530431">
            <w:pPr>
              <w:pStyle w:val="TableText"/>
            </w:pPr>
            <w:r w:rsidRPr="00BF17B0">
              <w:t>MTR</w:t>
            </w:r>
          </w:p>
        </w:tc>
        <w:tc>
          <w:tcPr>
            <w:tcW w:w="7041" w:type="dxa"/>
          </w:tcPr>
          <w:p w14:paraId="40DDBDE0" w14:textId="77777777" w:rsidR="00582466" w:rsidRPr="00BF17B0" w:rsidRDefault="00582466" w:rsidP="00530431">
            <w:pPr>
              <w:pStyle w:val="TableText"/>
            </w:pPr>
            <w:r w:rsidRPr="00BF17B0">
              <w:t>Midterm Review</w:t>
            </w:r>
          </w:p>
        </w:tc>
      </w:tr>
      <w:tr w:rsidR="00582466" w:rsidRPr="00BF17B0" w14:paraId="013ABAB5" w14:textId="77777777" w:rsidTr="00530431">
        <w:tc>
          <w:tcPr>
            <w:tcW w:w="1975" w:type="dxa"/>
          </w:tcPr>
          <w:p w14:paraId="0493125D" w14:textId="77777777" w:rsidR="00582466" w:rsidRPr="00BF17B0" w:rsidRDefault="00582466" w:rsidP="00530431">
            <w:pPr>
              <w:pStyle w:val="TableText"/>
            </w:pPr>
            <w:r w:rsidRPr="00BF17B0">
              <w:t>NCDDP</w:t>
            </w:r>
          </w:p>
        </w:tc>
        <w:tc>
          <w:tcPr>
            <w:tcW w:w="7041" w:type="dxa"/>
          </w:tcPr>
          <w:p w14:paraId="193429F7" w14:textId="77777777" w:rsidR="00582466" w:rsidRPr="00BF17B0" w:rsidRDefault="00582466" w:rsidP="00530431">
            <w:pPr>
              <w:pStyle w:val="TableText"/>
            </w:pPr>
            <w:r w:rsidRPr="00BF17B0">
              <w:t>National Community-Driven Development Project</w:t>
            </w:r>
          </w:p>
        </w:tc>
      </w:tr>
      <w:tr w:rsidR="00582466" w:rsidRPr="00BF17B0" w14:paraId="205E3EA1" w14:textId="77777777" w:rsidTr="00530431">
        <w:tc>
          <w:tcPr>
            <w:tcW w:w="1975" w:type="dxa"/>
          </w:tcPr>
          <w:p w14:paraId="45195A4A" w14:textId="77777777" w:rsidR="00582466" w:rsidRPr="00BF17B0" w:rsidRDefault="00582466" w:rsidP="00530431">
            <w:pPr>
              <w:pStyle w:val="TableText"/>
            </w:pPr>
            <w:r w:rsidRPr="00BF17B0">
              <w:t>NGO</w:t>
            </w:r>
          </w:p>
        </w:tc>
        <w:tc>
          <w:tcPr>
            <w:tcW w:w="7041" w:type="dxa"/>
          </w:tcPr>
          <w:p w14:paraId="78A9ACFC" w14:textId="6089E880" w:rsidR="00582466" w:rsidRPr="00BF17B0" w:rsidRDefault="00582466" w:rsidP="00530431">
            <w:pPr>
              <w:pStyle w:val="TableText"/>
            </w:pPr>
            <w:r w:rsidRPr="00BF17B0">
              <w:t xml:space="preserve">non-government </w:t>
            </w:r>
            <w:r w:rsidR="00EF59EA">
              <w:t>organization</w:t>
            </w:r>
          </w:p>
        </w:tc>
      </w:tr>
      <w:tr w:rsidR="00582466" w:rsidRPr="00BF17B0" w14:paraId="7399C74E" w14:textId="77777777" w:rsidTr="00530431">
        <w:tc>
          <w:tcPr>
            <w:tcW w:w="1975" w:type="dxa"/>
          </w:tcPr>
          <w:p w14:paraId="5A955C5C" w14:textId="77777777" w:rsidR="00582466" w:rsidRPr="00BF17B0" w:rsidRDefault="00582466" w:rsidP="00530431">
            <w:pPr>
              <w:pStyle w:val="TableText"/>
            </w:pPr>
            <w:r w:rsidRPr="00BF17B0">
              <w:t>PAAA</w:t>
            </w:r>
          </w:p>
        </w:tc>
        <w:tc>
          <w:tcPr>
            <w:tcW w:w="7041" w:type="dxa"/>
          </w:tcPr>
          <w:p w14:paraId="2F052644" w14:textId="77777777" w:rsidR="00582466" w:rsidRPr="00BF17B0" w:rsidRDefault="00582466" w:rsidP="00530431">
            <w:pPr>
              <w:pStyle w:val="TableText"/>
            </w:pPr>
            <w:r w:rsidRPr="00BF17B0">
              <w:t>programmatic analytical and advisory activity</w:t>
            </w:r>
          </w:p>
        </w:tc>
      </w:tr>
      <w:tr w:rsidR="00582466" w:rsidRPr="00BF17B0" w14:paraId="515BFFC1" w14:textId="77777777" w:rsidTr="00530431">
        <w:tc>
          <w:tcPr>
            <w:tcW w:w="1975" w:type="dxa"/>
          </w:tcPr>
          <w:p w14:paraId="6D7FFBE9" w14:textId="77777777" w:rsidR="00582466" w:rsidRPr="00BF17B0" w:rsidRDefault="00582466" w:rsidP="00530431">
            <w:pPr>
              <w:pStyle w:val="TableText"/>
            </w:pPr>
            <w:r w:rsidRPr="00BF17B0">
              <w:t>PASA</w:t>
            </w:r>
          </w:p>
        </w:tc>
        <w:tc>
          <w:tcPr>
            <w:tcW w:w="7041" w:type="dxa"/>
          </w:tcPr>
          <w:p w14:paraId="61F00E28" w14:textId="77777777" w:rsidR="00582466" w:rsidRPr="00BF17B0" w:rsidRDefault="00582466" w:rsidP="00530431">
            <w:pPr>
              <w:pStyle w:val="TableText"/>
            </w:pPr>
            <w:r w:rsidRPr="00BF17B0">
              <w:t>programmatic advisory services and analytics</w:t>
            </w:r>
          </w:p>
        </w:tc>
      </w:tr>
      <w:tr w:rsidR="00582466" w:rsidRPr="00BF17B0" w14:paraId="28A8CA80" w14:textId="77777777" w:rsidTr="00530431">
        <w:tc>
          <w:tcPr>
            <w:tcW w:w="1975" w:type="dxa"/>
          </w:tcPr>
          <w:p w14:paraId="516F662E" w14:textId="77777777" w:rsidR="00582466" w:rsidRPr="00BF17B0" w:rsidRDefault="00582466" w:rsidP="00530431">
            <w:pPr>
              <w:pStyle w:val="TableText"/>
            </w:pPr>
            <w:r w:rsidRPr="00BF17B0">
              <w:t>PETS-</w:t>
            </w:r>
            <w:r w:rsidR="00530431" w:rsidRPr="00BF17B0">
              <w:t xml:space="preserve"> QSDS</w:t>
            </w:r>
          </w:p>
        </w:tc>
        <w:tc>
          <w:tcPr>
            <w:tcW w:w="7041" w:type="dxa"/>
          </w:tcPr>
          <w:p w14:paraId="39AFCF19" w14:textId="77777777" w:rsidR="00582466" w:rsidRPr="00BF17B0" w:rsidRDefault="00582466" w:rsidP="00530431">
            <w:pPr>
              <w:pStyle w:val="TableText"/>
            </w:pPr>
            <w:r w:rsidRPr="00BF17B0">
              <w:t>public expenditure tracking survey - quality of service delivery survey</w:t>
            </w:r>
          </w:p>
        </w:tc>
      </w:tr>
      <w:tr w:rsidR="00582466" w:rsidRPr="00BF17B0" w14:paraId="65A3A381" w14:textId="77777777" w:rsidTr="00530431">
        <w:tc>
          <w:tcPr>
            <w:tcW w:w="1975" w:type="dxa"/>
          </w:tcPr>
          <w:p w14:paraId="6E6D50DC" w14:textId="77777777" w:rsidR="00582466" w:rsidRPr="00BF17B0" w:rsidRDefault="00582466" w:rsidP="00530431">
            <w:pPr>
              <w:pStyle w:val="TableText"/>
            </w:pPr>
            <w:r w:rsidRPr="00BF17B0">
              <w:t>PfGG</w:t>
            </w:r>
          </w:p>
        </w:tc>
        <w:tc>
          <w:tcPr>
            <w:tcW w:w="7041" w:type="dxa"/>
          </w:tcPr>
          <w:p w14:paraId="72C4093F" w14:textId="77777777" w:rsidR="00582466" w:rsidRPr="00BF17B0" w:rsidRDefault="00582466" w:rsidP="00530431">
            <w:pPr>
              <w:pStyle w:val="TableText"/>
            </w:pPr>
            <w:r w:rsidRPr="00BF17B0">
              <w:t>Program for Good Governance</w:t>
            </w:r>
          </w:p>
        </w:tc>
      </w:tr>
      <w:tr w:rsidR="00582466" w:rsidRPr="00BF17B0" w14:paraId="1DEF79A8" w14:textId="77777777" w:rsidTr="00530431">
        <w:tc>
          <w:tcPr>
            <w:tcW w:w="1975" w:type="dxa"/>
          </w:tcPr>
          <w:p w14:paraId="51C4822D" w14:textId="77777777" w:rsidR="00582466" w:rsidRPr="00BF17B0" w:rsidRDefault="00582466" w:rsidP="00530431">
            <w:pPr>
              <w:pStyle w:val="TableText"/>
            </w:pPr>
            <w:r w:rsidRPr="00BF17B0">
              <w:t>PH-PTF</w:t>
            </w:r>
          </w:p>
        </w:tc>
        <w:tc>
          <w:tcPr>
            <w:tcW w:w="7041" w:type="dxa"/>
          </w:tcPr>
          <w:p w14:paraId="7AC2CAEA" w14:textId="77777777" w:rsidR="00582466" w:rsidRPr="00BF17B0" w:rsidRDefault="00582466" w:rsidP="00530431">
            <w:pPr>
              <w:pStyle w:val="TableText"/>
            </w:pPr>
            <w:r w:rsidRPr="00BF17B0">
              <w:t>Australia - World Bank Philippines Development Trust Fund</w:t>
            </w:r>
          </w:p>
        </w:tc>
      </w:tr>
      <w:tr w:rsidR="00582466" w:rsidRPr="00BF17B0" w14:paraId="054806FD" w14:textId="77777777" w:rsidTr="00530431">
        <w:tc>
          <w:tcPr>
            <w:tcW w:w="1975" w:type="dxa"/>
          </w:tcPr>
          <w:p w14:paraId="071AE53F" w14:textId="77777777" w:rsidR="00582466" w:rsidRPr="00BF17B0" w:rsidRDefault="00582466" w:rsidP="00530431">
            <w:pPr>
              <w:pStyle w:val="TableText"/>
            </w:pPr>
            <w:r w:rsidRPr="00BF17B0">
              <w:t>PPP</w:t>
            </w:r>
          </w:p>
        </w:tc>
        <w:tc>
          <w:tcPr>
            <w:tcW w:w="7041" w:type="dxa"/>
          </w:tcPr>
          <w:p w14:paraId="2DD952BE" w14:textId="77777777" w:rsidR="00582466" w:rsidRPr="00BF17B0" w:rsidRDefault="00582466" w:rsidP="00530431">
            <w:pPr>
              <w:pStyle w:val="TableText"/>
            </w:pPr>
            <w:r w:rsidRPr="00BF17B0">
              <w:t>public-private partnership</w:t>
            </w:r>
          </w:p>
        </w:tc>
      </w:tr>
      <w:tr w:rsidR="00582466" w:rsidRPr="00BF17B0" w14:paraId="2A3DF8B6" w14:textId="77777777" w:rsidTr="00530431">
        <w:tc>
          <w:tcPr>
            <w:tcW w:w="1975" w:type="dxa"/>
          </w:tcPr>
          <w:p w14:paraId="3740C1B9" w14:textId="77777777" w:rsidR="00582466" w:rsidRPr="00BF17B0" w:rsidRDefault="00582466" w:rsidP="00530431">
            <w:pPr>
              <w:pStyle w:val="TableText"/>
            </w:pPr>
            <w:r w:rsidRPr="00BF17B0">
              <w:t>PRDP</w:t>
            </w:r>
          </w:p>
        </w:tc>
        <w:tc>
          <w:tcPr>
            <w:tcW w:w="7041" w:type="dxa"/>
          </w:tcPr>
          <w:p w14:paraId="4A549752" w14:textId="77777777" w:rsidR="00582466" w:rsidRPr="00BF17B0" w:rsidRDefault="00582466" w:rsidP="00530431">
            <w:pPr>
              <w:pStyle w:val="TableText"/>
            </w:pPr>
            <w:r w:rsidRPr="00BF17B0">
              <w:t>Philippines Rural Development Project</w:t>
            </w:r>
          </w:p>
        </w:tc>
      </w:tr>
      <w:tr w:rsidR="00582466" w:rsidRPr="00BF17B0" w14:paraId="7E773CB9" w14:textId="77777777" w:rsidTr="00530431">
        <w:tc>
          <w:tcPr>
            <w:tcW w:w="1975" w:type="dxa"/>
          </w:tcPr>
          <w:p w14:paraId="267B2261" w14:textId="77777777" w:rsidR="00582466" w:rsidRPr="00BF17B0" w:rsidRDefault="00582466" w:rsidP="00530431">
            <w:pPr>
              <w:pStyle w:val="TableText"/>
            </w:pPr>
            <w:r w:rsidRPr="00BF17B0">
              <w:t>QSDS</w:t>
            </w:r>
          </w:p>
        </w:tc>
        <w:tc>
          <w:tcPr>
            <w:tcW w:w="7041" w:type="dxa"/>
          </w:tcPr>
          <w:p w14:paraId="5CE2A8EC" w14:textId="77777777" w:rsidR="00582466" w:rsidRPr="00BF17B0" w:rsidRDefault="00582466" w:rsidP="00530431">
            <w:pPr>
              <w:pStyle w:val="TableText"/>
            </w:pPr>
            <w:r w:rsidRPr="00BF17B0">
              <w:t>quality of service delivery survey</w:t>
            </w:r>
          </w:p>
        </w:tc>
      </w:tr>
      <w:tr w:rsidR="00582466" w:rsidRPr="00BF17B0" w14:paraId="450169C4" w14:textId="77777777" w:rsidTr="00530431">
        <w:tc>
          <w:tcPr>
            <w:tcW w:w="1975" w:type="dxa"/>
          </w:tcPr>
          <w:p w14:paraId="3F6180FD" w14:textId="77777777" w:rsidR="00582466" w:rsidRPr="00BF17B0" w:rsidRDefault="00582466" w:rsidP="00530431">
            <w:pPr>
              <w:pStyle w:val="TableText"/>
            </w:pPr>
            <w:r w:rsidRPr="00BF17B0">
              <w:t>RE</w:t>
            </w:r>
          </w:p>
        </w:tc>
        <w:tc>
          <w:tcPr>
            <w:tcW w:w="7041" w:type="dxa"/>
          </w:tcPr>
          <w:p w14:paraId="1A9E4673" w14:textId="77777777" w:rsidR="00582466" w:rsidRPr="00BF17B0" w:rsidRDefault="00582466" w:rsidP="00530431">
            <w:pPr>
              <w:pStyle w:val="TableText"/>
            </w:pPr>
            <w:r w:rsidRPr="00BF17B0">
              <w:t xml:space="preserve">recipient-executed </w:t>
            </w:r>
          </w:p>
        </w:tc>
      </w:tr>
      <w:tr w:rsidR="00582466" w:rsidRPr="00BF17B0" w14:paraId="4F6A27BB" w14:textId="77777777" w:rsidTr="00530431">
        <w:tc>
          <w:tcPr>
            <w:tcW w:w="1975" w:type="dxa"/>
          </w:tcPr>
          <w:p w14:paraId="624362B0" w14:textId="77777777" w:rsidR="00582466" w:rsidRPr="00BF17B0" w:rsidRDefault="00582466" w:rsidP="00530431">
            <w:pPr>
              <w:pStyle w:val="TableText"/>
            </w:pPr>
            <w:r w:rsidRPr="00BF17B0">
              <w:t>RF</w:t>
            </w:r>
          </w:p>
        </w:tc>
        <w:tc>
          <w:tcPr>
            <w:tcW w:w="7041" w:type="dxa"/>
          </w:tcPr>
          <w:p w14:paraId="4E2DD5A6" w14:textId="77777777" w:rsidR="00582466" w:rsidRPr="00BF17B0" w:rsidRDefault="00582466" w:rsidP="00530431">
            <w:pPr>
              <w:pStyle w:val="TableText"/>
            </w:pPr>
            <w:r w:rsidRPr="00BF17B0">
              <w:t>results framework</w:t>
            </w:r>
          </w:p>
        </w:tc>
      </w:tr>
      <w:tr w:rsidR="00582466" w:rsidRPr="00BF17B0" w14:paraId="0E084D64" w14:textId="77777777" w:rsidTr="00530431">
        <w:tc>
          <w:tcPr>
            <w:tcW w:w="1975" w:type="dxa"/>
          </w:tcPr>
          <w:p w14:paraId="36831663" w14:textId="77777777" w:rsidR="00582466" w:rsidRPr="00BF17B0" w:rsidRDefault="00582466" w:rsidP="00530431">
            <w:pPr>
              <w:pStyle w:val="TableText"/>
            </w:pPr>
            <w:r w:rsidRPr="00BF17B0">
              <w:t>SC</w:t>
            </w:r>
          </w:p>
        </w:tc>
        <w:tc>
          <w:tcPr>
            <w:tcW w:w="7041" w:type="dxa"/>
          </w:tcPr>
          <w:p w14:paraId="5DFEAB8E" w14:textId="77777777" w:rsidR="00582466" w:rsidRPr="00BF17B0" w:rsidRDefault="00582466" w:rsidP="00530431">
            <w:pPr>
              <w:pStyle w:val="TableText"/>
            </w:pPr>
            <w:r w:rsidRPr="00BF17B0">
              <w:t>Steering Committee</w:t>
            </w:r>
          </w:p>
        </w:tc>
      </w:tr>
      <w:tr w:rsidR="00582466" w:rsidRPr="00BF17B0" w14:paraId="7F14D8F4" w14:textId="77777777" w:rsidTr="00530431">
        <w:tc>
          <w:tcPr>
            <w:tcW w:w="1975" w:type="dxa"/>
          </w:tcPr>
          <w:p w14:paraId="6F8DB0E5" w14:textId="77777777" w:rsidR="00582466" w:rsidRPr="00BF17B0" w:rsidRDefault="00582466" w:rsidP="00530431">
            <w:pPr>
              <w:pStyle w:val="TableText"/>
            </w:pPr>
            <w:r w:rsidRPr="00BF17B0">
              <w:t>TA</w:t>
            </w:r>
          </w:p>
        </w:tc>
        <w:tc>
          <w:tcPr>
            <w:tcW w:w="7041" w:type="dxa"/>
          </w:tcPr>
          <w:p w14:paraId="29C82A8B" w14:textId="77777777" w:rsidR="00582466" w:rsidRPr="00BF17B0" w:rsidRDefault="00582466" w:rsidP="00530431">
            <w:pPr>
              <w:pStyle w:val="TableText"/>
            </w:pPr>
            <w:r w:rsidRPr="00BF17B0">
              <w:t>technical assistance</w:t>
            </w:r>
          </w:p>
        </w:tc>
      </w:tr>
      <w:tr w:rsidR="00582466" w:rsidRPr="00BF17B0" w14:paraId="473F1DC2" w14:textId="77777777" w:rsidTr="00530431">
        <w:tc>
          <w:tcPr>
            <w:tcW w:w="1975" w:type="dxa"/>
          </w:tcPr>
          <w:p w14:paraId="5DD40D43" w14:textId="77777777" w:rsidR="00582466" w:rsidRPr="00BF17B0" w:rsidRDefault="00582466" w:rsidP="00530431">
            <w:pPr>
              <w:pStyle w:val="TableText"/>
            </w:pPr>
            <w:r w:rsidRPr="00BF17B0">
              <w:t>TF</w:t>
            </w:r>
          </w:p>
        </w:tc>
        <w:tc>
          <w:tcPr>
            <w:tcW w:w="7041" w:type="dxa"/>
          </w:tcPr>
          <w:p w14:paraId="2B0DB0A9" w14:textId="77777777" w:rsidR="00582466" w:rsidRPr="00BF17B0" w:rsidRDefault="00582466" w:rsidP="00530431">
            <w:pPr>
              <w:pStyle w:val="TableText"/>
            </w:pPr>
            <w:r w:rsidRPr="00BF17B0">
              <w:t>trust fund</w:t>
            </w:r>
          </w:p>
        </w:tc>
      </w:tr>
      <w:tr w:rsidR="00582466" w:rsidRPr="00BF17B0" w14:paraId="08C9DF32" w14:textId="77777777" w:rsidTr="00530431">
        <w:tc>
          <w:tcPr>
            <w:tcW w:w="1975" w:type="dxa"/>
          </w:tcPr>
          <w:p w14:paraId="5B657790" w14:textId="77777777" w:rsidR="00582466" w:rsidRPr="00BF17B0" w:rsidRDefault="00582466" w:rsidP="00530431">
            <w:pPr>
              <w:pStyle w:val="TableText"/>
            </w:pPr>
            <w:r w:rsidRPr="00BF17B0">
              <w:t>ToR</w:t>
            </w:r>
          </w:p>
        </w:tc>
        <w:tc>
          <w:tcPr>
            <w:tcW w:w="7041" w:type="dxa"/>
          </w:tcPr>
          <w:p w14:paraId="5EA8B237" w14:textId="77777777" w:rsidR="00582466" w:rsidRPr="00BF17B0" w:rsidRDefault="00582466" w:rsidP="00530431">
            <w:pPr>
              <w:pStyle w:val="TableText"/>
            </w:pPr>
            <w:r w:rsidRPr="00BF17B0">
              <w:t>terms of reference</w:t>
            </w:r>
          </w:p>
        </w:tc>
      </w:tr>
      <w:tr w:rsidR="00582466" w:rsidRPr="00BF17B0" w14:paraId="467AE430" w14:textId="77777777" w:rsidTr="00530431">
        <w:tc>
          <w:tcPr>
            <w:tcW w:w="1975" w:type="dxa"/>
          </w:tcPr>
          <w:p w14:paraId="43843444" w14:textId="77777777" w:rsidR="00582466" w:rsidRPr="00BF17B0" w:rsidRDefault="00582466" w:rsidP="00530431">
            <w:pPr>
              <w:pStyle w:val="TableText"/>
            </w:pPr>
            <w:r w:rsidRPr="00BF17B0">
              <w:t>TTL</w:t>
            </w:r>
          </w:p>
        </w:tc>
        <w:tc>
          <w:tcPr>
            <w:tcW w:w="7041" w:type="dxa"/>
          </w:tcPr>
          <w:p w14:paraId="41D5E9E6" w14:textId="77777777" w:rsidR="00582466" w:rsidRPr="00BF17B0" w:rsidRDefault="00582466" w:rsidP="00530431">
            <w:pPr>
              <w:pStyle w:val="TableText"/>
            </w:pPr>
            <w:r w:rsidRPr="00BF17B0">
              <w:t>task team leader (World Bank)</w:t>
            </w:r>
          </w:p>
        </w:tc>
      </w:tr>
      <w:tr w:rsidR="00582466" w:rsidRPr="00BF17B0" w14:paraId="76E1D273" w14:textId="77777777" w:rsidTr="00530431">
        <w:tc>
          <w:tcPr>
            <w:tcW w:w="1975" w:type="dxa"/>
          </w:tcPr>
          <w:p w14:paraId="7390D1C9" w14:textId="77777777" w:rsidR="00582466" w:rsidRPr="00BF17B0" w:rsidRDefault="00582466" w:rsidP="00530431">
            <w:pPr>
              <w:pStyle w:val="TableText"/>
            </w:pPr>
            <w:r w:rsidRPr="00BF17B0">
              <w:t>UTF</w:t>
            </w:r>
          </w:p>
        </w:tc>
        <w:tc>
          <w:tcPr>
            <w:tcW w:w="7041" w:type="dxa"/>
          </w:tcPr>
          <w:p w14:paraId="15CD0FBF" w14:textId="77777777" w:rsidR="00582466" w:rsidRPr="00BF17B0" w:rsidRDefault="00582466" w:rsidP="00530431">
            <w:pPr>
              <w:pStyle w:val="TableText"/>
            </w:pPr>
            <w:r w:rsidRPr="00BF17B0">
              <w:t>umbrella trust fund</w:t>
            </w:r>
          </w:p>
        </w:tc>
      </w:tr>
      <w:tr w:rsidR="00582466" w:rsidRPr="00BF17B0" w14:paraId="266C22B9" w14:textId="77777777" w:rsidTr="00530431">
        <w:tc>
          <w:tcPr>
            <w:tcW w:w="1975" w:type="dxa"/>
          </w:tcPr>
          <w:p w14:paraId="50536B3B" w14:textId="77777777" w:rsidR="00582466" w:rsidRPr="00BF17B0" w:rsidRDefault="00582466" w:rsidP="00530431">
            <w:pPr>
              <w:pStyle w:val="TableText"/>
            </w:pPr>
            <w:r w:rsidRPr="00BF17B0">
              <w:t>WB</w:t>
            </w:r>
          </w:p>
        </w:tc>
        <w:tc>
          <w:tcPr>
            <w:tcW w:w="7041" w:type="dxa"/>
          </w:tcPr>
          <w:p w14:paraId="2B458E2D" w14:textId="77777777" w:rsidR="00582466" w:rsidRPr="00BF17B0" w:rsidRDefault="00582466" w:rsidP="00530431">
            <w:pPr>
              <w:pStyle w:val="TableText"/>
            </w:pPr>
            <w:r w:rsidRPr="00BF17B0">
              <w:t>World Bank</w:t>
            </w:r>
          </w:p>
        </w:tc>
      </w:tr>
    </w:tbl>
    <w:p w14:paraId="1D7CECE6" w14:textId="77777777" w:rsidR="00582466" w:rsidRPr="00BF17B0" w:rsidRDefault="00582466" w:rsidP="00582466">
      <w:pPr>
        <w:pStyle w:val="NoSpacing"/>
        <w:rPr>
          <w:rFonts w:asciiTheme="minorHAnsi" w:hAnsiTheme="minorHAnsi" w:cstheme="minorHAnsi"/>
        </w:rPr>
      </w:pPr>
    </w:p>
    <w:p w14:paraId="5C98F74A" w14:textId="77777777" w:rsidR="00582466" w:rsidRPr="00BF17B0" w:rsidRDefault="00582466" w:rsidP="00530431">
      <w:pPr>
        <w:pStyle w:val="TableText"/>
      </w:pPr>
      <w:r w:rsidRPr="00BF17B0">
        <w:t>All dollar amounts are U.S. dollars unless otherwise indicated.</w:t>
      </w:r>
    </w:p>
    <w:p w14:paraId="7353B383" w14:textId="77777777" w:rsidR="00530431" w:rsidRPr="00BF17B0" w:rsidRDefault="00530431">
      <w:pPr>
        <w:spacing w:before="0" w:line="259" w:lineRule="auto"/>
        <w:rPr>
          <w:rFonts w:asciiTheme="minorHAnsi" w:hAnsiTheme="minorHAnsi" w:cstheme="minorHAnsi"/>
          <w:lang w:val="en-GB"/>
        </w:rPr>
      </w:pPr>
      <w:r w:rsidRPr="00BF17B0">
        <w:rPr>
          <w:rFonts w:asciiTheme="minorHAnsi" w:hAnsiTheme="minorHAnsi" w:cstheme="minorHAnsi"/>
          <w:lang w:val="en-GB"/>
        </w:rPr>
        <w:br w:type="page"/>
      </w:r>
    </w:p>
    <w:sdt>
      <w:sdtPr>
        <w:rPr>
          <w:rFonts w:asciiTheme="minorHAnsi" w:eastAsiaTheme="minorHAnsi" w:hAnsiTheme="minorHAnsi" w:cstheme="minorHAnsi"/>
          <w:color w:val="auto"/>
          <w:sz w:val="24"/>
          <w:szCs w:val="22"/>
          <w:lang w:val="en-GB"/>
        </w:rPr>
        <w:id w:val="-1147270115"/>
        <w:docPartObj>
          <w:docPartGallery w:val="Table of Contents"/>
          <w:docPartUnique/>
        </w:docPartObj>
      </w:sdtPr>
      <w:sdtEndPr>
        <w:rPr>
          <w:noProof/>
          <w:sz w:val="22"/>
          <w:lang w:val="en-AU"/>
        </w:rPr>
      </w:sdtEndPr>
      <w:sdtContent>
        <w:p w14:paraId="6D1A9C6D" w14:textId="77777777" w:rsidR="00970C7A" w:rsidRPr="00BA3D34" w:rsidRDefault="00970C7A" w:rsidP="005B7C21">
          <w:pPr>
            <w:pStyle w:val="TOCHeading"/>
            <w:tabs>
              <w:tab w:val="left" w:pos="360"/>
            </w:tabs>
            <w:spacing w:before="0"/>
            <w:rPr>
              <w:rFonts w:asciiTheme="minorHAnsi" w:hAnsiTheme="minorHAnsi" w:cstheme="minorHAnsi"/>
            </w:rPr>
          </w:pPr>
          <w:r w:rsidRPr="00BA3D34">
            <w:rPr>
              <w:rFonts w:asciiTheme="minorHAnsi" w:hAnsiTheme="minorHAnsi" w:cstheme="minorHAnsi"/>
            </w:rPr>
            <w:t>Contents</w:t>
          </w:r>
        </w:p>
        <w:p w14:paraId="154455C4" w14:textId="4E515D58" w:rsidR="00BA3D34" w:rsidRPr="00BA3D34" w:rsidRDefault="007F6CC1">
          <w:pPr>
            <w:pStyle w:val="TOC1"/>
            <w:rPr>
              <w:rFonts w:asciiTheme="minorHAnsi" w:eastAsiaTheme="minorEastAsia" w:hAnsiTheme="minorHAnsi" w:cstheme="minorHAnsi"/>
              <w:noProof/>
              <w:sz w:val="22"/>
            </w:rPr>
          </w:pPr>
          <w:r w:rsidRPr="00BA3D34">
            <w:rPr>
              <w:rFonts w:asciiTheme="minorHAnsi" w:hAnsiTheme="minorHAnsi" w:cstheme="minorHAnsi"/>
              <w:b/>
              <w:bCs/>
              <w:noProof/>
            </w:rPr>
            <w:fldChar w:fldCharType="begin"/>
          </w:r>
          <w:r w:rsidRPr="00BA3D34">
            <w:rPr>
              <w:rFonts w:asciiTheme="minorHAnsi" w:hAnsiTheme="minorHAnsi" w:cstheme="minorHAnsi"/>
              <w:b/>
              <w:bCs/>
              <w:noProof/>
            </w:rPr>
            <w:instrText xml:space="preserve"> TOC \o "1-2" \h \z \t "Annex Head 2,2,Annex Head,1" </w:instrText>
          </w:r>
          <w:r w:rsidRPr="00BA3D34">
            <w:rPr>
              <w:rFonts w:asciiTheme="minorHAnsi" w:hAnsiTheme="minorHAnsi" w:cstheme="minorHAnsi"/>
              <w:b/>
              <w:bCs/>
              <w:noProof/>
            </w:rPr>
            <w:fldChar w:fldCharType="separate"/>
          </w:r>
          <w:hyperlink w:anchor="_Toc532994284" w:history="1">
            <w:r w:rsidR="00BA3D34" w:rsidRPr="00BA3D34">
              <w:rPr>
                <w:rStyle w:val="Hyperlink"/>
                <w:rFonts w:asciiTheme="minorHAnsi" w:hAnsiTheme="minorHAnsi" w:cstheme="minorHAnsi"/>
                <w:noProof/>
              </w:rPr>
              <w:t>Abbreviations</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_Toc532994284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sidR="00F338BE">
              <w:rPr>
                <w:rFonts w:asciiTheme="minorHAnsi" w:hAnsiTheme="minorHAnsi" w:cstheme="minorHAnsi"/>
                <w:noProof/>
                <w:webHidden/>
              </w:rPr>
              <w:t>i</w:t>
            </w:r>
            <w:r w:rsidR="00BA3D34" w:rsidRPr="00BA3D34">
              <w:rPr>
                <w:rFonts w:asciiTheme="minorHAnsi" w:hAnsiTheme="minorHAnsi" w:cstheme="minorHAnsi"/>
                <w:noProof/>
                <w:webHidden/>
              </w:rPr>
              <w:fldChar w:fldCharType="end"/>
            </w:r>
          </w:hyperlink>
        </w:p>
        <w:p w14:paraId="799AED9B" w14:textId="0D84A8B1" w:rsidR="00BA3D34" w:rsidRPr="00BA3D34" w:rsidRDefault="00F338BE">
          <w:pPr>
            <w:pStyle w:val="TOC1"/>
            <w:rPr>
              <w:rFonts w:asciiTheme="minorHAnsi" w:eastAsiaTheme="minorEastAsia" w:hAnsiTheme="minorHAnsi" w:cstheme="minorHAnsi"/>
              <w:noProof/>
              <w:sz w:val="22"/>
            </w:rPr>
          </w:pPr>
          <w:hyperlink w:anchor="_Toc532994285" w:history="1">
            <w:r w:rsidR="00BA3D34" w:rsidRPr="00BA3D34">
              <w:rPr>
                <w:rStyle w:val="Hyperlink"/>
                <w:rFonts w:asciiTheme="minorHAnsi" w:hAnsiTheme="minorHAnsi" w:cstheme="minorHAnsi"/>
                <w:noProof/>
              </w:rPr>
              <w:t>Executive Summary</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_Toc532994285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v</w:t>
            </w:r>
            <w:r w:rsidR="00BA3D34" w:rsidRPr="00BA3D34">
              <w:rPr>
                <w:rFonts w:asciiTheme="minorHAnsi" w:hAnsiTheme="minorHAnsi" w:cstheme="minorHAnsi"/>
                <w:noProof/>
                <w:webHidden/>
              </w:rPr>
              <w:fldChar w:fldCharType="end"/>
            </w:r>
          </w:hyperlink>
        </w:p>
        <w:p w14:paraId="479A565C" w14:textId="2FF94D81" w:rsidR="00BA3D34" w:rsidRPr="00BA3D34" w:rsidRDefault="00F338BE">
          <w:pPr>
            <w:pStyle w:val="TOC1"/>
            <w:rPr>
              <w:rFonts w:asciiTheme="minorHAnsi" w:eastAsiaTheme="minorEastAsia" w:hAnsiTheme="minorHAnsi" w:cstheme="minorHAnsi"/>
              <w:noProof/>
              <w:sz w:val="22"/>
            </w:rPr>
          </w:pPr>
          <w:hyperlink w:anchor="_Toc532994286" w:history="1">
            <w:r w:rsidR="00BA3D34" w:rsidRPr="00BA3D34">
              <w:rPr>
                <w:rStyle w:val="Hyperlink"/>
                <w:rFonts w:asciiTheme="minorHAnsi" w:hAnsiTheme="minorHAnsi" w:cstheme="minorHAnsi"/>
                <w:noProof/>
                <w14:scene3d>
                  <w14:camera w14:prst="orthographicFront"/>
                  <w14:lightRig w14:rig="threePt" w14:dir="t">
                    <w14:rot w14:lat="0" w14:lon="0" w14:rev="0"/>
                  </w14:lightRig>
                </w14:scene3d>
              </w:rPr>
              <w:t>1.</w:t>
            </w:r>
            <w:r w:rsidR="00BA3D34" w:rsidRPr="00BA3D34">
              <w:rPr>
                <w:rFonts w:asciiTheme="minorHAnsi" w:eastAsiaTheme="minorEastAsia" w:hAnsiTheme="minorHAnsi" w:cstheme="minorHAnsi"/>
                <w:noProof/>
                <w:sz w:val="22"/>
              </w:rPr>
              <w:tab/>
            </w:r>
            <w:r w:rsidR="00BA3D34" w:rsidRPr="00BA3D34">
              <w:rPr>
                <w:rStyle w:val="Hyperlink"/>
                <w:rFonts w:asciiTheme="minorHAnsi" w:hAnsiTheme="minorHAnsi" w:cstheme="minorHAnsi"/>
                <w:noProof/>
              </w:rPr>
              <w:t>Introduction</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_Toc532994286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1</w:t>
            </w:r>
            <w:r w:rsidR="00BA3D34" w:rsidRPr="00BA3D34">
              <w:rPr>
                <w:rFonts w:asciiTheme="minorHAnsi" w:hAnsiTheme="minorHAnsi" w:cstheme="minorHAnsi"/>
                <w:noProof/>
                <w:webHidden/>
              </w:rPr>
              <w:fldChar w:fldCharType="end"/>
            </w:r>
          </w:hyperlink>
        </w:p>
        <w:p w14:paraId="06EFD56D" w14:textId="63D4F914" w:rsidR="00BA3D34" w:rsidRPr="00BA3D34" w:rsidRDefault="00F338BE">
          <w:pPr>
            <w:pStyle w:val="TOC1"/>
            <w:rPr>
              <w:rFonts w:asciiTheme="minorHAnsi" w:eastAsiaTheme="minorEastAsia" w:hAnsiTheme="minorHAnsi" w:cstheme="minorHAnsi"/>
              <w:noProof/>
              <w:sz w:val="22"/>
            </w:rPr>
          </w:pPr>
          <w:hyperlink w:anchor="_Toc532994287" w:history="1">
            <w:r w:rsidR="00BA3D34" w:rsidRPr="00BA3D34">
              <w:rPr>
                <w:rStyle w:val="Hyperlink"/>
                <w:rFonts w:asciiTheme="minorHAnsi" w:hAnsiTheme="minorHAnsi" w:cstheme="minorHAnsi"/>
                <w:noProof/>
                <w14:scene3d>
                  <w14:camera w14:prst="orthographicFront"/>
                  <w14:lightRig w14:rig="threePt" w14:dir="t">
                    <w14:rot w14:lat="0" w14:lon="0" w14:rev="0"/>
                  </w14:lightRig>
                </w14:scene3d>
              </w:rPr>
              <w:t>2.</w:t>
            </w:r>
            <w:r w:rsidR="00BA3D34" w:rsidRPr="00BA3D34">
              <w:rPr>
                <w:rFonts w:asciiTheme="minorHAnsi" w:eastAsiaTheme="minorEastAsia" w:hAnsiTheme="minorHAnsi" w:cstheme="minorHAnsi"/>
                <w:noProof/>
                <w:sz w:val="22"/>
              </w:rPr>
              <w:tab/>
            </w:r>
            <w:r w:rsidR="00BA3D34" w:rsidRPr="00BA3D34">
              <w:rPr>
                <w:rStyle w:val="Hyperlink"/>
                <w:rFonts w:asciiTheme="minorHAnsi" w:hAnsiTheme="minorHAnsi" w:cstheme="minorHAnsi"/>
                <w:noProof/>
              </w:rPr>
              <w:t>Australia-World Bank Partnership in the Philippines</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_Toc532994287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2</w:t>
            </w:r>
            <w:r w:rsidR="00BA3D34" w:rsidRPr="00BA3D34">
              <w:rPr>
                <w:rFonts w:asciiTheme="minorHAnsi" w:hAnsiTheme="minorHAnsi" w:cstheme="minorHAnsi"/>
                <w:noProof/>
                <w:webHidden/>
              </w:rPr>
              <w:fldChar w:fldCharType="end"/>
            </w:r>
          </w:hyperlink>
        </w:p>
        <w:p w14:paraId="39DB6D72" w14:textId="34100A2A" w:rsidR="00BA3D34" w:rsidRPr="00BA3D34" w:rsidRDefault="00F338BE">
          <w:pPr>
            <w:pStyle w:val="TOC2"/>
            <w:tabs>
              <w:tab w:val="left" w:pos="880"/>
            </w:tabs>
            <w:rPr>
              <w:rFonts w:asciiTheme="minorHAnsi" w:eastAsiaTheme="minorEastAsia" w:hAnsiTheme="minorHAnsi" w:cstheme="minorHAnsi"/>
              <w:noProof/>
              <w:sz w:val="22"/>
            </w:rPr>
          </w:pPr>
          <w:hyperlink w:anchor="_Toc532994288" w:history="1">
            <w:r w:rsidR="00BA3D34" w:rsidRPr="00BA3D34">
              <w:rPr>
                <w:rStyle w:val="Hyperlink"/>
                <w:rFonts w:asciiTheme="minorHAnsi" w:hAnsiTheme="minorHAnsi" w:cstheme="minorHAnsi"/>
                <w:noProof/>
              </w:rPr>
              <w:t>A.</w:t>
            </w:r>
            <w:r w:rsidR="00BA3D34" w:rsidRPr="00BA3D34">
              <w:rPr>
                <w:rFonts w:asciiTheme="minorHAnsi" w:eastAsiaTheme="minorEastAsia" w:hAnsiTheme="minorHAnsi" w:cstheme="minorHAnsi"/>
                <w:noProof/>
                <w:sz w:val="22"/>
              </w:rPr>
              <w:tab/>
            </w:r>
            <w:r w:rsidR="00BA3D34" w:rsidRPr="00BA3D34">
              <w:rPr>
                <w:rStyle w:val="Hyperlink"/>
                <w:rFonts w:asciiTheme="minorHAnsi" w:hAnsiTheme="minorHAnsi" w:cstheme="minorHAnsi"/>
                <w:noProof/>
              </w:rPr>
              <w:t>Country Context</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_Toc532994288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2</w:t>
            </w:r>
            <w:r w:rsidR="00BA3D34" w:rsidRPr="00BA3D34">
              <w:rPr>
                <w:rFonts w:asciiTheme="minorHAnsi" w:hAnsiTheme="minorHAnsi" w:cstheme="minorHAnsi"/>
                <w:noProof/>
                <w:webHidden/>
              </w:rPr>
              <w:fldChar w:fldCharType="end"/>
            </w:r>
          </w:hyperlink>
        </w:p>
        <w:p w14:paraId="320286C1" w14:textId="734100FF" w:rsidR="00BA3D34" w:rsidRPr="00BA3D34" w:rsidRDefault="00F338BE">
          <w:pPr>
            <w:pStyle w:val="TOC2"/>
            <w:tabs>
              <w:tab w:val="left" w:pos="880"/>
            </w:tabs>
            <w:rPr>
              <w:rFonts w:asciiTheme="minorHAnsi" w:eastAsiaTheme="minorEastAsia" w:hAnsiTheme="minorHAnsi" w:cstheme="minorHAnsi"/>
              <w:noProof/>
              <w:sz w:val="22"/>
            </w:rPr>
          </w:pPr>
          <w:hyperlink w:anchor="_Toc532994289" w:history="1">
            <w:r w:rsidR="00BA3D34" w:rsidRPr="00BA3D34">
              <w:rPr>
                <w:rStyle w:val="Hyperlink"/>
                <w:rFonts w:asciiTheme="minorHAnsi" w:hAnsiTheme="minorHAnsi" w:cstheme="minorHAnsi"/>
                <w:noProof/>
                <w:lang w:eastAsia="en-GB"/>
              </w:rPr>
              <w:t>B.</w:t>
            </w:r>
            <w:r w:rsidR="00BA3D34" w:rsidRPr="00BA3D34">
              <w:rPr>
                <w:rFonts w:asciiTheme="minorHAnsi" w:eastAsiaTheme="minorEastAsia" w:hAnsiTheme="minorHAnsi" w:cstheme="minorHAnsi"/>
                <w:noProof/>
                <w:sz w:val="22"/>
              </w:rPr>
              <w:tab/>
            </w:r>
            <w:r w:rsidR="00BA3D34" w:rsidRPr="00BA3D34">
              <w:rPr>
                <w:rStyle w:val="Hyperlink"/>
                <w:rFonts w:asciiTheme="minorHAnsi" w:hAnsiTheme="minorHAnsi" w:cstheme="minorHAnsi"/>
                <w:noProof/>
                <w:lang w:eastAsia="en-GB"/>
              </w:rPr>
              <w:t>Australia WB Philippines Development Trust Fund</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_Toc532994289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3</w:t>
            </w:r>
            <w:r w:rsidR="00BA3D34" w:rsidRPr="00BA3D34">
              <w:rPr>
                <w:rFonts w:asciiTheme="minorHAnsi" w:hAnsiTheme="minorHAnsi" w:cstheme="minorHAnsi"/>
                <w:noProof/>
                <w:webHidden/>
              </w:rPr>
              <w:fldChar w:fldCharType="end"/>
            </w:r>
          </w:hyperlink>
        </w:p>
        <w:p w14:paraId="25F879E0" w14:textId="11676CC5" w:rsidR="00BA3D34" w:rsidRPr="00BA3D34" w:rsidRDefault="00F338BE">
          <w:pPr>
            <w:pStyle w:val="TOC1"/>
            <w:rPr>
              <w:rFonts w:asciiTheme="minorHAnsi" w:eastAsiaTheme="minorEastAsia" w:hAnsiTheme="minorHAnsi" w:cstheme="minorHAnsi"/>
              <w:noProof/>
              <w:sz w:val="22"/>
            </w:rPr>
          </w:pPr>
          <w:hyperlink w:anchor="_Toc532994290" w:history="1">
            <w:r w:rsidR="00BA3D34" w:rsidRPr="00BA3D34">
              <w:rPr>
                <w:rStyle w:val="Hyperlink"/>
                <w:rFonts w:asciiTheme="minorHAnsi" w:hAnsiTheme="minorHAnsi" w:cstheme="minorHAnsi"/>
                <w:noProof/>
                <w14:scene3d>
                  <w14:camera w14:prst="orthographicFront"/>
                  <w14:lightRig w14:rig="threePt" w14:dir="t">
                    <w14:rot w14:lat="0" w14:lon="0" w14:rev="0"/>
                  </w14:lightRig>
                </w14:scene3d>
              </w:rPr>
              <w:t>3.</w:t>
            </w:r>
            <w:r w:rsidR="00BA3D34" w:rsidRPr="00BA3D34">
              <w:rPr>
                <w:rFonts w:asciiTheme="minorHAnsi" w:eastAsiaTheme="minorEastAsia" w:hAnsiTheme="minorHAnsi" w:cstheme="minorHAnsi"/>
                <w:noProof/>
                <w:sz w:val="22"/>
              </w:rPr>
              <w:tab/>
            </w:r>
            <w:r w:rsidR="00BA3D34" w:rsidRPr="00BA3D34">
              <w:rPr>
                <w:rStyle w:val="Hyperlink"/>
                <w:rFonts w:asciiTheme="minorHAnsi" w:hAnsiTheme="minorHAnsi" w:cstheme="minorHAnsi"/>
                <w:noProof/>
              </w:rPr>
              <w:t>PH-PTF Implementation from 2009-18</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_Toc532994290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11</w:t>
            </w:r>
            <w:r w:rsidR="00BA3D34" w:rsidRPr="00BA3D34">
              <w:rPr>
                <w:rFonts w:asciiTheme="minorHAnsi" w:hAnsiTheme="minorHAnsi" w:cstheme="minorHAnsi"/>
                <w:noProof/>
                <w:webHidden/>
              </w:rPr>
              <w:fldChar w:fldCharType="end"/>
            </w:r>
          </w:hyperlink>
        </w:p>
        <w:p w14:paraId="48683F18" w14:textId="583DC7FC" w:rsidR="00BA3D34" w:rsidRPr="00BA3D34" w:rsidRDefault="00F338BE">
          <w:pPr>
            <w:pStyle w:val="TOC2"/>
            <w:tabs>
              <w:tab w:val="left" w:pos="880"/>
            </w:tabs>
            <w:rPr>
              <w:rFonts w:asciiTheme="minorHAnsi" w:eastAsiaTheme="minorEastAsia" w:hAnsiTheme="minorHAnsi" w:cstheme="minorHAnsi"/>
              <w:noProof/>
              <w:sz w:val="22"/>
            </w:rPr>
          </w:pPr>
          <w:hyperlink w:anchor="_Toc532994291" w:history="1">
            <w:r w:rsidR="00BA3D34" w:rsidRPr="00BA3D34">
              <w:rPr>
                <w:rStyle w:val="Hyperlink"/>
                <w:rFonts w:asciiTheme="minorHAnsi" w:hAnsiTheme="minorHAnsi" w:cstheme="minorHAnsi"/>
                <w:noProof/>
              </w:rPr>
              <w:t>A.</w:t>
            </w:r>
            <w:r w:rsidR="00BA3D34" w:rsidRPr="00BA3D34">
              <w:rPr>
                <w:rFonts w:asciiTheme="minorHAnsi" w:eastAsiaTheme="minorEastAsia" w:hAnsiTheme="minorHAnsi" w:cstheme="minorHAnsi"/>
                <w:noProof/>
                <w:sz w:val="22"/>
              </w:rPr>
              <w:tab/>
            </w:r>
            <w:r w:rsidR="00BA3D34" w:rsidRPr="00BA3D34">
              <w:rPr>
                <w:rStyle w:val="Hyperlink"/>
                <w:rFonts w:asciiTheme="minorHAnsi" w:hAnsiTheme="minorHAnsi" w:cstheme="minorHAnsi"/>
                <w:noProof/>
              </w:rPr>
              <w:t>Effectiveness</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_Toc532994291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11</w:t>
            </w:r>
            <w:r w:rsidR="00BA3D34" w:rsidRPr="00BA3D34">
              <w:rPr>
                <w:rFonts w:asciiTheme="minorHAnsi" w:hAnsiTheme="minorHAnsi" w:cstheme="minorHAnsi"/>
                <w:noProof/>
                <w:webHidden/>
              </w:rPr>
              <w:fldChar w:fldCharType="end"/>
            </w:r>
          </w:hyperlink>
        </w:p>
        <w:p w14:paraId="624968D0" w14:textId="5DF986F8" w:rsidR="00BA3D34" w:rsidRPr="00BA3D34" w:rsidRDefault="00F338BE">
          <w:pPr>
            <w:pStyle w:val="TOC2"/>
            <w:tabs>
              <w:tab w:val="left" w:pos="880"/>
            </w:tabs>
            <w:rPr>
              <w:rFonts w:asciiTheme="minorHAnsi" w:eastAsiaTheme="minorEastAsia" w:hAnsiTheme="minorHAnsi" w:cstheme="minorHAnsi"/>
              <w:noProof/>
              <w:sz w:val="22"/>
            </w:rPr>
          </w:pPr>
          <w:hyperlink w:anchor="_Toc532994292" w:history="1">
            <w:r w:rsidR="00BA3D34" w:rsidRPr="00BA3D34">
              <w:rPr>
                <w:rStyle w:val="Hyperlink"/>
                <w:rFonts w:asciiTheme="minorHAnsi" w:hAnsiTheme="minorHAnsi" w:cstheme="minorHAnsi"/>
                <w:noProof/>
              </w:rPr>
              <w:t>B.</w:t>
            </w:r>
            <w:r w:rsidR="00BA3D34" w:rsidRPr="00BA3D34">
              <w:rPr>
                <w:rFonts w:asciiTheme="minorHAnsi" w:eastAsiaTheme="minorEastAsia" w:hAnsiTheme="minorHAnsi" w:cstheme="minorHAnsi"/>
                <w:noProof/>
                <w:sz w:val="22"/>
              </w:rPr>
              <w:tab/>
            </w:r>
            <w:r w:rsidR="00BA3D34" w:rsidRPr="00BA3D34">
              <w:rPr>
                <w:rStyle w:val="Hyperlink"/>
                <w:rFonts w:asciiTheme="minorHAnsi" w:hAnsiTheme="minorHAnsi" w:cstheme="minorHAnsi"/>
                <w:noProof/>
              </w:rPr>
              <w:t>Efficiency</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_Toc532994292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16</w:t>
            </w:r>
            <w:r w:rsidR="00BA3D34" w:rsidRPr="00BA3D34">
              <w:rPr>
                <w:rFonts w:asciiTheme="minorHAnsi" w:hAnsiTheme="minorHAnsi" w:cstheme="minorHAnsi"/>
                <w:noProof/>
                <w:webHidden/>
              </w:rPr>
              <w:fldChar w:fldCharType="end"/>
            </w:r>
          </w:hyperlink>
        </w:p>
        <w:p w14:paraId="3546DF63" w14:textId="68321B1E" w:rsidR="00BA3D34" w:rsidRPr="00BA3D34" w:rsidRDefault="00F338BE">
          <w:pPr>
            <w:pStyle w:val="TOC2"/>
            <w:tabs>
              <w:tab w:val="left" w:pos="880"/>
            </w:tabs>
            <w:rPr>
              <w:rFonts w:asciiTheme="minorHAnsi" w:eastAsiaTheme="minorEastAsia" w:hAnsiTheme="minorHAnsi" w:cstheme="minorHAnsi"/>
              <w:noProof/>
              <w:sz w:val="22"/>
            </w:rPr>
          </w:pPr>
          <w:hyperlink w:anchor="_Toc532994293" w:history="1">
            <w:r w:rsidR="00BA3D34" w:rsidRPr="00BA3D34">
              <w:rPr>
                <w:rStyle w:val="Hyperlink"/>
                <w:rFonts w:asciiTheme="minorHAnsi" w:hAnsiTheme="minorHAnsi" w:cstheme="minorHAnsi"/>
                <w:noProof/>
                <w:lang w:eastAsia="en-GB"/>
              </w:rPr>
              <w:t>C.</w:t>
            </w:r>
            <w:r w:rsidR="00BA3D34" w:rsidRPr="00BA3D34">
              <w:rPr>
                <w:rFonts w:asciiTheme="minorHAnsi" w:eastAsiaTheme="minorEastAsia" w:hAnsiTheme="minorHAnsi" w:cstheme="minorHAnsi"/>
                <w:noProof/>
                <w:sz w:val="22"/>
              </w:rPr>
              <w:tab/>
            </w:r>
            <w:r w:rsidR="00BA3D34" w:rsidRPr="00BA3D34">
              <w:rPr>
                <w:rStyle w:val="Hyperlink"/>
                <w:rFonts w:asciiTheme="minorHAnsi" w:hAnsiTheme="minorHAnsi" w:cstheme="minorHAnsi"/>
                <w:noProof/>
              </w:rPr>
              <w:t>Relevance</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_Toc532994293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18</w:t>
            </w:r>
            <w:r w:rsidR="00BA3D34" w:rsidRPr="00BA3D34">
              <w:rPr>
                <w:rFonts w:asciiTheme="minorHAnsi" w:hAnsiTheme="minorHAnsi" w:cstheme="minorHAnsi"/>
                <w:noProof/>
                <w:webHidden/>
              </w:rPr>
              <w:fldChar w:fldCharType="end"/>
            </w:r>
          </w:hyperlink>
        </w:p>
        <w:p w14:paraId="7AF49B0C" w14:textId="78924F63" w:rsidR="00BA3D34" w:rsidRPr="00BA3D34" w:rsidRDefault="00F338BE">
          <w:pPr>
            <w:pStyle w:val="TOC2"/>
            <w:tabs>
              <w:tab w:val="left" w:pos="880"/>
            </w:tabs>
            <w:rPr>
              <w:rFonts w:asciiTheme="minorHAnsi" w:eastAsiaTheme="minorEastAsia" w:hAnsiTheme="minorHAnsi" w:cstheme="minorHAnsi"/>
              <w:noProof/>
              <w:sz w:val="22"/>
            </w:rPr>
          </w:pPr>
          <w:hyperlink w:anchor="_Toc532994294" w:history="1">
            <w:r w:rsidR="00BA3D34" w:rsidRPr="00BA3D34">
              <w:rPr>
                <w:rStyle w:val="Hyperlink"/>
                <w:rFonts w:asciiTheme="minorHAnsi" w:hAnsiTheme="minorHAnsi" w:cstheme="minorHAnsi"/>
                <w:noProof/>
                <w:lang w:eastAsia="en-GB"/>
              </w:rPr>
              <w:t>D.</w:t>
            </w:r>
            <w:r w:rsidR="00BA3D34" w:rsidRPr="00BA3D34">
              <w:rPr>
                <w:rFonts w:asciiTheme="minorHAnsi" w:eastAsiaTheme="minorEastAsia" w:hAnsiTheme="minorHAnsi" w:cstheme="minorHAnsi"/>
                <w:noProof/>
                <w:sz w:val="22"/>
              </w:rPr>
              <w:tab/>
            </w:r>
            <w:r w:rsidR="00BA3D34" w:rsidRPr="00BA3D34">
              <w:rPr>
                <w:rStyle w:val="Hyperlink"/>
                <w:rFonts w:asciiTheme="minorHAnsi" w:hAnsiTheme="minorHAnsi" w:cstheme="minorHAnsi"/>
                <w:noProof/>
              </w:rPr>
              <w:t>Sustainability</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_Toc532994294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19</w:t>
            </w:r>
            <w:r w:rsidR="00BA3D34" w:rsidRPr="00BA3D34">
              <w:rPr>
                <w:rFonts w:asciiTheme="minorHAnsi" w:hAnsiTheme="minorHAnsi" w:cstheme="minorHAnsi"/>
                <w:noProof/>
                <w:webHidden/>
              </w:rPr>
              <w:fldChar w:fldCharType="end"/>
            </w:r>
          </w:hyperlink>
        </w:p>
        <w:p w14:paraId="14ED2382" w14:textId="33050C60" w:rsidR="00BA3D34" w:rsidRPr="00BA3D34" w:rsidRDefault="00F338BE">
          <w:pPr>
            <w:pStyle w:val="TOC2"/>
            <w:tabs>
              <w:tab w:val="left" w:pos="880"/>
            </w:tabs>
            <w:rPr>
              <w:rFonts w:asciiTheme="minorHAnsi" w:eastAsiaTheme="minorEastAsia" w:hAnsiTheme="minorHAnsi" w:cstheme="minorHAnsi"/>
              <w:noProof/>
              <w:sz w:val="22"/>
            </w:rPr>
          </w:pPr>
          <w:hyperlink w:anchor="_Toc532994295" w:history="1">
            <w:r w:rsidR="00BA3D34" w:rsidRPr="00BA3D34">
              <w:rPr>
                <w:rStyle w:val="Hyperlink"/>
                <w:rFonts w:asciiTheme="minorHAnsi" w:hAnsiTheme="minorHAnsi" w:cstheme="minorHAnsi"/>
                <w:noProof/>
              </w:rPr>
              <w:t>E.</w:t>
            </w:r>
            <w:r w:rsidR="00BA3D34" w:rsidRPr="00BA3D34">
              <w:rPr>
                <w:rFonts w:asciiTheme="minorHAnsi" w:eastAsiaTheme="minorEastAsia" w:hAnsiTheme="minorHAnsi" w:cstheme="minorHAnsi"/>
                <w:noProof/>
                <w:sz w:val="22"/>
              </w:rPr>
              <w:tab/>
            </w:r>
            <w:r w:rsidR="00BA3D34" w:rsidRPr="00BA3D34">
              <w:rPr>
                <w:rStyle w:val="Hyperlink"/>
                <w:rFonts w:asciiTheme="minorHAnsi" w:hAnsiTheme="minorHAnsi" w:cstheme="minorHAnsi"/>
                <w:noProof/>
              </w:rPr>
              <w:t>Monitoring and Evaluation</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_Toc532994295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20</w:t>
            </w:r>
            <w:r w:rsidR="00BA3D34" w:rsidRPr="00BA3D34">
              <w:rPr>
                <w:rFonts w:asciiTheme="minorHAnsi" w:hAnsiTheme="minorHAnsi" w:cstheme="minorHAnsi"/>
                <w:noProof/>
                <w:webHidden/>
              </w:rPr>
              <w:fldChar w:fldCharType="end"/>
            </w:r>
          </w:hyperlink>
        </w:p>
        <w:p w14:paraId="6877E759" w14:textId="3B8B18DE" w:rsidR="00BA3D34" w:rsidRPr="00BA3D34" w:rsidRDefault="00F338BE">
          <w:pPr>
            <w:pStyle w:val="TOC2"/>
            <w:tabs>
              <w:tab w:val="left" w:pos="880"/>
            </w:tabs>
            <w:rPr>
              <w:rFonts w:asciiTheme="minorHAnsi" w:eastAsiaTheme="minorEastAsia" w:hAnsiTheme="minorHAnsi" w:cstheme="minorHAnsi"/>
              <w:noProof/>
              <w:sz w:val="22"/>
            </w:rPr>
          </w:pPr>
          <w:hyperlink w:anchor="_Toc532994296" w:history="1">
            <w:r w:rsidR="00BA3D34" w:rsidRPr="00BA3D34">
              <w:rPr>
                <w:rStyle w:val="Hyperlink"/>
                <w:rFonts w:asciiTheme="minorHAnsi" w:hAnsiTheme="minorHAnsi" w:cstheme="minorHAnsi"/>
                <w:noProof/>
              </w:rPr>
              <w:t>F.</w:t>
            </w:r>
            <w:r w:rsidR="00BA3D34" w:rsidRPr="00BA3D34">
              <w:rPr>
                <w:rFonts w:asciiTheme="minorHAnsi" w:eastAsiaTheme="minorEastAsia" w:hAnsiTheme="minorHAnsi" w:cstheme="minorHAnsi"/>
                <w:noProof/>
                <w:sz w:val="22"/>
              </w:rPr>
              <w:tab/>
            </w:r>
            <w:r w:rsidR="00BA3D34" w:rsidRPr="00BA3D34">
              <w:rPr>
                <w:rStyle w:val="Hyperlink"/>
                <w:rFonts w:asciiTheme="minorHAnsi" w:hAnsiTheme="minorHAnsi" w:cstheme="minorHAnsi"/>
                <w:noProof/>
              </w:rPr>
              <w:t>Visibility and Communication</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_Toc532994296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21</w:t>
            </w:r>
            <w:r w:rsidR="00BA3D34" w:rsidRPr="00BA3D34">
              <w:rPr>
                <w:rFonts w:asciiTheme="minorHAnsi" w:hAnsiTheme="minorHAnsi" w:cstheme="minorHAnsi"/>
                <w:noProof/>
                <w:webHidden/>
              </w:rPr>
              <w:fldChar w:fldCharType="end"/>
            </w:r>
          </w:hyperlink>
        </w:p>
        <w:p w14:paraId="5AF33937" w14:textId="2DA99AEB" w:rsidR="00BA3D34" w:rsidRPr="00BA3D34" w:rsidRDefault="00F338BE">
          <w:pPr>
            <w:pStyle w:val="TOC2"/>
            <w:tabs>
              <w:tab w:val="left" w:pos="880"/>
            </w:tabs>
            <w:rPr>
              <w:rFonts w:asciiTheme="minorHAnsi" w:eastAsiaTheme="minorEastAsia" w:hAnsiTheme="minorHAnsi" w:cstheme="minorHAnsi"/>
              <w:noProof/>
              <w:sz w:val="22"/>
            </w:rPr>
          </w:pPr>
          <w:hyperlink w:anchor="_Toc532994297" w:history="1">
            <w:r w:rsidR="00BA3D34" w:rsidRPr="00BA3D34">
              <w:rPr>
                <w:rStyle w:val="Hyperlink"/>
                <w:rFonts w:asciiTheme="minorHAnsi" w:hAnsiTheme="minorHAnsi" w:cstheme="minorHAnsi"/>
                <w:noProof/>
              </w:rPr>
              <w:t>G.</w:t>
            </w:r>
            <w:r w:rsidR="00BA3D34" w:rsidRPr="00BA3D34">
              <w:rPr>
                <w:rFonts w:asciiTheme="minorHAnsi" w:eastAsiaTheme="minorEastAsia" w:hAnsiTheme="minorHAnsi" w:cstheme="minorHAnsi"/>
                <w:noProof/>
                <w:sz w:val="22"/>
              </w:rPr>
              <w:tab/>
            </w:r>
            <w:r w:rsidR="00BA3D34" w:rsidRPr="00BA3D34">
              <w:rPr>
                <w:rStyle w:val="Hyperlink"/>
                <w:rFonts w:asciiTheme="minorHAnsi" w:hAnsiTheme="minorHAnsi" w:cstheme="minorHAnsi"/>
                <w:noProof/>
              </w:rPr>
              <w:t>Cross-Cutting Themes</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_Toc532994297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21</w:t>
            </w:r>
            <w:r w:rsidR="00BA3D34" w:rsidRPr="00BA3D34">
              <w:rPr>
                <w:rFonts w:asciiTheme="minorHAnsi" w:hAnsiTheme="minorHAnsi" w:cstheme="minorHAnsi"/>
                <w:noProof/>
                <w:webHidden/>
              </w:rPr>
              <w:fldChar w:fldCharType="end"/>
            </w:r>
          </w:hyperlink>
        </w:p>
        <w:p w14:paraId="3FE6E4CC" w14:textId="12663D64" w:rsidR="00BA3D34" w:rsidRPr="00BA3D34" w:rsidRDefault="00F338BE">
          <w:pPr>
            <w:pStyle w:val="TOC1"/>
            <w:rPr>
              <w:rFonts w:asciiTheme="minorHAnsi" w:eastAsiaTheme="minorEastAsia" w:hAnsiTheme="minorHAnsi" w:cstheme="minorHAnsi"/>
              <w:noProof/>
              <w:sz w:val="22"/>
            </w:rPr>
          </w:pPr>
          <w:hyperlink w:anchor="_Toc532994298" w:history="1">
            <w:r w:rsidR="00BA3D34" w:rsidRPr="00BA3D34">
              <w:rPr>
                <w:rStyle w:val="Hyperlink"/>
                <w:rFonts w:asciiTheme="minorHAnsi" w:hAnsiTheme="minorHAnsi" w:cstheme="minorHAnsi"/>
                <w:noProof/>
                <w14:scene3d>
                  <w14:camera w14:prst="orthographicFront"/>
                  <w14:lightRig w14:rig="threePt" w14:dir="t">
                    <w14:rot w14:lat="0" w14:lon="0" w14:rev="0"/>
                  </w14:lightRig>
                </w14:scene3d>
              </w:rPr>
              <w:t>4.</w:t>
            </w:r>
            <w:r w:rsidR="00BA3D34" w:rsidRPr="00BA3D34">
              <w:rPr>
                <w:rFonts w:asciiTheme="minorHAnsi" w:eastAsiaTheme="minorEastAsia" w:hAnsiTheme="minorHAnsi" w:cstheme="minorHAnsi"/>
                <w:noProof/>
                <w:sz w:val="22"/>
              </w:rPr>
              <w:tab/>
            </w:r>
            <w:r w:rsidR="00BA3D34" w:rsidRPr="00BA3D34">
              <w:rPr>
                <w:rStyle w:val="Hyperlink"/>
                <w:rFonts w:asciiTheme="minorHAnsi" w:hAnsiTheme="minorHAnsi" w:cstheme="minorHAnsi"/>
                <w:noProof/>
              </w:rPr>
              <w:t>Lessons Learned and Recommendations</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_Toc532994298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24</w:t>
            </w:r>
            <w:r w:rsidR="00BA3D34" w:rsidRPr="00BA3D34">
              <w:rPr>
                <w:rFonts w:asciiTheme="minorHAnsi" w:hAnsiTheme="minorHAnsi" w:cstheme="minorHAnsi"/>
                <w:noProof/>
                <w:webHidden/>
              </w:rPr>
              <w:fldChar w:fldCharType="end"/>
            </w:r>
          </w:hyperlink>
        </w:p>
        <w:p w14:paraId="17E43C94" w14:textId="016BFE09" w:rsidR="00BA3D34" w:rsidRPr="00BA3D34" w:rsidRDefault="00F338BE">
          <w:pPr>
            <w:pStyle w:val="TOC2"/>
            <w:tabs>
              <w:tab w:val="left" w:pos="880"/>
            </w:tabs>
            <w:rPr>
              <w:rFonts w:asciiTheme="minorHAnsi" w:eastAsiaTheme="minorEastAsia" w:hAnsiTheme="minorHAnsi" w:cstheme="minorHAnsi"/>
              <w:noProof/>
              <w:sz w:val="22"/>
            </w:rPr>
          </w:pPr>
          <w:hyperlink w:anchor="_Toc532994299" w:history="1">
            <w:r w:rsidR="00BA3D34" w:rsidRPr="00BA3D34">
              <w:rPr>
                <w:rStyle w:val="Hyperlink"/>
                <w:rFonts w:asciiTheme="minorHAnsi" w:hAnsiTheme="minorHAnsi" w:cstheme="minorHAnsi"/>
                <w:noProof/>
              </w:rPr>
              <w:t>A.</w:t>
            </w:r>
            <w:r w:rsidR="00BA3D34" w:rsidRPr="00BA3D34">
              <w:rPr>
                <w:rFonts w:asciiTheme="minorHAnsi" w:eastAsiaTheme="minorEastAsia" w:hAnsiTheme="minorHAnsi" w:cstheme="minorHAnsi"/>
                <w:noProof/>
                <w:sz w:val="22"/>
              </w:rPr>
              <w:tab/>
            </w:r>
            <w:r w:rsidR="00BA3D34" w:rsidRPr="00BA3D34">
              <w:rPr>
                <w:rStyle w:val="Hyperlink"/>
                <w:rFonts w:asciiTheme="minorHAnsi" w:hAnsiTheme="minorHAnsi" w:cstheme="minorHAnsi"/>
                <w:noProof/>
              </w:rPr>
              <w:t>Midterm Review Recommendations</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_Toc532994299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24</w:t>
            </w:r>
            <w:r w:rsidR="00BA3D34" w:rsidRPr="00BA3D34">
              <w:rPr>
                <w:rFonts w:asciiTheme="minorHAnsi" w:hAnsiTheme="minorHAnsi" w:cstheme="minorHAnsi"/>
                <w:noProof/>
                <w:webHidden/>
              </w:rPr>
              <w:fldChar w:fldCharType="end"/>
            </w:r>
          </w:hyperlink>
        </w:p>
        <w:p w14:paraId="29F4C4C5" w14:textId="6105A7EB" w:rsidR="00BA3D34" w:rsidRPr="00BA3D34" w:rsidRDefault="00F338BE">
          <w:pPr>
            <w:pStyle w:val="TOC2"/>
            <w:tabs>
              <w:tab w:val="left" w:pos="880"/>
            </w:tabs>
            <w:rPr>
              <w:rFonts w:asciiTheme="minorHAnsi" w:eastAsiaTheme="minorEastAsia" w:hAnsiTheme="minorHAnsi" w:cstheme="minorHAnsi"/>
              <w:noProof/>
              <w:sz w:val="22"/>
            </w:rPr>
          </w:pPr>
          <w:hyperlink w:anchor="_Toc532994300" w:history="1">
            <w:r w:rsidR="00BA3D34" w:rsidRPr="00BA3D34">
              <w:rPr>
                <w:rStyle w:val="Hyperlink"/>
                <w:rFonts w:asciiTheme="minorHAnsi" w:hAnsiTheme="minorHAnsi" w:cstheme="minorHAnsi"/>
                <w:noProof/>
              </w:rPr>
              <w:t>B.</w:t>
            </w:r>
            <w:r w:rsidR="00BA3D34" w:rsidRPr="00BA3D34">
              <w:rPr>
                <w:rFonts w:asciiTheme="minorHAnsi" w:eastAsiaTheme="minorEastAsia" w:hAnsiTheme="minorHAnsi" w:cstheme="minorHAnsi"/>
                <w:noProof/>
                <w:sz w:val="22"/>
              </w:rPr>
              <w:tab/>
            </w:r>
            <w:r w:rsidR="00BA3D34" w:rsidRPr="00BA3D34">
              <w:rPr>
                <w:rStyle w:val="Hyperlink"/>
                <w:rFonts w:asciiTheme="minorHAnsi" w:hAnsiTheme="minorHAnsi" w:cstheme="minorHAnsi"/>
                <w:noProof/>
              </w:rPr>
              <w:t>Lessons Learned</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_Toc532994300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25</w:t>
            </w:r>
            <w:r w:rsidR="00BA3D34" w:rsidRPr="00BA3D34">
              <w:rPr>
                <w:rFonts w:asciiTheme="minorHAnsi" w:hAnsiTheme="minorHAnsi" w:cstheme="minorHAnsi"/>
                <w:noProof/>
                <w:webHidden/>
              </w:rPr>
              <w:fldChar w:fldCharType="end"/>
            </w:r>
          </w:hyperlink>
        </w:p>
        <w:p w14:paraId="2E2D8C97" w14:textId="1309AB87" w:rsidR="00BA3D34" w:rsidRPr="00BA3D34" w:rsidRDefault="00F338BE">
          <w:pPr>
            <w:pStyle w:val="TOC1"/>
            <w:rPr>
              <w:rFonts w:asciiTheme="minorHAnsi" w:eastAsiaTheme="minorEastAsia" w:hAnsiTheme="minorHAnsi" w:cstheme="minorHAnsi"/>
              <w:noProof/>
              <w:sz w:val="22"/>
            </w:rPr>
          </w:pPr>
          <w:hyperlink w:anchor="_Toc532994301" w:history="1">
            <w:r w:rsidR="00BA3D34" w:rsidRPr="00BA3D34">
              <w:rPr>
                <w:rStyle w:val="Hyperlink"/>
                <w:rFonts w:asciiTheme="minorHAnsi" w:hAnsiTheme="minorHAnsi" w:cstheme="minorHAnsi"/>
                <w:noProof/>
              </w:rPr>
              <w:t>Annex</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_Toc532994301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29</w:t>
            </w:r>
            <w:r w:rsidR="00BA3D34" w:rsidRPr="00BA3D34">
              <w:rPr>
                <w:rFonts w:asciiTheme="minorHAnsi" w:hAnsiTheme="minorHAnsi" w:cstheme="minorHAnsi"/>
                <w:noProof/>
                <w:webHidden/>
              </w:rPr>
              <w:fldChar w:fldCharType="end"/>
            </w:r>
          </w:hyperlink>
        </w:p>
        <w:p w14:paraId="24773A39" w14:textId="07FBCE0E" w:rsidR="00BA3D34" w:rsidRPr="00BA3D34" w:rsidRDefault="00F338BE">
          <w:pPr>
            <w:pStyle w:val="TOC2"/>
            <w:rPr>
              <w:rFonts w:asciiTheme="minorHAnsi" w:eastAsiaTheme="minorEastAsia" w:hAnsiTheme="minorHAnsi" w:cstheme="minorHAnsi"/>
              <w:noProof/>
              <w:sz w:val="22"/>
            </w:rPr>
          </w:pPr>
          <w:hyperlink w:anchor="_Toc532994302" w:history="1">
            <w:r w:rsidR="00BA3D34" w:rsidRPr="00BA3D34">
              <w:rPr>
                <w:rStyle w:val="Hyperlink"/>
                <w:rFonts w:asciiTheme="minorHAnsi" w:hAnsiTheme="minorHAnsi" w:cstheme="minorHAnsi"/>
                <w:noProof/>
              </w:rPr>
              <w:t>Approved Grants by Results Framework Strategic Focus Area</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_Toc532994302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29</w:t>
            </w:r>
            <w:r w:rsidR="00BA3D34" w:rsidRPr="00BA3D34">
              <w:rPr>
                <w:rFonts w:asciiTheme="minorHAnsi" w:hAnsiTheme="minorHAnsi" w:cstheme="minorHAnsi"/>
                <w:noProof/>
                <w:webHidden/>
              </w:rPr>
              <w:fldChar w:fldCharType="end"/>
            </w:r>
          </w:hyperlink>
        </w:p>
        <w:p w14:paraId="0D016D7C" w14:textId="01782A43" w:rsidR="00BA3D34" w:rsidRPr="00BA3D34" w:rsidRDefault="00F338BE">
          <w:pPr>
            <w:pStyle w:val="TOC1"/>
            <w:rPr>
              <w:rFonts w:asciiTheme="minorHAnsi" w:eastAsiaTheme="minorEastAsia" w:hAnsiTheme="minorHAnsi" w:cstheme="minorHAnsi"/>
              <w:noProof/>
              <w:sz w:val="22"/>
            </w:rPr>
          </w:pPr>
          <w:hyperlink w:anchor="_Toc532994303" w:history="1">
            <w:r w:rsidR="00BA3D34" w:rsidRPr="00BA3D34">
              <w:rPr>
                <w:rStyle w:val="Hyperlink"/>
                <w:rFonts w:asciiTheme="minorHAnsi" w:hAnsiTheme="minorHAnsi" w:cstheme="minorHAnsi"/>
                <w:noProof/>
              </w:rPr>
              <w:t>References</w:t>
            </w:r>
            <w:r w:rsidR="00BA3D34" w:rsidRPr="00BA3D34">
              <w:rPr>
                <w:rFonts w:asciiTheme="minorHAnsi" w:hAnsiTheme="minorHAnsi" w:cstheme="minorHAnsi"/>
                <w:noProof/>
                <w:webHidden/>
              </w:rPr>
              <w:tab/>
            </w:r>
            <w:r w:rsidR="00BA3D34" w:rsidRPr="00BA3D34">
              <w:rPr>
                <w:rFonts w:asciiTheme="minorHAnsi" w:hAnsiTheme="minorHAnsi" w:cstheme="minorHAnsi"/>
                <w:noProof/>
                <w:webHidden/>
              </w:rPr>
              <w:fldChar w:fldCharType="begin"/>
            </w:r>
            <w:r w:rsidR="00BA3D34" w:rsidRPr="00BA3D34">
              <w:rPr>
                <w:rFonts w:asciiTheme="minorHAnsi" w:hAnsiTheme="minorHAnsi" w:cstheme="minorHAnsi"/>
                <w:noProof/>
                <w:webHidden/>
              </w:rPr>
              <w:instrText xml:space="preserve"> PAGEREF _Toc532994303 \h </w:instrText>
            </w:r>
            <w:r w:rsidR="00BA3D34" w:rsidRPr="00BA3D34">
              <w:rPr>
                <w:rFonts w:asciiTheme="minorHAnsi" w:hAnsiTheme="minorHAnsi" w:cstheme="minorHAnsi"/>
                <w:noProof/>
                <w:webHidden/>
              </w:rPr>
            </w:r>
            <w:r w:rsidR="00BA3D34" w:rsidRPr="00BA3D34">
              <w:rPr>
                <w:rFonts w:asciiTheme="minorHAnsi" w:hAnsiTheme="minorHAnsi" w:cstheme="minorHAnsi"/>
                <w:noProof/>
                <w:webHidden/>
              </w:rPr>
              <w:fldChar w:fldCharType="separate"/>
            </w:r>
            <w:r>
              <w:rPr>
                <w:rFonts w:asciiTheme="minorHAnsi" w:hAnsiTheme="minorHAnsi" w:cstheme="minorHAnsi"/>
                <w:noProof/>
                <w:webHidden/>
              </w:rPr>
              <w:t>36</w:t>
            </w:r>
            <w:r w:rsidR="00BA3D34" w:rsidRPr="00BA3D34">
              <w:rPr>
                <w:rFonts w:asciiTheme="minorHAnsi" w:hAnsiTheme="minorHAnsi" w:cstheme="minorHAnsi"/>
                <w:noProof/>
                <w:webHidden/>
              </w:rPr>
              <w:fldChar w:fldCharType="end"/>
            </w:r>
          </w:hyperlink>
        </w:p>
        <w:p w14:paraId="75AD31F9" w14:textId="2416AF00" w:rsidR="00970C7A" w:rsidRPr="00BF17B0" w:rsidRDefault="007F6CC1" w:rsidP="00172CC8">
          <w:pPr>
            <w:pStyle w:val="NoSpacing"/>
            <w:rPr>
              <w:rFonts w:asciiTheme="minorHAnsi" w:hAnsiTheme="minorHAnsi" w:cstheme="minorHAnsi"/>
            </w:rPr>
          </w:pPr>
          <w:r w:rsidRPr="00BA3D34">
            <w:rPr>
              <w:rFonts w:asciiTheme="minorHAnsi" w:hAnsiTheme="minorHAnsi" w:cstheme="minorHAnsi"/>
              <w:b/>
              <w:bCs/>
              <w:noProof/>
              <w:sz w:val="24"/>
              <w:lang w:val="en-US"/>
            </w:rPr>
            <w:fldChar w:fldCharType="end"/>
          </w:r>
        </w:p>
      </w:sdtContent>
    </w:sdt>
    <w:p w14:paraId="106318F1" w14:textId="77777777" w:rsidR="002916F8" w:rsidRPr="00BF17B0" w:rsidRDefault="002916F8">
      <w:pPr>
        <w:spacing w:line="259" w:lineRule="auto"/>
        <w:rPr>
          <w:rFonts w:asciiTheme="minorHAnsi" w:hAnsiTheme="minorHAnsi" w:cstheme="minorHAnsi"/>
          <w:b/>
          <w:szCs w:val="24"/>
        </w:rPr>
      </w:pPr>
      <w:r w:rsidRPr="00BF17B0">
        <w:rPr>
          <w:rFonts w:asciiTheme="minorHAnsi" w:hAnsiTheme="minorHAnsi" w:cstheme="minorHAnsi"/>
          <w:b/>
          <w:szCs w:val="24"/>
        </w:rPr>
        <w:br w:type="page"/>
      </w:r>
    </w:p>
    <w:p w14:paraId="44C09637" w14:textId="77777777" w:rsidR="00970C7A" w:rsidRPr="00BF17B0" w:rsidRDefault="00970C7A" w:rsidP="00172CC8">
      <w:pPr>
        <w:pStyle w:val="TableofFigures"/>
        <w:tabs>
          <w:tab w:val="right" w:pos="9350"/>
        </w:tabs>
        <w:spacing w:before="240"/>
        <w:rPr>
          <w:rFonts w:asciiTheme="minorHAnsi" w:hAnsiTheme="minorHAnsi" w:cstheme="minorHAnsi"/>
          <w:b/>
          <w:szCs w:val="24"/>
        </w:rPr>
      </w:pPr>
      <w:r w:rsidRPr="00BF17B0">
        <w:rPr>
          <w:rFonts w:asciiTheme="minorHAnsi" w:hAnsiTheme="minorHAnsi" w:cstheme="minorHAnsi"/>
          <w:b/>
          <w:szCs w:val="24"/>
        </w:rPr>
        <w:t>Tables</w:t>
      </w:r>
    </w:p>
    <w:p w14:paraId="2B4F8C74" w14:textId="1662CF74" w:rsidR="00633549" w:rsidRPr="00BF17B0" w:rsidRDefault="00970C7A">
      <w:pPr>
        <w:pStyle w:val="TableofFigures"/>
        <w:tabs>
          <w:tab w:val="right" w:pos="9016"/>
        </w:tabs>
        <w:rPr>
          <w:rFonts w:asciiTheme="minorHAnsi" w:eastAsiaTheme="minorEastAsia" w:hAnsiTheme="minorHAnsi" w:cstheme="minorHAnsi"/>
          <w:noProof/>
          <w:sz w:val="22"/>
        </w:rPr>
      </w:pPr>
      <w:r w:rsidRPr="00BF17B0">
        <w:rPr>
          <w:rFonts w:asciiTheme="minorHAnsi" w:hAnsiTheme="minorHAnsi" w:cstheme="minorHAnsi"/>
          <w:szCs w:val="24"/>
        </w:rPr>
        <w:fldChar w:fldCharType="begin"/>
      </w:r>
      <w:r w:rsidRPr="00BF17B0">
        <w:rPr>
          <w:rFonts w:asciiTheme="minorHAnsi" w:hAnsiTheme="minorHAnsi" w:cstheme="minorHAnsi"/>
          <w:szCs w:val="24"/>
        </w:rPr>
        <w:instrText xml:space="preserve"> TOC \h \z \c "Table" </w:instrText>
      </w:r>
      <w:r w:rsidRPr="00BF17B0">
        <w:rPr>
          <w:rFonts w:asciiTheme="minorHAnsi" w:hAnsiTheme="minorHAnsi" w:cstheme="minorHAnsi"/>
          <w:szCs w:val="24"/>
        </w:rPr>
        <w:fldChar w:fldCharType="separate"/>
      </w:r>
      <w:hyperlink w:anchor="_Toc532885878" w:history="1">
        <w:r w:rsidR="00633549" w:rsidRPr="00BF17B0">
          <w:rPr>
            <w:rStyle w:val="Hyperlink"/>
            <w:rFonts w:asciiTheme="minorHAnsi" w:hAnsiTheme="minorHAnsi" w:cstheme="minorHAnsi"/>
            <w:noProof/>
          </w:rPr>
          <w:t>Table 2</w:t>
        </w:r>
        <w:r w:rsidR="00633549" w:rsidRPr="00BF17B0">
          <w:rPr>
            <w:rStyle w:val="Hyperlink"/>
            <w:rFonts w:asciiTheme="minorHAnsi" w:hAnsiTheme="minorHAnsi" w:cstheme="minorHAnsi"/>
            <w:noProof/>
          </w:rPr>
          <w:noBreakHyphen/>
          <w:t>1: Approved Grants by Strategic Focus Area</w:t>
        </w:r>
        <w:r w:rsidR="00633549" w:rsidRPr="00BF17B0">
          <w:rPr>
            <w:rFonts w:asciiTheme="minorHAnsi" w:hAnsiTheme="minorHAnsi" w:cstheme="minorHAnsi"/>
            <w:noProof/>
            <w:webHidden/>
          </w:rPr>
          <w:tab/>
        </w:r>
        <w:r w:rsidR="00633549" w:rsidRPr="00BF17B0">
          <w:rPr>
            <w:rFonts w:asciiTheme="minorHAnsi" w:hAnsiTheme="minorHAnsi" w:cstheme="minorHAnsi"/>
            <w:noProof/>
            <w:webHidden/>
          </w:rPr>
          <w:fldChar w:fldCharType="begin"/>
        </w:r>
        <w:r w:rsidR="00633549" w:rsidRPr="00BF17B0">
          <w:rPr>
            <w:rFonts w:asciiTheme="minorHAnsi" w:hAnsiTheme="minorHAnsi" w:cstheme="minorHAnsi"/>
            <w:noProof/>
            <w:webHidden/>
          </w:rPr>
          <w:instrText xml:space="preserve"> PAGEREF _Toc532885878 \h </w:instrText>
        </w:r>
        <w:r w:rsidR="00633549" w:rsidRPr="00BF17B0">
          <w:rPr>
            <w:rFonts w:asciiTheme="minorHAnsi" w:hAnsiTheme="minorHAnsi" w:cstheme="minorHAnsi"/>
            <w:noProof/>
            <w:webHidden/>
          </w:rPr>
        </w:r>
        <w:r w:rsidR="00633549" w:rsidRPr="00BF17B0">
          <w:rPr>
            <w:rFonts w:asciiTheme="minorHAnsi" w:hAnsiTheme="minorHAnsi" w:cstheme="minorHAnsi"/>
            <w:noProof/>
            <w:webHidden/>
          </w:rPr>
          <w:fldChar w:fldCharType="separate"/>
        </w:r>
        <w:r w:rsidR="00F338BE">
          <w:rPr>
            <w:rFonts w:asciiTheme="minorHAnsi" w:hAnsiTheme="minorHAnsi" w:cstheme="minorHAnsi"/>
            <w:noProof/>
            <w:webHidden/>
          </w:rPr>
          <w:t>9</w:t>
        </w:r>
        <w:r w:rsidR="00633549" w:rsidRPr="00BF17B0">
          <w:rPr>
            <w:rFonts w:asciiTheme="minorHAnsi" w:hAnsiTheme="minorHAnsi" w:cstheme="minorHAnsi"/>
            <w:noProof/>
            <w:webHidden/>
          </w:rPr>
          <w:fldChar w:fldCharType="end"/>
        </w:r>
      </w:hyperlink>
    </w:p>
    <w:p w14:paraId="25CC1B21" w14:textId="67747A95" w:rsidR="00633549" w:rsidRPr="00BF17B0" w:rsidRDefault="00F338BE">
      <w:pPr>
        <w:pStyle w:val="TableofFigures"/>
        <w:tabs>
          <w:tab w:val="right" w:pos="9016"/>
        </w:tabs>
        <w:rPr>
          <w:rFonts w:asciiTheme="minorHAnsi" w:eastAsiaTheme="minorEastAsia" w:hAnsiTheme="minorHAnsi" w:cstheme="minorHAnsi"/>
          <w:noProof/>
          <w:sz w:val="22"/>
        </w:rPr>
      </w:pPr>
      <w:hyperlink w:anchor="_Toc532885879" w:history="1">
        <w:r w:rsidR="00633549" w:rsidRPr="00BF17B0">
          <w:rPr>
            <w:rStyle w:val="Hyperlink"/>
            <w:rFonts w:asciiTheme="minorHAnsi" w:hAnsiTheme="minorHAnsi" w:cstheme="minorHAnsi"/>
            <w:noProof/>
          </w:rPr>
          <w:t>Table 2</w:t>
        </w:r>
        <w:r w:rsidR="00633549" w:rsidRPr="00BF17B0">
          <w:rPr>
            <w:rStyle w:val="Hyperlink"/>
            <w:rFonts w:asciiTheme="minorHAnsi" w:hAnsiTheme="minorHAnsi" w:cstheme="minorHAnsi"/>
            <w:noProof/>
          </w:rPr>
          <w:noBreakHyphen/>
          <w:t>2: Approved Grants by Execution Arrangement</w:t>
        </w:r>
        <w:r w:rsidR="00633549" w:rsidRPr="00BF17B0">
          <w:rPr>
            <w:rFonts w:asciiTheme="minorHAnsi" w:hAnsiTheme="minorHAnsi" w:cstheme="minorHAnsi"/>
            <w:noProof/>
            <w:webHidden/>
          </w:rPr>
          <w:tab/>
        </w:r>
        <w:r w:rsidR="00633549" w:rsidRPr="00BF17B0">
          <w:rPr>
            <w:rFonts w:asciiTheme="minorHAnsi" w:hAnsiTheme="minorHAnsi" w:cstheme="minorHAnsi"/>
            <w:noProof/>
            <w:webHidden/>
          </w:rPr>
          <w:fldChar w:fldCharType="begin"/>
        </w:r>
        <w:r w:rsidR="00633549" w:rsidRPr="00BF17B0">
          <w:rPr>
            <w:rFonts w:asciiTheme="minorHAnsi" w:hAnsiTheme="minorHAnsi" w:cstheme="minorHAnsi"/>
            <w:noProof/>
            <w:webHidden/>
          </w:rPr>
          <w:instrText xml:space="preserve"> PAGEREF _Toc532885879 \h </w:instrText>
        </w:r>
        <w:r w:rsidR="00633549" w:rsidRPr="00BF17B0">
          <w:rPr>
            <w:rFonts w:asciiTheme="minorHAnsi" w:hAnsiTheme="minorHAnsi" w:cstheme="minorHAnsi"/>
            <w:noProof/>
            <w:webHidden/>
          </w:rPr>
        </w:r>
        <w:r w:rsidR="00633549" w:rsidRPr="00BF17B0">
          <w:rPr>
            <w:rFonts w:asciiTheme="minorHAnsi" w:hAnsiTheme="minorHAnsi" w:cstheme="minorHAnsi"/>
            <w:noProof/>
            <w:webHidden/>
          </w:rPr>
          <w:fldChar w:fldCharType="separate"/>
        </w:r>
        <w:r>
          <w:rPr>
            <w:rFonts w:asciiTheme="minorHAnsi" w:hAnsiTheme="minorHAnsi" w:cstheme="minorHAnsi"/>
            <w:noProof/>
            <w:webHidden/>
          </w:rPr>
          <w:t>10</w:t>
        </w:r>
        <w:r w:rsidR="00633549" w:rsidRPr="00BF17B0">
          <w:rPr>
            <w:rFonts w:asciiTheme="minorHAnsi" w:hAnsiTheme="minorHAnsi" w:cstheme="minorHAnsi"/>
            <w:noProof/>
            <w:webHidden/>
          </w:rPr>
          <w:fldChar w:fldCharType="end"/>
        </w:r>
      </w:hyperlink>
    </w:p>
    <w:p w14:paraId="2239846D" w14:textId="6E60DC6F" w:rsidR="00633549" w:rsidRPr="00BF17B0" w:rsidRDefault="00F338BE">
      <w:pPr>
        <w:pStyle w:val="TableofFigures"/>
        <w:tabs>
          <w:tab w:val="right" w:pos="9016"/>
        </w:tabs>
        <w:rPr>
          <w:rFonts w:asciiTheme="minorHAnsi" w:eastAsiaTheme="minorEastAsia" w:hAnsiTheme="minorHAnsi" w:cstheme="minorHAnsi"/>
          <w:noProof/>
          <w:sz w:val="22"/>
        </w:rPr>
      </w:pPr>
      <w:hyperlink w:anchor="_Toc532885880" w:history="1">
        <w:r w:rsidR="00633549" w:rsidRPr="00BF17B0">
          <w:rPr>
            <w:rStyle w:val="Hyperlink"/>
            <w:rFonts w:asciiTheme="minorHAnsi" w:hAnsiTheme="minorHAnsi" w:cstheme="minorHAnsi"/>
            <w:noProof/>
          </w:rPr>
          <w:t>Table 4</w:t>
        </w:r>
        <w:r w:rsidR="00633549" w:rsidRPr="00BF17B0">
          <w:rPr>
            <w:rStyle w:val="Hyperlink"/>
            <w:rFonts w:asciiTheme="minorHAnsi" w:hAnsiTheme="minorHAnsi" w:cstheme="minorHAnsi"/>
            <w:noProof/>
          </w:rPr>
          <w:noBreakHyphen/>
          <w:t>1. Issues, Challenges, and Recommendations</w:t>
        </w:r>
        <w:r w:rsidR="00633549" w:rsidRPr="00BF17B0">
          <w:rPr>
            <w:rFonts w:asciiTheme="minorHAnsi" w:hAnsiTheme="minorHAnsi" w:cstheme="minorHAnsi"/>
            <w:noProof/>
            <w:webHidden/>
          </w:rPr>
          <w:tab/>
        </w:r>
        <w:r w:rsidR="00633549" w:rsidRPr="00BF17B0">
          <w:rPr>
            <w:rFonts w:asciiTheme="minorHAnsi" w:hAnsiTheme="minorHAnsi" w:cstheme="minorHAnsi"/>
            <w:noProof/>
            <w:webHidden/>
          </w:rPr>
          <w:fldChar w:fldCharType="begin"/>
        </w:r>
        <w:r w:rsidR="00633549" w:rsidRPr="00BF17B0">
          <w:rPr>
            <w:rFonts w:asciiTheme="minorHAnsi" w:hAnsiTheme="minorHAnsi" w:cstheme="minorHAnsi"/>
            <w:noProof/>
            <w:webHidden/>
          </w:rPr>
          <w:instrText xml:space="preserve"> PAGEREF _Toc532885880 \h </w:instrText>
        </w:r>
        <w:r w:rsidR="00633549" w:rsidRPr="00BF17B0">
          <w:rPr>
            <w:rFonts w:asciiTheme="minorHAnsi" w:hAnsiTheme="minorHAnsi" w:cstheme="minorHAnsi"/>
            <w:noProof/>
            <w:webHidden/>
          </w:rPr>
        </w:r>
        <w:r w:rsidR="00633549" w:rsidRPr="00BF17B0">
          <w:rPr>
            <w:rFonts w:asciiTheme="minorHAnsi" w:hAnsiTheme="minorHAnsi" w:cstheme="minorHAnsi"/>
            <w:noProof/>
            <w:webHidden/>
          </w:rPr>
          <w:fldChar w:fldCharType="separate"/>
        </w:r>
        <w:r>
          <w:rPr>
            <w:rFonts w:asciiTheme="minorHAnsi" w:hAnsiTheme="minorHAnsi" w:cstheme="minorHAnsi"/>
            <w:noProof/>
            <w:webHidden/>
          </w:rPr>
          <w:t>26</w:t>
        </w:r>
        <w:r w:rsidR="00633549" w:rsidRPr="00BF17B0">
          <w:rPr>
            <w:rFonts w:asciiTheme="minorHAnsi" w:hAnsiTheme="minorHAnsi" w:cstheme="minorHAnsi"/>
            <w:noProof/>
            <w:webHidden/>
          </w:rPr>
          <w:fldChar w:fldCharType="end"/>
        </w:r>
      </w:hyperlink>
    </w:p>
    <w:p w14:paraId="139A0F5C" w14:textId="77777777" w:rsidR="00B918B3" w:rsidRPr="00BF17B0" w:rsidRDefault="00970C7A" w:rsidP="00172CC8">
      <w:pPr>
        <w:spacing w:after="0"/>
        <w:rPr>
          <w:rFonts w:asciiTheme="minorHAnsi" w:hAnsiTheme="minorHAnsi" w:cstheme="minorHAnsi"/>
          <w:szCs w:val="24"/>
        </w:rPr>
      </w:pPr>
      <w:r w:rsidRPr="00BF17B0">
        <w:rPr>
          <w:rFonts w:asciiTheme="minorHAnsi" w:hAnsiTheme="minorHAnsi" w:cstheme="minorHAnsi"/>
          <w:szCs w:val="24"/>
        </w:rPr>
        <w:fldChar w:fldCharType="end"/>
      </w:r>
    </w:p>
    <w:p w14:paraId="184BF405" w14:textId="77777777" w:rsidR="00CA5040" w:rsidRPr="00BF17B0" w:rsidRDefault="00970C7A" w:rsidP="00172CC8">
      <w:pPr>
        <w:spacing w:after="0"/>
        <w:rPr>
          <w:rFonts w:asciiTheme="minorHAnsi" w:hAnsiTheme="minorHAnsi" w:cstheme="minorHAnsi"/>
          <w:b/>
          <w:szCs w:val="24"/>
        </w:rPr>
      </w:pPr>
      <w:r w:rsidRPr="00BF17B0">
        <w:rPr>
          <w:rFonts w:asciiTheme="minorHAnsi" w:hAnsiTheme="minorHAnsi" w:cstheme="minorHAnsi"/>
          <w:b/>
          <w:szCs w:val="24"/>
        </w:rPr>
        <w:t>Figures</w:t>
      </w:r>
    </w:p>
    <w:p w14:paraId="34DD351D" w14:textId="2BBA1F2C" w:rsidR="00633549" w:rsidRPr="00BF17B0" w:rsidRDefault="00970C7A">
      <w:pPr>
        <w:pStyle w:val="TableofFigures"/>
        <w:tabs>
          <w:tab w:val="right" w:pos="9016"/>
        </w:tabs>
        <w:rPr>
          <w:rFonts w:asciiTheme="minorHAnsi" w:eastAsiaTheme="minorEastAsia" w:hAnsiTheme="minorHAnsi" w:cstheme="minorHAnsi"/>
          <w:noProof/>
          <w:sz w:val="22"/>
        </w:rPr>
      </w:pPr>
      <w:r w:rsidRPr="00BF17B0">
        <w:rPr>
          <w:rFonts w:asciiTheme="minorHAnsi" w:hAnsiTheme="minorHAnsi" w:cstheme="minorHAnsi"/>
          <w:szCs w:val="24"/>
        </w:rPr>
        <w:fldChar w:fldCharType="begin"/>
      </w:r>
      <w:r w:rsidRPr="00BF17B0">
        <w:rPr>
          <w:rFonts w:asciiTheme="minorHAnsi" w:hAnsiTheme="minorHAnsi" w:cstheme="minorHAnsi"/>
          <w:szCs w:val="24"/>
        </w:rPr>
        <w:instrText xml:space="preserve"> TOC \h \z \c "Figure" </w:instrText>
      </w:r>
      <w:r w:rsidRPr="00BF17B0">
        <w:rPr>
          <w:rFonts w:asciiTheme="minorHAnsi" w:hAnsiTheme="minorHAnsi" w:cstheme="minorHAnsi"/>
          <w:szCs w:val="24"/>
        </w:rPr>
        <w:fldChar w:fldCharType="separate"/>
      </w:r>
      <w:hyperlink w:anchor="_Toc532885885" w:history="1">
        <w:r w:rsidR="00633549" w:rsidRPr="00BF17B0">
          <w:rPr>
            <w:rStyle w:val="Hyperlink"/>
            <w:rFonts w:asciiTheme="minorHAnsi" w:hAnsiTheme="minorHAnsi" w:cstheme="minorHAnsi"/>
            <w:noProof/>
          </w:rPr>
          <w:t>Figure 2</w:t>
        </w:r>
        <w:r w:rsidR="00633549" w:rsidRPr="00BF17B0">
          <w:rPr>
            <w:rStyle w:val="Hyperlink"/>
            <w:rFonts w:asciiTheme="minorHAnsi" w:hAnsiTheme="minorHAnsi" w:cstheme="minorHAnsi"/>
            <w:noProof/>
          </w:rPr>
          <w:noBreakHyphen/>
          <w:t>1 Evolution of PH-PTF Strategic Priorities</w:t>
        </w:r>
        <w:r w:rsidR="00633549" w:rsidRPr="00BF17B0">
          <w:rPr>
            <w:rFonts w:asciiTheme="minorHAnsi" w:hAnsiTheme="minorHAnsi" w:cstheme="minorHAnsi"/>
            <w:noProof/>
            <w:webHidden/>
          </w:rPr>
          <w:tab/>
        </w:r>
        <w:r w:rsidR="00633549" w:rsidRPr="00BF17B0">
          <w:rPr>
            <w:rFonts w:asciiTheme="minorHAnsi" w:hAnsiTheme="minorHAnsi" w:cstheme="minorHAnsi"/>
            <w:noProof/>
            <w:webHidden/>
          </w:rPr>
          <w:fldChar w:fldCharType="begin"/>
        </w:r>
        <w:r w:rsidR="00633549" w:rsidRPr="00BF17B0">
          <w:rPr>
            <w:rFonts w:asciiTheme="minorHAnsi" w:hAnsiTheme="minorHAnsi" w:cstheme="minorHAnsi"/>
            <w:noProof/>
            <w:webHidden/>
          </w:rPr>
          <w:instrText xml:space="preserve"> PAGEREF _Toc532885885 \h </w:instrText>
        </w:r>
        <w:r w:rsidR="00633549" w:rsidRPr="00BF17B0">
          <w:rPr>
            <w:rFonts w:asciiTheme="minorHAnsi" w:hAnsiTheme="minorHAnsi" w:cstheme="minorHAnsi"/>
            <w:noProof/>
            <w:webHidden/>
          </w:rPr>
        </w:r>
        <w:r w:rsidR="00633549" w:rsidRPr="00BF17B0">
          <w:rPr>
            <w:rFonts w:asciiTheme="minorHAnsi" w:hAnsiTheme="minorHAnsi" w:cstheme="minorHAnsi"/>
            <w:noProof/>
            <w:webHidden/>
          </w:rPr>
          <w:fldChar w:fldCharType="separate"/>
        </w:r>
        <w:r w:rsidR="00F338BE">
          <w:rPr>
            <w:rFonts w:asciiTheme="minorHAnsi" w:hAnsiTheme="minorHAnsi" w:cstheme="minorHAnsi"/>
            <w:noProof/>
            <w:webHidden/>
          </w:rPr>
          <w:t>5</w:t>
        </w:r>
        <w:r w:rsidR="00633549" w:rsidRPr="00BF17B0">
          <w:rPr>
            <w:rFonts w:asciiTheme="minorHAnsi" w:hAnsiTheme="minorHAnsi" w:cstheme="minorHAnsi"/>
            <w:noProof/>
            <w:webHidden/>
          </w:rPr>
          <w:fldChar w:fldCharType="end"/>
        </w:r>
      </w:hyperlink>
    </w:p>
    <w:p w14:paraId="254B7673" w14:textId="2E36ABCE" w:rsidR="00633549" w:rsidRPr="00BF17B0" w:rsidRDefault="00F338BE">
      <w:pPr>
        <w:pStyle w:val="TableofFigures"/>
        <w:tabs>
          <w:tab w:val="right" w:pos="9016"/>
        </w:tabs>
        <w:rPr>
          <w:rFonts w:asciiTheme="minorHAnsi" w:eastAsiaTheme="minorEastAsia" w:hAnsiTheme="minorHAnsi" w:cstheme="minorHAnsi"/>
          <w:noProof/>
          <w:sz w:val="22"/>
        </w:rPr>
      </w:pPr>
      <w:hyperlink w:anchor="_Toc532885886" w:history="1">
        <w:r w:rsidR="00633549" w:rsidRPr="00BF17B0">
          <w:rPr>
            <w:rStyle w:val="Hyperlink"/>
            <w:rFonts w:asciiTheme="minorHAnsi" w:hAnsiTheme="minorHAnsi" w:cstheme="minorHAnsi"/>
            <w:noProof/>
          </w:rPr>
          <w:t>Figure 2</w:t>
        </w:r>
        <w:r w:rsidR="00633549" w:rsidRPr="00BF17B0">
          <w:rPr>
            <w:rStyle w:val="Hyperlink"/>
            <w:rFonts w:asciiTheme="minorHAnsi" w:hAnsiTheme="minorHAnsi" w:cstheme="minorHAnsi"/>
            <w:noProof/>
          </w:rPr>
          <w:noBreakHyphen/>
          <w:t>2: PH-PTF Results Framework</w:t>
        </w:r>
        <w:r w:rsidR="00633549" w:rsidRPr="00BF17B0">
          <w:rPr>
            <w:rFonts w:asciiTheme="minorHAnsi" w:hAnsiTheme="minorHAnsi" w:cstheme="minorHAnsi"/>
            <w:noProof/>
            <w:webHidden/>
          </w:rPr>
          <w:tab/>
        </w:r>
        <w:r w:rsidR="00633549" w:rsidRPr="00BF17B0">
          <w:rPr>
            <w:rFonts w:asciiTheme="minorHAnsi" w:hAnsiTheme="minorHAnsi" w:cstheme="minorHAnsi"/>
            <w:noProof/>
            <w:webHidden/>
          </w:rPr>
          <w:fldChar w:fldCharType="begin"/>
        </w:r>
        <w:r w:rsidR="00633549" w:rsidRPr="00BF17B0">
          <w:rPr>
            <w:rFonts w:asciiTheme="minorHAnsi" w:hAnsiTheme="minorHAnsi" w:cstheme="minorHAnsi"/>
            <w:noProof/>
            <w:webHidden/>
          </w:rPr>
          <w:instrText xml:space="preserve"> PAGEREF _Toc532885886 \h </w:instrText>
        </w:r>
        <w:r w:rsidR="00633549" w:rsidRPr="00BF17B0">
          <w:rPr>
            <w:rFonts w:asciiTheme="minorHAnsi" w:hAnsiTheme="minorHAnsi" w:cstheme="minorHAnsi"/>
            <w:noProof/>
            <w:webHidden/>
          </w:rPr>
        </w:r>
        <w:r w:rsidR="00633549" w:rsidRPr="00BF17B0">
          <w:rPr>
            <w:rFonts w:asciiTheme="minorHAnsi" w:hAnsiTheme="minorHAnsi" w:cstheme="minorHAnsi"/>
            <w:noProof/>
            <w:webHidden/>
          </w:rPr>
          <w:fldChar w:fldCharType="separate"/>
        </w:r>
        <w:r>
          <w:rPr>
            <w:rFonts w:asciiTheme="minorHAnsi" w:hAnsiTheme="minorHAnsi" w:cstheme="minorHAnsi"/>
            <w:noProof/>
            <w:webHidden/>
          </w:rPr>
          <w:t>8</w:t>
        </w:r>
        <w:r w:rsidR="00633549" w:rsidRPr="00BF17B0">
          <w:rPr>
            <w:rFonts w:asciiTheme="minorHAnsi" w:hAnsiTheme="minorHAnsi" w:cstheme="minorHAnsi"/>
            <w:noProof/>
            <w:webHidden/>
          </w:rPr>
          <w:fldChar w:fldCharType="end"/>
        </w:r>
      </w:hyperlink>
    </w:p>
    <w:p w14:paraId="5B0BD63E" w14:textId="31EE34BC" w:rsidR="00633549" w:rsidRPr="00BF17B0" w:rsidRDefault="00F338BE">
      <w:pPr>
        <w:pStyle w:val="TableofFigures"/>
        <w:tabs>
          <w:tab w:val="right" w:pos="9016"/>
        </w:tabs>
        <w:rPr>
          <w:rFonts w:asciiTheme="minorHAnsi" w:eastAsiaTheme="minorEastAsia" w:hAnsiTheme="minorHAnsi" w:cstheme="minorHAnsi"/>
          <w:noProof/>
          <w:sz w:val="22"/>
        </w:rPr>
      </w:pPr>
      <w:hyperlink w:anchor="_Toc532885887" w:history="1">
        <w:r w:rsidR="00633549" w:rsidRPr="00BF17B0">
          <w:rPr>
            <w:rStyle w:val="Hyperlink"/>
            <w:rFonts w:asciiTheme="minorHAnsi" w:hAnsiTheme="minorHAnsi" w:cstheme="minorHAnsi"/>
            <w:noProof/>
          </w:rPr>
          <w:t>Figure 2</w:t>
        </w:r>
        <w:r w:rsidR="00633549" w:rsidRPr="00BF17B0">
          <w:rPr>
            <w:rStyle w:val="Hyperlink"/>
            <w:rFonts w:asciiTheme="minorHAnsi" w:hAnsiTheme="minorHAnsi" w:cstheme="minorHAnsi"/>
            <w:noProof/>
          </w:rPr>
          <w:noBreakHyphen/>
          <w:t>3:  Cumulative Contributions and Disbursements, FY2009-18</w:t>
        </w:r>
        <w:r w:rsidR="00633549" w:rsidRPr="00BF17B0">
          <w:rPr>
            <w:rFonts w:asciiTheme="minorHAnsi" w:hAnsiTheme="minorHAnsi" w:cstheme="minorHAnsi"/>
            <w:noProof/>
            <w:webHidden/>
          </w:rPr>
          <w:tab/>
        </w:r>
        <w:r w:rsidR="00633549" w:rsidRPr="00BF17B0">
          <w:rPr>
            <w:rFonts w:asciiTheme="minorHAnsi" w:hAnsiTheme="minorHAnsi" w:cstheme="minorHAnsi"/>
            <w:noProof/>
            <w:webHidden/>
          </w:rPr>
          <w:fldChar w:fldCharType="begin"/>
        </w:r>
        <w:r w:rsidR="00633549" w:rsidRPr="00BF17B0">
          <w:rPr>
            <w:rFonts w:asciiTheme="minorHAnsi" w:hAnsiTheme="minorHAnsi" w:cstheme="minorHAnsi"/>
            <w:noProof/>
            <w:webHidden/>
          </w:rPr>
          <w:instrText xml:space="preserve"> PAGEREF _Toc532885887 \h </w:instrText>
        </w:r>
        <w:r w:rsidR="00633549" w:rsidRPr="00BF17B0">
          <w:rPr>
            <w:rFonts w:asciiTheme="minorHAnsi" w:hAnsiTheme="minorHAnsi" w:cstheme="minorHAnsi"/>
            <w:noProof/>
            <w:webHidden/>
          </w:rPr>
        </w:r>
        <w:r w:rsidR="00633549" w:rsidRPr="00BF17B0">
          <w:rPr>
            <w:rFonts w:asciiTheme="minorHAnsi" w:hAnsiTheme="minorHAnsi" w:cstheme="minorHAnsi"/>
            <w:noProof/>
            <w:webHidden/>
          </w:rPr>
          <w:fldChar w:fldCharType="separate"/>
        </w:r>
        <w:r>
          <w:rPr>
            <w:rFonts w:asciiTheme="minorHAnsi" w:hAnsiTheme="minorHAnsi" w:cstheme="minorHAnsi"/>
            <w:noProof/>
            <w:webHidden/>
          </w:rPr>
          <w:t>11</w:t>
        </w:r>
        <w:r w:rsidR="00633549" w:rsidRPr="00BF17B0">
          <w:rPr>
            <w:rFonts w:asciiTheme="minorHAnsi" w:hAnsiTheme="minorHAnsi" w:cstheme="minorHAnsi"/>
            <w:noProof/>
            <w:webHidden/>
          </w:rPr>
          <w:fldChar w:fldCharType="end"/>
        </w:r>
      </w:hyperlink>
    </w:p>
    <w:p w14:paraId="7026F8C3" w14:textId="77777777" w:rsidR="00B918B3" w:rsidRPr="00BF17B0" w:rsidRDefault="00970C7A" w:rsidP="00172CC8">
      <w:pPr>
        <w:spacing w:after="0"/>
        <w:rPr>
          <w:rFonts w:asciiTheme="minorHAnsi" w:hAnsiTheme="minorHAnsi" w:cstheme="minorHAnsi"/>
          <w:szCs w:val="24"/>
        </w:rPr>
      </w:pPr>
      <w:r w:rsidRPr="00BF17B0">
        <w:rPr>
          <w:rFonts w:asciiTheme="minorHAnsi" w:hAnsiTheme="minorHAnsi" w:cstheme="minorHAnsi"/>
          <w:szCs w:val="24"/>
        </w:rPr>
        <w:fldChar w:fldCharType="end"/>
      </w:r>
    </w:p>
    <w:p w14:paraId="222254CA" w14:textId="77777777" w:rsidR="00C95F30" w:rsidRPr="00BF17B0" w:rsidRDefault="00C95F30" w:rsidP="00172CC8">
      <w:pPr>
        <w:spacing w:after="0"/>
        <w:rPr>
          <w:rFonts w:asciiTheme="minorHAnsi" w:hAnsiTheme="minorHAnsi" w:cstheme="minorHAnsi"/>
          <w:b/>
          <w:szCs w:val="24"/>
        </w:rPr>
      </w:pPr>
      <w:r w:rsidRPr="00BF17B0">
        <w:rPr>
          <w:rFonts w:asciiTheme="minorHAnsi" w:hAnsiTheme="minorHAnsi" w:cstheme="minorHAnsi"/>
          <w:b/>
          <w:szCs w:val="24"/>
        </w:rPr>
        <w:t>Boxes</w:t>
      </w:r>
    </w:p>
    <w:p w14:paraId="1A1B9E47" w14:textId="6C5C487B" w:rsidR="00633549" w:rsidRPr="00BF17B0" w:rsidRDefault="00C95F30">
      <w:pPr>
        <w:pStyle w:val="TableofFigures"/>
        <w:tabs>
          <w:tab w:val="right" w:pos="9016"/>
        </w:tabs>
        <w:rPr>
          <w:rFonts w:asciiTheme="minorHAnsi" w:eastAsiaTheme="minorEastAsia" w:hAnsiTheme="minorHAnsi" w:cstheme="minorHAnsi"/>
          <w:noProof/>
          <w:sz w:val="22"/>
        </w:rPr>
      </w:pPr>
      <w:r w:rsidRPr="00BF17B0">
        <w:rPr>
          <w:rFonts w:asciiTheme="minorHAnsi" w:hAnsiTheme="minorHAnsi" w:cstheme="minorHAnsi"/>
          <w:szCs w:val="24"/>
        </w:rPr>
        <w:fldChar w:fldCharType="begin"/>
      </w:r>
      <w:r w:rsidRPr="00BF17B0">
        <w:rPr>
          <w:rFonts w:asciiTheme="minorHAnsi" w:hAnsiTheme="minorHAnsi" w:cstheme="minorHAnsi"/>
          <w:szCs w:val="24"/>
        </w:rPr>
        <w:instrText xml:space="preserve"> TOC \h \z \c "Box" </w:instrText>
      </w:r>
      <w:r w:rsidRPr="00BF17B0">
        <w:rPr>
          <w:rFonts w:asciiTheme="minorHAnsi" w:hAnsiTheme="minorHAnsi" w:cstheme="minorHAnsi"/>
          <w:szCs w:val="24"/>
        </w:rPr>
        <w:fldChar w:fldCharType="separate"/>
      </w:r>
      <w:hyperlink r:id="rId15" w:anchor="_Toc532885888" w:history="1">
        <w:r w:rsidR="00633549" w:rsidRPr="00BF17B0">
          <w:rPr>
            <w:rStyle w:val="Hyperlink"/>
            <w:rFonts w:asciiTheme="minorHAnsi" w:hAnsiTheme="minorHAnsi" w:cstheme="minorHAnsi"/>
            <w:noProof/>
          </w:rPr>
          <w:t>Box 3</w:t>
        </w:r>
        <w:r w:rsidR="00633549" w:rsidRPr="00BF17B0">
          <w:rPr>
            <w:rStyle w:val="Hyperlink"/>
            <w:rFonts w:asciiTheme="minorHAnsi" w:hAnsiTheme="minorHAnsi" w:cstheme="minorHAnsi"/>
            <w:noProof/>
          </w:rPr>
          <w:noBreakHyphen/>
          <w:t>1: Technical Assistance Grants for the Conditional Cash Transfer Program</w:t>
        </w:r>
        <w:r w:rsidR="00633549" w:rsidRPr="00BF17B0">
          <w:rPr>
            <w:rFonts w:asciiTheme="minorHAnsi" w:hAnsiTheme="minorHAnsi" w:cstheme="minorHAnsi"/>
            <w:noProof/>
            <w:webHidden/>
          </w:rPr>
          <w:tab/>
        </w:r>
        <w:r w:rsidR="00633549" w:rsidRPr="00BF17B0">
          <w:rPr>
            <w:rFonts w:asciiTheme="minorHAnsi" w:hAnsiTheme="minorHAnsi" w:cstheme="minorHAnsi"/>
            <w:noProof/>
            <w:webHidden/>
          </w:rPr>
          <w:fldChar w:fldCharType="begin"/>
        </w:r>
        <w:r w:rsidR="00633549" w:rsidRPr="00BF17B0">
          <w:rPr>
            <w:rFonts w:asciiTheme="minorHAnsi" w:hAnsiTheme="minorHAnsi" w:cstheme="minorHAnsi"/>
            <w:noProof/>
            <w:webHidden/>
          </w:rPr>
          <w:instrText xml:space="preserve"> PAGEREF _Toc532885888 \h </w:instrText>
        </w:r>
        <w:r w:rsidR="00633549" w:rsidRPr="00BF17B0">
          <w:rPr>
            <w:rFonts w:asciiTheme="minorHAnsi" w:hAnsiTheme="minorHAnsi" w:cstheme="minorHAnsi"/>
            <w:noProof/>
            <w:webHidden/>
          </w:rPr>
        </w:r>
        <w:r w:rsidR="00633549" w:rsidRPr="00BF17B0">
          <w:rPr>
            <w:rFonts w:asciiTheme="minorHAnsi" w:hAnsiTheme="minorHAnsi" w:cstheme="minorHAnsi"/>
            <w:noProof/>
            <w:webHidden/>
          </w:rPr>
          <w:fldChar w:fldCharType="separate"/>
        </w:r>
        <w:r w:rsidR="00F338BE">
          <w:rPr>
            <w:rFonts w:asciiTheme="minorHAnsi" w:hAnsiTheme="minorHAnsi" w:cstheme="minorHAnsi"/>
            <w:noProof/>
            <w:webHidden/>
          </w:rPr>
          <w:t>13</w:t>
        </w:r>
        <w:r w:rsidR="00633549" w:rsidRPr="00BF17B0">
          <w:rPr>
            <w:rFonts w:asciiTheme="minorHAnsi" w:hAnsiTheme="minorHAnsi" w:cstheme="minorHAnsi"/>
            <w:noProof/>
            <w:webHidden/>
          </w:rPr>
          <w:fldChar w:fldCharType="end"/>
        </w:r>
      </w:hyperlink>
    </w:p>
    <w:p w14:paraId="3093DBEA" w14:textId="0D8A5437" w:rsidR="00633549" w:rsidRPr="00BF17B0" w:rsidRDefault="00F338BE">
      <w:pPr>
        <w:pStyle w:val="TableofFigures"/>
        <w:tabs>
          <w:tab w:val="right" w:pos="9016"/>
        </w:tabs>
        <w:rPr>
          <w:rFonts w:asciiTheme="minorHAnsi" w:eastAsiaTheme="minorEastAsia" w:hAnsiTheme="minorHAnsi" w:cstheme="minorHAnsi"/>
          <w:noProof/>
          <w:sz w:val="22"/>
        </w:rPr>
      </w:pPr>
      <w:hyperlink r:id="rId16" w:anchor="_Toc532885889" w:history="1">
        <w:r w:rsidR="00633549" w:rsidRPr="00BF17B0">
          <w:rPr>
            <w:rStyle w:val="Hyperlink"/>
            <w:rFonts w:asciiTheme="minorHAnsi" w:hAnsiTheme="minorHAnsi" w:cstheme="minorHAnsi"/>
            <w:noProof/>
          </w:rPr>
          <w:t>Box 3</w:t>
        </w:r>
        <w:r w:rsidR="00633549" w:rsidRPr="00BF17B0">
          <w:rPr>
            <w:rStyle w:val="Hyperlink"/>
            <w:rFonts w:asciiTheme="minorHAnsi" w:hAnsiTheme="minorHAnsi" w:cstheme="minorHAnsi"/>
            <w:noProof/>
          </w:rPr>
          <w:noBreakHyphen/>
          <w:t>2: The KALAHI-CIDSS Project Grant</w:t>
        </w:r>
        <w:r w:rsidR="00633549" w:rsidRPr="00BF17B0">
          <w:rPr>
            <w:rFonts w:asciiTheme="minorHAnsi" w:hAnsiTheme="minorHAnsi" w:cstheme="minorHAnsi"/>
            <w:noProof/>
            <w:webHidden/>
          </w:rPr>
          <w:tab/>
        </w:r>
        <w:r w:rsidR="00633549" w:rsidRPr="00BF17B0">
          <w:rPr>
            <w:rFonts w:asciiTheme="minorHAnsi" w:hAnsiTheme="minorHAnsi" w:cstheme="minorHAnsi"/>
            <w:noProof/>
            <w:webHidden/>
          </w:rPr>
          <w:fldChar w:fldCharType="begin"/>
        </w:r>
        <w:r w:rsidR="00633549" w:rsidRPr="00BF17B0">
          <w:rPr>
            <w:rFonts w:asciiTheme="minorHAnsi" w:hAnsiTheme="minorHAnsi" w:cstheme="minorHAnsi"/>
            <w:noProof/>
            <w:webHidden/>
          </w:rPr>
          <w:instrText xml:space="preserve"> PAGEREF _Toc532885889 \h </w:instrText>
        </w:r>
        <w:r w:rsidR="00633549" w:rsidRPr="00BF17B0">
          <w:rPr>
            <w:rFonts w:asciiTheme="minorHAnsi" w:hAnsiTheme="minorHAnsi" w:cstheme="minorHAnsi"/>
            <w:noProof/>
            <w:webHidden/>
          </w:rPr>
        </w:r>
        <w:r w:rsidR="00633549" w:rsidRPr="00BF17B0">
          <w:rPr>
            <w:rFonts w:asciiTheme="minorHAnsi" w:hAnsiTheme="minorHAnsi" w:cstheme="minorHAnsi"/>
            <w:noProof/>
            <w:webHidden/>
          </w:rPr>
          <w:fldChar w:fldCharType="separate"/>
        </w:r>
        <w:r>
          <w:rPr>
            <w:rFonts w:asciiTheme="minorHAnsi" w:hAnsiTheme="minorHAnsi" w:cstheme="minorHAnsi"/>
            <w:noProof/>
            <w:webHidden/>
          </w:rPr>
          <w:t>14</w:t>
        </w:r>
        <w:r w:rsidR="00633549" w:rsidRPr="00BF17B0">
          <w:rPr>
            <w:rFonts w:asciiTheme="minorHAnsi" w:hAnsiTheme="minorHAnsi" w:cstheme="minorHAnsi"/>
            <w:noProof/>
            <w:webHidden/>
          </w:rPr>
          <w:fldChar w:fldCharType="end"/>
        </w:r>
      </w:hyperlink>
    </w:p>
    <w:p w14:paraId="33687CD8" w14:textId="7C19EFEC" w:rsidR="00633549" w:rsidRPr="00BF17B0" w:rsidRDefault="00F338BE">
      <w:pPr>
        <w:pStyle w:val="TableofFigures"/>
        <w:tabs>
          <w:tab w:val="right" w:pos="9016"/>
        </w:tabs>
        <w:rPr>
          <w:rFonts w:asciiTheme="minorHAnsi" w:eastAsiaTheme="minorEastAsia" w:hAnsiTheme="minorHAnsi" w:cstheme="minorHAnsi"/>
          <w:noProof/>
          <w:sz w:val="22"/>
        </w:rPr>
      </w:pPr>
      <w:hyperlink r:id="rId17" w:anchor="_Toc532885890" w:history="1">
        <w:r w:rsidR="00633549" w:rsidRPr="00BF17B0">
          <w:rPr>
            <w:rStyle w:val="Hyperlink"/>
            <w:rFonts w:asciiTheme="minorHAnsi" w:hAnsiTheme="minorHAnsi" w:cstheme="minorHAnsi"/>
            <w:noProof/>
          </w:rPr>
          <w:t>Box 3</w:t>
        </w:r>
        <w:r w:rsidR="00633549" w:rsidRPr="00BF17B0">
          <w:rPr>
            <w:rStyle w:val="Hyperlink"/>
            <w:rFonts w:asciiTheme="minorHAnsi" w:hAnsiTheme="minorHAnsi" w:cstheme="minorHAnsi"/>
            <w:noProof/>
          </w:rPr>
          <w:noBreakHyphen/>
          <w:t>3: The Open Government Phase II Grant</w:t>
        </w:r>
        <w:r w:rsidR="00633549" w:rsidRPr="00BF17B0">
          <w:rPr>
            <w:rFonts w:asciiTheme="minorHAnsi" w:hAnsiTheme="minorHAnsi" w:cstheme="minorHAnsi"/>
            <w:noProof/>
            <w:webHidden/>
          </w:rPr>
          <w:tab/>
        </w:r>
        <w:r w:rsidR="00633549" w:rsidRPr="00BF17B0">
          <w:rPr>
            <w:rFonts w:asciiTheme="minorHAnsi" w:hAnsiTheme="minorHAnsi" w:cstheme="minorHAnsi"/>
            <w:noProof/>
            <w:webHidden/>
          </w:rPr>
          <w:fldChar w:fldCharType="begin"/>
        </w:r>
        <w:r w:rsidR="00633549" w:rsidRPr="00BF17B0">
          <w:rPr>
            <w:rFonts w:asciiTheme="minorHAnsi" w:hAnsiTheme="minorHAnsi" w:cstheme="minorHAnsi"/>
            <w:noProof/>
            <w:webHidden/>
          </w:rPr>
          <w:instrText xml:space="preserve"> PAGEREF _Toc532885890 \h </w:instrText>
        </w:r>
        <w:r w:rsidR="00633549" w:rsidRPr="00BF17B0">
          <w:rPr>
            <w:rFonts w:asciiTheme="minorHAnsi" w:hAnsiTheme="minorHAnsi" w:cstheme="minorHAnsi"/>
            <w:noProof/>
            <w:webHidden/>
          </w:rPr>
        </w:r>
        <w:r w:rsidR="00633549" w:rsidRPr="00BF17B0">
          <w:rPr>
            <w:rFonts w:asciiTheme="minorHAnsi" w:hAnsiTheme="minorHAnsi" w:cstheme="minorHAnsi"/>
            <w:noProof/>
            <w:webHidden/>
          </w:rPr>
          <w:fldChar w:fldCharType="separate"/>
        </w:r>
        <w:r>
          <w:rPr>
            <w:rFonts w:asciiTheme="minorHAnsi" w:hAnsiTheme="minorHAnsi" w:cstheme="minorHAnsi"/>
            <w:noProof/>
            <w:webHidden/>
          </w:rPr>
          <w:t>15</w:t>
        </w:r>
        <w:r w:rsidR="00633549" w:rsidRPr="00BF17B0">
          <w:rPr>
            <w:rFonts w:asciiTheme="minorHAnsi" w:hAnsiTheme="minorHAnsi" w:cstheme="minorHAnsi"/>
            <w:noProof/>
            <w:webHidden/>
          </w:rPr>
          <w:fldChar w:fldCharType="end"/>
        </w:r>
      </w:hyperlink>
    </w:p>
    <w:p w14:paraId="4A8A4655" w14:textId="77777777" w:rsidR="00C27CA8" w:rsidRPr="00BF17B0" w:rsidRDefault="00C95F30" w:rsidP="00C27CA8">
      <w:pPr>
        <w:rPr>
          <w:rFonts w:asciiTheme="minorHAnsi" w:hAnsiTheme="minorHAnsi" w:cstheme="minorHAnsi"/>
          <w:sz w:val="20"/>
          <w:szCs w:val="20"/>
        </w:rPr>
      </w:pPr>
      <w:r w:rsidRPr="00BF17B0">
        <w:rPr>
          <w:rFonts w:asciiTheme="minorHAnsi" w:hAnsiTheme="minorHAnsi" w:cstheme="minorHAnsi"/>
          <w:szCs w:val="24"/>
        </w:rPr>
        <w:fldChar w:fldCharType="end"/>
      </w:r>
    </w:p>
    <w:p w14:paraId="35B8F8E1" w14:textId="77777777" w:rsidR="00970C7A" w:rsidRPr="00BF17B0" w:rsidRDefault="00B918B3" w:rsidP="00B918B3">
      <w:pPr>
        <w:rPr>
          <w:rFonts w:asciiTheme="minorHAnsi" w:hAnsiTheme="minorHAnsi" w:cstheme="minorHAnsi"/>
          <w:sz w:val="20"/>
          <w:szCs w:val="20"/>
        </w:rPr>
      </w:pPr>
      <w:r w:rsidRPr="00BF17B0">
        <w:rPr>
          <w:rFonts w:asciiTheme="minorHAnsi" w:hAnsiTheme="minorHAnsi" w:cstheme="minorHAnsi"/>
          <w:sz w:val="20"/>
          <w:szCs w:val="20"/>
        </w:rPr>
        <w:tab/>
      </w:r>
      <w:r w:rsidRPr="00BF17B0">
        <w:rPr>
          <w:rFonts w:asciiTheme="minorHAnsi" w:hAnsiTheme="minorHAnsi" w:cstheme="minorHAnsi"/>
          <w:sz w:val="20"/>
          <w:szCs w:val="20"/>
        </w:rPr>
        <w:tab/>
      </w:r>
      <w:r w:rsidRPr="00BF17B0">
        <w:rPr>
          <w:rFonts w:asciiTheme="minorHAnsi" w:hAnsiTheme="minorHAnsi" w:cstheme="minorHAnsi"/>
          <w:sz w:val="20"/>
          <w:szCs w:val="20"/>
        </w:rPr>
        <w:tab/>
      </w:r>
      <w:r w:rsidR="00970C7A" w:rsidRPr="00BF17B0">
        <w:rPr>
          <w:rFonts w:asciiTheme="minorHAnsi" w:hAnsiTheme="minorHAnsi" w:cstheme="minorHAnsi"/>
          <w:sz w:val="20"/>
          <w:szCs w:val="20"/>
        </w:rPr>
        <w:br w:type="page"/>
      </w:r>
    </w:p>
    <w:p w14:paraId="1430ACF4" w14:textId="77777777" w:rsidR="00554902" w:rsidRPr="00BF17B0" w:rsidRDefault="00CC3D27" w:rsidP="00143D52">
      <w:pPr>
        <w:pStyle w:val="Heading1"/>
        <w:numPr>
          <w:ilvl w:val="0"/>
          <w:numId w:val="0"/>
        </w:numPr>
        <w:rPr>
          <w:rFonts w:asciiTheme="minorHAnsi" w:hAnsiTheme="minorHAnsi" w:cstheme="minorHAnsi"/>
        </w:rPr>
      </w:pPr>
      <w:bookmarkStart w:id="1" w:name="_Ref531013998"/>
      <w:bookmarkStart w:id="2" w:name="_Toc532994285"/>
      <w:r w:rsidRPr="00BF17B0">
        <w:rPr>
          <w:rFonts w:asciiTheme="minorHAnsi" w:hAnsiTheme="minorHAnsi" w:cstheme="minorHAnsi"/>
        </w:rPr>
        <w:t xml:space="preserve">Executive </w:t>
      </w:r>
      <w:r w:rsidR="006D175B" w:rsidRPr="00BF17B0">
        <w:rPr>
          <w:rFonts w:asciiTheme="minorHAnsi" w:hAnsiTheme="minorHAnsi" w:cstheme="minorHAnsi"/>
        </w:rPr>
        <w:t>Summary</w:t>
      </w:r>
      <w:bookmarkEnd w:id="1"/>
      <w:bookmarkEnd w:id="2"/>
    </w:p>
    <w:p w14:paraId="2A67BE9F" w14:textId="77777777" w:rsidR="000E55C5" w:rsidRPr="00BF17B0" w:rsidRDefault="000E55C5" w:rsidP="000E55C5">
      <w:pPr>
        <w:rPr>
          <w:rFonts w:asciiTheme="minorHAnsi" w:hAnsiTheme="minorHAnsi" w:cstheme="minorHAnsi"/>
        </w:rPr>
      </w:pPr>
    </w:p>
    <w:p w14:paraId="69089328" w14:textId="32D78129" w:rsidR="000E55C5" w:rsidRDefault="000E55C5" w:rsidP="000E55C5">
      <w:pPr>
        <w:rPr>
          <w:rFonts w:asciiTheme="minorHAnsi" w:hAnsiTheme="minorHAnsi" w:cstheme="minorHAnsi"/>
          <w:szCs w:val="24"/>
        </w:rPr>
      </w:pPr>
      <w:r w:rsidRPr="00BF17B0">
        <w:rPr>
          <w:rFonts w:asciiTheme="minorHAnsi" w:hAnsiTheme="minorHAnsi" w:cstheme="minorHAnsi"/>
        </w:rPr>
        <w:t xml:space="preserve">The Australia - World Bank Philippines Development Trust Fund </w:t>
      </w:r>
      <w:r w:rsidR="007D3F0C">
        <w:rPr>
          <w:rStyle w:val="FootnoteReference"/>
          <w:rFonts w:asciiTheme="minorHAnsi" w:hAnsiTheme="minorHAnsi" w:cstheme="minorHAnsi"/>
        </w:rPr>
        <w:footnoteReference w:id="1"/>
      </w:r>
      <w:r w:rsidR="007D3F0C">
        <w:rPr>
          <w:rFonts w:asciiTheme="minorHAnsi" w:hAnsiTheme="minorHAnsi" w:cstheme="minorHAnsi"/>
        </w:rPr>
        <w:t xml:space="preserve"> </w:t>
      </w:r>
      <w:r w:rsidRPr="00BF17B0">
        <w:rPr>
          <w:rFonts w:asciiTheme="minorHAnsi" w:hAnsiTheme="minorHAnsi" w:cstheme="minorHAnsi"/>
        </w:rPr>
        <w:t xml:space="preserve">was established in 2009 and is scheduled to close on June 30, 2019. It was financed by the </w:t>
      </w:r>
      <w:r w:rsidR="00CA5394">
        <w:rPr>
          <w:rFonts w:asciiTheme="minorHAnsi" w:hAnsiTheme="minorHAnsi" w:cstheme="minorHAnsi"/>
        </w:rPr>
        <w:t xml:space="preserve">Government of </w:t>
      </w:r>
      <w:r w:rsidRPr="00BF17B0">
        <w:rPr>
          <w:rFonts w:asciiTheme="minorHAnsi" w:hAnsiTheme="minorHAnsi" w:cstheme="minorHAnsi"/>
        </w:rPr>
        <w:t>Australia through the Department of Foreign Affairs and Trade (DFAT)</w:t>
      </w:r>
      <w:r w:rsidR="00DB4B6A">
        <w:rPr>
          <w:rFonts w:asciiTheme="minorHAnsi" w:hAnsiTheme="minorHAnsi" w:cstheme="minorHAnsi"/>
        </w:rPr>
        <w:t xml:space="preserve"> [formerly through AusAID]</w:t>
      </w:r>
      <w:r w:rsidRPr="00BF17B0">
        <w:rPr>
          <w:rFonts w:asciiTheme="minorHAnsi" w:hAnsiTheme="minorHAnsi" w:cstheme="minorHAnsi"/>
        </w:rPr>
        <w:t xml:space="preserve"> and administered by the World Bank (</w:t>
      </w:r>
      <w:r w:rsidR="008419AD">
        <w:rPr>
          <w:rFonts w:asciiTheme="minorHAnsi" w:hAnsiTheme="minorHAnsi" w:cstheme="minorHAnsi"/>
        </w:rPr>
        <w:t>WB</w:t>
      </w:r>
      <w:r w:rsidRPr="00BF17B0">
        <w:rPr>
          <w:rFonts w:asciiTheme="minorHAnsi" w:hAnsiTheme="minorHAnsi" w:cstheme="minorHAnsi"/>
        </w:rPr>
        <w:t>)</w:t>
      </w:r>
      <w:r w:rsidR="00CA5394">
        <w:rPr>
          <w:rFonts w:asciiTheme="minorHAnsi" w:hAnsiTheme="minorHAnsi" w:cstheme="minorHAnsi"/>
        </w:rPr>
        <w:t xml:space="preserve">.  The total funds available for the </w:t>
      </w:r>
      <w:r w:rsidR="00EF2683">
        <w:rPr>
          <w:rFonts w:asciiTheme="minorHAnsi" w:hAnsiTheme="minorHAnsi" w:cstheme="minorHAnsi"/>
        </w:rPr>
        <w:t>PH-PTF</w:t>
      </w:r>
      <w:r w:rsidR="00CA5394">
        <w:rPr>
          <w:rFonts w:asciiTheme="minorHAnsi" w:hAnsiTheme="minorHAnsi" w:cstheme="minorHAnsi"/>
        </w:rPr>
        <w:t xml:space="preserve"> throughout its ten</w:t>
      </w:r>
      <w:r w:rsidR="007D3F0C">
        <w:rPr>
          <w:rFonts w:asciiTheme="minorHAnsi" w:hAnsiTheme="minorHAnsi" w:cstheme="minorHAnsi"/>
        </w:rPr>
        <w:t>-</w:t>
      </w:r>
      <w:r w:rsidR="00CA5394">
        <w:rPr>
          <w:rFonts w:asciiTheme="minorHAnsi" w:hAnsiTheme="minorHAnsi" w:cstheme="minorHAnsi"/>
        </w:rPr>
        <w:t xml:space="preserve">year </w:t>
      </w:r>
      <w:r w:rsidR="007D3F0C">
        <w:rPr>
          <w:rFonts w:asciiTheme="minorHAnsi" w:hAnsiTheme="minorHAnsi" w:cstheme="minorHAnsi"/>
        </w:rPr>
        <w:t xml:space="preserve">implementation </w:t>
      </w:r>
      <w:r w:rsidR="00CA5394">
        <w:rPr>
          <w:rFonts w:asciiTheme="minorHAnsi" w:hAnsiTheme="minorHAnsi" w:cstheme="minorHAnsi"/>
        </w:rPr>
        <w:t xml:space="preserve">period was </w:t>
      </w:r>
      <w:r w:rsidR="00CA5394">
        <w:rPr>
          <w:rFonts w:asciiTheme="minorHAnsi" w:hAnsiTheme="minorHAnsi" w:cstheme="minorHAnsi"/>
          <w:szCs w:val="24"/>
        </w:rPr>
        <w:t xml:space="preserve">USD </w:t>
      </w:r>
      <w:r w:rsidR="00474F32" w:rsidRPr="00BF17B0">
        <w:rPr>
          <w:rFonts w:asciiTheme="minorHAnsi" w:hAnsiTheme="minorHAnsi" w:cstheme="minorHAnsi"/>
          <w:szCs w:val="24"/>
        </w:rPr>
        <w:t>44.8 million (about AU</w:t>
      </w:r>
      <w:r w:rsidR="00CA5394">
        <w:rPr>
          <w:rFonts w:asciiTheme="minorHAnsi" w:hAnsiTheme="minorHAnsi" w:cstheme="minorHAnsi"/>
          <w:szCs w:val="24"/>
        </w:rPr>
        <w:t xml:space="preserve">D </w:t>
      </w:r>
      <w:r w:rsidR="00474F32" w:rsidRPr="00BF17B0">
        <w:rPr>
          <w:rFonts w:asciiTheme="minorHAnsi" w:hAnsiTheme="minorHAnsi" w:cstheme="minorHAnsi"/>
          <w:szCs w:val="24"/>
        </w:rPr>
        <w:t>47.1 million).</w:t>
      </w:r>
    </w:p>
    <w:p w14:paraId="00583543" w14:textId="5C4ABE66" w:rsidR="00FB47B8" w:rsidRDefault="00FB47B8" w:rsidP="00FB47B8">
      <w:pPr>
        <w:rPr>
          <w:rFonts w:asciiTheme="minorHAnsi" w:hAnsiTheme="minorHAnsi" w:cstheme="minorHAnsi"/>
        </w:rPr>
      </w:pPr>
      <w:r w:rsidRPr="00BF17B0">
        <w:rPr>
          <w:rFonts w:asciiTheme="minorHAnsi" w:hAnsiTheme="minorHAnsi" w:cstheme="minorHAnsi"/>
        </w:rPr>
        <w:t xml:space="preserve">During </w:t>
      </w:r>
      <w:r>
        <w:rPr>
          <w:rFonts w:asciiTheme="minorHAnsi" w:hAnsiTheme="minorHAnsi" w:cstheme="minorHAnsi"/>
        </w:rPr>
        <w:t>its</w:t>
      </w:r>
      <w:r w:rsidRPr="00BF17B0">
        <w:rPr>
          <w:rFonts w:asciiTheme="minorHAnsi" w:hAnsiTheme="minorHAnsi" w:cstheme="minorHAnsi"/>
        </w:rPr>
        <w:t xml:space="preserve"> decade-long implementation</w:t>
      </w:r>
      <w:r>
        <w:rPr>
          <w:rFonts w:asciiTheme="minorHAnsi" w:hAnsiTheme="minorHAnsi" w:cstheme="minorHAnsi"/>
        </w:rPr>
        <w:t>,</w:t>
      </w:r>
      <w:r w:rsidRPr="00BF17B0">
        <w:rPr>
          <w:rFonts w:asciiTheme="minorHAnsi" w:hAnsiTheme="minorHAnsi" w:cstheme="minorHAnsi"/>
        </w:rPr>
        <w:t xml:space="preserve"> the </w:t>
      </w:r>
      <w:r w:rsidR="00EF2683">
        <w:rPr>
          <w:rFonts w:asciiTheme="minorHAnsi" w:hAnsiTheme="minorHAnsi" w:cstheme="minorHAnsi"/>
        </w:rPr>
        <w:t>PH-PTF</w:t>
      </w:r>
      <w:r w:rsidRPr="00BF17B0">
        <w:rPr>
          <w:rFonts w:asciiTheme="minorHAnsi" w:hAnsiTheme="minorHAnsi" w:cstheme="minorHAnsi"/>
        </w:rPr>
        <w:t xml:space="preserve"> responded to the </w:t>
      </w:r>
      <w:r>
        <w:rPr>
          <w:rFonts w:asciiTheme="minorHAnsi" w:hAnsiTheme="minorHAnsi" w:cstheme="minorHAnsi"/>
        </w:rPr>
        <w:t>priorities of the Government of the Philippines (GoP)</w:t>
      </w:r>
      <w:r w:rsidRPr="00BF17B0">
        <w:rPr>
          <w:rFonts w:asciiTheme="minorHAnsi" w:hAnsiTheme="minorHAnsi" w:cstheme="minorHAnsi"/>
        </w:rPr>
        <w:t xml:space="preserve"> as articulated in the medium-term development plans of three administrations: President Gloria Macapagal-Arroyo (2001-</w:t>
      </w:r>
      <w:r>
        <w:rPr>
          <w:rFonts w:asciiTheme="minorHAnsi" w:hAnsiTheme="minorHAnsi" w:cstheme="minorHAnsi"/>
        </w:rPr>
        <w:t>20</w:t>
      </w:r>
      <w:r w:rsidRPr="00BF17B0">
        <w:rPr>
          <w:rFonts w:asciiTheme="minorHAnsi" w:hAnsiTheme="minorHAnsi" w:cstheme="minorHAnsi"/>
        </w:rPr>
        <w:t>10), President Benigno Aquino Jr. (2010-</w:t>
      </w:r>
      <w:r>
        <w:rPr>
          <w:rFonts w:asciiTheme="minorHAnsi" w:hAnsiTheme="minorHAnsi" w:cstheme="minorHAnsi"/>
        </w:rPr>
        <w:t>20</w:t>
      </w:r>
      <w:r w:rsidRPr="00BF17B0">
        <w:rPr>
          <w:rFonts w:asciiTheme="minorHAnsi" w:hAnsiTheme="minorHAnsi" w:cstheme="minorHAnsi"/>
        </w:rPr>
        <w:t>16), and President Rodrigo Duterte (2016-</w:t>
      </w:r>
      <w:r>
        <w:rPr>
          <w:rFonts w:asciiTheme="minorHAnsi" w:hAnsiTheme="minorHAnsi" w:cstheme="minorHAnsi"/>
        </w:rPr>
        <w:t>20</w:t>
      </w:r>
      <w:r w:rsidRPr="00BF17B0">
        <w:rPr>
          <w:rFonts w:asciiTheme="minorHAnsi" w:hAnsiTheme="minorHAnsi" w:cstheme="minorHAnsi"/>
        </w:rPr>
        <w:t xml:space="preserve">22). </w:t>
      </w:r>
      <w:r>
        <w:rPr>
          <w:rFonts w:asciiTheme="minorHAnsi" w:hAnsiTheme="minorHAnsi" w:cstheme="minorHAnsi"/>
        </w:rPr>
        <w:t xml:space="preserve"> </w:t>
      </w:r>
      <w:r w:rsidRPr="00BF17B0">
        <w:rPr>
          <w:rFonts w:asciiTheme="minorHAnsi" w:hAnsiTheme="minorHAnsi" w:cstheme="minorHAnsi"/>
        </w:rPr>
        <w:t>During this period, t</w:t>
      </w:r>
      <w:r w:rsidRPr="00BF17B0">
        <w:rPr>
          <w:rFonts w:asciiTheme="minorHAnsi" w:hAnsiTheme="minorHAnsi" w:cstheme="minorHAnsi"/>
          <w:szCs w:val="24"/>
        </w:rPr>
        <w:t xml:space="preserve">he Philippine economy experienced </w:t>
      </w:r>
      <w:r w:rsidRPr="00BF17B0">
        <w:rPr>
          <w:rFonts w:asciiTheme="minorHAnsi" w:hAnsiTheme="minorHAnsi" w:cstheme="minorHAnsi"/>
        </w:rPr>
        <w:t>continuous economic growth and poverty reduction, underpinned by solid macroeconomic management, favorable external conditions, and increase</w:t>
      </w:r>
      <w:r>
        <w:rPr>
          <w:rFonts w:asciiTheme="minorHAnsi" w:hAnsiTheme="minorHAnsi" w:cstheme="minorHAnsi"/>
        </w:rPr>
        <w:t xml:space="preserve">d and </w:t>
      </w:r>
      <w:r w:rsidRPr="00BF17B0">
        <w:rPr>
          <w:rFonts w:asciiTheme="minorHAnsi" w:hAnsiTheme="minorHAnsi" w:cstheme="minorHAnsi"/>
        </w:rPr>
        <w:t xml:space="preserve">well-targeted social sector spending. </w:t>
      </w:r>
    </w:p>
    <w:p w14:paraId="0902449E" w14:textId="7AAD6A5F" w:rsidR="000E55C5" w:rsidRPr="00BF17B0" w:rsidRDefault="007D3F0C" w:rsidP="000E55C5">
      <w:pPr>
        <w:rPr>
          <w:rFonts w:asciiTheme="minorHAnsi" w:hAnsiTheme="minorHAnsi" w:cstheme="minorHAnsi"/>
        </w:rPr>
      </w:pPr>
      <w:r>
        <w:rPr>
          <w:rFonts w:asciiTheme="minorHAnsi" w:hAnsiTheme="minorHAnsi" w:cstheme="minorHAnsi"/>
        </w:rPr>
        <w:t xml:space="preserve">In preparation for the completion of the </w:t>
      </w:r>
      <w:r w:rsidR="0042236D">
        <w:rPr>
          <w:rFonts w:asciiTheme="minorHAnsi" w:hAnsiTheme="minorHAnsi" w:cstheme="minorHAnsi"/>
        </w:rPr>
        <w:t xml:space="preserve">trust </w:t>
      </w:r>
      <w:r>
        <w:rPr>
          <w:rFonts w:asciiTheme="minorHAnsi" w:hAnsiTheme="minorHAnsi" w:cstheme="minorHAnsi"/>
        </w:rPr>
        <w:t>fund</w:t>
      </w:r>
      <w:r w:rsidR="00FB47B8">
        <w:rPr>
          <w:rFonts w:asciiTheme="minorHAnsi" w:hAnsiTheme="minorHAnsi" w:cstheme="minorHAnsi"/>
        </w:rPr>
        <w:t>’s activities</w:t>
      </w:r>
      <w:r>
        <w:rPr>
          <w:rFonts w:asciiTheme="minorHAnsi" w:hAnsiTheme="minorHAnsi" w:cstheme="minorHAnsi"/>
        </w:rPr>
        <w:t>, the</w:t>
      </w:r>
      <w:r w:rsidR="000E55C5" w:rsidRPr="00BF17B0">
        <w:rPr>
          <w:rFonts w:asciiTheme="minorHAnsi" w:hAnsiTheme="minorHAnsi" w:cstheme="minorHAnsi"/>
        </w:rPr>
        <w:t xml:space="preserve"> </w:t>
      </w:r>
      <w:r w:rsidR="00EF2683">
        <w:rPr>
          <w:rFonts w:asciiTheme="minorHAnsi" w:hAnsiTheme="minorHAnsi" w:cstheme="minorHAnsi"/>
        </w:rPr>
        <w:t>PH-PTF</w:t>
      </w:r>
      <w:r w:rsidR="00CA5394">
        <w:rPr>
          <w:rFonts w:asciiTheme="minorHAnsi" w:hAnsiTheme="minorHAnsi" w:cstheme="minorHAnsi"/>
        </w:rPr>
        <w:t xml:space="preserve"> </w:t>
      </w:r>
      <w:r w:rsidR="000E55C5" w:rsidRPr="00BF17B0">
        <w:rPr>
          <w:rFonts w:asciiTheme="minorHAnsi" w:hAnsiTheme="minorHAnsi" w:cstheme="minorHAnsi"/>
        </w:rPr>
        <w:t xml:space="preserve">Steering Committee requested an evaluation be carried </w:t>
      </w:r>
      <w:r w:rsidR="00EF2683">
        <w:rPr>
          <w:rFonts w:asciiTheme="minorHAnsi" w:hAnsiTheme="minorHAnsi" w:cstheme="minorHAnsi"/>
        </w:rPr>
        <w:t xml:space="preserve">out </w:t>
      </w:r>
      <w:r w:rsidR="00AE3416">
        <w:rPr>
          <w:rFonts w:asciiTheme="minorHAnsi" w:hAnsiTheme="minorHAnsi" w:cstheme="minorHAnsi"/>
        </w:rPr>
        <w:t>by</w:t>
      </w:r>
      <w:r w:rsidR="00EF2683">
        <w:rPr>
          <w:rFonts w:asciiTheme="minorHAnsi" w:hAnsiTheme="minorHAnsi" w:cstheme="minorHAnsi"/>
        </w:rPr>
        <w:t xml:space="preserve"> an independent consultant </w:t>
      </w:r>
      <w:r w:rsidR="000E55C5" w:rsidRPr="00BF17B0">
        <w:rPr>
          <w:rFonts w:asciiTheme="minorHAnsi" w:hAnsiTheme="minorHAnsi" w:cstheme="minorHAnsi"/>
        </w:rPr>
        <w:t xml:space="preserve">to assess </w:t>
      </w:r>
      <w:r w:rsidR="00CA5394">
        <w:rPr>
          <w:rFonts w:asciiTheme="minorHAnsi" w:hAnsiTheme="minorHAnsi" w:cstheme="minorHAnsi"/>
        </w:rPr>
        <w:t xml:space="preserve">the </w:t>
      </w:r>
      <w:r w:rsidR="0042236D">
        <w:rPr>
          <w:rFonts w:asciiTheme="minorHAnsi" w:hAnsiTheme="minorHAnsi" w:cstheme="minorHAnsi"/>
        </w:rPr>
        <w:t xml:space="preserve">fund’s </w:t>
      </w:r>
      <w:r w:rsidR="000E55C5" w:rsidRPr="00BF17B0">
        <w:rPr>
          <w:rFonts w:asciiTheme="minorHAnsi" w:hAnsiTheme="minorHAnsi" w:cstheme="minorHAnsi"/>
        </w:rPr>
        <w:t>achievements, effectiveness, efficiency and relevance.</w:t>
      </w:r>
      <w:r w:rsidR="005967C1" w:rsidRPr="00BF17B0">
        <w:rPr>
          <w:rFonts w:asciiTheme="minorHAnsi" w:hAnsiTheme="minorHAnsi" w:cstheme="minorHAnsi"/>
        </w:rPr>
        <w:t xml:space="preserve"> R</w:t>
      </w:r>
      <w:r w:rsidR="000E55C5" w:rsidRPr="00BF17B0">
        <w:rPr>
          <w:rFonts w:asciiTheme="minorHAnsi" w:hAnsiTheme="minorHAnsi" w:cstheme="minorHAnsi"/>
        </w:rPr>
        <w:t xml:space="preserve">ecommendations and lessons learned are expected to provide important input </w:t>
      </w:r>
      <w:r w:rsidR="00FB47B8">
        <w:rPr>
          <w:rFonts w:asciiTheme="minorHAnsi" w:hAnsiTheme="minorHAnsi" w:cstheme="minorHAnsi"/>
        </w:rPr>
        <w:t>to</w:t>
      </w:r>
      <w:r w:rsidR="00FB47B8" w:rsidRPr="00BF17B0">
        <w:rPr>
          <w:rFonts w:asciiTheme="minorHAnsi" w:hAnsiTheme="minorHAnsi" w:cstheme="minorHAnsi"/>
        </w:rPr>
        <w:t xml:space="preserve"> </w:t>
      </w:r>
      <w:r w:rsidR="00CA5394">
        <w:rPr>
          <w:rFonts w:asciiTheme="minorHAnsi" w:hAnsiTheme="minorHAnsi" w:cstheme="minorHAnsi"/>
        </w:rPr>
        <w:t xml:space="preserve">the </w:t>
      </w:r>
      <w:r w:rsidR="000E55C5" w:rsidRPr="00BF17B0">
        <w:rPr>
          <w:rFonts w:asciiTheme="minorHAnsi" w:hAnsiTheme="minorHAnsi" w:cstheme="minorHAnsi"/>
        </w:rPr>
        <w:t>design</w:t>
      </w:r>
      <w:r w:rsidR="00CA5394">
        <w:rPr>
          <w:rFonts w:asciiTheme="minorHAnsi" w:hAnsiTheme="minorHAnsi" w:cstheme="minorHAnsi"/>
        </w:rPr>
        <w:t xml:space="preserve"> of </w:t>
      </w:r>
      <w:r w:rsidR="001C3DA8" w:rsidRPr="00BF17B0">
        <w:rPr>
          <w:rFonts w:asciiTheme="minorHAnsi" w:hAnsiTheme="minorHAnsi" w:cstheme="minorHAnsi"/>
        </w:rPr>
        <w:t xml:space="preserve">a </w:t>
      </w:r>
      <w:r w:rsidR="000E55C5" w:rsidRPr="00BF17B0">
        <w:rPr>
          <w:rFonts w:asciiTheme="minorHAnsi" w:hAnsiTheme="minorHAnsi" w:cstheme="minorHAnsi"/>
        </w:rPr>
        <w:t xml:space="preserve">new </w:t>
      </w:r>
      <w:r w:rsidR="000E1113" w:rsidRPr="00BF17B0">
        <w:rPr>
          <w:rFonts w:asciiTheme="minorHAnsi" w:hAnsiTheme="minorHAnsi" w:cstheme="minorHAnsi"/>
        </w:rPr>
        <w:t>t</w:t>
      </w:r>
      <w:r w:rsidR="000E55C5" w:rsidRPr="00BF17B0">
        <w:rPr>
          <w:rFonts w:asciiTheme="minorHAnsi" w:hAnsiTheme="minorHAnsi" w:cstheme="minorHAnsi"/>
        </w:rPr>
        <w:t xml:space="preserve">rust </w:t>
      </w:r>
      <w:r w:rsidR="000E1113" w:rsidRPr="00BF17B0">
        <w:rPr>
          <w:rFonts w:asciiTheme="minorHAnsi" w:hAnsiTheme="minorHAnsi" w:cstheme="minorHAnsi"/>
        </w:rPr>
        <w:t>f</w:t>
      </w:r>
      <w:r w:rsidR="000E55C5" w:rsidRPr="00BF17B0">
        <w:rPr>
          <w:rFonts w:asciiTheme="minorHAnsi" w:hAnsiTheme="minorHAnsi" w:cstheme="minorHAnsi"/>
        </w:rPr>
        <w:t xml:space="preserve">und </w:t>
      </w:r>
      <w:r w:rsidR="00DB4B6A">
        <w:rPr>
          <w:rFonts w:asciiTheme="minorHAnsi" w:hAnsiTheme="minorHAnsi" w:cstheme="minorHAnsi"/>
        </w:rPr>
        <w:t>proposed</w:t>
      </w:r>
      <w:r w:rsidR="00FB47B8">
        <w:rPr>
          <w:rFonts w:asciiTheme="minorHAnsi" w:hAnsiTheme="minorHAnsi" w:cstheme="minorHAnsi"/>
        </w:rPr>
        <w:t xml:space="preserve"> </w:t>
      </w:r>
      <w:r w:rsidR="00CA5394">
        <w:rPr>
          <w:rFonts w:asciiTheme="minorHAnsi" w:hAnsiTheme="minorHAnsi" w:cstheme="minorHAnsi"/>
        </w:rPr>
        <w:t xml:space="preserve">to be financed by the Government of Australia and administered by the World Bank </w:t>
      </w:r>
      <w:r w:rsidR="000E55C5" w:rsidRPr="00BF17B0">
        <w:rPr>
          <w:rFonts w:asciiTheme="minorHAnsi" w:hAnsiTheme="minorHAnsi" w:cstheme="minorHAnsi"/>
        </w:rPr>
        <w:t xml:space="preserve">starting </w:t>
      </w:r>
      <w:r w:rsidR="0042236D">
        <w:rPr>
          <w:rFonts w:asciiTheme="minorHAnsi" w:hAnsiTheme="minorHAnsi" w:cstheme="minorHAnsi"/>
        </w:rPr>
        <w:t>in</w:t>
      </w:r>
      <w:r w:rsidR="00474F32" w:rsidRPr="00BF17B0">
        <w:rPr>
          <w:rFonts w:asciiTheme="minorHAnsi" w:hAnsiTheme="minorHAnsi" w:cstheme="minorHAnsi"/>
        </w:rPr>
        <w:t xml:space="preserve"> </w:t>
      </w:r>
      <w:r w:rsidR="000E55C5" w:rsidRPr="00BF17B0">
        <w:rPr>
          <w:rFonts w:asciiTheme="minorHAnsi" w:hAnsiTheme="minorHAnsi" w:cstheme="minorHAnsi"/>
        </w:rPr>
        <w:t>20</w:t>
      </w:r>
      <w:r w:rsidR="00EF2683">
        <w:rPr>
          <w:rFonts w:asciiTheme="minorHAnsi" w:hAnsiTheme="minorHAnsi" w:cstheme="minorHAnsi"/>
        </w:rPr>
        <w:t>19. This report, the final output of this evaluation, was drafted by an independent consultant with inputs from World Bank and DFAT.</w:t>
      </w:r>
      <w:r w:rsidR="000E55C5" w:rsidRPr="00BF17B0">
        <w:rPr>
          <w:rFonts w:asciiTheme="minorHAnsi" w:hAnsiTheme="minorHAnsi" w:cstheme="minorHAnsi"/>
        </w:rPr>
        <w:t xml:space="preserve"> </w:t>
      </w:r>
      <w:r w:rsidR="00EF2683">
        <w:rPr>
          <w:rFonts w:asciiTheme="minorHAnsi" w:hAnsiTheme="minorHAnsi" w:cstheme="minorHAnsi"/>
        </w:rPr>
        <w:t xml:space="preserve"> </w:t>
      </w:r>
      <w:r w:rsidR="00DF4621">
        <w:rPr>
          <w:rFonts w:asciiTheme="minorHAnsi" w:hAnsiTheme="minorHAnsi" w:cstheme="minorHAnsi"/>
        </w:rPr>
        <w:t xml:space="preserve">The evaluation was undertaken </w:t>
      </w:r>
      <w:r w:rsidR="000E55C5" w:rsidRPr="00BF17B0">
        <w:rPr>
          <w:rFonts w:asciiTheme="minorHAnsi" w:hAnsiTheme="minorHAnsi" w:cstheme="minorHAnsi"/>
        </w:rPr>
        <w:t xml:space="preserve">when </w:t>
      </w:r>
      <w:r>
        <w:rPr>
          <w:rFonts w:asciiTheme="minorHAnsi" w:hAnsiTheme="minorHAnsi" w:cstheme="minorHAnsi"/>
        </w:rPr>
        <w:t>most of</w:t>
      </w:r>
      <w:r w:rsidR="000E55C5" w:rsidRPr="00BF17B0">
        <w:rPr>
          <w:rFonts w:asciiTheme="minorHAnsi" w:hAnsiTheme="minorHAnsi" w:cstheme="minorHAnsi"/>
        </w:rPr>
        <w:t xml:space="preserve"> the activities financed by the </w:t>
      </w:r>
      <w:r w:rsidR="00EF2683">
        <w:rPr>
          <w:rFonts w:asciiTheme="minorHAnsi" w:hAnsiTheme="minorHAnsi" w:cstheme="minorHAnsi"/>
        </w:rPr>
        <w:t>PH-PTF</w:t>
      </w:r>
      <w:r w:rsidR="000E55C5" w:rsidRPr="00BF17B0">
        <w:rPr>
          <w:rFonts w:asciiTheme="minorHAnsi" w:hAnsiTheme="minorHAnsi" w:cstheme="minorHAnsi"/>
        </w:rPr>
        <w:t xml:space="preserve"> had been completed and over 88 percent (</w:t>
      </w:r>
      <w:r w:rsidR="00FB47B8">
        <w:rPr>
          <w:rFonts w:asciiTheme="minorHAnsi" w:hAnsiTheme="minorHAnsi" w:cstheme="minorHAnsi"/>
        </w:rPr>
        <w:t xml:space="preserve">USD </w:t>
      </w:r>
      <w:r w:rsidR="000E55C5" w:rsidRPr="00BF17B0">
        <w:rPr>
          <w:rFonts w:asciiTheme="minorHAnsi" w:hAnsiTheme="minorHAnsi" w:cstheme="minorHAnsi"/>
        </w:rPr>
        <w:t>38 million) of the contributed funds disbursed.</w:t>
      </w:r>
      <w:r w:rsidR="00FB47B8">
        <w:rPr>
          <w:rFonts w:asciiTheme="minorHAnsi" w:hAnsiTheme="minorHAnsi" w:cstheme="minorHAnsi"/>
        </w:rPr>
        <w:t xml:space="preserve">  </w:t>
      </w:r>
    </w:p>
    <w:p w14:paraId="370F2822" w14:textId="769443B1" w:rsidR="000E55C5" w:rsidRPr="00BF17B0" w:rsidRDefault="000E55C5" w:rsidP="000E55C5">
      <w:pPr>
        <w:rPr>
          <w:rFonts w:asciiTheme="minorHAnsi" w:hAnsiTheme="minorHAnsi" w:cstheme="minorHAnsi"/>
        </w:rPr>
      </w:pPr>
      <w:r w:rsidRPr="00BF17B0">
        <w:rPr>
          <w:rFonts w:asciiTheme="minorHAnsi" w:hAnsiTheme="minorHAnsi" w:cstheme="minorHAnsi"/>
        </w:rPr>
        <w:t xml:space="preserve">The </w:t>
      </w:r>
      <w:r w:rsidR="00EF2683">
        <w:rPr>
          <w:rFonts w:asciiTheme="minorHAnsi" w:hAnsiTheme="minorHAnsi" w:cstheme="minorHAnsi"/>
        </w:rPr>
        <w:t>PH-PTF</w:t>
      </w:r>
      <w:r w:rsidRPr="00BF17B0">
        <w:rPr>
          <w:rFonts w:asciiTheme="minorHAnsi" w:hAnsiTheme="minorHAnsi" w:cstheme="minorHAnsi"/>
        </w:rPr>
        <w:t xml:space="preserve"> </w:t>
      </w:r>
      <w:r w:rsidR="00B51668">
        <w:rPr>
          <w:rFonts w:asciiTheme="minorHAnsi" w:hAnsiTheme="minorHAnsi" w:cstheme="minorHAnsi"/>
        </w:rPr>
        <w:t xml:space="preserve">has played an important role in the </w:t>
      </w:r>
      <w:r w:rsidRPr="00DF4621">
        <w:rPr>
          <w:rFonts w:asciiTheme="minorHAnsi" w:hAnsiTheme="minorHAnsi" w:cstheme="minorHAnsi"/>
        </w:rPr>
        <w:t>longstanding and meaningful collaboration between Australia and the Bank</w:t>
      </w:r>
      <w:r w:rsidR="00FB47B8" w:rsidRPr="00DF4621">
        <w:rPr>
          <w:rFonts w:asciiTheme="minorHAnsi" w:hAnsiTheme="minorHAnsi" w:cstheme="minorHAnsi"/>
        </w:rPr>
        <w:t xml:space="preserve"> in the Philippines</w:t>
      </w:r>
      <w:r w:rsidRPr="00BF17B0">
        <w:rPr>
          <w:rFonts w:asciiTheme="minorHAnsi" w:hAnsiTheme="minorHAnsi" w:cstheme="minorHAnsi"/>
        </w:rPr>
        <w:t xml:space="preserve">.  It was established with </w:t>
      </w:r>
      <w:r w:rsidR="00C46217" w:rsidRPr="00BF17B0">
        <w:rPr>
          <w:rFonts w:asciiTheme="minorHAnsi" w:hAnsiTheme="minorHAnsi" w:cstheme="minorHAnsi"/>
        </w:rPr>
        <w:t xml:space="preserve">the </w:t>
      </w:r>
      <w:r w:rsidRPr="00BF17B0">
        <w:rPr>
          <w:rFonts w:asciiTheme="minorHAnsi" w:hAnsiTheme="minorHAnsi" w:cstheme="minorHAnsi"/>
        </w:rPr>
        <w:t xml:space="preserve">objective </w:t>
      </w:r>
      <w:r w:rsidR="00F21993" w:rsidRPr="00BF17B0">
        <w:rPr>
          <w:rFonts w:asciiTheme="minorHAnsi" w:hAnsiTheme="minorHAnsi" w:cstheme="minorHAnsi"/>
        </w:rPr>
        <w:t xml:space="preserve">of </w:t>
      </w:r>
      <w:r w:rsidRPr="00BF17B0">
        <w:rPr>
          <w:rFonts w:asciiTheme="minorHAnsi" w:hAnsiTheme="minorHAnsi" w:cstheme="minorHAnsi"/>
        </w:rPr>
        <w:t>provid</w:t>
      </w:r>
      <w:r w:rsidR="00F21993" w:rsidRPr="00BF17B0">
        <w:rPr>
          <w:rFonts w:asciiTheme="minorHAnsi" w:hAnsiTheme="minorHAnsi" w:cstheme="minorHAnsi"/>
        </w:rPr>
        <w:t>ing</w:t>
      </w:r>
      <w:r w:rsidRPr="00BF17B0">
        <w:rPr>
          <w:rFonts w:asciiTheme="minorHAnsi" w:hAnsiTheme="minorHAnsi" w:cstheme="minorHAnsi"/>
        </w:rPr>
        <w:t xml:space="preserve"> high quality and harmonized </w:t>
      </w:r>
      <w:r w:rsidR="00FB47B8">
        <w:rPr>
          <w:rFonts w:asciiTheme="minorHAnsi" w:hAnsiTheme="minorHAnsi" w:cstheme="minorHAnsi"/>
        </w:rPr>
        <w:t xml:space="preserve">development </w:t>
      </w:r>
      <w:r w:rsidRPr="00BF17B0">
        <w:rPr>
          <w:rFonts w:asciiTheme="minorHAnsi" w:hAnsiTheme="minorHAnsi" w:cstheme="minorHAnsi"/>
        </w:rPr>
        <w:t>assistance to t</w:t>
      </w:r>
      <w:r w:rsidR="00B51668">
        <w:rPr>
          <w:rFonts w:asciiTheme="minorHAnsi" w:hAnsiTheme="minorHAnsi" w:cstheme="minorHAnsi"/>
        </w:rPr>
        <w:t xml:space="preserve">he </w:t>
      </w:r>
      <w:r w:rsidR="007D3F0C">
        <w:rPr>
          <w:rFonts w:asciiTheme="minorHAnsi" w:hAnsiTheme="minorHAnsi" w:cstheme="minorHAnsi"/>
        </w:rPr>
        <w:t>GoP</w:t>
      </w:r>
      <w:r w:rsidRPr="00BF17B0">
        <w:rPr>
          <w:rFonts w:asciiTheme="minorHAnsi" w:hAnsiTheme="minorHAnsi" w:cstheme="minorHAnsi"/>
        </w:rPr>
        <w:t>, enhanc</w:t>
      </w:r>
      <w:r w:rsidR="00F21993" w:rsidRPr="00BF17B0">
        <w:rPr>
          <w:rFonts w:asciiTheme="minorHAnsi" w:hAnsiTheme="minorHAnsi" w:cstheme="minorHAnsi"/>
        </w:rPr>
        <w:t>ing the</w:t>
      </w:r>
      <w:r w:rsidRPr="00BF17B0">
        <w:rPr>
          <w:rFonts w:asciiTheme="minorHAnsi" w:hAnsiTheme="minorHAnsi" w:cstheme="minorHAnsi"/>
        </w:rPr>
        <w:t xml:space="preserve"> quality and effectiveness of policy dialogue between Australia, the Bank, and the </w:t>
      </w:r>
      <w:r w:rsidR="00FB47B8">
        <w:rPr>
          <w:rFonts w:asciiTheme="minorHAnsi" w:hAnsiTheme="minorHAnsi" w:cstheme="minorHAnsi"/>
        </w:rPr>
        <w:t>GoP</w:t>
      </w:r>
      <w:r w:rsidRPr="00BF17B0">
        <w:rPr>
          <w:rFonts w:asciiTheme="minorHAnsi" w:hAnsiTheme="minorHAnsi" w:cstheme="minorHAnsi"/>
        </w:rPr>
        <w:t>.</w:t>
      </w:r>
      <w:r w:rsidR="00B51668">
        <w:rPr>
          <w:rFonts w:asciiTheme="minorHAnsi" w:hAnsiTheme="minorHAnsi" w:cstheme="minorHAnsi"/>
        </w:rPr>
        <w:t xml:space="preserve">  It </w:t>
      </w:r>
      <w:r w:rsidRPr="00BF17B0">
        <w:rPr>
          <w:rFonts w:asciiTheme="minorHAnsi" w:hAnsiTheme="minorHAnsi" w:cstheme="minorHAnsi"/>
        </w:rPr>
        <w:t xml:space="preserve">focused on </w:t>
      </w:r>
      <w:r w:rsidRPr="00DF4621">
        <w:rPr>
          <w:rFonts w:asciiTheme="minorHAnsi" w:hAnsiTheme="minorHAnsi" w:cstheme="minorHAnsi"/>
        </w:rPr>
        <w:t>selected development objectives</w:t>
      </w:r>
      <w:r w:rsidRPr="004B5FB1">
        <w:rPr>
          <w:rFonts w:asciiTheme="minorHAnsi" w:hAnsiTheme="minorHAnsi" w:cstheme="minorHAnsi"/>
          <w:b/>
        </w:rPr>
        <w:t xml:space="preserve"> shared by </w:t>
      </w:r>
      <w:r w:rsidR="0042236D">
        <w:rPr>
          <w:rFonts w:asciiTheme="minorHAnsi" w:hAnsiTheme="minorHAnsi" w:cstheme="minorHAnsi"/>
          <w:b/>
        </w:rPr>
        <w:t xml:space="preserve">the </w:t>
      </w:r>
      <w:r w:rsidRPr="004B5FB1">
        <w:rPr>
          <w:rFonts w:asciiTheme="minorHAnsi" w:hAnsiTheme="minorHAnsi" w:cstheme="minorHAnsi"/>
          <w:b/>
        </w:rPr>
        <w:t xml:space="preserve">two </w:t>
      </w:r>
      <w:r w:rsidR="0038706A" w:rsidRPr="004B5FB1">
        <w:rPr>
          <w:rFonts w:asciiTheme="minorHAnsi" w:hAnsiTheme="minorHAnsi" w:cstheme="minorHAnsi"/>
          <w:b/>
        </w:rPr>
        <w:t>d</w:t>
      </w:r>
      <w:r w:rsidRPr="004B5FB1">
        <w:rPr>
          <w:rFonts w:asciiTheme="minorHAnsi" w:hAnsiTheme="minorHAnsi" w:cstheme="minorHAnsi"/>
          <w:b/>
        </w:rPr>
        <w:t xml:space="preserve">evelopment </w:t>
      </w:r>
      <w:r w:rsidR="0038706A" w:rsidRPr="004B5FB1">
        <w:rPr>
          <w:rFonts w:asciiTheme="minorHAnsi" w:hAnsiTheme="minorHAnsi" w:cstheme="minorHAnsi"/>
          <w:b/>
        </w:rPr>
        <w:t>p</w:t>
      </w:r>
      <w:r w:rsidRPr="004B5FB1">
        <w:rPr>
          <w:rFonts w:asciiTheme="minorHAnsi" w:hAnsiTheme="minorHAnsi" w:cstheme="minorHAnsi"/>
          <w:b/>
        </w:rPr>
        <w:t xml:space="preserve">artners and closely aligned </w:t>
      </w:r>
      <w:r w:rsidRPr="004B5FB1">
        <w:rPr>
          <w:rFonts w:asciiTheme="minorHAnsi" w:hAnsiTheme="minorHAnsi" w:cstheme="minorHAnsi"/>
          <w:b/>
          <w:lang w:eastAsia="en-GB"/>
        </w:rPr>
        <w:t xml:space="preserve">with the </w:t>
      </w:r>
      <w:r w:rsidR="007D3F0C" w:rsidRPr="004B5FB1">
        <w:rPr>
          <w:rFonts w:asciiTheme="minorHAnsi" w:hAnsiTheme="minorHAnsi" w:cstheme="minorHAnsi"/>
          <w:b/>
          <w:lang w:eastAsia="en-GB"/>
        </w:rPr>
        <w:t xml:space="preserve">GoP’s </w:t>
      </w:r>
      <w:r w:rsidRPr="004B5FB1">
        <w:rPr>
          <w:rFonts w:asciiTheme="minorHAnsi" w:hAnsiTheme="minorHAnsi" w:cstheme="minorHAnsi"/>
          <w:b/>
          <w:lang w:eastAsia="en-GB"/>
        </w:rPr>
        <w:t>development strategy</w:t>
      </w:r>
      <w:r w:rsidRPr="00BF17B0">
        <w:rPr>
          <w:rFonts w:asciiTheme="minorHAnsi" w:hAnsiTheme="minorHAnsi" w:cstheme="minorHAnsi"/>
          <w:lang w:eastAsia="en-GB"/>
        </w:rPr>
        <w:t>.</w:t>
      </w:r>
    </w:p>
    <w:p w14:paraId="5B8365CF" w14:textId="042AF308" w:rsidR="000E55C5" w:rsidRPr="00BF17B0" w:rsidRDefault="00C309E3" w:rsidP="000E55C5">
      <w:pPr>
        <w:rPr>
          <w:rFonts w:asciiTheme="minorHAnsi" w:hAnsiTheme="minorHAnsi" w:cstheme="minorHAnsi"/>
        </w:rPr>
      </w:pPr>
      <w:r w:rsidRPr="00BF17B0">
        <w:rPr>
          <w:rFonts w:asciiTheme="minorHAnsi" w:hAnsiTheme="minorHAnsi" w:cstheme="minorHAnsi"/>
          <w:szCs w:val="24"/>
        </w:rPr>
        <w:t xml:space="preserve">The </w:t>
      </w:r>
      <w:r w:rsidR="00EF2683">
        <w:rPr>
          <w:rFonts w:asciiTheme="minorHAnsi" w:hAnsiTheme="minorHAnsi" w:cstheme="minorHAnsi"/>
          <w:szCs w:val="24"/>
        </w:rPr>
        <w:t>PH-PTF</w:t>
      </w:r>
      <w:r w:rsidRPr="00BF17B0">
        <w:rPr>
          <w:rFonts w:asciiTheme="minorHAnsi" w:hAnsiTheme="minorHAnsi" w:cstheme="minorHAnsi"/>
          <w:szCs w:val="24"/>
        </w:rPr>
        <w:t xml:space="preserve"> succeeded in </w:t>
      </w:r>
      <w:r w:rsidRPr="00BF17B0">
        <w:rPr>
          <w:rFonts w:asciiTheme="minorHAnsi" w:hAnsiTheme="minorHAnsi" w:cstheme="minorHAnsi"/>
          <w:b/>
          <w:szCs w:val="24"/>
        </w:rPr>
        <w:t>remaining relevant</w:t>
      </w:r>
      <w:r w:rsidRPr="00BF17B0">
        <w:rPr>
          <w:rFonts w:asciiTheme="minorHAnsi" w:hAnsiTheme="minorHAnsi" w:cstheme="minorHAnsi"/>
          <w:szCs w:val="24"/>
        </w:rPr>
        <w:t xml:space="preserve"> through three Philippine </w:t>
      </w:r>
      <w:r>
        <w:rPr>
          <w:rFonts w:asciiTheme="minorHAnsi" w:hAnsiTheme="minorHAnsi" w:cstheme="minorHAnsi"/>
          <w:szCs w:val="24"/>
        </w:rPr>
        <w:t>D</w:t>
      </w:r>
      <w:r w:rsidRPr="00BF17B0">
        <w:rPr>
          <w:rFonts w:asciiTheme="minorHAnsi" w:hAnsiTheme="minorHAnsi" w:cstheme="minorHAnsi"/>
          <w:szCs w:val="24"/>
        </w:rPr>
        <w:t xml:space="preserve">evelopment </w:t>
      </w:r>
      <w:r>
        <w:rPr>
          <w:rFonts w:asciiTheme="minorHAnsi" w:hAnsiTheme="minorHAnsi" w:cstheme="minorHAnsi"/>
          <w:szCs w:val="24"/>
        </w:rPr>
        <w:t>P</w:t>
      </w:r>
      <w:r w:rsidRPr="00BF17B0">
        <w:rPr>
          <w:rFonts w:asciiTheme="minorHAnsi" w:hAnsiTheme="minorHAnsi" w:cstheme="minorHAnsi"/>
          <w:szCs w:val="24"/>
        </w:rPr>
        <w:t>lans, three AusAID/DFAT country strategies, and three World Bank country partnership strategies.</w:t>
      </w:r>
      <w:r>
        <w:rPr>
          <w:rFonts w:asciiTheme="minorHAnsi" w:hAnsiTheme="minorHAnsi" w:cstheme="minorHAnsi"/>
          <w:szCs w:val="24"/>
        </w:rPr>
        <w:t xml:space="preserve"> </w:t>
      </w:r>
      <w:r w:rsidR="004302E4" w:rsidRPr="00BF17B0">
        <w:rPr>
          <w:rFonts w:asciiTheme="minorHAnsi" w:hAnsiTheme="minorHAnsi" w:cstheme="minorHAnsi"/>
        </w:rPr>
        <w:t>The f</w:t>
      </w:r>
      <w:r w:rsidR="000E55C5" w:rsidRPr="00BF17B0">
        <w:rPr>
          <w:rFonts w:asciiTheme="minorHAnsi" w:hAnsiTheme="minorHAnsi" w:cstheme="minorHAnsi"/>
        </w:rPr>
        <w:t xml:space="preserve">lexible </w:t>
      </w:r>
      <w:r w:rsidR="0042236D">
        <w:rPr>
          <w:rFonts w:asciiTheme="minorHAnsi" w:hAnsiTheme="minorHAnsi" w:cstheme="minorHAnsi"/>
        </w:rPr>
        <w:t xml:space="preserve">programmatic </w:t>
      </w:r>
      <w:r w:rsidR="000E55C5" w:rsidRPr="00BF17B0">
        <w:rPr>
          <w:rFonts w:asciiTheme="minorHAnsi" w:hAnsiTheme="minorHAnsi" w:cstheme="minorHAnsi"/>
        </w:rPr>
        <w:t xml:space="preserve">design and governance structure of the </w:t>
      </w:r>
      <w:r w:rsidR="00EF2683">
        <w:rPr>
          <w:rFonts w:asciiTheme="minorHAnsi" w:hAnsiTheme="minorHAnsi" w:cstheme="minorHAnsi"/>
        </w:rPr>
        <w:t>PH-PTF</w:t>
      </w:r>
      <w:r w:rsidR="000E55C5" w:rsidRPr="00BF17B0">
        <w:rPr>
          <w:rFonts w:asciiTheme="minorHAnsi" w:hAnsiTheme="minorHAnsi" w:cstheme="minorHAnsi"/>
        </w:rPr>
        <w:t xml:space="preserve"> </w:t>
      </w:r>
      <w:r w:rsidR="00795D95" w:rsidRPr="00BF17B0">
        <w:rPr>
          <w:rFonts w:asciiTheme="minorHAnsi" w:hAnsiTheme="minorHAnsi" w:cstheme="minorHAnsi"/>
        </w:rPr>
        <w:t>en</w:t>
      </w:r>
      <w:r w:rsidR="000E55C5" w:rsidRPr="00BF17B0">
        <w:rPr>
          <w:rFonts w:asciiTheme="minorHAnsi" w:hAnsiTheme="minorHAnsi" w:cstheme="minorHAnsi"/>
        </w:rPr>
        <w:t xml:space="preserve">sured </w:t>
      </w:r>
      <w:r w:rsidRPr="004B5FB1">
        <w:rPr>
          <w:rFonts w:asciiTheme="minorHAnsi" w:hAnsiTheme="minorHAnsi" w:cstheme="minorHAnsi"/>
        </w:rPr>
        <w:t>that the fund could</w:t>
      </w:r>
      <w:r w:rsidR="000E55C5" w:rsidRPr="00F5639C">
        <w:rPr>
          <w:rFonts w:asciiTheme="minorHAnsi" w:hAnsiTheme="minorHAnsi" w:cstheme="minorHAnsi"/>
        </w:rPr>
        <w:t xml:space="preserve"> respond to </w:t>
      </w:r>
      <w:r w:rsidR="00FB47B8" w:rsidRPr="00C309E3">
        <w:rPr>
          <w:rFonts w:asciiTheme="minorHAnsi" w:hAnsiTheme="minorHAnsi" w:cstheme="minorHAnsi"/>
        </w:rPr>
        <w:t xml:space="preserve">the GoP’s </w:t>
      </w:r>
      <w:r w:rsidR="000E55C5" w:rsidRPr="00C309E3">
        <w:rPr>
          <w:rFonts w:asciiTheme="minorHAnsi" w:hAnsiTheme="minorHAnsi" w:cstheme="minorHAnsi"/>
        </w:rPr>
        <w:t>evolving demands for knowledge and technical as</w:t>
      </w:r>
      <w:r w:rsidR="000E55C5" w:rsidRPr="00BF17B0">
        <w:rPr>
          <w:rFonts w:asciiTheme="minorHAnsi" w:hAnsiTheme="minorHAnsi" w:cstheme="minorHAnsi"/>
        </w:rPr>
        <w:t xml:space="preserve">sistance. </w:t>
      </w:r>
      <w:r>
        <w:rPr>
          <w:rFonts w:asciiTheme="minorHAnsi" w:hAnsiTheme="minorHAnsi" w:cstheme="minorHAnsi"/>
        </w:rPr>
        <w:t>Moreover, b</w:t>
      </w:r>
      <w:r w:rsidR="000E55C5" w:rsidRPr="00BF17B0">
        <w:rPr>
          <w:rFonts w:asciiTheme="minorHAnsi" w:hAnsiTheme="minorHAnsi" w:cstheme="minorHAnsi"/>
        </w:rPr>
        <w:t xml:space="preserve">y focusing on areas of common </w:t>
      </w:r>
      <w:r w:rsidR="007D3F0C">
        <w:rPr>
          <w:rFonts w:asciiTheme="minorHAnsi" w:hAnsiTheme="minorHAnsi" w:cstheme="minorHAnsi"/>
        </w:rPr>
        <w:t>priority</w:t>
      </w:r>
      <w:r w:rsidR="0042236D">
        <w:rPr>
          <w:rFonts w:asciiTheme="minorHAnsi" w:hAnsiTheme="minorHAnsi" w:cstheme="minorHAnsi"/>
        </w:rPr>
        <w:t xml:space="preserve"> - stable macroeconomy and good governance, enhancing peace and security, improving service delivery, reducing vulnerabilities -</w:t>
      </w:r>
      <w:r w:rsidR="00B51668">
        <w:rPr>
          <w:rFonts w:asciiTheme="minorHAnsi" w:hAnsiTheme="minorHAnsi" w:cstheme="minorHAnsi"/>
        </w:rPr>
        <w:t xml:space="preserve"> </w:t>
      </w:r>
      <w:r w:rsidR="000E55C5" w:rsidRPr="00BF17B0">
        <w:rPr>
          <w:rFonts w:asciiTheme="minorHAnsi" w:hAnsiTheme="minorHAnsi" w:cstheme="minorHAnsi"/>
        </w:rPr>
        <w:t xml:space="preserve">strong ownership and impact was also </w:t>
      </w:r>
      <w:r w:rsidR="00054802" w:rsidRPr="00BF17B0">
        <w:rPr>
          <w:rFonts w:asciiTheme="minorHAnsi" w:hAnsiTheme="minorHAnsi" w:cstheme="minorHAnsi"/>
        </w:rPr>
        <w:t>achieved</w:t>
      </w:r>
      <w:r w:rsidR="007D3F0C">
        <w:rPr>
          <w:rFonts w:asciiTheme="minorHAnsi" w:hAnsiTheme="minorHAnsi" w:cstheme="minorHAnsi"/>
        </w:rPr>
        <w:t xml:space="preserve"> from all parties</w:t>
      </w:r>
      <w:r w:rsidR="000E55C5" w:rsidRPr="00BF17B0">
        <w:rPr>
          <w:rFonts w:asciiTheme="minorHAnsi" w:hAnsiTheme="minorHAnsi" w:cstheme="minorHAnsi"/>
        </w:rPr>
        <w:t xml:space="preserve">. </w:t>
      </w:r>
    </w:p>
    <w:p w14:paraId="3EFED51E" w14:textId="2F16C20F" w:rsidR="00B51668" w:rsidRDefault="00FB47B8" w:rsidP="000E55C5">
      <w:pPr>
        <w:rPr>
          <w:rFonts w:asciiTheme="minorHAnsi" w:hAnsiTheme="minorHAnsi" w:cstheme="minorHAnsi"/>
          <w:szCs w:val="24"/>
        </w:rPr>
      </w:pPr>
      <w:r>
        <w:rPr>
          <w:rFonts w:asciiTheme="minorHAnsi" w:hAnsiTheme="minorHAnsi" w:cstheme="minorHAnsi"/>
        </w:rPr>
        <w:t xml:space="preserve">The </w:t>
      </w:r>
      <w:r w:rsidR="00EF2683">
        <w:rPr>
          <w:rFonts w:asciiTheme="minorHAnsi" w:hAnsiTheme="minorHAnsi" w:cstheme="minorHAnsi"/>
        </w:rPr>
        <w:t>PH-PTF</w:t>
      </w:r>
      <w:r w:rsidR="000E55C5" w:rsidRPr="00BF17B0">
        <w:rPr>
          <w:rFonts w:asciiTheme="minorHAnsi" w:hAnsiTheme="minorHAnsi" w:cstheme="minorHAnsi"/>
        </w:rPr>
        <w:t xml:space="preserve"> </w:t>
      </w:r>
      <w:r w:rsidR="000E55C5" w:rsidRPr="00BF17B0">
        <w:rPr>
          <w:rFonts w:asciiTheme="minorHAnsi" w:hAnsiTheme="minorHAnsi" w:cstheme="minorHAnsi"/>
          <w:szCs w:val="24"/>
        </w:rPr>
        <w:t xml:space="preserve">facilitated a </w:t>
      </w:r>
      <w:r w:rsidR="000E55C5" w:rsidRPr="00BF17B0">
        <w:rPr>
          <w:rFonts w:asciiTheme="minorHAnsi" w:hAnsiTheme="minorHAnsi" w:cstheme="minorHAnsi"/>
          <w:b/>
          <w:szCs w:val="24"/>
        </w:rPr>
        <w:t>meaningful and effective collaboration</w:t>
      </w:r>
      <w:r w:rsidR="000E55C5" w:rsidRPr="00BF17B0">
        <w:rPr>
          <w:rFonts w:asciiTheme="minorHAnsi" w:hAnsiTheme="minorHAnsi" w:cstheme="minorHAnsi"/>
          <w:szCs w:val="24"/>
        </w:rPr>
        <w:t xml:space="preserve"> between DFAT and the Bank and strengthened the role of both in advising </w:t>
      </w:r>
      <w:r w:rsidR="00B51668">
        <w:rPr>
          <w:rFonts w:asciiTheme="minorHAnsi" w:hAnsiTheme="minorHAnsi" w:cstheme="minorHAnsi"/>
          <w:szCs w:val="24"/>
        </w:rPr>
        <w:t>the GoP</w:t>
      </w:r>
      <w:r w:rsidR="00B51668" w:rsidRPr="00BF17B0">
        <w:rPr>
          <w:rFonts w:asciiTheme="minorHAnsi" w:hAnsiTheme="minorHAnsi" w:cstheme="minorHAnsi"/>
          <w:szCs w:val="24"/>
        </w:rPr>
        <w:t xml:space="preserve"> </w:t>
      </w:r>
      <w:r w:rsidR="00B51668">
        <w:rPr>
          <w:rFonts w:asciiTheme="minorHAnsi" w:hAnsiTheme="minorHAnsi" w:cstheme="minorHAnsi"/>
          <w:szCs w:val="24"/>
        </w:rPr>
        <w:t>on</w:t>
      </w:r>
      <w:r w:rsidR="00B51668" w:rsidRPr="00BF17B0">
        <w:rPr>
          <w:rFonts w:asciiTheme="minorHAnsi" w:hAnsiTheme="minorHAnsi" w:cstheme="minorHAnsi"/>
          <w:szCs w:val="24"/>
        </w:rPr>
        <w:t xml:space="preserve"> </w:t>
      </w:r>
      <w:r w:rsidR="000E55C5" w:rsidRPr="00BF17B0">
        <w:rPr>
          <w:rFonts w:asciiTheme="minorHAnsi" w:hAnsiTheme="minorHAnsi" w:cstheme="minorHAnsi"/>
          <w:szCs w:val="24"/>
        </w:rPr>
        <w:t>policy</w:t>
      </w:r>
      <w:r w:rsidR="00B51668">
        <w:rPr>
          <w:rFonts w:asciiTheme="minorHAnsi" w:hAnsiTheme="minorHAnsi" w:cstheme="minorHAnsi"/>
          <w:szCs w:val="24"/>
        </w:rPr>
        <w:t xml:space="preserve"> reforms</w:t>
      </w:r>
      <w:r w:rsidR="000E55C5" w:rsidRPr="00BF17B0">
        <w:rPr>
          <w:rFonts w:asciiTheme="minorHAnsi" w:hAnsiTheme="minorHAnsi" w:cstheme="minorHAnsi"/>
          <w:szCs w:val="24"/>
        </w:rPr>
        <w:t xml:space="preserve">. The outputs delivered through both recipient-executed and Bank-executed grants were timely, of high quality, often innovative, and clearly contributed to the achievement of the </w:t>
      </w:r>
      <w:r w:rsidR="00EF2683">
        <w:rPr>
          <w:rFonts w:asciiTheme="minorHAnsi" w:hAnsiTheme="minorHAnsi" w:cstheme="minorHAnsi"/>
          <w:szCs w:val="24"/>
        </w:rPr>
        <w:t>PH-PTF</w:t>
      </w:r>
      <w:r w:rsidR="00B51668">
        <w:rPr>
          <w:rFonts w:asciiTheme="minorHAnsi" w:hAnsiTheme="minorHAnsi" w:cstheme="minorHAnsi"/>
          <w:szCs w:val="24"/>
        </w:rPr>
        <w:t>’s</w:t>
      </w:r>
      <w:r w:rsidR="000E55C5" w:rsidRPr="00BF17B0">
        <w:rPr>
          <w:rFonts w:asciiTheme="minorHAnsi" w:hAnsiTheme="minorHAnsi" w:cstheme="minorHAnsi"/>
          <w:szCs w:val="24"/>
        </w:rPr>
        <w:t xml:space="preserve"> intended outcomes. </w:t>
      </w:r>
    </w:p>
    <w:p w14:paraId="5AE59EA6" w14:textId="30655AF0" w:rsidR="000E55C5" w:rsidRPr="00BF17B0" w:rsidRDefault="00920FD7" w:rsidP="000E55C5">
      <w:pPr>
        <w:rPr>
          <w:rFonts w:asciiTheme="minorHAnsi" w:hAnsiTheme="minorHAnsi" w:cstheme="minorHAnsi"/>
          <w:szCs w:val="24"/>
        </w:rPr>
      </w:pPr>
      <w:r w:rsidRPr="00BF17B0">
        <w:rPr>
          <w:rFonts w:asciiTheme="minorHAnsi" w:hAnsiTheme="minorHAnsi" w:cstheme="minorHAnsi"/>
          <w:szCs w:val="24"/>
        </w:rPr>
        <w:t>S</w:t>
      </w:r>
      <w:r w:rsidR="000E55C5" w:rsidRPr="00BF17B0">
        <w:rPr>
          <w:rFonts w:asciiTheme="minorHAnsi" w:hAnsiTheme="minorHAnsi" w:cstheme="minorHAnsi"/>
          <w:szCs w:val="24"/>
        </w:rPr>
        <w:t xml:space="preserve">ome of the grants under the </w:t>
      </w:r>
      <w:r w:rsidR="00EF2683">
        <w:rPr>
          <w:rFonts w:asciiTheme="minorHAnsi" w:hAnsiTheme="minorHAnsi" w:cstheme="minorHAnsi"/>
          <w:szCs w:val="24"/>
        </w:rPr>
        <w:t>PH-PTF</w:t>
      </w:r>
      <w:r w:rsidR="000E55C5" w:rsidRPr="00BF17B0">
        <w:rPr>
          <w:rFonts w:asciiTheme="minorHAnsi" w:hAnsiTheme="minorHAnsi" w:cstheme="minorHAnsi"/>
          <w:szCs w:val="24"/>
        </w:rPr>
        <w:t xml:space="preserve"> substantially </w:t>
      </w:r>
      <w:r w:rsidR="000E55C5" w:rsidRPr="004B5FB1">
        <w:rPr>
          <w:rFonts w:asciiTheme="minorHAnsi" w:hAnsiTheme="minorHAnsi" w:cstheme="minorHAnsi"/>
          <w:b/>
          <w:szCs w:val="24"/>
        </w:rPr>
        <w:t xml:space="preserve">improved </w:t>
      </w:r>
      <w:r w:rsidR="0038758D" w:rsidRPr="004B5FB1">
        <w:rPr>
          <w:rFonts w:asciiTheme="minorHAnsi" w:hAnsiTheme="minorHAnsi" w:cstheme="minorHAnsi"/>
          <w:b/>
          <w:szCs w:val="24"/>
        </w:rPr>
        <w:t xml:space="preserve">the </w:t>
      </w:r>
      <w:r w:rsidR="000E55C5" w:rsidRPr="004B5FB1">
        <w:rPr>
          <w:rFonts w:asciiTheme="minorHAnsi" w:hAnsiTheme="minorHAnsi" w:cstheme="minorHAnsi"/>
          <w:b/>
          <w:szCs w:val="24"/>
        </w:rPr>
        <w:t>quality of life</w:t>
      </w:r>
      <w:r w:rsidR="000E55C5" w:rsidRPr="00BF17B0">
        <w:rPr>
          <w:rFonts w:asciiTheme="minorHAnsi" w:hAnsiTheme="minorHAnsi" w:cstheme="minorHAnsi"/>
          <w:szCs w:val="24"/>
        </w:rPr>
        <w:t xml:space="preserve"> of beneficiaries, as confirmed by rigorous impact evaluations of </w:t>
      </w:r>
      <w:r w:rsidR="0038758D" w:rsidRPr="00BF17B0">
        <w:rPr>
          <w:rFonts w:asciiTheme="minorHAnsi" w:hAnsiTheme="minorHAnsi" w:cstheme="minorHAnsi"/>
          <w:szCs w:val="24"/>
        </w:rPr>
        <w:t xml:space="preserve">the </w:t>
      </w:r>
      <w:r w:rsidR="000E55C5" w:rsidRPr="00BF17B0">
        <w:rPr>
          <w:rFonts w:asciiTheme="minorHAnsi" w:hAnsiTheme="minorHAnsi" w:cstheme="minorHAnsi"/>
          <w:szCs w:val="24"/>
        </w:rPr>
        <w:t>World Bank investment operations that they co-financed. For example:</w:t>
      </w:r>
    </w:p>
    <w:p w14:paraId="36042816" w14:textId="1EFBF045" w:rsidR="000E55C5" w:rsidRPr="00BF17B0" w:rsidRDefault="000E55C5" w:rsidP="00633549">
      <w:pPr>
        <w:pStyle w:val="ListParagraph"/>
        <w:numPr>
          <w:ilvl w:val="0"/>
          <w:numId w:val="4"/>
        </w:numPr>
        <w:ind w:left="360"/>
        <w:rPr>
          <w:rFonts w:asciiTheme="minorHAnsi" w:hAnsiTheme="minorHAnsi" w:cstheme="minorHAnsi"/>
        </w:rPr>
      </w:pPr>
      <w:r w:rsidRPr="00BF17B0">
        <w:rPr>
          <w:rFonts w:asciiTheme="minorHAnsi" w:hAnsiTheme="minorHAnsi" w:cstheme="minorHAnsi"/>
        </w:rPr>
        <w:t xml:space="preserve">The </w:t>
      </w:r>
      <w:r w:rsidRPr="00BF17B0">
        <w:rPr>
          <w:rFonts w:asciiTheme="minorHAnsi" w:hAnsiTheme="minorHAnsi" w:cstheme="minorHAnsi"/>
          <w:i/>
        </w:rPr>
        <w:t>Pantawid Pamilyang Pilipino Program (4Ps)</w:t>
      </w:r>
      <w:r w:rsidRPr="00BF17B0">
        <w:rPr>
          <w:rFonts w:asciiTheme="minorHAnsi" w:hAnsiTheme="minorHAnsi" w:cstheme="minorHAnsi"/>
        </w:rPr>
        <w:t xml:space="preserve">, the national program for conditional cash transfers, has been recognized as best international practice. The </w:t>
      </w:r>
      <w:r w:rsidR="00EF2683">
        <w:rPr>
          <w:rFonts w:asciiTheme="minorHAnsi" w:hAnsiTheme="minorHAnsi" w:cstheme="minorHAnsi"/>
        </w:rPr>
        <w:t>PH-PTF</w:t>
      </w:r>
      <w:r w:rsidRPr="00BF17B0">
        <w:rPr>
          <w:rFonts w:asciiTheme="minorHAnsi" w:hAnsiTheme="minorHAnsi" w:cstheme="minorHAnsi"/>
        </w:rPr>
        <w:t xml:space="preserve"> provided technical assistance during the </w:t>
      </w:r>
      <w:r w:rsidR="00B51668">
        <w:rPr>
          <w:rFonts w:asciiTheme="minorHAnsi" w:hAnsiTheme="minorHAnsi" w:cstheme="minorHAnsi"/>
        </w:rPr>
        <w:t xml:space="preserve">program’s </w:t>
      </w:r>
      <w:r w:rsidRPr="00BF17B0">
        <w:rPr>
          <w:rFonts w:asciiTheme="minorHAnsi" w:hAnsiTheme="minorHAnsi" w:cstheme="minorHAnsi"/>
        </w:rPr>
        <w:t xml:space="preserve">first and second phases, helping the Department of Social Welfare and Development upgrade the national household targeting system called </w:t>
      </w:r>
      <w:r w:rsidRPr="00BF17B0">
        <w:rPr>
          <w:rFonts w:asciiTheme="minorHAnsi" w:hAnsiTheme="minorHAnsi" w:cstheme="minorHAnsi"/>
          <w:i/>
        </w:rPr>
        <w:t>Listahanan</w:t>
      </w:r>
      <w:r w:rsidRPr="00BF17B0">
        <w:rPr>
          <w:rFonts w:asciiTheme="minorHAnsi" w:hAnsiTheme="minorHAnsi" w:cstheme="minorHAnsi"/>
        </w:rPr>
        <w:t xml:space="preserve">. The system provided a rigorous foundation for </w:t>
      </w:r>
      <w:r w:rsidR="00B51668">
        <w:rPr>
          <w:rFonts w:asciiTheme="minorHAnsi" w:hAnsiTheme="minorHAnsi" w:cstheme="minorHAnsi"/>
        </w:rPr>
        <w:t xml:space="preserve">several of the GoP’s </w:t>
      </w:r>
      <w:r w:rsidRPr="00BF17B0">
        <w:rPr>
          <w:rFonts w:asciiTheme="minorHAnsi" w:hAnsiTheme="minorHAnsi" w:cstheme="minorHAnsi"/>
        </w:rPr>
        <w:t xml:space="preserve">other poverty-targeted programs. </w:t>
      </w:r>
      <w:r w:rsidRPr="00BF17B0">
        <w:rPr>
          <w:rFonts w:asciiTheme="minorHAnsi" w:hAnsiTheme="minorHAnsi" w:cstheme="minorHAnsi"/>
          <w:i/>
        </w:rPr>
        <w:t>Pantawid Pamilya</w:t>
      </w:r>
      <w:r w:rsidRPr="00BF17B0">
        <w:rPr>
          <w:rFonts w:asciiTheme="minorHAnsi" w:hAnsiTheme="minorHAnsi" w:cstheme="minorHAnsi"/>
        </w:rPr>
        <w:t xml:space="preserve"> resulted in substantial improvement in school attendance and maternal </w:t>
      </w:r>
      <w:r w:rsidR="00B51668" w:rsidRPr="00BF17B0">
        <w:rPr>
          <w:rFonts w:asciiTheme="minorHAnsi" w:hAnsiTheme="minorHAnsi" w:cstheme="minorHAnsi"/>
        </w:rPr>
        <w:t xml:space="preserve">health </w:t>
      </w:r>
      <w:r w:rsidR="00B51668">
        <w:rPr>
          <w:rFonts w:asciiTheme="minorHAnsi" w:hAnsiTheme="minorHAnsi" w:cstheme="minorHAnsi"/>
        </w:rPr>
        <w:t xml:space="preserve">for poor children </w:t>
      </w:r>
      <w:r w:rsidR="00B51668" w:rsidRPr="00BF17B0">
        <w:rPr>
          <w:rFonts w:asciiTheme="minorHAnsi" w:hAnsiTheme="minorHAnsi" w:cstheme="minorHAnsi"/>
        </w:rPr>
        <w:t>and</w:t>
      </w:r>
      <w:r w:rsidRPr="00BF17B0">
        <w:rPr>
          <w:rFonts w:asciiTheme="minorHAnsi" w:hAnsiTheme="minorHAnsi" w:cstheme="minorHAnsi"/>
        </w:rPr>
        <w:t xml:space="preserve"> made a major contribution to women empowerment</w:t>
      </w:r>
      <w:r w:rsidR="00B51668">
        <w:rPr>
          <w:rFonts w:asciiTheme="minorHAnsi" w:hAnsiTheme="minorHAnsi" w:cstheme="minorHAnsi"/>
        </w:rPr>
        <w:t xml:space="preserve"> in the country</w:t>
      </w:r>
      <w:r w:rsidRPr="00BF17B0">
        <w:rPr>
          <w:rFonts w:asciiTheme="minorHAnsi" w:hAnsiTheme="minorHAnsi" w:cstheme="minorHAnsi"/>
        </w:rPr>
        <w:t>.</w:t>
      </w:r>
    </w:p>
    <w:p w14:paraId="5882AF67" w14:textId="162AA629" w:rsidR="000E55C5" w:rsidRPr="00BF17B0" w:rsidRDefault="000E55C5" w:rsidP="00633549">
      <w:pPr>
        <w:pStyle w:val="ListParagraph"/>
        <w:numPr>
          <w:ilvl w:val="0"/>
          <w:numId w:val="4"/>
        </w:numPr>
        <w:ind w:left="360"/>
        <w:rPr>
          <w:rFonts w:asciiTheme="minorHAnsi" w:hAnsiTheme="minorHAnsi" w:cstheme="minorHAnsi"/>
        </w:rPr>
      </w:pPr>
      <w:r w:rsidRPr="00BF17B0">
        <w:rPr>
          <w:rFonts w:asciiTheme="minorHAnsi" w:hAnsiTheme="minorHAnsi" w:cstheme="minorHAnsi"/>
        </w:rPr>
        <w:t xml:space="preserve">Grant co-financing for </w:t>
      </w:r>
      <w:r w:rsidRPr="00BF17B0">
        <w:rPr>
          <w:rFonts w:asciiTheme="minorHAnsi" w:hAnsiTheme="minorHAnsi" w:cstheme="minorHAnsi"/>
          <w:i/>
        </w:rPr>
        <w:t>Kapit-bisig Laban sa Kahirapan</w:t>
      </w:r>
      <w:r w:rsidRPr="00BF17B0">
        <w:rPr>
          <w:rFonts w:asciiTheme="minorHAnsi" w:hAnsiTheme="minorHAnsi" w:cstheme="minorHAnsi"/>
        </w:rPr>
        <w:t xml:space="preserve"> - Comprehensive and Integrated Delivery of Social Services (KALAHI-CIDSS) Project enabled the construction of 478 classrooms and 148 day</w:t>
      </w:r>
      <w:r w:rsidR="0042236D">
        <w:rPr>
          <w:rFonts w:asciiTheme="minorHAnsi" w:hAnsiTheme="minorHAnsi" w:cstheme="minorHAnsi"/>
        </w:rPr>
        <w:t xml:space="preserve"> </w:t>
      </w:r>
      <w:r w:rsidRPr="00BF17B0">
        <w:rPr>
          <w:rFonts w:asciiTheme="minorHAnsi" w:hAnsiTheme="minorHAnsi" w:cstheme="minorHAnsi"/>
        </w:rPr>
        <w:t>care centers,</w:t>
      </w:r>
      <w:r w:rsidR="003E752E" w:rsidRPr="00BF17B0">
        <w:rPr>
          <w:rFonts w:asciiTheme="minorHAnsi" w:hAnsiTheme="minorHAnsi" w:cstheme="minorHAnsi"/>
        </w:rPr>
        <w:t xml:space="preserve"> </w:t>
      </w:r>
      <w:r w:rsidRPr="00BF17B0">
        <w:rPr>
          <w:rFonts w:asciiTheme="minorHAnsi" w:hAnsiTheme="minorHAnsi" w:cstheme="minorHAnsi"/>
        </w:rPr>
        <w:t>and benefitted more than 100,000 households. KALAHI-CIDSS pioneered new classroom designs that were subsequently adopted by the Department of Education. The use of community-driven development approaches resulted in the construction of classrooms at less than two-thirds of the average cost of classrooms built by private contractors.</w:t>
      </w:r>
    </w:p>
    <w:p w14:paraId="288FF356" w14:textId="3F117002" w:rsidR="000E55C5" w:rsidRPr="00BF17B0" w:rsidRDefault="000E55C5" w:rsidP="00633549">
      <w:pPr>
        <w:pStyle w:val="ListParagraph"/>
        <w:numPr>
          <w:ilvl w:val="0"/>
          <w:numId w:val="4"/>
        </w:numPr>
        <w:ind w:left="360"/>
        <w:rPr>
          <w:rFonts w:asciiTheme="minorHAnsi" w:hAnsiTheme="minorHAnsi" w:cstheme="minorHAnsi"/>
        </w:rPr>
      </w:pPr>
      <w:r w:rsidRPr="00BF17B0">
        <w:rPr>
          <w:rFonts w:asciiTheme="minorHAnsi" w:hAnsiTheme="minorHAnsi" w:cstheme="minorHAnsi"/>
        </w:rPr>
        <w:t xml:space="preserve">Grant-funding supported </w:t>
      </w:r>
      <w:r w:rsidR="00A84C05" w:rsidRPr="00BF17B0">
        <w:rPr>
          <w:rFonts w:asciiTheme="minorHAnsi" w:hAnsiTheme="minorHAnsi" w:cstheme="minorHAnsi"/>
        </w:rPr>
        <w:t xml:space="preserve">the </w:t>
      </w:r>
      <w:r w:rsidRPr="00BF17B0">
        <w:rPr>
          <w:rFonts w:asciiTheme="minorHAnsi" w:hAnsiTheme="minorHAnsi" w:cstheme="minorHAnsi"/>
        </w:rPr>
        <w:t xml:space="preserve">design and preparation of the </w:t>
      </w:r>
      <w:r w:rsidRPr="00BF17B0">
        <w:rPr>
          <w:rFonts w:asciiTheme="minorHAnsi" w:hAnsiTheme="minorHAnsi" w:cstheme="minorHAnsi"/>
          <w:szCs w:val="24"/>
        </w:rPr>
        <w:t>National Community-Driven Development Project</w:t>
      </w:r>
      <w:r w:rsidRPr="00BF17B0">
        <w:rPr>
          <w:rFonts w:asciiTheme="minorHAnsi" w:hAnsiTheme="minorHAnsi" w:cstheme="minorHAnsi"/>
        </w:rPr>
        <w:t xml:space="preserve"> (ongoing), which was a major expansion of KALAHI-CIDSS. Technical assistance helped prepare a disaster response operations modality (known as DROM), which was essential to deploy community-driven measures for disaster response immediately after Typhoon Haiyan hit the Philippines</w:t>
      </w:r>
      <w:r w:rsidR="00DB4B6A">
        <w:rPr>
          <w:rFonts w:asciiTheme="minorHAnsi" w:hAnsiTheme="minorHAnsi" w:cstheme="minorHAnsi"/>
        </w:rPr>
        <w:t xml:space="preserve"> in 2013</w:t>
      </w:r>
      <w:r w:rsidRPr="00BF17B0">
        <w:rPr>
          <w:rFonts w:asciiTheme="minorHAnsi" w:hAnsiTheme="minorHAnsi" w:cstheme="minorHAnsi"/>
        </w:rPr>
        <w:t>.</w:t>
      </w:r>
    </w:p>
    <w:p w14:paraId="3576F9D1" w14:textId="467C644F" w:rsidR="000E55C5" w:rsidRPr="00BF17B0" w:rsidRDefault="000E55C5" w:rsidP="00633549">
      <w:pPr>
        <w:pStyle w:val="ListParagraph"/>
        <w:numPr>
          <w:ilvl w:val="0"/>
          <w:numId w:val="4"/>
        </w:numPr>
        <w:ind w:left="360"/>
        <w:rPr>
          <w:rFonts w:asciiTheme="minorHAnsi" w:hAnsiTheme="minorHAnsi" w:cstheme="minorHAnsi"/>
        </w:rPr>
      </w:pPr>
      <w:r w:rsidRPr="00BF17B0">
        <w:rPr>
          <w:rFonts w:asciiTheme="minorHAnsi" w:hAnsiTheme="minorHAnsi" w:cstheme="minorHAnsi"/>
        </w:rPr>
        <w:t xml:space="preserve">The grant for the Mindanao Rural Development Project Phase II complemented a World Bank loan. The project aimed to improve the livelihood of poor rural households, indigenous peoples, and the agriculture sector in Mindanao. The loan reached over 1.9 million beneficiaries, 49 percent of whom were women and 32 percent indigenous peoples. The </w:t>
      </w:r>
      <w:r w:rsidR="00EF2683">
        <w:rPr>
          <w:rFonts w:asciiTheme="minorHAnsi" w:hAnsiTheme="minorHAnsi" w:cstheme="minorHAnsi"/>
        </w:rPr>
        <w:t>PH-PTF</w:t>
      </w:r>
      <w:r w:rsidRPr="00BF17B0">
        <w:rPr>
          <w:rFonts w:asciiTheme="minorHAnsi" w:hAnsiTheme="minorHAnsi" w:cstheme="minorHAnsi"/>
        </w:rPr>
        <w:t xml:space="preserve"> grant provided vital technical assistance and helped in the subsequent expansion of the project to a national Philippine Rural Development Project (ongoing)</w:t>
      </w:r>
      <w:r w:rsidR="00DB4B6A">
        <w:rPr>
          <w:rFonts w:asciiTheme="minorHAnsi" w:hAnsiTheme="minorHAnsi" w:cstheme="minorHAnsi"/>
        </w:rPr>
        <w:t xml:space="preserve"> led by the Department of Agriculture</w:t>
      </w:r>
      <w:r w:rsidRPr="00BF17B0">
        <w:rPr>
          <w:rFonts w:asciiTheme="minorHAnsi" w:hAnsiTheme="minorHAnsi" w:cstheme="minorHAnsi"/>
        </w:rPr>
        <w:t>.</w:t>
      </w:r>
    </w:p>
    <w:p w14:paraId="3B4FC400" w14:textId="1C043DD8" w:rsidR="009C2776" w:rsidRDefault="000E55C5" w:rsidP="000E55C5">
      <w:pPr>
        <w:rPr>
          <w:rFonts w:asciiTheme="minorHAnsi" w:hAnsiTheme="minorHAnsi" w:cstheme="minorHAnsi"/>
          <w:szCs w:val="24"/>
        </w:rPr>
      </w:pPr>
      <w:r w:rsidRPr="00BF17B0">
        <w:rPr>
          <w:rFonts w:asciiTheme="minorHAnsi" w:hAnsiTheme="minorHAnsi" w:cstheme="minorHAnsi"/>
          <w:szCs w:val="24"/>
        </w:rPr>
        <w:t xml:space="preserve">Although with some delays, a results framework </w:t>
      </w:r>
      <w:r w:rsidR="009C2776">
        <w:rPr>
          <w:rFonts w:asciiTheme="minorHAnsi" w:hAnsiTheme="minorHAnsi" w:cstheme="minorHAnsi"/>
          <w:szCs w:val="24"/>
        </w:rPr>
        <w:t xml:space="preserve">was developed for the </w:t>
      </w:r>
      <w:r w:rsidR="00EF2683">
        <w:rPr>
          <w:rFonts w:asciiTheme="minorHAnsi" w:hAnsiTheme="minorHAnsi" w:cstheme="minorHAnsi"/>
          <w:szCs w:val="24"/>
        </w:rPr>
        <w:t>PH-PTF</w:t>
      </w:r>
      <w:r w:rsidR="009C2776">
        <w:rPr>
          <w:rFonts w:asciiTheme="minorHAnsi" w:hAnsiTheme="minorHAnsi" w:cstheme="minorHAnsi"/>
          <w:szCs w:val="24"/>
        </w:rPr>
        <w:t xml:space="preserve"> </w:t>
      </w:r>
      <w:r w:rsidRPr="00BF17B0">
        <w:rPr>
          <w:rFonts w:asciiTheme="minorHAnsi" w:hAnsiTheme="minorHAnsi" w:cstheme="minorHAnsi"/>
          <w:szCs w:val="24"/>
        </w:rPr>
        <w:t xml:space="preserve">around four strategic priority areas and </w:t>
      </w:r>
      <w:r w:rsidR="009C2776" w:rsidRPr="004B5FB1">
        <w:rPr>
          <w:rFonts w:asciiTheme="minorHAnsi" w:hAnsiTheme="minorHAnsi" w:cstheme="minorHAnsi"/>
          <w:b/>
          <w:szCs w:val="24"/>
        </w:rPr>
        <w:t>substantial results were measures and evaluated</w:t>
      </w:r>
      <w:r w:rsidR="009C2776">
        <w:rPr>
          <w:rFonts w:asciiTheme="minorHAnsi" w:hAnsiTheme="minorHAnsi" w:cstheme="minorHAnsi"/>
          <w:szCs w:val="24"/>
        </w:rPr>
        <w:t xml:space="preserve">.  </w:t>
      </w:r>
      <w:r w:rsidRPr="00BF17B0">
        <w:rPr>
          <w:rFonts w:asciiTheme="minorHAnsi" w:hAnsiTheme="minorHAnsi" w:cstheme="minorHAnsi"/>
          <w:szCs w:val="24"/>
        </w:rPr>
        <w:t xml:space="preserve">Many of the outcomes from grants implemented in the early years of the </w:t>
      </w:r>
      <w:r w:rsidR="00EF2683">
        <w:rPr>
          <w:rFonts w:asciiTheme="minorHAnsi" w:hAnsiTheme="minorHAnsi" w:cstheme="minorHAnsi"/>
          <w:szCs w:val="24"/>
        </w:rPr>
        <w:t>PH-PTF</w:t>
      </w:r>
      <w:r w:rsidRPr="00BF17B0">
        <w:rPr>
          <w:rFonts w:asciiTheme="minorHAnsi" w:hAnsiTheme="minorHAnsi" w:cstheme="minorHAnsi"/>
          <w:szCs w:val="24"/>
        </w:rPr>
        <w:t xml:space="preserve"> were sustained over time and laid solid foundations for future</w:t>
      </w:r>
      <w:r w:rsidR="009C2776">
        <w:rPr>
          <w:rFonts w:asciiTheme="minorHAnsi" w:hAnsiTheme="minorHAnsi" w:cstheme="minorHAnsi"/>
          <w:szCs w:val="24"/>
        </w:rPr>
        <w:t xml:space="preserve"> policy reforms</w:t>
      </w:r>
      <w:r w:rsidRPr="00BF17B0">
        <w:rPr>
          <w:rFonts w:asciiTheme="minorHAnsi" w:hAnsiTheme="minorHAnsi" w:cstheme="minorHAnsi"/>
          <w:szCs w:val="24"/>
        </w:rPr>
        <w:t xml:space="preserve">. </w:t>
      </w:r>
    </w:p>
    <w:p w14:paraId="20165A6A" w14:textId="57A3B71C" w:rsidR="000E55C5" w:rsidRPr="00BF17B0" w:rsidRDefault="009C2776" w:rsidP="000E55C5">
      <w:pPr>
        <w:rPr>
          <w:rFonts w:asciiTheme="minorHAnsi" w:hAnsiTheme="minorHAnsi" w:cstheme="minorHAnsi"/>
          <w:szCs w:val="24"/>
        </w:rPr>
      </w:pPr>
      <w:r>
        <w:rPr>
          <w:rFonts w:asciiTheme="minorHAnsi" w:hAnsiTheme="minorHAnsi" w:cstheme="minorHAnsi"/>
          <w:szCs w:val="24"/>
        </w:rPr>
        <w:t>A</w:t>
      </w:r>
      <w:r w:rsidR="000E55C5" w:rsidRPr="00BF17B0">
        <w:rPr>
          <w:rFonts w:asciiTheme="minorHAnsi" w:hAnsiTheme="minorHAnsi" w:cstheme="minorHAnsi"/>
          <w:szCs w:val="24"/>
        </w:rPr>
        <w:t xml:space="preserve">lthough </w:t>
      </w:r>
      <w:r w:rsidR="000E55C5" w:rsidRPr="004B5FB1">
        <w:rPr>
          <w:rFonts w:asciiTheme="minorHAnsi" w:hAnsiTheme="minorHAnsi" w:cstheme="minorHAnsi"/>
          <w:b/>
          <w:szCs w:val="24"/>
        </w:rPr>
        <w:t>cross-cutting themes</w:t>
      </w:r>
      <w:r w:rsidR="000E55C5" w:rsidRPr="00BF17B0">
        <w:rPr>
          <w:rFonts w:asciiTheme="minorHAnsi" w:hAnsiTheme="minorHAnsi" w:cstheme="minorHAnsi"/>
          <w:szCs w:val="24"/>
        </w:rPr>
        <w:t xml:space="preserve"> </w:t>
      </w:r>
      <w:r w:rsidRPr="004B5FB1">
        <w:rPr>
          <w:rFonts w:asciiTheme="minorHAnsi" w:hAnsiTheme="minorHAnsi" w:cstheme="minorHAnsi"/>
          <w:b/>
          <w:szCs w:val="24"/>
        </w:rPr>
        <w:t>and global priorities</w:t>
      </w:r>
      <w:r>
        <w:rPr>
          <w:rFonts w:asciiTheme="minorHAnsi" w:hAnsiTheme="minorHAnsi" w:cstheme="minorHAnsi"/>
          <w:szCs w:val="24"/>
        </w:rPr>
        <w:t xml:space="preserve"> </w:t>
      </w:r>
      <w:r w:rsidR="000E55C5" w:rsidRPr="00BF17B0">
        <w:rPr>
          <w:rFonts w:asciiTheme="minorHAnsi" w:hAnsiTheme="minorHAnsi" w:cstheme="minorHAnsi"/>
          <w:szCs w:val="24"/>
        </w:rPr>
        <w:t>such as gender equality, disability, indigenous peoples, climate change and disaster</w:t>
      </w:r>
      <w:r>
        <w:rPr>
          <w:rFonts w:asciiTheme="minorHAnsi" w:hAnsiTheme="minorHAnsi" w:cstheme="minorHAnsi"/>
          <w:szCs w:val="24"/>
        </w:rPr>
        <w:t xml:space="preserve"> risk management</w:t>
      </w:r>
      <w:r w:rsidR="000E55C5" w:rsidRPr="00BF17B0">
        <w:rPr>
          <w:rFonts w:asciiTheme="minorHAnsi" w:hAnsiTheme="minorHAnsi" w:cstheme="minorHAnsi"/>
          <w:szCs w:val="24"/>
        </w:rPr>
        <w:t xml:space="preserve">, innovation and private sector engagement were not formally specified in the </w:t>
      </w:r>
      <w:r w:rsidR="00EF2683">
        <w:rPr>
          <w:rFonts w:asciiTheme="minorHAnsi" w:hAnsiTheme="minorHAnsi" w:cstheme="minorHAnsi"/>
          <w:szCs w:val="24"/>
        </w:rPr>
        <w:t>PH-PTF</w:t>
      </w:r>
      <w:r>
        <w:rPr>
          <w:rFonts w:asciiTheme="minorHAnsi" w:hAnsiTheme="minorHAnsi" w:cstheme="minorHAnsi"/>
          <w:szCs w:val="24"/>
        </w:rPr>
        <w:t>’s</w:t>
      </w:r>
      <w:r w:rsidR="000E55C5" w:rsidRPr="00BF17B0">
        <w:rPr>
          <w:rFonts w:asciiTheme="minorHAnsi" w:hAnsiTheme="minorHAnsi" w:cstheme="minorHAnsi"/>
          <w:szCs w:val="24"/>
        </w:rPr>
        <w:t xml:space="preserve"> </w:t>
      </w:r>
      <w:r>
        <w:rPr>
          <w:rFonts w:asciiTheme="minorHAnsi" w:hAnsiTheme="minorHAnsi" w:cstheme="minorHAnsi"/>
          <w:szCs w:val="24"/>
        </w:rPr>
        <w:t>A</w:t>
      </w:r>
      <w:r w:rsidR="000E55C5" w:rsidRPr="00BF17B0">
        <w:rPr>
          <w:rFonts w:asciiTheme="minorHAnsi" w:hAnsiTheme="minorHAnsi" w:cstheme="minorHAnsi"/>
          <w:szCs w:val="24"/>
        </w:rPr>
        <w:t xml:space="preserve">dministration </w:t>
      </w:r>
      <w:r>
        <w:rPr>
          <w:rFonts w:asciiTheme="minorHAnsi" w:hAnsiTheme="minorHAnsi" w:cstheme="minorHAnsi"/>
          <w:szCs w:val="24"/>
        </w:rPr>
        <w:t>A</w:t>
      </w:r>
      <w:r w:rsidR="000E55C5" w:rsidRPr="00BF17B0">
        <w:rPr>
          <w:rFonts w:asciiTheme="minorHAnsi" w:hAnsiTheme="minorHAnsi" w:cstheme="minorHAnsi"/>
          <w:szCs w:val="24"/>
        </w:rPr>
        <w:t xml:space="preserve">greement, a number of </w:t>
      </w:r>
      <w:r w:rsidR="00EF2683">
        <w:rPr>
          <w:rFonts w:asciiTheme="minorHAnsi" w:hAnsiTheme="minorHAnsi" w:cstheme="minorHAnsi"/>
          <w:szCs w:val="24"/>
        </w:rPr>
        <w:t>PH-PTF</w:t>
      </w:r>
      <w:r w:rsidR="000E55C5" w:rsidRPr="00BF17B0">
        <w:rPr>
          <w:rFonts w:asciiTheme="minorHAnsi" w:hAnsiTheme="minorHAnsi" w:cstheme="minorHAnsi"/>
          <w:szCs w:val="24"/>
        </w:rPr>
        <w:t xml:space="preserve"> grants made substantial contribution to outcomes related to these themes. </w:t>
      </w:r>
    </w:p>
    <w:p w14:paraId="12FB396E" w14:textId="0AF388EF" w:rsidR="00C309E3" w:rsidRPr="00BF17B0" w:rsidRDefault="00C309E3" w:rsidP="00C309E3">
      <w:pPr>
        <w:rPr>
          <w:rFonts w:asciiTheme="minorHAnsi" w:hAnsiTheme="minorHAnsi" w:cstheme="minorHAnsi"/>
        </w:rPr>
      </w:pPr>
      <w:r>
        <w:rPr>
          <w:rFonts w:asciiTheme="minorHAnsi" w:eastAsia="Times New Roman" w:hAnsiTheme="minorHAnsi" w:cstheme="minorHAnsi"/>
          <w:color w:val="000000"/>
          <w:lang w:eastAsia="en-GB"/>
        </w:rPr>
        <w:t xml:space="preserve">The </w:t>
      </w:r>
      <w:r w:rsidR="00EF2683">
        <w:rPr>
          <w:rFonts w:asciiTheme="minorHAnsi" w:eastAsia="Times New Roman" w:hAnsiTheme="minorHAnsi" w:cstheme="minorHAnsi"/>
          <w:color w:val="000000"/>
          <w:lang w:eastAsia="en-GB"/>
        </w:rPr>
        <w:t>PH-PTF</w:t>
      </w:r>
      <w:r w:rsidRPr="00BF17B0">
        <w:rPr>
          <w:rFonts w:asciiTheme="minorHAnsi" w:eastAsia="Times New Roman" w:hAnsiTheme="minorHAnsi" w:cstheme="minorHAnsi"/>
          <w:color w:val="000000"/>
          <w:lang w:eastAsia="en-GB"/>
        </w:rPr>
        <w:t xml:space="preserve"> </w:t>
      </w:r>
      <w:r>
        <w:rPr>
          <w:rFonts w:asciiTheme="minorHAnsi" w:eastAsia="Times New Roman" w:hAnsiTheme="minorHAnsi" w:cstheme="minorHAnsi"/>
          <w:color w:val="000000"/>
          <w:lang w:eastAsia="en-GB"/>
        </w:rPr>
        <w:t>promoted</w:t>
      </w:r>
      <w:r w:rsidRPr="00BF17B0">
        <w:rPr>
          <w:rFonts w:asciiTheme="minorHAnsi" w:eastAsia="Times New Roman" w:hAnsiTheme="minorHAnsi" w:cstheme="minorHAnsi"/>
          <w:color w:val="000000"/>
          <w:lang w:eastAsia="en-GB"/>
        </w:rPr>
        <w:t xml:space="preserve"> substantial </w:t>
      </w:r>
      <w:r w:rsidRPr="004B5FB1">
        <w:rPr>
          <w:rFonts w:asciiTheme="minorHAnsi" w:eastAsia="Times New Roman" w:hAnsiTheme="minorHAnsi" w:cstheme="minorHAnsi"/>
          <w:b/>
          <w:color w:val="000000"/>
          <w:lang w:eastAsia="en-GB"/>
        </w:rPr>
        <w:t>leveraging of World Bank financing and expertise</w:t>
      </w:r>
      <w:r w:rsidRPr="00BF17B0">
        <w:rPr>
          <w:rFonts w:asciiTheme="minorHAnsi" w:eastAsia="Times New Roman" w:hAnsiTheme="minorHAnsi" w:cstheme="minorHAnsi"/>
          <w:color w:val="000000"/>
          <w:lang w:eastAsia="en-GB"/>
        </w:rPr>
        <w:t xml:space="preserve">, because </w:t>
      </w:r>
      <w:r w:rsidR="00EF2683">
        <w:rPr>
          <w:rFonts w:asciiTheme="minorHAnsi" w:eastAsia="Times New Roman" w:hAnsiTheme="minorHAnsi" w:cstheme="minorHAnsi"/>
          <w:color w:val="000000"/>
          <w:lang w:eastAsia="en-GB"/>
        </w:rPr>
        <w:t>PH-PTF</w:t>
      </w:r>
      <w:r w:rsidRPr="00BF17B0">
        <w:rPr>
          <w:rFonts w:asciiTheme="minorHAnsi" w:eastAsia="Times New Roman" w:hAnsiTheme="minorHAnsi" w:cstheme="minorHAnsi"/>
          <w:color w:val="000000"/>
          <w:lang w:eastAsia="en-GB"/>
        </w:rPr>
        <w:t xml:space="preserve"> financed activities benefitted from the same level of due diligence as Bank-financed investments and advisory services and analytics (ASA).  Because of the </w:t>
      </w:r>
      <w:r w:rsidR="00EF2683">
        <w:rPr>
          <w:rFonts w:asciiTheme="minorHAnsi" w:eastAsia="Times New Roman" w:hAnsiTheme="minorHAnsi" w:cstheme="minorHAnsi"/>
          <w:color w:val="000000"/>
          <w:lang w:eastAsia="en-GB"/>
        </w:rPr>
        <w:t>PH-PTF</w:t>
      </w:r>
      <w:r w:rsidRPr="00BF17B0">
        <w:rPr>
          <w:rFonts w:asciiTheme="minorHAnsi" w:eastAsia="Times New Roman" w:hAnsiTheme="minorHAnsi" w:cstheme="minorHAnsi"/>
          <w:color w:val="000000"/>
          <w:lang w:eastAsia="en-GB"/>
        </w:rPr>
        <w:t xml:space="preserve">, the Bank's ASA program in the Philippines was about 50 percent larger </w:t>
      </w:r>
      <w:r>
        <w:rPr>
          <w:rFonts w:asciiTheme="minorHAnsi" w:eastAsia="Times New Roman" w:hAnsiTheme="minorHAnsi" w:cstheme="minorHAnsi"/>
          <w:color w:val="000000"/>
          <w:lang w:eastAsia="en-GB"/>
        </w:rPr>
        <w:t xml:space="preserve">and significantly more flexible and responsive to changing priorities </w:t>
      </w:r>
      <w:r w:rsidRPr="00BF17B0">
        <w:rPr>
          <w:rFonts w:asciiTheme="minorHAnsi" w:eastAsia="Times New Roman" w:hAnsiTheme="minorHAnsi" w:cstheme="minorHAnsi"/>
          <w:color w:val="000000"/>
          <w:lang w:eastAsia="en-GB"/>
        </w:rPr>
        <w:t xml:space="preserve">than it would have been </w:t>
      </w:r>
      <w:r>
        <w:rPr>
          <w:rFonts w:asciiTheme="minorHAnsi" w:eastAsia="Times New Roman" w:hAnsiTheme="minorHAnsi" w:cstheme="minorHAnsi"/>
          <w:color w:val="000000"/>
          <w:lang w:eastAsia="en-GB"/>
        </w:rPr>
        <w:t>in the absence of the</w:t>
      </w:r>
      <w:r w:rsidRPr="00BF17B0">
        <w:rPr>
          <w:rFonts w:asciiTheme="minorHAnsi" w:eastAsia="Times New Roman" w:hAnsiTheme="minorHAnsi" w:cstheme="minorHAnsi"/>
          <w:color w:val="000000"/>
          <w:lang w:eastAsia="en-GB"/>
        </w:rPr>
        <w:t xml:space="preserve"> </w:t>
      </w:r>
      <w:r w:rsidR="00EF2683">
        <w:rPr>
          <w:rFonts w:asciiTheme="minorHAnsi" w:eastAsia="Times New Roman" w:hAnsiTheme="minorHAnsi" w:cstheme="minorHAnsi"/>
          <w:color w:val="000000"/>
          <w:lang w:eastAsia="en-GB"/>
        </w:rPr>
        <w:t>PH-PTF</w:t>
      </w:r>
      <w:r w:rsidRPr="00BF17B0">
        <w:rPr>
          <w:rFonts w:asciiTheme="minorHAnsi" w:eastAsia="Times New Roman" w:hAnsiTheme="minorHAnsi" w:cstheme="minorHAnsi"/>
          <w:color w:val="000000"/>
          <w:lang w:eastAsia="en-GB"/>
        </w:rPr>
        <w:t xml:space="preserve">. </w:t>
      </w:r>
    </w:p>
    <w:p w14:paraId="1B81F972" w14:textId="3BD8F07F" w:rsidR="009C2776" w:rsidRPr="00BF17B0" w:rsidRDefault="009C2776" w:rsidP="009C2776">
      <w:pPr>
        <w:rPr>
          <w:rFonts w:asciiTheme="minorHAnsi" w:hAnsiTheme="minorHAnsi" w:cstheme="minorHAnsi"/>
        </w:rPr>
      </w:pPr>
      <w:r w:rsidRPr="00BF17B0">
        <w:rPr>
          <w:rFonts w:asciiTheme="minorHAnsi" w:hAnsiTheme="minorHAnsi" w:cstheme="minorHAnsi"/>
        </w:rPr>
        <w:t xml:space="preserve">The </w:t>
      </w:r>
      <w:r w:rsidR="00C309E3">
        <w:rPr>
          <w:rFonts w:asciiTheme="minorHAnsi" w:hAnsiTheme="minorHAnsi" w:cstheme="minorHAnsi"/>
        </w:rPr>
        <w:t xml:space="preserve">governance </w:t>
      </w:r>
      <w:r w:rsidR="00DF4621">
        <w:rPr>
          <w:rFonts w:asciiTheme="minorHAnsi" w:hAnsiTheme="minorHAnsi" w:cstheme="minorHAnsi"/>
        </w:rPr>
        <w:t xml:space="preserve">arrangements </w:t>
      </w:r>
      <w:r w:rsidR="00C309E3">
        <w:rPr>
          <w:rFonts w:asciiTheme="minorHAnsi" w:hAnsiTheme="minorHAnsi" w:cstheme="minorHAnsi"/>
        </w:rPr>
        <w:t xml:space="preserve">of the </w:t>
      </w:r>
      <w:r w:rsidR="00EF2683">
        <w:rPr>
          <w:rFonts w:asciiTheme="minorHAnsi" w:hAnsiTheme="minorHAnsi" w:cstheme="minorHAnsi"/>
        </w:rPr>
        <w:t>PH-PTF</w:t>
      </w:r>
      <w:r w:rsidR="00C309E3">
        <w:rPr>
          <w:rFonts w:asciiTheme="minorHAnsi" w:hAnsiTheme="minorHAnsi" w:cstheme="minorHAnsi"/>
        </w:rPr>
        <w:t xml:space="preserve"> was </w:t>
      </w:r>
      <w:r w:rsidR="00C309E3" w:rsidRPr="004B5FB1">
        <w:rPr>
          <w:rFonts w:asciiTheme="minorHAnsi" w:hAnsiTheme="minorHAnsi" w:cstheme="minorHAnsi"/>
          <w:b/>
        </w:rPr>
        <w:t>efficient and effective</w:t>
      </w:r>
      <w:r w:rsidR="00F5639C">
        <w:rPr>
          <w:rFonts w:asciiTheme="minorHAnsi" w:hAnsiTheme="minorHAnsi" w:cstheme="minorHAnsi"/>
        </w:rPr>
        <w:t xml:space="preserve">.  Grants were allocated </w:t>
      </w:r>
      <w:r w:rsidR="00DF4621">
        <w:rPr>
          <w:rFonts w:asciiTheme="minorHAnsi" w:hAnsiTheme="minorHAnsi" w:cstheme="minorHAnsi"/>
        </w:rPr>
        <w:t xml:space="preserve">by the Steering Committee </w:t>
      </w:r>
      <w:r w:rsidRPr="00BF17B0">
        <w:rPr>
          <w:rFonts w:asciiTheme="minorHAnsi" w:hAnsiTheme="minorHAnsi" w:cstheme="minorHAnsi"/>
        </w:rPr>
        <w:t xml:space="preserve">primarily through competitive rounds where World Bank task team leaders were invited to submit proposals in accordance with certain parameters. This process was found effective and transparent. It was complemented by the occasional use of more direct </w:t>
      </w:r>
      <w:r w:rsidR="00F5639C" w:rsidRPr="00BF17B0">
        <w:rPr>
          <w:rFonts w:asciiTheme="minorHAnsi" w:hAnsiTheme="minorHAnsi" w:cstheme="minorHAnsi"/>
        </w:rPr>
        <w:t>interventions when</w:t>
      </w:r>
      <w:r w:rsidRPr="00BF17B0">
        <w:rPr>
          <w:rFonts w:asciiTheme="minorHAnsi" w:hAnsiTheme="minorHAnsi" w:cstheme="minorHAnsi"/>
        </w:rPr>
        <w:t xml:space="preserve"> the Steering Committee deemed it appropriate to respond to emerging priorities or changing circumstances. Overall the approach balanced the advantages of competitive transparent bidding and the occasional </w:t>
      </w:r>
      <w:r w:rsidR="00F5639C">
        <w:rPr>
          <w:rFonts w:asciiTheme="minorHAnsi" w:hAnsiTheme="minorHAnsi" w:cstheme="minorHAnsi"/>
        </w:rPr>
        <w:t>need for a quick response to an emerging priority</w:t>
      </w:r>
      <w:r w:rsidRPr="00BF17B0">
        <w:rPr>
          <w:rFonts w:asciiTheme="minorHAnsi" w:hAnsiTheme="minorHAnsi" w:cstheme="minorHAnsi"/>
        </w:rPr>
        <w:t xml:space="preserve">. </w:t>
      </w:r>
    </w:p>
    <w:p w14:paraId="3FC03CCB" w14:textId="3A421502" w:rsidR="00EF2683" w:rsidRPr="00BF17B0" w:rsidRDefault="00EF2683" w:rsidP="00EF2683">
      <w:pPr>
        <w:rPr>
          <w:rFonts w:asciiTheme="minorHAnsi" w:hAnsiTheme="minorHAnsi" w:cstheme="minorHAnsi"/>
        </w:rPr>
      </w:pPr>
      <w:r>
        <w:rPr>
          <w:rFonts w:asciiTheme="minorHAnsi" w:hAnsiTheme="minorHAnsi" w:cstheme="minorHAnsi"/>
        </w:rPr>
        <w:t>The</w:t>
      </w:r>
      <w:r w:rsidR="00DF4621">
        <w:rPr>
          <w:rFonts w:asciiTheme="minorHAnsi" w:hAnsiTheme="minorHAnsi" w:cstheme="minorHAnsi"/>
        </w:rPr>
        <w:t xml:space="preserve"> programmatic structure of PH-PTF allowed it to be </w:t>
      </w:r>
      <w:r w:rsidR="00DF4621" w:rsidRPr="004B5FB1">
        <w:rPr>
          <w:rFonts w:asciiTheme="minorHAnsi" w:hAnsiTheme="minorHAnsi" w:cstheme="minorHAnsi"/>
          <w:b/>
        </w:rPr>
        <w:t>flexible and responsive</w:t>
      </w:r>
      <w:r w:rsidR="00DF4621">
        <w:rPr>
          <w:rFonts w:asciiTheme="minorHAnsi" w:hAnsiTheme="minorHAnsi" w:cstheme="minorHAnsi"/>
          <w:b/>
        </w:rPr>
        <w:t xml:space="preserve"> to evolving needs of the GoP</w:t>
      </w:r>
      <w:r w:rsidRPr="00BF17B0">
        <w:rPr>
          <w:rFonts w:asciiTheme="minorHAnsi" w:hAnsiTheme="minorHAnsi" w:cstheme="minorHAnsi"/>
        </w:rPr>
        <w:t xml:space="preserve">. </w:t>
      </w:r>
      <w:r w:rsidR="00DF4621">
        <w:rPr>
          <w:rFonts w:asciiTheme="minorHAnsi" w:hAnsiTheme="minorHAnsi" w:cstheme="minorHAnsi"/>
        </w:rPr>
        <w:t xml:space="preserve"> The </w:t>
      </w:r>
      <w:r w:rsidR="00DF4621" w:rsidRPr="00BF17B0">
        <w:rPr>
          <w:rFonts w:asciiTheme="minorHAnsi" w:hAnsiTheme="minorHAnsi" w:cstheme="minorHAnsi"/>
        </w:rPr>
        <w:t xml:space="preserve">Bank and DFAT agreed </w:t>
      </w:r>
      <w:r w:rsidR="004B5FB1">
        <w:rPr>
          <w:rFonts w:asciiTheme="minorHAnsi" w:hAnsiTheme="minorHAnsi" w:cstheme="minorHAnsi"/>
        </w:rPr>
        <w:t xml:space="preserve">upfront </w:t>
      </w:r>
      <w:r w:rsidR="00DF4621" w:rsidRPr="00BF17B0">
        <w:rPr>
          <w:rFonts w:asciiTheme="minorHAnsi" w:hAnsiTheme="minorHAnsi" w:cstheme="minorHAnsi"/>
        </w:rPr>
        <w:t>on the broad parameters for establishing the trust fund</w:t>
      </w:r>
      <w:r w:rsidR="004B5FB1">
        <w:rPr>
          <w:rFonts w:asciiTheme="minorHAnsi" w:hAnsiTheme="minorHAnsi" w:cstheme="minorHAnsi"/>
        </w:rPr>
        <w:t xml:space="preserve"> but the</w:t>
      </w:r>
      <w:r w:rsidR="00DF4621">
        <w:rPr>
          <w:rFonts w:asciiTheme="minorHAnsi" w:hAnsiTheme="minorHAnsi" w:cstheme="minorHAnsi"/>
        </w:rPr>
        <w:t xml:space="preserve"> specific activities to be supported by PH-PTF were decided by the Steering Committee</w:t>
      </w:r>
      <w:r w:rsidR="004B5FB1">
        <w:rPr>
          <w:rFonts w:asciiTheme="minorHAnsi" w:hAnsiTheme="minorHAnsi" w:cstheme="minorHAnsi"/>
        </w:rPr>
        <w:t xml:space="preserve"> during the course of implementation</w:t>
      </w:r>
      <w:r w:rsidR="00DF4621">
        <w:rPr>
          <w:rFonts w:asciiTheme="minorHAnsi" w:hAnsiTheme="minorHAnsi" w:cstheme="minorHAnsi"/>
        </w:rPr>
        <w:t xml:space="preserve">. </w:t>
      </w:r>
      <w:r>
        <w:rPr>
          <w:rFonts w:asciiTheme="minorHAnsi" w:hAnsiTheme="minorHAnsi" w:cstheme="minorHAnsi"/>
        </w:rPr>
        <w:t>Multiple evaluations</w:t>
      </w:r>
      <w:r>
        <w:rPr>
          <w:rStyle w:val="FootnoteReference"/>
          <w:rFonts w:asciiTheme="minorHAnsi" w:hAnsiTheme="minorHAnsi" w:cstheme="minorHAnsi"/>
        </w:rPr>
        <w:footnoteReference w:id="2"/>
      </w:r>
      <w:r>
        <w:rPr>
          <w:rFonts w:asciiTheme="minorHAnsi" w:hAnsiTheme="minorHAnsi" w:cstheme="minorHAnsi"/>
        </w:rPr>
        <w:t xml:space="preserve"> have shown the programmatic and flexible trust fund model to be the most effective and i</w:t>
      </w:r>
      <w:r w:rsidRPr="00BF17B0">
        <w:rPr>
          <w:rFonts w:asciiTheme="minorHAnsi" w:hAnsiTheme="minorHAnsi" w:cstheme="minorHAnsi"/>
        </w:rPr>
        <w:t xml:space="preserve">t is noteworthy that the programmatic trust fund model </w:t>
      </w:r>
      <w:r>
        <w:rPr>
          <w:rFonts w:asciiTheme="minorHAnsi" w:hAnsiTheme="minorHAnsi" w:cstheme="minorHAnsi"/>
        </w:rPr>
        <w:t xml:space="preserve">established in the Philippines </w:t>
      </w:r>
      <w:r w:rsidRPr="00BF17B0">
        <w:rPr>
          <w:rFonts w:asciiTheme="minorHAnsi" w:hAnsiTheme="minorHAnsi" w:cstheme="minorHAnsi"/>
        </w:rPr>
        <w:t xml:space="preserve">was later used by DFAT and the World Bank in other Southeast Asian countries, confirming that both parties </w:t>
      </w:r>
      <w:r>
        <w:rPr>
          <w:rFonts w:asciiTheme="minorHAnsi" w:hAnsiTheme="minorHAnsi" w:cstheme="minorHAnsi"/>
        </w:rPr>
        <w:t xml:space="preserve">have found it to be </w:t>
      </w:r>
      <w:r w:rsidRPr="00BF17B0">
        <w:rPr>
          <w:rFonts w:asciiTheme="minorHAnsi" w:hAnsiTheme="minorHAnsi" w:cstheme="minorHAnsi"/>
        </w:rPr>
        <w:t xml:space="preserve">an effective platform for </w:t>
      </w:r>
      <w:r>
        <w:rPr>
          <w:rFonts w:asciiTheme="minorHAnsi" w:hAnsiTheme="minorHAnsi" w:cstheme="minorHAnsi"/>
        </w:rPr>
        <w:t>collaboration</w:t>
      </w:r>
      <w:r w:rsidRPr="00BF17B0">
        <w:rPr>
          <w:rFonts w:asciiTheme="minorHAnsi" w:hAnsiTheme="minorHAnsi" w:cstheme="minorHAnsi"/>
        </w:rPr>
        <w:t xml:space="preserve">. </w:t>
      </w:r>
    </w:p>
    <w:p w14:paraId="644B441B" w14:textId="0BCF0092" w:rsidR="009C2776" w:rsidRPr="00BF17B0" w:rsidRDefault="009C2776" w:rsidP="009C2776">
      <w:pPr>
        <w:rPr>
          <w:rFonts w:asciiTheme="minorHAnsi" w:hAnsiTheme="minorHAnsi" w:cstheme="minorHAnsi"/>
        </w:rPr>
      </w:pPr>
      <w:r w:rsidRPr="00BF17B0">
        <w:rPr>
          <w:rFonts w:asciiTheme="minorHAnsi" w:hAnsiTheme="minorHAnsi" w:cstheme="minorHAnsi"/>
        </w:rPr>
        <w:t xml:space="preserve">The </w:t>
      </w:r>
      <w:r w:rsidRPr="004B5FB1">
        <w:rPr>
          <w:rFonts w:asciiTheme="minorHAnsi" w:hAnsiTheme="minorHAnsi" w:cstheme="minorHAnsi"/>
        </w:rPr>
        <w:t>cost recovery approach</w:t>
      </w:r>
      <w:r w:rsidRPr="00BF17B0">
        <w:rPr>
          <w:rFonts w:asciiTheme="minorHAnsi" w:hAnsiTheme="minorHAnsi" w:cstheme="minorHAnsi"/>
        </w:rPr>
        <w:t xml:space="preserve"> used by the </w:t>
      </w:r>
      <w:r w:rsidR="00EF2683">
        <w:rPr>
          <w:rFonts w:asciiTheme="minorHAnsi" w:hAnsiTheme="minorHAnsi" w:cstheme="minorHAnsi"/>
        </w:rPr>
        <w:t>PH-PTF</w:t>
      </w:r>
      <w:r w:rsidRPr="00BF17B0">
        <w:rPr>
          <w:rFonts w:asciiTheme="minorHAnsi" w:hAnsiTheme="minorHAnsi" w:cstheme="minorHAnsi"/>
        </w:rPr>
        <w:t xml:space="preserve"> </w:t>
      </w:r>
      <w:r w:rsidRPr="004B5FB1">
        <w:rPr>
          <w:rFonts w:asciiTheme="minorHAnsi" w:hAnsiTheme="minorHAnsi" w:cstheme="minorHAnsi"/>
          <w:b/>
        </w:rPr>
        <w:t xml:space="preserve">failed to </w:t>
      </w:r>
      <w:r w:rsidR="00F5639C">
        <w:rPr>
          <w:rFonts w:asciiTheme="minorHAnsi" w:hAnsiTheme="minorHAnsi" w:cstheme="minorHAnsi"/>
          <w:b/>
        </w:rPr>
        <w:t xml:space="preserve">fully </w:t>
      </w:r>
      <w:r w:rsidRPr="004B5FB1">
        <w:rPr>
          <w:rFonts w:asciiTheme="minorHAnsi" w:hAnsiTheme="minorHAnsi" w:cstheme="minorHAnsi"/>
          <w:b/>
        </w:rPr>
        <w:t>recover the costs</w:t>
      </w:r>
      <w:r w:rsidRPr="00BF17B0">
        <w:rPr>
          <w:rFonts w:asciiTheme="minorHAnsi" w:hAnsiTheme="minorHAnsi" w:cstheme="minorHAnsi"/>
        </w:rPr>
        <w:t xml:space="preserve"> incurred by the Bank, primarily because they were based on a </w:t>
      </w:r>
      <w:r w:rsidR="004A7BF8">
        <w:rPr>
          <w:rFonts w:asciiTheme="minorHAnsi" w:hAnsiTheme="minorHAnsi" w:cstheme="minorHAnsi"/>
        </w:rPr>
        <w:t xml:space="preserve">projected </w:t>
      </w:r>
      <w:r w:rsidRPr="00BF17B0">
        <w:rPr>
          <w:rFonts w:asciiTheme="minorHAnsi" w:hAnsiTheme="minorHAnsi" w:cstheme="minorHAnsi"/>
        </w:rPr>
        <w:t xml:space="preserve">3.5-year </w:t>
      </w:r>
      <w:r w:rsidR="004A7BF8">
        <w:rPr>
          <w:rFonts w:asciiTheme="minorHAnsi" w:hAnsiTheme="minorHAnsi" w:cstheme="minorHAnsi"/>
        </w:rPr>
        <w:t xml:space="preserve">program life, whereas the </w:t>
      </w:r>
      <w:r w:rsidR="00EF2683">
        <w:rPr>
          <w:rFonts w:asciiTheme="minorHAnsi" w:hAnsiTheme="minorHAnsi" w:cstheme="minorHAnsi"/>
        </w:rPr>
        <w:t>PH-PTF</w:t>
      </w:r>
      <w:r w:rsidRPr="00BF17B0">
        <w:rPr>
          <w:rFonts w:asciiTheme="minorHAnsi" w:hAnsiTheme="minorHAnsi" w:cstheme="minorHAnsi"/>
        </w:rPr>
        <w:t xml:space="preserve"> was extended to</w:t>
      </w:r>
      <w:r w:rsidR="004A7BF8">
        <w:rPr>
          <w:rFonts w:asciiTheme="minorHAnsi" w:hAnsiTheme="minorHAnsi" w:cstheme="minorHAnsi"/>
        </w:rPr>
        <w:t xml:space="preserve"> 10 years without amending the Administration A</w:t>
      </w:r>
      <w:r w:rsidRPr="00BF17B0">
        <w:rPr>
          <w:rFonts w:asciiTheme="minorHAnsi" w:hAnsiTheme="minorHAnsi" w:cstheme="minorHAnsi"/>
        </w:rPr>
        <w:t xml:space="preserve">greement to increase the fee. </w:t>
      </w:r>
      <w:r w:rsidR="003845EE">
        <w:rPr>
          <w:rFonts w:asciiTheme="minorHAnsi" w:hAnsiTheme="minorHAnsi" w:cstheme="minorHAnsi"/>
        </w:rPr>
        <w:t xml:space="preserve"> </w:t>
      </w:r>
      <w:r w:rsidRPr="00BF17B0">
        <w:rPr>
          <w:rFonts w:asciiTheme="minorHAnsi" w:hAnsiTheme="minorHAnsi" w:cstheme="minorHAnsi"/>
        </w:rPr>
        <w:t>A new cost recovery policy applicable to new trust funds has since been adopted by the World Bank, and this should ensure better cost recovery in future trust funds</w:t>
      </w:r>
      <w:r w:rsidRPr="00BF17B0">
        <w:rPr>
          <w:rFonts w:asciiTheme="minorHAnsi" w:hAnsiTheme="minorHAnsi" w:cstheme="minorHAnsi"/>
          <w:i/>
        </w:rPr>
        <w:t>.</w:t>
      </w:r>
    </w:p>
    <w:p w14:paraId="149768E1" w14:textId="3CDCC5C3" w:rsidR="000E55C5" w:rsidRDefault="000E55C5" w:rsidP="000E55C5">
      <w:pPr>
        <w:rPr>
          <w:rFonts w:asciiTheme="minorHAnsi" w:hAnsiTheme="minorHAnsi" w:cstheme="minorHAnsi"/>
        </w:rPr>
      </w:pPr>
      <w:r w:rsidRPr="00BF17B0">
        <w:rPr>
          <w:rFonts w:asciiTheme="minorHAnsi" w:hAnsiTheme="minorHAnsi" w:cstheme="minorHAnsi"/>
        </w:rPr>
        <w:t>Detailed conclusions and recommendations of the evaluation are summarized in the table below. These will provide important input</w:t>
      </w:r>
      <w:r w:rsidR="00F43753" w:rsidRPr="00BF17B0">
        <w:rPr>
          <w:rFonts w:asciiTheme="minorHAnsi" w:hAnsiTheme="minorHAnsi" w:cstheme="minorHAnsi"/>
        </w:rPr>
        <w:t xml:space="preserve"> </w:t>
      </w:r>
      <w:r w:rsidR="0083225D" w:rsidRPr="00BF17B0">
        <w:rPr>
          <w:rFonts w:asciiTheme="minorHAnsi" w:hAnsiTheme="minorHAnsi" w:cstheme="minorHAnsi"/>
        </w:rPr>
        <w:t xml:space="preserve">in </w:t>
      </w:r>
      <w:r w:rsidRPr="00BF17B0">
        <w:rPr>
          <w:rFonts w:asciiTheme="minorHAnsi" w:hAnsiTheme="minorHAnsi" w:cstheme="minorHAnsi"/>
        </w:rPr>
        <w:t>design</w:t>
      </w:r>
      <w:r w:rsidR="0083225D" w:rsidRPr="00BF17B0">
        <w:rPr>
          <w:rFonts w:asciiTheme="minorHAnsi" w:hAnsiTheme="minorHAnsi" w:cstheme="minorHAnsi"/>
        </w:rPr>
        <w:t>ing</w:t>
      </w:r>
      <w:r w:rsidRPr="00BF17B0">
        <w:rPr>
          <w:rFonts w:asciiTheme="minorHAnsi" w:hAnsiTheme="minorHAnsi" w:cstheme="minorHAnsi"/>
        </w:rPr>
        <w:t xml:space="preserve"> the next generation </w:t>
      </w:r>
      <w:r w:rsidR="004A7BF8">
        <w:rPr>
          <w:rFonts w:asciiTheme="minorHAnsi" w:hAnsiTheme="minorHAnsi" w:cstheme="minorHAnsi"/>
        </w:rPr>
        <w:t>p</w:t>
      </w:r>
      <w:r w:rsidRPr="00BF17B0">
        <w:rPr>
          <w:rFonts w:asciiTheme="minorHAnsi" w:hAnsiTheme="minorHAnsi" w:cstheme="minorHAnsi"/>
        </w:rPr>
        <w:t xml:space="preserve">rogrammatic </w:t>
      </w:r>
      <w:r w:rsidR="004A7BF8">
        <w:rPr>
          <w:rFonts w:asciiTheme="minorHAnsi" w:hAnsiTheme="minorHAnsi" w:cstheme="minorHAnsi"/>
        </w:rPr>
        <w:t>t</w:t>
      </w:r>
      <w:r w:rsidRPr="00BF17B0">
        <w:rPr>
          <w:rFonts w:asciiTheme="minorHAnsi" w:hAnsiTheme="minorHAnsi" w:cstheme="minorHAnsi"/>
        </w:rPr>
        <w:t xml:space="preserve">rust </w:t>
      </w:r>
      <w:r w:rsidR="004A7BF8">
        <w:rPr>
          <w:rFonts w:asciiTheme="minorHAnsi" w:hAnsiTheme="minorHAnsi" w:cstheme="minorHAnsi"/>
        </w:rPr>
        <w:t>f</w:t>
      </w:r>
      <w:r w:rsidRPr="00BF17B0">
        <w:rPr>
          <w:rFonts w:asciiTheme="minorHAnsi" w:hAnsiTheme="minorHAnsi" w:cstheme="minorHAnsi"/>
        </w:rPr>
        <w:t>und between Australia and the World Bank</w:t>
      </w:r>
      <w:r w:rsidR="004A7BF8">
        <w:rPr>
          <w:rFonts w:asciiTheme="minorHAnsi" w:hAnsiTheme="minorHAnsi" w:cstheme="minorHAnsi"/>
        </w:rPr>
        <w:t xml:space="preserve"> in the Philippines</w:t>
      </w:r>
      <w:r w:rsidRPr="00BF17B0">
        <w:rPr>
          <w:rFonts w:asciiTheme="minorHAnsi" w:hAnsiTheme="minorHAnsi" w:cstheme="minorHAnsi"/>
        </w:rPr>
        <w:t>.</w:t>
      </w:r>
    </w:p>
    <w:p w14:paraId="2FD9476E" w14:textId="77777777" w:rsidR="004A7BF8" w:rsidRPr="00BF17B0" w:rsidRDefault="004A7BF8" w:rsidP="000E55C5">
      <w:pPr>
        <w:rPr>
          <w:rFonts w:asciiTheme="minorHAnsi" w:hAnsiTheme="minorHAnsi" w:cstheme="minorHAnsi"/>
        </w:rPr>
      </w:pPr>
    </w:p>
    <w:p w14:paraId="042F7CEC" w14:textId="77777777" w:rsidR="00BA3D34" w:rsidRDefault="00BA3D34" w:rsidP="000E55C5">
      <w:pPr>
        <w:rPr>
          <w:rFonts w:asciiTheme="minorHAnsi" w:hAnsiTheme="minorHAnsi" w:cstheme="minorHAnsi"/>
        </w:rPr>
      </w:pPr>
    </w:p>
    <w:p w14:paraId="77A0CC69" w14:textId="77777777" w:rsidR="00BA3D34" w:rsidRDefault="00BA3D34" w:rsidP="000E55C5">
      <w:pPr>
        <w:rPr>
          <w:rFonts w:asciiTheme="minorHAnsi" w:hAnsiTheme="minorHAnsi" w:cstheme="minorHAnsi"/>
        </w:rPr>
      </w:pPr>
    </w:p>
    <w:p w14:paraId="0F9F4773" w14:textId="2CD80E13" w:rsidR="00530431" w:rsidRPr="00BF17B0" w:rsidRDefault="004A7BF8" w:rsidP="000E55C5">
      <w:pPr>
        <w:rPr>
          <w:rFonts w:asciiTheme="minorHAnsi" w:hAnsiTheme="minorHAnsi" w:cstheme="minorHAnsi"/>
        </w:rPr>
      </w:pPr>
      <w:r>
        <w:rPr>
          <w:rFonts w:asciiTheme="minorHAnsi" w:hAnsiTheme="minorHAnsi" w:cstheme="minorHAnsi"/>
        </w:rPr>
        <w:t>Table ES-1.  Conclusions and recommendations from the evaluation</w:t>
      </w:r>
    </w:p>
    <w:tbl>
      <w:tblPr>
        <w:tblStyle w:val="TableGrid1"/>
        <w:tblW w:w="0" w:type="auto"/>
        <w:jc w:val="center"/>
        <w:tblLook w:val="04A0" w:firstRow="1" w:lastRow="0" w:firstColumn="1" w:lastColumn="0" w:noHBand="0" w:noVBand="1"/>
      </w:tblPr>
      <w:tblGrid>
        <w:gridCol w:w="3669"/>
        <w:gridCol w:w="5681"/>
      </w:tblGrid>
      <w:tr w:rsidR="000E55C5" w:rsidRPr="00BF17B0" w14:paraId="491DCA7F" w14:textId="77777777" w:rsidTr="00060360">
        <w:trPr>
          <w:tblHeader/>
          <w:jc w:val="center"/>
        </w:trPr>
        <w:tc>
          <w:tcPr>
            <w:tcW w:w="3711" w:type="dxa"/>
            <w:vAlign w:val="center"/>
          </w:tcPr>
          <w:p w14:paraId="6C84B3BB" w14:textId="77777777" w:rsidR="000E55C5" w:rsidRPr="00BF17B0" w:rsidRDefault="00B2437F" w:rsidP="00530431">
            <w:pPr>
              <w:pStyle w:val="TableText"/>
              <w:jc w:val="center"/>
              <w:rPr>
                <w:b/>
              </w:rPr>
            </w:pPr>
            <w:bookmarkStart w:id="3" w:name="_Hlk532792609"/>
            <w:r w:rsidRPr="00BF17B0">
              <w:rPr>
                <w:b/>
              </w:rPr>
              <w:t>Issues and Challenges</w:t>
            </w:r>
          </w:p>
        </w:tc>
        <w:tc>
          <w:tcPr>
            <w:tcW w:w="5760" w:type="dxa"/>
            <w:vAlign w:val="center"/>
          </w:tcPr>
          <w:p w14:paraId="39F00C8A" w14:textId="77777777" w:rsidR="000E55C5" w:rsidRPr="00BF17B0" w:rsidRDefault="000E55C5" w:rsidP="00530431">
            <w:pPr>
              <w:pStyle w:val="TableText"/>
              <w:jc w:val="center"/>
              <w:rPr>
                <w:b/>
              </w:rPr>
            </w:pPr>
            <w:r w:rsidRPr="00BF17B0">
              <w:rPr>
                <w:b/>
              </w:rPr>
              <w:t>Recommendations</w:t>
            </w:r>
          </w:p>
        </w:tc>
      </w:tr>
      <w:tr w:rsidR="000E55C5" w:rsidRPr="00BF17B0" w14:paraId="4EBDB286" w14:textId="77777777" w:rsidTr="00060360">
        <w:trPr>
          <w:jc w:val="center"/>
        </w:trPr>
        <w:tc>
          <w:tcPr>
            <w:tcW w:w="3711" w:type="dxa"/>
          </w:tcPr>
          <w:p w14:paraId="16EE451A" w14:textId="7B056ED1" w:rsidR="000E55C5" w:rsidRPr="00BF17B0" w:rsidRDefault="000E55C5" w:rsidP="00530431">
            <w:pPr>
              <w:pStyle w:val="TableText"/>
            </w:pPr>
            <w:r w:rsidRPr="00BF17B0">
              <w:t xml:space="preserve">The </w:t>
            </w:r>
            <w:r w:rsidR="00EF2683">
              <w:t>PH-PTF</w:t>
            </w:r>
            <w:r w:rsidRPr="00BF17B0">
              <w:t xml:space="preserve"> was effective in enabling DFAT and the World Bank achieve intended outcomes.</w:t>
            </w:r>
          </w:p>
        </w:tc>
        <w:tc>
          <w:tcPr>
            <w:tcW w:w="5760" w:type="dxa"/>
          </w:tcPr>
          <w:p w14:paraId="4DDDBD8D" w14:textId="0DDD8E7A" w:rsidR="000E55C5" w:rsidRPr="00BF17B0" w:rsidRDefault="000E55C5" w:rsidP="00F338BE">
            <w:pPr>
              <w:pStyle w:val="TableText"/>
            </w:pPr>
            <w:r w:rsidRPr="00BF17B0">
              <w:t xml:space="preserve">DFAT and the World Bank should consider a follow-up fund to replicate and build on the successes of the </w:t>
            </w:r>
            <w:r w:rsidR="00F338BE">
              <w:t>PH-PTF</w:t>
            </w:r>
            <w:r w:rsidRPr="00BF17B0">
              <w:t>.</w:t>
            </w:r>
          </w:p>
        </w:tc>
      </w:tr>
      <w:tr w:rsidR="000E55C5" w:rsidRPr="00BF17B0" w14:paraId="7DC6670B" w14:textId="77777777" w:rsidTr="00060360">
        <w:trPr>
          <w:jc w:val="center"/>
        </w:trPr>
        <w:tc>
          <w:tcPr>
            <w:tcW w:w="3711" w:type="dxa"/>
          </w:tcPr>
          <w:p w14:paraId="5E769286" w14:textId="77777777" w:rsidR="000E55C5" w:rsidRPr="00BF17B0" w:rsidRDefault="000E55C5" w:rsidP="00530431">
            <w:pPr>
              <w:pStyle w:val="TableText"/>
            </w:pPr>
            <w:r w:rsidRPr="00BF17B0">
              <w:t>The governance structure worked well but it needs to be improved to guide implementation and operations in the future.</w:t>
            </w:r>
          </w:p>
        </w:tc>
        <w:tc>
          <w:tcPr>
            <w:tcW w:w="5760" w:type="dxa"/>
          </w:tcPr>
          <w:p w14:paraId="05E00257" w14:textId="77777777" w:rsidR="000E55C5" w:rsidRPr="00BF17B0" w:rsidRDefault="000E55C5" w:rsidP="00530431">
            <w:pPr>
              <w:pStyle w:val="TableText"/>
            </w:pPr>
            <w:r w:rsidRPr="00BF17B0">
              <w:rPr>
                <w:bCs/>
              </w:rPr>
              <w:t>DFAT and the World Bank should agree on a more detailed governance framework</w:t>
            </w:r>
            <w:r w:rsidRPr="00BF17B0">
              <w:t>. Regular meetings—at least annual—of the Steering Committee to review the strategy and overall progress should be complemented by at least semi-annual meetings of the Operations Committee. Meetings among technical counterparts in World Bank and DFAT should be encouraged. This arrangement should be clearly stated in the Operations Guidelines.</w:t>
            </w:r>
          </w:p>
        </w:tc>
      </w:tr>
      <w:tr w:rsidR="000E55C5" w:rsidRPr="00BF17B0" w14:paraId="03F0F0E2" w14:textId="77777777" w:rsidTr="00530431">
        <w:trPr>
          <w:trHeight w:val="3275"/>
          <w:jc w:val="center"/>
        </w:trPr>
        <w:tc>
          <w:tcPr>
            <w:tcW w:w="3711" w:type="dxa"/>
          </w:tcPr>
          <w:p w14:paraId="3F6C0DFA" w14:textId="75D564BB" w:rsidR="000E55C5" w:rsidRPr="00BF17B0" w:rsidRDefault="000E55C5" w:rsidP="00530431">
            <w:pPr>
              <w:pStyle w:val="TableText"/>
            </w:pPr>
            <w:r w:rsidRPr="00BF17B0">
              <w:t xml:space="preserve">The results framework for the </w:t>
            </w:r>
            <w:r w:rsidR="00EF2683">
              <w:t>PH-PTF</w:t>
            </w:r>
            <w:r w:rsidRPr="00BF17B0">
              <w:t xml:space="preserve"> was not an effective monitoring tool.</w:t>
            </w:r>
          </w:p>
        </w:tc>
        <w:tc>
          <w:tcPr>
            <w:tcW w:w="5760" w:type="dxa"/>
          </w:tcPr>
          <w:p w14:paraId="2F6108C3" w14:textId="77777777" w:rsidR="000E55C5" w:rsidRPr="00BF17B0" w:rsidRDefault="000E55C5" w:rsidP="00530431">
            <w:pPr>
              <w:pStyle w:val="TableText"/>
            </w:pPr>
            <w:r w:rsidRPr="00BF17B0">
              <w:rPr>
                <w:bCs/>
              </w:rPr>
              <w:t xml:space="preserve">World Bank and DFAT should establish a results framework </w:t>
            </w:r>
            <w:r w:rsidRPr="00BF17B0">
              <w:t>at the outset, with initially agreed strategic focus areas. Continued flexibility should be ensured by authorizing the Steering Committee to add other focus areas. The results framework should be a living document, with details of approved grants and their intended outputs and outcomes added every year. The results framework can then be used to track progress annually.</w:t>
            </w:r>
          </w:p>
          <w:p w14:paraId="3899EB9E" w14:textId="77777777" w:rsidR="000E55C5" w:rsidRPr="00BF17B0" w:rsidRDefault="000E55C5" w:rsidP="00530431">
            <w:pPr>
              <w:pStyle w:val="TableText"/>
            </w:pPr>
            <w:r w:rsidRPr="00BF17B0">
              <w:rPr>
                <w:bCs/>
              </w:rPr>
              <w:t xml:space="preserve">To facilitate the use of the results framework, the World Bank should ensure that grant funding requests include expected quantified </w:t>
            </w:r>
            <w:r w:rsidRPr="00BF17B0">
              <w:t>outputs</w:t>
            </w:r>
            <w:r w:rsidRPr="00BF17B0">
              <w:rPr>
                <w:bCs/>
              </w:rPr>
              <w:t xml:space="preserve"> and outcomes.</w:t>
            </w:r>
          </w:p>
        </w:tc>
      </w:tr>
      <w:tr w:rsidR="000E55C5" w:rsidRPr="00BF17B0" w14:paraId="125CDF96" w14:textId="77777777" w:rsidTr="00060360">
        <w:trPr>
          <w:jc w:val="center"/>
        </w:trPr>
        <w:tc>
          <w:tcPr>
            <w:tcW w:w="3711" w:type="dxa"/>
          </w:tcPr>
          <w:p w14:paraId="4D55B178" w14:textId="1589EC75" w:rsidR="000E55C5" w:rsidRPr="00BF17B0" w:rsidRDefault="000E55C5" w:rsidP="00E90149">
            <w:pPr>
              <w:pStyle w:val="TableText"/>
            </w:pPr>
            <w:r w:rsidRPr="00BF17B0">
              <w:t xml:space="preserve">The administration agreement for the </w:t>
            </w:r>
            <w:r w:rsidR="00E90149">
              <w:t>PH-PTF</w:t>
            </w:r>
            <w:r w:rsidRPr="00BF17B0">
              <w:t xml:space="preserve"> did not specify any cross-cutting areas that required special attention.</w:t>
            </w:r>
          </w:p>
        </w:tc>
        <w:tc>
          <w:tcPr>
            <w:tcW w:w="5760" w:type="dxa"/>
          </w:tcPr>
          <w:p w14:paraId="6B86183D" w14:textId="77777777" w:rsidR="000E55C5" w:rsidRPr="00BF17B0" w:rsidRDefault="000E55C5" w:rsidP="00530431">
            <w:pPr>
              <w:pStyle w:val="TableText"/>
            </w:pPr>
            <w:r w:rsidRPr="00BF17B0">
              <w:rPr>
                <w:bCs/>
              </w:rPr>
              <w:t>DFAT and the World Bank should agree upfront on any cross-cutting issues that are to be addressed by grants supported by the trust fund. Once the cross-cutting areas are agreed upon, World Bank should ensure that these are reflected in the Operations Manual and grant funding requests give attention to such areas.</w:t>
            </w:r>
            <w:r w:rsidRPr="00BF17B0">
              <w:t xml:space="preserve"> </w:t>
            </w:r>
          </w:p>
        </w:tc>
      </w:tr>
      <w:tr w:rsidR="000E55C5" w:rsidRPr="00BF17B0" w14:paraId="252B7DEB" w14:textId="77777777" w:rsidTr="00060360">
        <w:trPr>
          <w:jc w:val="center"/>
        </w:trPr>
        <w:tc>
          <w:tcPr>
            <w:tcW w:w="3711" w:type="dxa"/>
          </w:tcPr>
          <w:p w14:paraId="0FFA480D" w14:textId="77777777" w:rsidR="000E55C5" w:rsidRPr="00BF17B0" w:rsidRDefault="000E55C5" w:rsidP="00530431">
            <w:pPr>
              <w:pStyle w:val="TableText"/>
            </w:pPr>
            <w:r w:rsidRPr="00BF17B0">
              <w:t>Competitive approaches to grant allocation were valued, but the decision-making process was not always clear to all stakeholders.</w:t>
            </w:r>
          </w:p>
        </w:tc>
        <w:tc>
          <w:tcPr>
            <w:tcW w:w="5760" w:type="dxa"/>
          </w:tcPr>
          <w:p w14:paraId="0FAAC3F0" w14:textId="77777777" w:rsidR="000E55C5" w:rsidRPr="00BF17B0" w:rsidRDefault="000E55C5" w:rsidP="00530431">
            <w:pPr>
              <w:pStyle w:val="TableText"/>
            </w:pPr>
            <w:r w:rsidRPr="00BF17B0">
              <w:t xml:space="preserve">The default approach to fund allocation should be to use competitive rounds of bidding within certain parameters, specifically the results framework strategic focus areas. </w:t>
            </w:r>
          </w:p>
        </w:tc>
      </w:tr>
      <w:tr w:rsidR="000E55C5" w:rsidRPr="00BF17B0" w14:paraId="3F89E9C8" w14:textId="77777777" w:rsidTr="00060360">
        <w:trPr>
          <w:jc w:val="center"/>
        </w:trPr>
        <w:tc>
          <w:tcPr>
            <w:tcW w:w="3711" w:type="dxa"/>
          </w:tcPr>
          <w:p w14:paraId="108A6EE6" w14:textId="7DDAB767" w:rsidR="000E55C5" w:rsidRPr="00BF17B0" w:rsidRDefault="000E55C5" w:rsidP="00530431">
            <w:pPr>
              <w:pStyle w:val="TableText"/>
            </w:pPr>
            <w:r w:rsidRPr="00BF17B0">
              <w:t xml:space="preserve">One of the major strengths of the </w:t>
            </w:r>
            <w:r w:rsidR="00E90149">
              <w:t>PH-PTF</w:t>
            </w:r>
            <w:r w:rsidRPr="00BF17B0">
              <w:t xml:space="preserve"> was its flexibility and timeliness in responding to changing circumstances.</w:t>
            </w:r>
          </w:p>
        </w:tc>
        <w:tc>
          <w:tcPr>
            <w:tcW w:w="5760" w:type="dxa"/>
          </w:tcPr>
          <w:p w14:paraId="29CD2ED2" w14:textId="77777777" w:rsidR="000E55C5" w:rsidRPr="00BF17B0" w:rsidRDefault="000E55C5" w:rsidP="00530431">
            <w:pPr>
              <w:pStyle w:val="TableText"/>
            </w:pPr>
            <w:r w:rsidRPr="00BF17B0">
              <w:t xml:space="preserve">The Steering Committee should be given the discretion to respond rapidly to events. The decisions made in such circumstances should be transparent and </w:t>
            </w:r>
            <w:r w:rsidR="00CD44D3" w:rsidRPr="00BF17B0">
              <w:t xml:space="preserve">should be </w:t>
            </w:r>
            <w:r w:rsidRPr="00BF17B0">
              <w:t>explained to key stakeholders.</w:t>
            </w:r>
          </w:p>
        </w:tc>
      </w:tr>
      <w:tr w:rsidR="000E55C5" w:rsidRPr="00BF17B0" w14:paraId="71B14A1F" w14:textId="77777777" w:rsidTr="00060360">
        <w:trPr>
          <w:jc w:val="center"/>
        </w:trPr>
        <w:tc>
          <w:tcPr>
            <w:tcW w:w="3711" w:type="dxa"/>
          </w:tcPr>
          <w:p w14:paraId="28DA800A" w14:textId="4514558B" w:rsidR="000E55C5" w:rsidRPr="00BF17B0" w:rsidRDefault="000E55C5" w:rsidP="00530431">
            <w:pPr>
              <w:pStyle w:val="TableText"/>
            </w:pPr>
            <w:r w:rsidRPr="00BF17B0">
              <w:t xml:space="preserve">There was no systematic annual reporting of </w:t>
            </w:r>
            <w:r w:rsidR="00E90149">
              <w:t>PH-PTF</w:t>
            </w:r>
            <w:r w:rsidRPr="00BF17B0">
              <w:t xml:space="preserve"> progress.</w:t>
            </w:r>
          </w:p>
        </w:tc>
        <w:tc>
          <w:tcPr>
            <w:tcW w:w="5760" w:type="dxa"/>
          </w:tcPr>
          <w:p w14:paraId="616EC610" w14:textId="77777777" w:rsidR="000E55C5" w:rsidRPr="00BF17B0" w:rsidRDefault="000E55C5" w:rsidP="00530431">
            <w:pPr>
              <w:pStyle w:val="TableText"/>
            </w:pPr>
            <w:r w:rsidRPr="00BF17B0">
              <w:t>Annual financial and operational progress reports should be prepared. To ensure that this recommendation and the results framework recommendations are addressed, resources for monitoring and evaluation should be earmarked.</w:t>
            </w:r>
          </w:p>
        </w:tc>
      </w:tr>
      <w:tr w:rsidR="000E55C5" w:rsidRPr="00BF17B0" w14:paraId="1F054931" w14:textId="77777777" w:rsidTr="00060360">
        <w:trPr>
          <w:jc w:val="center"/>
        </w:trPr>
        <w:tc>
          <w:tcPr>
            <w:tcW w:w="3711" w:type="dxa"/>
          </w:tcPr>
          <w:p w14:paraId="39758032" w14:textId="77777777" w:rsidR="000E55C5" w:rsidRPr="00BF17B0" w:rsidRDefault="000E55C5" w:rsidP="00530431">
            <w:pPr>
              <w:pStyle w:val="TableText"/>
            </w:pPr>
            <w:r w:rsidRPr="00BF17B0">
              <w:t>As noted in the Midterm Review, the annual allocations process used by DFAT added uncertainty to program planning and at times caused difficulties when task team leaders had to cancel planned activities.</w:t>
            </w:r>
          </w:p>
        </w:tc>
        <w:tc>
          <w:tcPr>
            <w:tcW w:w="5760" w:type="dxa"/>
          </w:tcPr>
          <w:p w14:paraId="6BC3DE98" w14:textId="77777777" w:rsidR="000E55C5" w:rsidRPr="00BF17B0" w:rsidRDefault="000E55C5" w:rsidP="00530431">
            <w:pPr>
              <w:pStyle w:val="TableText"/>
            </w:pPr>
            <w:r w:rsidRPr="00BF17B0">
              <w:rPr>
                <w:bCs/>
              </w:rPr>
              <w:t xml:space="preserve">DFAT should consider changing the allocation process </w:t>
            </w:r>
            <w:r w:rsidRPr="00BF17B0">
              <w:t>so that agreed grants have guaranteed multi-year resources.</w:t>
            </w:r>
          </w:p>
          <w:p w14:paraId="543F64A7" w14:textId="77777777" w:rsidR="000E55C5" w:rsidRPr="00BF17B0" w:rsidRDefault="000E55C5" w:rsidP="00530431">
            <w:pPr>
              <w:pStyle w:val="TableText"/>
            </w:pPr>
          </w:p>
        </w:tc>
      </w:tr>
      <w:tr w:rsidR="000E55C5" w:rsidRPr="00BF17B0" w14:paraId="6FB94A1A" w14:textId="77777777" w:rsidTr="00060360">
        <w:trPr>
          <w:trHeight w:val="916"/>
          <w:jc w:val="center"/>
        </w:trPr>
        <w:tc>
          <w:tcPr>
            <w:tcW w:w="3711" w:type="dxa"/>
          </w:tcPr>
          <w:p w14:paraId="28D58D35" w14:textId="77777777" w:rsidR="000E55C5" w:rsidRPr="00BF17B0" w:rsidRDefault="000E55C5" w:rsidP="00530431">
            <w:pPr>
              <w:pStyle w:val="TableText"/>
            </w:pPr>
            <w:r w:rsidRPr="00BF17B0">
              <w:t>Recipient-executed grants were slow to disburse, although several grants delivered excellent outcomes.</w:t>
            </w:r>
          </w:p>
        </w:tc>
        <w:tc>
          <w:tcPr>
            <w:tcW w:w="5760" w:type="dxa"/>
          </w:tcPr>
          <w:p w14:paraId="2396EAC5" w14:textId="77777777" w:rsidR="000E55C5" w:rsidRPr="00BF17B0" w:rsidRDefault="000E55C5" w:rsidP="00530431">
            <w:pPr>
              <w:pStyle w:val="TableText"/>
            </w:pPr>
            <w:r w:rsidRPr="00BF17B0">
              <w:rPr>
                <w:bCs/>
              </w:rPr>
              <w:t xml:space="preserve">World Bank and DFAT should continue to allow for both recipient-executed and Bank-executed activities. </w:t>
            </w:r>
          </w:p>
        </w:tc>
      </w:tr>
      <w:tr w:rsidR="000E55C5" w:rsidRPr="00BF17B0" w14:paraId="7FEAD370" w14:textId="77777777" w:rsidTr="00060360">
        <w:trPr>
          <w:jc w:val="center"/>
        </w:trPr>
        <w:tc>
          <w:tcPr>
            <w:tcW w:w="3711" w:type="dxa"/>
          </w:tcPr>
          <w:p w14:paraId="325CACAD" w14:textId="77777777" w:rsidR="000E55C5" w:rsidRPr="00BF17B0" w:rsidRDefault="000E55C5" w:rsidP="00530431">
            <w:pPr>
              <w:pStyle w:val="TableText"/>
            </w:pPr>
            <w:r w:rsidRPr="00BF17B0">
              <w:t xml:space="preserve">Bank-executed grants were sometimes closely linked to loans such as the CCT, MRDP, and CDD; at other times, to more free-standing technical assistance. In both instances, there were some very significant outcomes. </w:t>
            </w:r>
          </w:p>
        </w:tc>
        <w:tc>
          <w:tcPr>
            <w:tcW w:w="5760" w:type="dxa"/>
          </w:tcPr>
          <w:p w14:paraId="28592B9C" w14:textId="77777777" w:rsidR="000E55C5" w:rsidRPr="00BF17B0" w:rsidRDefault="000E55C5" w:rsidP="00530431">
            <w:pPr>
              <w:pStyle w:val="TableText"/>
              <w:rPr>
                <w:bCs/>
              </w:rPr>
            </w:pPr>
            <w:r w:rsidRPr="00BF17B0">
              <w:rPr>
                <w:bCs/>
              </w:rPr>
              <w:t>World Bank and DFAT should continue to be flexible in funding Bank-executed grants. Their relevance to agreed priorities is more important than linkage to ongoing lending activities.</w:t>
            </w:r>
          </w:p>
        </w:tc>
      </w:tr>
      <w:tr w:rsidR="000E55C5" w:rsidRPr="00BF17B0" w14:paraId="2F8852AE" w14:textId="77777777" w:rsidTr="00060360">
        <w:trPr>
          <w:jc w:val="center"/>
        </w:trPr>
        <w:tc>
          <w:tcPr>
            <w:tcW w:w="3711" w:type="dxa"/>
          </w:tcPr>
          <w:p w14:paraId="6EBE72BC" w14:textId="7C97AA76" w:rsidR="000E55C5" w:rsidRPr="00BF17B0" w:rsidRDefault="000E55C5" w:rsidP="00530431">
            <w:pPr>
              <w:pStyle w:val="TableText"/>
            </w:pPr>
            <w:r w:rsidRPr="00BF17B0">
              <w:t>The Programmatic AAAs provided a more coordinated structure for planning, managing and reporting about advisory services and analytics a</w:t>
            </w:r>
            <w:r w:rsidR="0042236D">
              <w:t>ctivities, but failed to report</w:t>
            </w:r>
            <w:r w:rsidR="00DF4621">
              <w:t xml:space="preserve"> </w:t>
            </w:r>
            <w:r w:rsidRPr="00BF17B0">
              <w:t xml:space="preserve">adequately on </w:t>
            </w:r>
            <w:r w:rsidR="004B5FB1">
              <w:t xml:space="preserve">the details of </w:t>
            </w:r>
            <w:r w:rsidR="00DF4621">
              <w:t xml:space="preserve">specific </w:t>
            </w:r>
            <w:r w:rsidRPr="00BF17B0">
              <w:t>trust</w:t>
            </w:r>
            <w:r w:rsidR="004026B8" w:rsidRPr="00BF17B0">
              <w:t xml:space="preserve"> </w:t>
            </w:r>
            <w:r w:rsidRPr="00BF17B0">
              <w:t>fund</w:t>
            </w:r>
            <w:r w:rsidR="00DF4621">
              <w:t>ed</w:t>
            </w:r>
            <w:r w:rsidR="00E50158" w:rsidRPr="00BF17B0">
              <w:t xml:space="preserve"> </w:t>
            </w:r>
            <w:r w:rsidRPr="00BF17B0">
              <w:t>activities.</w:t>
            </w:r>
          </w:p>
        </w:tc>
        <w:tc>
          <w:tcPr>
            <w:tcW w:w="5760" w:type="dxa"/>
          </w:tcPr>
          <w:p w14:paraId="1B448AAA" w14:textId="5A876367" w:rsidR="000E55C5" w:rsidRPr="00BF17B0" w:rsidRDefault="000E55C5" w:rsidP="00530431">
            <w:pPr>
              <w:pStyle w:val="TableText"/>
            </w:pPr>
            <w:r w:rsidRPr="00BF17B0">
              <w:rPr>
                <w:bCs/>
              </w:rPr>
              <w:t xml:space="preserve">World Bank should review the use of PAAA reporting arrangements for </w:t>
            </w:r>
            <w:r w:rsidR="0007738E">
              <w:rPr>
                <w:bCs/>
              </w:rPr>
              <w:t xml:space="preserve">trust </w:t>
            </w:r>
            <w:r w:rsidRPr="00BF17B0">
              <w:rPr>
                <w:bCs/>
              </w:rPr>
              <w:t xml:space="preserve">funded activities, </w:t>
            </w:r>
            <w:r w:rsidRPr="00BF17B0">
              <w:t>because they do not provide</w:t>
            </w:r>
            <w:r w:rsidR="004B5FB1">
              <w:t xml:space="preserve"> sufficient details on the outputs</w:t>
            </w:r>
            <w:r w:rsidR="0007738E">
              <w:t xml:space="preserve"> and results supported by the trust funds</w:t>
            </w:r>
            <w:r w:rsidRPr="00BF17B0">
              <w:t xml:space="preserve">. </w:t>
            </w:r>
            <w:r w:rsidR="004B5FB1">
              <w:t xml:space="preserve">Where multiple funding sources are used for </w:t>
            </w:r>
            <w:r w:rsidR="0053487D" w:rsidRPr="00BF17B0">
              <w:t>PAAA</w:t>
            </w:r>
            <w:r w:rsidR="004B5FB1">
              <w:t xml:space="preserve">s, </w:t>
            </w:r>
            <w:r w:rsidRPr="00BF17B0">
              <w:t xml:space="preserve">reports should clearly identify the contributions of each </w:t>
            </w:r>
            <w:r w:rsidR="004B5FB1">
              <w:t>funding source</w:t>
            </w:r>
            <w:r w:rsidRPr="00BF17B0">
              <w:t xml:space="preserve"> to PAAA activities and </w:t>
            </w:r>
            <w:r w:rsidR="004B5FB1">
              <w:t>outputs to ensure traceability of donor resources</w:t>
            </w:r>
            <w:r w:rsidRPr="00BF17B0">
              <w:t xml:space="preserve">. </w:t>
            </w:r>
            <w:r w:rsidR="004B5FB1">
              <w:t xml:space="preserve"> </w:t>
            </w:r>
            <w:r w:rsidR="0042236D">
              <w:t xml:space="preserve">To the extent possible, </w:t>
            </w:r>
            <w:r w:rsidRPr="00BF17B0">
              <w:t xml:space="preserve">PAAA rating systems should be compatible with those used in other trust funds and operational reports. If activities financed through trust funds move in or out of a PAAA, </w:t>
            </w:r>
            <w:r w:rsidR="0042236D">
              <w:t xml:space="preserve">reports should keep donors </w:t>
            </w:r>
            <w:r w:rsidRPr="00BF17B0">
              <w:t>fully informed o</w:t>
            </w:r>
            <w:r w:rsidR="0042236D">
              <w:t>n</w:t>
            </w:r>
            <w:r w:rsidRPr="00BF17B0">
              <w:t xml:space="preserve"> the use of the funds they contributed. </w:t>
            </w:r>
          </w:p>
        </w:tc>
      </w:tr>
      <w:bookmarkEnd w:id="3"/>
    </w:tbl>
    <w:p w14:paraId="1BD8BC86" w14:textId="77777777" w:rsidR="003525DD" w:rsidRPr="00BF17B0" w:rsidRDefault="003525DD" w:rsidP="000E55C5">
      <w:pPr>
        <w:spacing w:before="0" w:line="259" w:lineRule="auto"/>
        <w:rPr>
          <w:rFonts w:asciiTheme="minorHAnsi" w:eastAsiaTheme="majorEastAsia" w:hAnsiTheme="minorHAnsi" w:cstheme="minorHAnsi"/>
          <w:b/>
          <w:sz w:val="32"/>
          <w:szCs w:val="32"/>
        </w:rPr>
        <w:sectPr w:rsidR="003525DD" w:rsidRPr="00BF17B0" w:rsidSect="00703B8A">
          <w:footerReference w:type="default" r:id="rId18"/>
          <w:footerReference w:type="first" r:id="rId19"/>
          <w:pgSz w:w="12240" w:h="15840" w:code="1"/>
          <w:pgMar w:top="1440" w:right="1440" w:bottom="1440" w:left="1440" w:header="708" w:footer="708" w:gutter="0"/>
          <w:pgNumType w:fmt="lowerRoman" w:start="1"/>
          <w:cols w:space="708"/>
          <w:titlePg/>
          <w:docGrid w:linePitch="360"/>
        </w:sectPr>
      </w:pPr>
    </w:p>
    <w:p w14:paraId="64C515F4" w14:textId="77777777" w:rsidR="00C05CDC" w:rsidRPr="00BF17B0" w:rsidRDefault="00C05CDC" w:rsidP="00633549">
      <w:pPr>
        <w:pStyle w:val="Heading1"/>
        <w:numPr>
          <w:ilvl w:val="0"/>
          <w:numId w:val="5"/>
        </w:numPr>
        <w:rPr>
          <w:rFonts w:asciiTheme="minorHAnsi" w:hAnsiTheme="minorHAnsi" w:cstheme="minorHAnsi"/>
        </w:rPr>
      </w:pPr>
      <w:bookmarkStart w:id="4" w:name="_Toc530386595"/>
      <w:bookmarkStart w:id="5" w:name="_Toc530386600"/>
      <w:bookmarkStart w:id="6" w:name="_Toc530386601"/>
      <w:bookmarkStart w:id="7" w:name="_Toc530386602"/>
      <w:bookmarkStart w:id="8" w:name="_Toc530386603"/>
      <w:bookmarkStart w:id="9" w:name="_Toc530386604"/>
      <w:bookmarkStart w:id="10" w:name="_Toc532994286"/>
      <w:bookmarkEnd w:id="4"/>
      <w:bookmarkEnd w:id="5"/>
      <w:bookmarkEnd w:id="6"/>
      <w:bookmarkEnd w:id="7"/>
      <w:bookmarkEnd w:id="8"/>
      <w:bookmarkEnd w:id="9"/>
      <w:r w:rsidRPr="00BF17B0">
        <w:rPr>
          <w:rFonts w:asciiTheme="minorHAnsi" w:hAnsiTheme="minorHAnsi" w:cstheme="minorHAnsi"/>
        </w:rPr>
        <w:t>Introduction</w:t>
      </w:r>
      <w:bookmarkEnd w:id="10"/>
    </w:p>
    <w:p w14:paraId="77E81119" w14:textId="44440D1F" w:rsidR="00C05CDC" w:rsidRPr="00BF17B0" w:rsidRDefault="00C05CDC" w:rsidP="00BA2CB8">
      <w:pPr>
        <w:rPr>
          <w:rFonts w:asciiTheme="minorHAnsi" w:hAnsiTheme="minorHAnsi" w:cstheme="minorHAnsi"/>
        </w:rPr>
      </w:pPr>
      <w:r w:rsidRPr="00BF17B0">
        <w:rPr>
          <w:rFonts w:asciiTheme="minorHAnsi" w:hAnsiTheme="minorHAnsi" w:cstheme="minorHAnsi"/>
          <w:sz w:val="28"/>
          <w:szCs w:val="28"/>
        </w:rPr>
        <w:t>T</w:t>
      </w:r>
      <w:r w:rsidRPr="00BF17B0">
        <w:rPr>
          <w:rFonts w:asciiTheme="minorHAnsi" w:hAnsiTheme="minorHAnsi" w:cstheme="minorHAnsi"/>
        </w:rPr>
        <w:t>he Australia</w:t>
      </w:r>
      <w:r w:rsidR="00687594" w:rsidRPr="00BF17B0">
        <w:rPr>
          <w:rFonts w:asciiTheme="minorHAnsi" w:hAnsiTheme="minorHAnsi" w:cstheme="minorHAnsi"/>
        </w:rPr>
        <w:t xml:space="preserve"> </w:t>
      </w:r>
      <w:r w:rsidRPr="00BF17B0">
        <w:rPr>
          <w:rFonts w:asciiTheme="minorHAnsi" w:hAnsiTheme="minorHAnsi" w:cstheme="minorHAnsi"/>
        </w:rPr>
        <w:t>-</w:t>
      </w:r>
      <w:r w:rsidR="00687594" w:rsidRPr="00BF17B0">
        <w:rPr>
          <w:rFonts w:asciiTheme="minorHAnsi" w:hAnsiTheme="minorHAnsi" w:cstheme="minorHAnsi"/>
        </w:rPr>
        <w:t xml:space="preserve"> </w:t>
      </w:r>
      <w:r w:rsidRPr="00BF17B0">
        <w:rPr>
          <w:rFonts w:asciiTheme="minorHAnsi" w:hAnsiTheme="minorHAnsi" w:cstheme="minorHAnsi"/>
        </w:rPr>
        <w:t>World Bank Philippines Development Trust Fund (</w:t>
      </w:r>
      <w:r w:rsidR="00493697" w:rsidRPr="00BF17B0">
        <w:rPr>
          <w:rFonts w:asciiTheme="minorHAnsi" w:hAnsiTheme="minorHAnsi" w:cstheme="minorHAnsi"/>
        </w:rPr>
        <w:t>PH-PTF</w:t>
      </w:r>
      <w:r w:rsidR="00C55309" w:rsidRPr="00BF17B0">
        <w:rPr>
          <w:rFonts w:asciiTheme="minorHAnsi" w:hAnsiTheme="minorHAnsi" w:cstheme="minorHAnsi"/>
        </w:rPr>
        <w:t>)</w:t>
      </w:r>
      <w:r w:rsidR="000F774A" w:rsidRPr="000F774A">
        <w:rPr>
          <w:rStyle w:val="FootnoteReference"/>
          <w:rFonts w:asciiTheme="minorHAnsi" w:hAnsiTheme="minorHAnsi" w:cstheme="minorHAnsi"/>
        </w:rPr>
        <w:t xml:space="preserve"> </w:t>
      </w:r>
      <w:r w:rsidR="000F774A">
        <w:rPr>
          <w:rStyle w:val="FootnoteReference"/>
          <w:rFonts w:asciiTheme="minorHAnsi" w:hAnsiTheme="minorHAnsi" w:cstheme="minorHAnsi"/>
        </w:rPr>
        <w:footnoteReference w:id="3"/>
      </w:r>
      <w:r w:rsidR="000F774A">
        <w:rPr>
          <w:rFonts w:asciiTheme="minorHAnsi" w:hAnsiTheme="minorHAnsi" w:cstheme="minorHAnsi"/>
        </w:rPr>
        <w:t xml:space="preserve"> </w:t>
      </w:r>
      <w:r w:rsidRPr="00BF17B0">
        <w:rPr>
          <w:rFonts w:asciiTheme="minorHAnsi" w:hAnsiTheme="minorHAnsi" w:cstheme="minorHAnsi"/>
        </w:rPr>
        <w:t xml:space="preserve">is a single donor programmatic trust fund financed by the Australian Government through the Department of Foreign Affairs and Trade (DFAT) and administered by the World Bank. The </w:t>
      </w:r>
      <w:r w:rsidR="009B530C" w:rsidRPr="00BF17B0">
        <w:rPr>
          <w:rFonts w:asciiTheme="minorHAnsi" w:hAnsiTheme="minorHAnsi" w:cstheme="minorHAnsi"/>
        </w:rPr>
        <w:t>PH-</w:t>
      </w:r>
      <w:r w:rsidR="00D373B0" w:rsidRPr="00BF17B0">
        <w:rPr>
          <w:rFonts w:asciiTheme="minorHAnsi" w:hAnsiTheme="minorHAnsi" w:cstheme="minorHAnsi"/>
        </w:rPr>
        <w:t>PTF</w:t>
      </w:r>
      <w:r w:rsidRPr="00BF17B0">
        <w:rPr>
          <w:rFonts w:asciiTheme="minorHAnsi" w:hAnsiTheme="minorHAnsi" w:cstheme="minorHAnsi"/>
        </w:rPr>
        <w:t xml:space="preserve"> was established in 2009 and is scheduled to close in June 2019.</w:t>
      </w:r>
    </w:p>
    <w:p w14:paraId="1CE4D5A9" w14:textId="6421B1D8" w:rsidR="00C05CDC" w:rsidRPr="00BF17B0" w:rsidRDefault="00EB0147" w:rsidP="00C05CDC">
      <w:pPr>
        <w:rPr>
          <w:rFonts w:asciiTheme="minorHAnsi" w:hAnsiTheme="minorHAnsi" w:cstheme="minorHAnsi"/>
          <w:szCs w:val="24"/>
        </w:rPr>
      </w:pPr>
      <w:r w:rsidRPr="00BF17B0">
        <w:rPr>
          <w:rFonts w:asciiTheme="minorHAnsi" w:hAnsiTheme="minorHAnsi" w:cstheme="minorHAnsi"/>
          <w:szCs w:val="24"/>
        </w:rPr>
        <w:t xml:space="preserve">The </w:t>
      </w:r>
      <w:r w:rsidR="006D1856" w:rsidRPr="00BF17B0">
        <w:rPr>
          <w:rFonts w:asciiTheme="minorHAnsi" w:hAnsiTheme="minorHAnsi" w:cstheme="minorHAnsi"/>
        </w:rPr>
        <w:t>PH-P</w:t>
      </w:r>
      <w:r w:rsidR="00081620" w:rsidRPr="00BF17B0">
        <w:rPr>
          <w:rFonts w:asciiTheme="minorHAnsi" w:hAnsiTheme="minorHAnsi" w:cstheme="minorHAnsi"/>
        </w:rPr>
        <w:t>TF</w:t>
      </w:r>
      <w:r w:rsidR="00D362ED" w:rsidRPr="00BF17B0">
        <w:rPr>
          <w:rFonts w:asciiTheme="minorHAnsi" w:hAnsiTheme="minorHAnsi" w:cstheme="minorHAnsi"/>
          <w:szCs w:val="24"/>
        </w:rPr>
        <w:t xml:space="preserve"> </w:t>
      </w:r>
      <w:r w:rsidR="00EF79CA" w:rsidRPr="00BF17B0">
        <w:rPr>
          <w:rFonts w:asciiTheme="minorHAnsi" w:hAnsiTheme="minorHAnsi" w:cstheme="minorHAnsi"/>
          <w:szCs w:val="24"/>
        </w:rPr>
        <w:t>S</w:t>
      </w:r>
      <w:r w:rsidR="00C05CDC" w:rsidRPr="00BF17B0">
        <w:rPr>
          <w:rFonts w:asciiTheme="minorHAnsi" w:hAnsiTheme="minorHAnsi" w:cstheme="minorHAnsi"/>
          <w:szCs w:val="24"/>
        </w:rPr>
        <w:t xml:space="preserve">teering </w:t>
      </w:r>
      <w:r w:rsidR="00EF79CA" w:rsidRPr="00BF17B0">
        <w:rPr>
          <w:rFonts w:asciiTheme="minorHAnsi" w:hAnsiTheme="minorHAnsi" w:cstheme="minorHAnsi"/>
          <w:szCs w:val="24"/>
        </w:rPr>
        <w:t>C</w:t>
      </w:r>
      <w:r w:rsidR="00C05CDC" w:rsidRPr="00BF17B0">
        <w:rPr>
          <w:rFonts w:asciiTheme="minorHAnsi" w:hAnsiTheme="minorHAnsi" w:cstheme="minorHAnsi"/>
          <w:szCs w:val="24"/>
        </w:rPr>
        <w:t xml:space="preserve">ommittee requested that an </w:t>
      </w:r>
      <w:r w:rsidR="004D4A3A" w:rsidRPr="00BF17B0">
        <w:rPr>
          <w:rFonts w:asciiTheme="minorHAnsi" w:hAnsiTheme="minorHAnsi" w:cstheme="minorHAnsi"/>
          <w:szCs w:val="24"/>
        </w:rPr>
        <w:t>e</w:t>
      </w:r>
      <w:r w:rsidR="00C05CDC" w:rsidRPr="00BF17B0">
        <w:rPr>
          <w:rFonts w:asciiTheme="minorHAnsi" w:hAnsiTheme="minorHAnsi" w:cstheme="minorHAnsi"/>
          <w:szCs w:val="24"/>
        </w:rPr>
        <w:t xml:space="preserve">valuation be carried </w:t>
      </w:r>
      <w:r w:rsidR="00AE3416">
        <w:rPr>
          <w:rFonts w:asciiTheme="minorHAnsi" w:hAnsiTheme="minorHAnsi" w:cstheme="minorHAnsi"/>
          <w:szCs w:val="24"/>
        </w:rPr>
        <w:t>to</w:t>
      </w:r>
      <w:r w:rsidR="00C05CDC" w:rsidRPr="00BF17B0">
        <w:rPr>
          <w:rFonts w:asciiTheme="minorHAnsi" w:hAnsiTheme="minorHAnsi" w:cstheme="minorHAnsi"/>
          <w:szCs w:val="24"/>
        </w:rPr>
        <w:t>:</w:t>
      </w:r>
    </w:p>
    <w:p w14:paraId="11E56553" w14:textId="77777777" w:rsidR="00C05CDC" w:rsidRPr="00BF17B0" w:rsidRDefault="00C05CDC" w:rsidP="00633549">
      <w:pPr>
        <w:pStyle w:val="ListParagraph"/>
        <w:numPr>
          <w:ilvl w:val="0"/>
          <w:numId w:val="1"/>
        </w:numPr>
        <w:rPr>
          <w:rFonts w:asciiTheme="minorHAnsi" w:hAnsiTheme="minorHAnsi" w:cstheme="minorHAnsi"/>
          <w:szCs w:val="24"/>
        </w:rPr>
      </w:pPr>
      <w:r w:rsidRPr="00BF17B0">
        <w:rPr>
          <w:rFonts w:asciiTheme="minorHAnsi" w:hAnsiTheme="minorHAnsi" w:cstheme="minorHAnsi"/>
          <w:szCs w:val="24"/>
        </w:rPr>
        <w:t>Identify success criteria, challenges and lessons learn</w:t>
      </w:r>
      <w:r w:rsidR="00D362ED" w:rsidRPr="00BF17B0">
        <w:rPr>
          <w:rFonts w:asciiTheme="minorHAnsi" w:hAnsiTheme="minorHAnsi" w:cstheme="minorHAnsi"/>
          <w:szCs w:val="24"/>
        </w:rPr>
        <w:t>ed.</w:t>
      </w:r>
    </w:p>
    <w:p w14:paraId="286CEC15" w14:textId="77777777" w:rsidR="00C05CDC" w:rsidRPr="00BF17B0" w:rsidRDefault="00C05CDC" w:rsidP="00633549">
      <w:pPr>
        <w:pStyle w:val="ListParagraph"/>
        <w:numPr>
          <w:ilvl w:val="0"/>
          <w:numId w:val="1"/>
        </w:numPr>
        <w:rPr>
          <w:rFonts w:asciiTheme="minorHAnsi" w:hAnsiTheme="minorHAnsi" w:cstheme="minorHAnsi"/>
          <w:szCs w:val="24"/>
        </w:rPr>
      </w:pPr>
      <w:r w:rsidRPr="00BF17B0">
        <w:rPr>
          <w:rFonts w:asciiTheme="minorHAnsi" w:hAnsiTheme="minorHAnsi" w:cstheme="minorHAnsi"/>
          <w:szCs w:val="24"/>
        </w:rPr>
        <w:t xml:space="preserve">Evaluate the </w:t>
      </w:r>
      <w:r w:rsidR="006D1856" w:rsidRPr="00BF17B0">
        <w:rPr>
          <w:rFonts w:asciiTheme="minorHAnsi" w:hAnsiTheme="minorHAnsi" w:cstheme="minorHAnsi"/>
          <w:szCs w:val="24"/>
        </w:rPr>
        <w:t>PH-P</w:t>
      </w:r>
      <w:r w:rsidR="00081620" w:rsidRPr="00BF17B0">
        <w:rPr>
          <w:rFonts w:asciiTheme="minorHAnsi" w:hAnsiTheme="minorHAnsi" w:cstheme="minorHAnsi"/>
          <w:szCs w:val="24"/>
        </w:rPr>
        <w:t>TF</w:t>
      </w:r>
      <w:r w:rsidR="004D4A3A" w:rsidRPr="00BF17B0">
        <w:rPr>
          <w:rFonts w:asciiTheme="minorHAnsi" w:hAnsiTheme="minorHAnsi" w:cstheme="minorHAnsi"/>
          <w:szCs w:val="24"/>
        </w:rPr>
        <w:t>’s achievements</w:t>
      </w:r>
      <w:r w:rsidR="00D362ED" w:rsidRPr="00BF17B0">
        <w:rPr>
          <w:rFonts w:asciiTheme="minorHAnsi" w:hAnsiTheme="minorHAnsi" w:cstheme="minorHAnsi"/>
          <w:szCs w:val="24"/>
        </w:rPr>
        <w:t>.</w:t>
      </w:r>
    </w:p>
    <w:p w14:paraId="75A9ADAE" w14:textId="77777777" w:rsidR="004D4A3A" w:rsidRPr="00BF17B0" w:rsidRDefault="009E18F4" w:rsidP="00633549">
      <w:pPr>
        <w:pStyle w:val="ListParagraph"/>
        <w:numPr>
          <w:ilvl w:val="0"/>
          <w:numId w:val="1"/>
        </w:numPr>
        <w:rPr>
          <w:rFonts w:asciiTheme="minorHAnsi" w:hAnsiTheme="minorHAnsi" w:cstheme="minorHAnsi"/>
          <w:szCs w:val="24"/>
        </w:rPr>
      </w:pPr>
      <w:r w:rsidRPr="00BF17B0">
        <w:rPr>
          <w:rFonts w:asciiTheme="minorHAnsi" w:hAnsiTheme="minorHAnsi" w:cstheme="minorHAnsi"/>
          <w:szCs w:val="24"/>
        </w:rPr>
        <w:t>A</w:t>
      </w:r>
      <w:r w:rsidR="004D4A3A" w:rsidRPr="00BF17B0">
        <w:rPr>
          <w:rFonts w:asciiTheme="minorHAnsi" w:hAnsiTheme="minorHAnsi" w:cstheme="minorHAnsi"/>
          <w:szCs w:val="24"/>
        </w:rPr>
        <w:t xml:space="preserve">ssess the extent to which recommendations of the 2012 </w:t>
      </w:r>
      <w:r w:rsidR="008263B5" w:rsidRPr="00BF17B0">
        <w:rPr>
          <w:rFonts w:asciiTheme="minorHAnsi" w:hAnsiTheme="minorHAnsi" w:cstheme="minorHAnsi"/>
          <w:szCs w:val="24"/>
        </w:rPr>
        <w:t>Midterm</w:t>
      </w:r>
      <w:r w:rsidR="007A03C9" w:rsidRPr="00BF17B0">
        <w:rPr>
          <w:rFonts w:asciiTheme="minorHAnsi" w:hAnsiTheme="minorHAnsi" w:cstheme="minorHAnsi"/>
          <w:szCs w:val="24"/>
        </w:rPr>
        <w:t xml:space="preserve"> Review</w:t>
      </w:r>
      <w:r w:rsidR="004D4A3A" w:rsidRPr="00BF17B0">
        <w:rPr>
          <w:rFonts w:asciiTheme="minorHAnsi" w:hAnsiTheme="minorHAnsi" w:cstheme="minorHAnsi"/>
          <w:szCs w:val="24"/>
        </w:rPr>
        <w:t xml:space="preserve"> </w:t>
      </w:r>
      <w:r w:rsidR="00D362ED" w:rsidRPr="00BF17B0">
        <w:rPr>
          <w:rFonts w:asciiTheme="minorHAnsi" w:hAnsiTheme="minorHAnsi" w:cstheme="minorHAnsi"/>
          <w:szCs w:val="24"/>
        </w:rPr>
        <w:t xml:space="preserve">were </w:t>
      </w:r>
      <w:r w:rsidR="004D4A3A" w:rsidRPr="00BF17B0">
        <w:rPr>
          <w:rFonts w:asciiTheme="minorHAnsi" w:hAnsiTheme="minorHAnsi" w:cstheme="minorHAnsi"/>
          <w:szCs w:val="24"/>
        </w:rPr>
        <w:t>implemented</w:t>
      </w:r>
      <w:r w:rsidR="00D362ED" w:rsidRPr="00BF17B0">
        <w:rPr>
          <w:rFonts w:asciiTheme="minorHAnsi" w:hAnsiTheme="minorHAnsi" w:cstheme="minorHAnsi"/>
          <w:szCs w:val="24"/>
        </w:rPr>
        <w:t>.</w:t>
      </w:r>
    </w:p>
    <w:p w14:paraId="0978D411" w14:textId="77777777" w:rsidR="00962378" w:rsidRPr="00BF17B0" w:rsidRDefault="00962378">
      <w:pPr>
        <w:rPr>
          <w:rFonts w:asciiTheme="minorHAnsi" w:hAnsiTheme="minorHAnsi" w:cstheme="minorHAnsi"/>
          <w:b/>
          <w:szCs w:val="24"/>
        </w:rPr>
      </w:pPr>
    </w:p>
    <w:p w14:paraId="7B6C3A5B" w14:textId="77777777" w:rsidR="00962378" w:rsidRPr="00BF17B0" w:rsidRDefault="00DB2F6A" w:rsidP="00682288">
      <w:pPr>
        <w:rPr>
          <w:rFonts w:asciiTheme="minorHAnsi" w:hAnsiTheme="minorHAnsi" w:cstheme="minorHAnsi"/>
          <w:b/>
          <w:sz w:val="28"/>
          <w:szCs w:val="28"/>
        </w:rPr>
      </w:pPr>
      <w:r w:rsidRPr="00BF17B0">
        <w:rPr>
          <w:rFonts w:asciiTheme="minorHAnsi" w:hAnsiTheme="minorHAnsi" w:cstheme="minorHAnsi"/>
          <w:b/>
          <w:sz w:val="28"/>
          <w:szCs w:val="28"/>
        </w:rPr>
        <w:t>About the Report</w:t>
      </w:r>
    </w:p>
    <w:p w14:paraId="51D8EC76" w14:textId="69CA3896" w:rsidR="006F578B" w:rsidRPr="00BF17B0" w:rsidRDefault="00D33600" w:rsidP="00FF63B3">
      <w:pPr>
        <w:rPr>
          <w:rFonts w:asciiTheme="minorHAnsi" w:hAnsiTheme="minorHAnsi" w:cstheme="minorHAnsi"/>
        </w:rPr>
      </w:pPr>
      <w:bookmarkStart w:id="11" w:name="_Ref530868426"/>
      <w:r w:rsidRPr="00BF17B0">
        <w:rPr>
          <w:rFonts w:asciiTheme="minorHAnsi" w:hAnsiTheme="minorHAnsi" w:cstheme="minorHAnsi"/>
          <w:szCs w:val="24"/>
        </w:rPr>
        <w:t>This report is based on the findings and recommendations of extensive work undertaken by an independent consultant</w:t>
      </w:r>
      <w:r w:rsidR="00481E13" w:rsidRPr="00BF17B0">
        <w:rPr>
          <w:rFonts w:asciiTheme="minorHAnsi" w:hAnsiTheme="minorHAnsi" w:cstheme="minorHAnsi"/>
          <w:szCs w:val="24"/>
        </w:rPr>
        <w:t xml:space="preserve"> (Pot</w:t>
      </w:r>
      <w:r w:rsidR="0003618D" w:rsidRPr="00BF17B0">
        <w:rPr>
          <w:rFonts w:asciiTheme="minorHAnsi" w:hAnsiTheme="minorHAnsi" w:cstheme="minorHAnsi"/>
          <w:szCs w:val="24"/>
        </w:rPr>
        <w:t>t</w:t>
      </w:r>
      <w:r w:rsidR="00481E13" w:rsidRPr="00BF17B0">
        <w:rPr>
          <w:rFonts w:asciiTheme="minorHAnsi" w:hAnsiTheme="minorHAnsi" w:cstheme="minorHAnsi"/>
          <w:szCs w:val="24"/>
        </w:rPr>
        <w:t>en 2018b)</w:t>
      </w:r>
      <w:r w:rsidR="000F774A">
        <w:rPr>
          <w:rFonts w:asciiTheme="minorHAnsi" w:hAnsiTheme="minorHAnsi" w:cstheme="minorHAnsi"/>
          <w:szCs w:val="24"/>
        </w:rPr>
        <w:t xml:space="preserve"> with inputs from World Bank and DFAT</w:t>
      </w:r>
      <w:r w:rsidRPr="00BF17B0">
        <w:rPr>
          <w:rFonts w:asciiTheme="minorHAnsi" w:hAnsiTheme="minorHAnsi" w:cstheme="minorHAnsi"/>
          <w:szCs w:val="24"/>
        </w:rPr>
        <w:t xml:space="preserve">. A </w:t>
      </w:r>
      <w:r w:rsidRPr="00BF17B0">
        <w:rPr>
          <w:rFonts w:asciiTheme="minorHAnsi" w:hAnsiTheme="minorHAnsi" w:cstheme="minorHAnsi"/>
        </w:rPr>
        <w:t xml:space="preserve">comprehensive set of background documents, including operating guidelines, trust fund proposals, and grant progress and completion reports was reviewed and a wide range of stakeholders, including project managers in government, DFAT, and World Bank staff, were engaged. </w:t>
      </w:r>
      <w:bookmarkEnd w:id="11"/>
      <w:r w:rsidR="009513AC" w:rsidRPr="00BF17B0">
        <w:rPr>
          <w:rFonts w:asciiTheme="minorHAnsi" w:hAnsiTheme="minorHAnsi" w:cstheme="minorHAnsi"/>
        </w:rPr>
        <w:t>A d</w:t>
      </w:r>
      <w:r w:rsidR="00CB10A2" w:rsidRPr="00BF17B0">
        <w:rPr>
          <w:rFonts w:asciiTheme="minorHAnsi" w:hAnsiTheme="minorHAnsi" w:cstheme="minorHAnsi"/>
        </w:rPr>
        <w:t xml:space="preserve">etailed review of </w:t>
      </w:r>
      <w:r w:rsidR="009513AC" w:rsidRPr="00BF17B0">
        <w:rPr>
          <w:rFonts w:asciiTheme="minorHAnsi" w:hAnsiTheme="minorHAnsi" w:cstheme="minorHAnsi"/>
        </w:rPr>
        <w:t xml:space="preserve">project documents related to a </w:t>
      </w:r>
      <w:r w:rsidR="00CB10A2" w:rsidRPr="00BF17B0">
        <w:rPr>
          <w:rFonts w:asciiTheme="minorHAnsi" w:hAnsiTheme="minorHAnsi" w:cstheme="minorHAnsi"/>
        </w:rPr>
        <w:t xml:space="preserve">sample of grants approved under the </w:t>
      </w:r>
      <w:r w:rsidR="006D1856" w:rsidRPr="00BF17B0">
        <w:rPr>
          <w:rFonts w:asciiTheme="minorHAnsi" w:hAnsiTheme="minorHAnsi" w:cstheme="minorHAnsi"/>
        </w:rPr>
        <w:t>PH-PTF</w:t>
      </w:r>
      <w:r w:rsidR="009513AC" w:rsidRPr="00BF17B0">
        <w:rPr>
          <w:rFonts w:asciiTheme="minorHAnsi" w:hAnsiTheme="minorHAnsi" w:cstheme="minorHAnsi"/>
        </w:rPr>
        <w:t xml:space="preserve"> was also undertaken.</w:t>
      </w:r>
      <w:r w:rsidR="008E0209" w:rsidRPr="00BF17B0">
        <w:rPr>
          <w:rFonts w:asciiTheme="minorHAnsi" w:hAnsiTheme="minorHAnsi" w:cstheme="minorHAnsi"/>
        </w:rPr>
        <w:t xml:space="preserve"> </w:t>
      </w:r>
      <w:r w:rsidR="006C70BA" w:rsidRPr="00BF17B0">
        <w:rPr>
          <w:rFonts w:asciiTheme="minorHAnsi" w:hAnsiTheme="minorHAnsi" w:cstheme="minorHAnsi"/>
        </w:rPr>
        <w:t>Th</w:t>
      </w:r>
      <w:r w:rsidR="009513AC" w:rsidRPr="00BF17B0">
        <w:rPr>
          <w:rFonts w:asciiTheme="minorHAnsi" w:hAnsiTheme="minorHAnsi" w:cstheme="minorHAnsi"/>
        </w:rPr>
        <w:t>is included</w:t>
      </w:r>
      <w:r w:rsidR="006C70BA" w:rsidRPr="00BF17B0">
        <w:rPr>
          <w:rFonts w:asciiTheme="minorHAnsi" w:hAnsiTheme="minorHAnsi" w:cstheme="minorHAnsi"/>
        </w:rPr>
        <w:t xml:space="preserve"> </w:t>
      </w:r>
      <w:r w:rsidR="00CB10A2" w:rsidRPr="00BF17B0">
        <w:rPr>
          <w:rFonts w:asciiTheme="minorHAnsi" w:hAnsiTheme="minorHAnsi" w:cstheme="minorHAnsi"/>
        </w:rPr>
        <w:t>12 grants</w:t>
      </w:r>
      <w:r w:rsidR="007979B2" w:rsidRPr="00BF17B0">
        <w:rPr>
          <w:rFonts w:asciiTheme="minorHAnsi" w:hAnsiTheme="minorHAnsi" w:cstheme="minorHAnsi"/>
        </w:rPr>
        <w:t>, each</w:t>
      </w:r>
      <w:r w:rsidR="00CB10A2" w:rsidRPr="00BF17B0">
        <w:rPr>
          <w:rFonts w:asciiTheme="minorHAnsi" w:hAnsiTheme="minorHAnsi" w:cstheme="minorHAnsi"/>
        </w:rPr>
        <w:t xml:space="preserve"> </w:t>
      </w:r>
      <w:r w:rsidR="001221B5" w:rsidRPr="00BF17B0">
        <w:rPr>
          <w:rFonts w:asciiTheme="minorHAnsi" w:hAnsiTheme="minorHAnsi" w:cstheme="minorHAnsi"/>
        </w:rPr>
        <w:t>with approved grant amounts over $1 million</w:t>
      </w:r>
      <w:r w:rsidR="009513AC" w:rsidRPr="00BF17B0">
        <w:rPr>
          <w:rFonts w:asciiTheme="minorHAnsi" w:hAnsiTheme="minorHAnsi" w:cstheme="minorHAnsi"/>
        </w:rPr>
        <w:t xml:space="preserve">, and </w:t>
      </w:r>
      <w:r w:rsidR="00D802E6" w:rsidRPr="00BF17B0">
        <w:rPr>
          <w:rFonts w:asciiTheme="minorHAnsi" w:hAnsiTheme="minorHAnsi" w:cstheme="minorHAnsi"/>
        </w:rPr>
        <w:t xml:space="preserve">three </w:t>
      </w:r>
      <w:r w:rsidR="002F1128" w:rsidRPr="00BF17B0">
        <w:rPr>
          <w:rFonts w:asciiTheme="minorHAnsi" w:hAnsiTheme="minorHAnsi" w:cstheme="minorHAnsi"/>
        </w:rPr>
        <w:t xml:space="preserve">other </w:t>
      </w:r>
      <w:r w:rsidR="009513AC" w:rsidRPr="00BF17B0">
        <w:rPr>
          <w:rFonts w:asciiTheme="minorHAnsi" w:hAnsiTheme="minorHAnsi" w:cstheme="minorHAnsi"/>
        </w:rPr>
        <w:t xml:space="preserve">Bank executed </w:t>
      </w:r>
      <w:r w:rsidR="00CB10A2" w:rsidRPr="00BF17B0">
        <w:rPr>
          <w:rFonts w:asciiTheme="minorHAnsi" w:hAnsiTheme="minorHAnsi" w:cstheme="minorHAnsi"/>
        </w:rPr>
        <w:t xml:space="preserve">grants </w:t>
      </w:r>
      <w:r w:rsidR="00B14C8E" w:rsidRPr="00BF17B0">
        <w:rPr>
          <w:rFonts w:asciiTheme="minorHAnsi" w:hAnsiTheme="minorHAnsi" w:cstheme="minorHAnsi"/>
        </w:rPr>
        <w:t>suppo</w:t>
      </w:r>
      <w:r w:rsidR="009513AC" w:rsidRPr="00BF17B0">
        <w:rPr>
          <w:rFonts w:asciiTheme="minorHAnsi" w:hAnsiTheme="minorHAnsi" w:cstheme="minorHAnsi"/>
        </w:rPr>
        <w:t>rting subtasks of</w:t>
      </w:r>
      <w:r w:rsidR="007979B2" w:rsidRPr="00BF17B0">
        <w:rPr>
          <w:rFonts w:asciiTheme="minorHAnsi" w:hAnsiTheme="minorHAnsi" w:cstheme="minorHAnsi"/>
        </w:rPr>
        <w:t xml:space="preserve"> programmatic analytical and advisory activities (PAAAs)</w:t>
      </w:r>
      <w:r w:rsidR="009513AC" w:rsidRPr="00BF17B0">
        <w:rPr>
          <w:rFonts w:asciiTheme="minorHAnsi" w:hAnsiTheme="minorHAnsi" w:cstheme="minorHAnsi"/>
        </w:rPr>
        <w:t>.</w:t>
      </w:r>
      <w:r w:rsidR="00B14C8E" w:rsidRPr="00BF17B0">
        <w:rPr>
          <w:rFonts w:asciiTheme="minorHAnsi" w:hAnsiTheme="minorHAnsi" w:cstheme="minorHAnsi"/>
        </w:rPr>
        <w:t xml:space="preserve"> </w:t>
      </w:r>
    </w:p>
    <w:p w14:paraId="09F45425" w14:textId="77777777" w:rsidR="0077560F" w:rsidRPr="00BF17B0" w:rsidRDefault="00A62A9E" w:rsidP="00782C1B">
      <w:pPr>
        <w:rPr>
          <w:rFonts w:asciiTheme="minorHAnsi" w:hAnsiTheme="minorHAnsi" w:cstheme="minorHAnsi"/>
        </w:rPr>
      </w:pPr>
      <w:r w:rsidRPr="00BF17B0">
        <w:rPr>
          <w:rFonts w:asciiTheme="minorHAnsi" w:hAnsiTheme="minorHAnsi" w:cstheme="minorHAnsi"/>
        </w:rPr>
        <w:t xml:space="preserve">Although </w:t>
      </w:r>
      <w:r w:rsidR="002D6119" w:rsidRPr="00BF17B0">
        <w:rPr>
          <w:rFonts w:asciiTheme="minorHAnsi" w:hAnsiTheme="minorHAnsi" w:cstheme="minorHAnsi"/>
        </w:rPr>
        <w:t>the</w:t>
      </w:r>
      <w:r w:rsidR="003613C6" w:rsidRPr="00BF17B0">
        <w:rPr>
          <w:rFonts w:asciiTheme="minorHAnsi" w:hAnsiTheme="minorHAnsi" w:cstheme="minorHAnsi"/>
        </w:rPr>
        <w:t xml:space="preserve"> 15 grants</w:t>
      </w:r>
      <w:r w:rsidR="002D6119" w:rsidRPr="00BF17B0">
        <w:rPr>
          <w:rFonts w:asciiTheme="minorHAnsi" w:hAnsiTheme="minorHAnsi" w:cstheme="minorHAnsi"/>
        </w:rPr>
        <w:t xml:space="preserve"> </w:t>
      </w:r>
      <w:r w:rsidR="00A03AAE" w:rsidRPr="00BF17B0">
        <w:rPr>
          <w:rFonts w:asciiTheme="minorHAnsi" w:hAnsiTheme="minorHAnsi" w:cstheme="minorHAnsi"/>
        </w:rPr>
        <w:t xml:space="preserve">represent </w:t>
      </w:r>
      <w:r w:rsidRPr="00BF17B0">
        <w:rPr>
          <w:rFonts w:asciiTheme="minorHAnsi" w:hAnsiTheme="minorHAnsi" w:cstheme="minorHAnsi"/>
        </w:rPr>
        <w:t>only 23</w:t>
      </w:r>
      <w:r w:rsidR="002D6119" w:rsidRPr="00BF17B0">
        <w:rPr>
          <w:rFonts w:asciiTheme="minorHAnsi" w:hAnsiTheme="minorHAnsi" w:cstheme="minorHAnsi"/>
        </w:rPr>
        <w:t xml:space="preserve"> percent </w:t>
      </w:r>
      <w:r w:rsidRPr="00BF17B0">
        <w:rPr>
          <w:rFonts w:asciiTheme="minorHAnsi" w:hAnsiTheme="minorHAnsi" w:cstheme="minorHAnsi"/>
        </w:rPr>
        <w:t>of the total number</w:t>
      </w:r>
      <w:r w:rsidR="00A03AAE" w:rsidRPr="00BF17B0">
        <w:rPr>
          <w:rFonts w:asciiTheme="minorHAnsi" w:hAnsiTheme="minorHAnsi" w:cstheme="minorHAnsi"/>
        </w:rPr>
        <w:t xml:space="preserve"> of approved grants</w:t>
      </w:r>
      <w:r w:rsidRPr="00BF17B0">
        <w:rPr>
          <w:rFonts w:asciiTheme="minorHAnsi" w:hAnsiTheme="minorHAnsi" w:cstheme="minorHAnsi"/>
        </w:rPr>
        <w:t xml:space="preserve">, </w:t>
      </w:r>
      <w:r w:rsidR="002D6119" w:rsidRPr="00BF17B0">
        <w:rPr>
          <w:rFonts w:asciiTheme="minorHAnsi" w:hAnsiTheme="minorHAnsi" w:cstheme="minorHAnsi"/>
        </w:rPr>
        <w:t>the</w:t>
      </w:r>
      <w:r w:rsidR="00EE7AB5" w:rsidRPr="00BF17B0">
        <w:rPr>
          <w:rFonts w:asciiTheme="minorHAnsi" w:hAnsiTheme="minorHAnsi" w:cstheme="minorHAnsi"/>
        </w:rPr>
        <w:t xml:space="preserve">y </w:t>
      </w:r>
      <w:r w:rsidR="00A03AAE" w:rsidRPr="00BF17B0">
        <w:rPr>
          <w:rFonts w:asciiTheme="minorHAnsi" w:hAnsiTheme="minorHAnsi" w:cstheme="minorHAnsi"/>
        </w:rPr>
        <w:t xml:space="preserve">constitute </w:t>
      </w:r>
      <w:r w:rsidRPr="00BF17B0">
        <w:rPr>
          <w:rFonts w:asciiTheme="minorHAnsi" w:hAnsiTheme="minorHAnsi" w:cstheme="minorHAnsi"/>
        </w:rPr>
        <w:t>86</w:t>
      </w:r>
      <w:r w:rsidR="002D6119" w:rsidRPr="00BF17B0">
        <w:rPr>
          <w:rFonts w:asciiTheme="minorHAnsi" w:hAnsiTheme="minorHAnsi" w:cstheme="minorHAnsi"/>
        </w:rPr>
        <w:t xml:space="preserve"> percent </w:t>
      </w:r>
      <w:r w:rsidRPr="00BF17B0">
        <w:rPr>
          <w:rFonts w:asciiTheme="minorHAnsi" w:hAnsiTheme="minorHAnsi" w:cstheme="minorHAnsi"/>
        </w:rPr>
        <w:t xml:space="preserve">of the total value of approved grants. </w:t>
      </w:r>
      <w:r w:rsidR="0077560F" w:rsidRPr="00BF17B0">
        <w:rPr>
          <w:rFonts w:asciiTheme="minorHAnsi" w:hAnsiTheme="minorHAnsi" w:cstheme="minorHAnsi"/>
        </w:rPr>
        <w:t xml:space="preserve">The </w:t>
      </w:r>
      <w:r w:rsidR="00063409" w:rsidRPr="00BF17B0">
        <w:rPr>
          <w:rFonts w:asciiTheme="minorHAnsi" w:hAnsiTheme="minorHAnsi" w:cstheme="minorHAnsi"/>
        </w:rPr>
        <w:t>World Bank</w:t>
      </w:r>
      <w:r w:rsidR="0077560F" w:rsidRPr="00BF17B0">
        <w:rPr>
          <w:rFonts w:asciiTheme="minorHAnsi" w:hAnsiTheme="minorHAnsi" w:cstheme="minorHAnsi"/>
        </w:rPr>
        <w:t xml:space="preserve"> </w:t>
      </w:r>
      <w:r w:rsidR="000E78AD" w:rsidRPr="00BF17B0">
        <w:rPr>
          <w:rFonts w:asciiTheme="minorHAnsi" w:hAnsiTheme="minorHAnsi" w:cstheme="minorHAnsi"/>
        </w:rPr>
        <w:t>t</w:t>
      </w:r>
      <w:r w:rsidR="006D4E18" w:rsidRPr="00BF17B0">
        <w:rPr>
          <w:rFonts w:asciiTheme="minorHAnsi" w:hAnsiTheme="minorHAnsi" w:cstheme="minorHAnsi"/>
        </w:rPr>
        <w:t xml:space="preserve">ask </w:t>
      </w:r>
      <w:r w:rsidR="000E78AD" w:rsidRPr="00BF17B0">
        <w:rPr>
          <w:rFonts w:asciiTheme="minorHAnsi" w:hAnsiTheme="minorHAnsi" w:cstheme="minorHAnsi"/>
        </w:rPr>
        <w:t>t</w:t>
      </w:r>
      <w:r w:rsidR="006D4E18" w:rsidRPr="00BF17B0">
        <w:rPr>
          <w:rFonts w:asciiTheme="minorHAnsi" w:hAnsiTheme="minorHAnsi" w:cstheme="minorHAnsi"/>
        </w:rPr>
        <w:t xml:space="preserve">eam </w:t>
      </w:r>
      <w:r w:rsidR="000E78AD" w:rsidRPr="00BF17B0">
        <w:rPr>
          <w:rFonts w:asciiTheme="minorHAnsi" w:hAnsiTheme="minorHAnsi" w:cstheme="minorHAnsi"/>
        </w:rPr>
        <w:t>l</w:t>
      </w:r>
      <w:r w:rsidR="006D4E18" w:rsidRPr="00BF17B0">
        <w:rPr>
          <w:rFonts w:asciiTheme="minorHAnsi" w:hAnsiTheme="minorHAnsi" w:cstheme="minorHAnsi"/>
        </w:rPr>
        <w:t>eader</w:t>
      </w:r>
      <w:r w:rsidR="0077560F" w:rsidRPr="00BF17B0">
        <w:rPr>
          <w:rFonts w:asciiTheme="minorHAnsi" w:hAnsiTheme="minorHAnsi" w:cstheme="minorHAnsi"/>
        </w:rPr>
        <w:t xml:space="preserve">s </w:t>
      </w:r>
      <w:r w:rsidR="000E78AD" w:rsidRPr="00BF17B0">
        <w:rPr>
          <w:rFonts w:asciiTheme="minorHAnsi" w:hAnsiTheme="minorHAnsi" w:cstheme="minorHAnsi"/>
        </w:rPr>
        <w:t xml:space="preserve">who were interviewed for this </w:t>
      </w:r>
      <w:r w:rsidR="00F871BE" w:rsidRPr="00BF17B0">
        <w:rPr>
          <w:rFonts w:asciiTheme="minorHAnsi" w:hAnsiTheme="minorHAnsi" w:cstheme="minorHAnsi"/>
        </w:rPr>
        <w:t>report</w:t>
      </w:r>
      <w:r w:rsidR="000E78AD" w:rsidRPr="00BF17B0">
        <w:rPr>
          <w:rFonts w:asciiTheme="minorHAnsi" w:hAnsiTheme="minorHAnsi" w:cstheme="minorHAnsi"/>
        </w:rPr>
        <w:t xml:space="preserve"> were responsible for </w:t>
      </w:r>
      <w:r w:rsidR="0077560F" w:rsidRPr="00BF17B0">
        <w:rPr>
          <w:rFonts w:asciiTheme="minorHAnsi" w:hAnsiTheme="minorHAnsi" w:cstheme="minorHAnsi"/>
        </w:rPr>
        <w:t>40 of the 65 approved grants (62</w:t>
      </w:r>
      <w:r w:rsidR="000E78AD" w:rsidRPr="00BF17B0">
        <w:rPr>
          <w:rFonts w:asciiTheme="minorHAnsi" w:hAnsiTheme="minorHAnsi" w:cstheme="minorHAnsi"/>
        </w:rPr>
        <w:t xml:space="preserve"> percent), </w:t>
      </w:r>
      <w:r w:rsidR="00015F80" w:rsidRPr="00BF17B0">
        <w:rPr>
          <w:rFonts w:asciiTheme="minorHAnsi" w:hAnsiTheme="minorHAnsi" w:cstheme="minorHAnsi"/>
        </w:rPr>
        <w:t>and</w:t>
      </w:r>
      <w:r w:rsidR="0077560F" w:rsidRPr="00BF17B0">
        <w:rPr>
          <w:rFonts w:asciiTheme="minorHAnsi" w:hAnsiTheme="minorHAnsi" w:cstheme="minorHAnsi"/>
        </w:rPr>
        <w:t xml:space="preserve"> </w:t>
      </w:r>
      <w:r w:rsidR="003F09D2" w:rsidRPr="00BF17B0">
        <w:rPr>
          <w:rFonts w:asciiTheme="minorHAnsi" w:hAnsiTheme="minorHAnsi" w:cstheme="minorHAnsi"/>
        </w:rPr>
        <w:t xml:space="preserve">hence </w:t>
      </w:r>
      <w:r w:rsidR="0077560F" w:rsidRPr="00BF17B0">
        <w:rPr>
          <w:rFonts w:asciiTheme="minorHAnsi" w:hAnsiTheme="minorHAnsi" w:cstheme="minorHAnsi"/>
        </w:rPr>
        <w:t xml:space="preserve">were able to </w:t>
      </w:r>
      <w:r w:rsidR="00015F80" w:rsidRPr="00BF17B0">
        <w:rPr>
          <w:rFonts w:asciiTheme="minorHAnsi" w:hAnsiTheme="minorHAnsi" w:cstheme="minorHAnsi"/>
        </w:rPr>
        <w:t xml:space="preserve">provide information about </w:t>
      </w:r>
      <w:r w:rsidR="0077560F" w:rsidRPr="00BF17B0">
        <w:rPr>
          <w:rFonts w:asciiTheme="minorHAnsi" w:hAnsiTheme="minorHAnsi" w:cstheme="minorHAnsi"/>
        </w:rPr>
        <w:t xml:space="preserve">the </w:t>
      </w:r>
      <w:r w:rsidR="00564CA1" w:rsidRPr="00BF17B0">
        <w:rPr>
          <w:rFonts w:asciiTheme="minorHAnsi" w:hAnsiTheme="minorHAnsi" w:cstheme="minorHAnsi"/>
        </w:rPr>
        <w:t xml:space="preserve">broader </w:t>
      </w:r>
      <w:r w:rsidR="0077560F" w:rsidRPr="00BF17B0">
        <w:rPr>
          <w:rFonts w:asciiTheme="minorHAnsi" w:hAnsiTheme="minorHAnsi" w:cstheme="minorHAnsi"/>
        </w:rPr>
        <w:t>portfolio</w:t>
      </w:r>
      <w:r w:rsidR="00FE0844" w:rsidRPr="00BF17B0">
        <w:rPr>
          <w:rFonts w:asciiTheme="minorHAnsi" w:hAnsiTheme="minorHAnsi" w:cstheme="minorHAnsi"/>
        </w:rPr>
        <w:t>.</w:t>
      </w:r>
    </w:p>
    <w:p w14:paraId="7D4CCAC8" w14:textId="1CD8D47B" w:rsidR="00327F35" w:rsidRPr="00BF17B0" w:rsidRDefault="00C87430" w:rsidP="00C87430">
      <w:pPr>
        <w:rPr>
          <w:rFonts w:asciiTheme="minorHAnsi" w:hAnsiTheme="minorHAnsi" w:cstheme="minorHAnsi"/>
          <w:szCs w:val="24"/>
        </w:rPr>
      </w:pPr>
      <w:r w:rsidRPr="00BF17B0">
        <w:rPr>
          <w:rFonts w:asciiTheme="minorHAnsi" w:hAnsiTheme="minorHAnsi" w:cstheme="minorHAnsi"/>
        </w:rPr>
        <w:t xml:space="preserve">The </w:t>
      </w:r>
      <w:r w:rsidR="006D1856" w:rsidRPr="00BF17B0">
        <w:rPr>
          <w:rFonts w:asciiTheme="minorHAnsi" w:hAnsiTheme="minorHAnsi" w:cstheme="minorHAnsi"/>
        </w:rPr>
        <w:t>PH-PTF</w:t>
      </w:r>
      <w:r w:rsidRPr="00BF17B0">
        <w:rPr>
          <w:rFonts w:asciiTheme="minorHAnsi" w:hAnsiTheme="minorHAnsi" w:cstheme="minorHAnsi"/>
        </w:rPr>
        <w:t xml:space="preserve"> </w:t>
      </w:r>
      <w:r w:rsidR="00DE4908" w:rsidRPr="00BF17B0">
        <w:rPr>
          <w:rFonts w:asciiTheme="minorHAnsi" w:hAnsiTheme="minorHAnsi" w:cstheme="minorHAnsi"/>
        </w:rPr>
        <w:t xml:space="preserve">is </w:t>
      </w:r>
      <w:r w:rsidRPr="00BF17B0">
        <w:rPr>
          <w:rFonts w:asciiTheme="minorHAnsi" w:hAnsiTheme="minorHAnsi" w:cstheme="minorHAnsi"/>
        </w:rPr>
        <w:t xml:space="preserve">the subject of two studies </w:t>
      </w:r>
      <w:r w:rsidR="00DE4908" w:rsidRPr="00BF17B0">
        <w:rPr>
          <w:rFonts w:asciiTheme="minorHAnsi" w:hAnsiTheme="minorHAnsi" w:cstheme="minorHAnsi"/>
        </w:rPr>
        <w:t xml:space="preserve">that </w:t>
      </w:r>
      <w:r w:rsidRPr="00BF17B0">
        <w:rPr>
          <w:rFonts w:asciiTheme="minorHAnsi" w:hAnsiTheme="minorHAnsi" w:cstheme="minorHAnsi"/>
        </w:rPr>
        <w:t xml:space="preserve">provide an important foundation for this </w:t>
      </w:r>
      <w:r w:rsidR="00813310" w:rsidRPr="00BF17B0">
        <w:rPr>
          <w:rFonts w:asciiTheme="minorHAnsi" w:hAnsiTheme="minorHAnsi" w:cstheme="minorHAnsi"/>
        </w:rPr>
        <w:t>report</w:t>
      </w:r>
      <w:r w:rsidRPr="00BF17B0">
        <w:rPr>
          <w:rFonts w:asciiTheme="minorHAnsi" w:hAnsiTheme="minorHAnsi" w:cstheme="minorHAnsi"/>
        </w:rPr>
        <w:t xml:space="preserve">. </w:t>
      </w:r>
      <w:r w:rsidR="00660763" w:rsidRPr="00BF17B0">
        <w:rPr>
          <w:rFonts w:asciiTheme="minorHAnsi" w:hAnsiTheme="minorHAnsi" w:cstheme="minorHAnsi"/>
        </w:rPr>
        <w:t xml:space="preserve">The </w:t>
      </w:r>
      <w:r w:rsidR="00AB2B0C" w:rsidRPr="00BF17B0">
        <w:rPr>
          <w:rFonts w:asciiTheme="minorHAnsi" w:hAnsiTheme="minorHAnsi" w:cstheme="minorHAnsi"/>
        </w:rPr>
        <w:t xml:space="preserve">first is the </w:t>
      </w:r>
      <w:r w:rsidRPr="00BF17B0">
        <w:rPr>
          <w:rFonts w:asciiTheme="minorHAnsi" w:hAnsiTheme="minorHAnsi" w:cstheme="minorHAnsi"/>
        </w:rPr>
        <w:t xml:space="preserve">2012 </w:t>
      </w:r>
      <w:r w:rsidR="008263B5" w:rsidRPr="00BF17B0">
        <w:rPr>
          <w:rFonts w:asciiTheme="minorHAnsi" w:hAnsiTheme="minorHAnsi" w:cstheme="minorHAnsi"/>
        </w:rPr>
        <w:t>Midterm</w:t>
      </w:r>
      <w:r w:rsidR="007A03C9" w:rsidRPr="00BF17B0">
        <w:rPr>
          <w:rFonts w:asciiTheme="minorHAnsi" w:hAnsiTheme="minorHAnsi" w:cstheme="minorHAnsi"/>
        </w:rPr>
        <w:t xml:space="preserve"> Review</w:t>
      </w:r>
      <w:r w:rsidRPr="00BF17B0">
        <w:rPr>
          <w:rFonts w:asciiTheme="minorHAnsi" w:hAnsiTheme="minorHAnsi" w:cstheme="minorHAnsi"/>
        </w:rPr>
        <w:t xml:space="preserve"> (Allen and Lipsey</w:t>
      </w:r>
      <w:r w:rsidR="00602B25" w:rsidRPr="00BF17B0">
        <w:rPr>
          <w:rFonts w:asciiTheme="minorHAnsi" w:hAnsiTheme="minorHAnsi" w:cstheme="minorHAnsi"/>
        </w:rPr>
        <w:t xml:space="preserve"> 2012</w:t>
      </w:r>
      <w:r w:rsidRPr="00BF17B0">
        <w:rPr>
          <w:rFonts w:asciiTheme="minorHAnsi" w:hAnsiTheme="minorHAnsi" w:cstheme="minorHAnsi"/>
        </w:rPr>
        <w:t>)</w:t>
      </w:r>
      <w:r w:rsidR="00AB2B0C" w:rsidRPr="00BF17B0">
        <w:rPr>
          <w:rFonts w:asciiTheme="minorHAnsi" w:hAnsiTheme="minorHAnsi" w:cstheme="minorHAnsi"/>
        </w:rPr>
        <w:t>, which</w:t>
      </w:r>
      <w:r w:rsidR="009925E7" w:rsidRPr="00BF17B0">
        <w:rPr>
          <w:rFonts w:asciiTheme="minorHAnsi" w:hAnsiTheme="minorHAnsi" w:cstheme="minorHAnsi"/>
        </w:rPr>
        <w:t xml:space="preserve"> </w:t>
      </w:r>
      <w:r w:rsidR="008E628E" w:rsidRPr="00BF17B0">
        <w:rPr>
          <w:rFonts w:asciiTheme="minorHAnsi" w:hAnsiTheme="minorHAnsi" w:cstheme="minorHAnsi"/>
        </w:rPr>
        <w:t xml:space="preserve">examined </w:t>
      </w:r>
      <w:r w:rsidRPr="00BF17B0">
        <w:rPr>
          <w:rFonts w:asciiTheme="minorHAnsi" w:hAnsiTheme="minorHAnsi" w:cstheme="minorHAnsi"/>
        </w:rPr>
        <w:t xml:space="preserve">the </w:t>
      </w:r>
      <w:r w:rsidR="00124DF6" w:rsidRPr="00BF17B0">
        <w:rPr>
          <w:rFonts w:asciiTheme="minorHAnsi" w:hAnsiTheme="minorHAnsi" w:cstheme="minorHAnsi"/>
        </w:rPr>
        <w:t xml:space="preserve">rationale of </w:t>
      </w:r>
      <w:r w:rsidRPr="00BF17B0">
        <w:rPr>
          <w:rFonts w:asciiTheme="minorHAnsi" w:hAnsiTheme="minorHAnsi" w:cstheme="minorHAnsi"/>
        </w:rPr>
        <w:t xml:space="preserve">the </w:t>
      </w:r>
      <w:r w:rsidR="006D1856" w:rsidRPr="00BF17B0">
        <w:rPr>
          <w:rFonts w:asciiTheme="minorHAnsi" w:hAnsiTheme="minorHAnsi" w:cstheme="minorHAnsi"/>
        </w:rPr>
        <w:t>PH-PTF</w:t>
      </w:r>
      <w:r w:rsidRPr="00BF17B0">
        <w:rPr>
          <w:rFonts w:asciiTheme="minorHAnsi" w:hAnsiTheme="minorHAnsi" w:cstheme="minorHAnsi"/>
        </w:rPr>
        <w:t xml:space="preserve">, </w:t>
      </w:r>
      <w:r w:rsidR="00687594" w:rsidRPr="00BF17B0">
        <w:rPr>
          <w:rFonts w:asciiTheme="minorHAnsi" w:hAnsiTheme="minorHAnsi" w:cstheme="minorHAnsi"/>
        </w:rPr>
        <w:t>World Bank</w:t>
      </w:r>
      <w:r w:rsidR="009E18F4" w:rsidRPr="00BF17B0">
        <w:rPr>
          <w:rFonts w:asciiTheme="minorHAnsi" w:hAnsiTheme="minorHAnsi" w:cstheme="minorHAnsi"/>
        </w:rPr>
        <w:t xml:space="preserve"> </w:t>
      </w:r>
      <w:r w:rsidR="009925E7" w:rsidRPr="00BF17B0">
        <w:rPr>
          <w:rFonts w:asciiTheme="minorHAnsi" w:hAnsiTheme="minorHAnsi" w:cstheme="minorHAnsi"/>
        </w:rPr>
        <w:t>t</w:t>
      </w:r>
      <w:r w:rsidRPr="00BF17B0">
        <w:rPr>
          <w:rFonts w:asciiTheme="minorHAnsi" w:hAnsiTheme="minorHAnsi" w:cstheme="minorHAnsi"/>
        </w:rPr>
        <w:t xml:space="preserve">rust </w:t>
      </w:r>
      <w:r w:rsidR="009925E7" w:rsidRPr="00BF17B0">
        <w:rPr>
          <w:rFonts w:asciiTheme="minorHAnsi" w:hAnsiTheme="minorHAnsi" w:cstheme="minorHAnsi"/>
        </w:rPr>
        <w:t>f</w:t>
      </w:r>
      <w:r w:rsidRPr="00BF17B0">
        <w:rPr>
          <w:rFonts w:asciiTheme="minorHAnsi" w:hAnsiTheme="minorHAnsi" w:cstheme="minorHAnsi"/>
        </w:rPr>
        <w:t xml:space="preserve">und processes, </w:t>
      </w:r>
      <w:r w:rsidR="006D1856" w:rsidRPr="00BF17B0">
        <w:rPr>
          <w:rFonts w:asciiTheme="minorHAnsi" w:hAnsiTheme="minorHAnsi" w:cstheme="minorHAnsi"/>
        </w:rPr>
        <w:t>PH-PTF</w:t>
      </w:r>
      <w:r w:rsidR="009E18F4" w:rsidRPr="00BF17B0">
        <w:rPr>
          <w:rFonts w:asciiTheme="minorHAnsi" w:hAnsiTheme="minorHAnsi" w:cstheme="minorHAnsi"/>
        </w:rPr>
        <w:t xml:space="preserve"> </w:t>
      </w:r>
      <w:r w:rsidR="00327F35" w:rsidRPr="00BF17B0">
        <w:rPr>
          <w:rFonts w:asciiTheme="minorHAnsi" w:hAnsiTheme="minorHAnsi" w:cstheme="minorHAnsi"/>
        </w:rPr>
        <w:t>achievements</w:t>
      </w:r>
      <w:r w:rsidR="009925E7" w:rsidRPr="00BF17B0">
        <w:rPr>
          <w:rFonts w:asciiTheme="minorHAnsi" w:hAnsiTheme="minorHAnsi" w:cstheme="minorHAnsi"/>
        </w:rPr>
        <w:t xml:space="preserve">, </w:t>
      </w:r>
      <w:r w:rsidR="00327F35" w:rsidRPr="00BF17B0">
        <w:rPr>
          <w:rFonts w:asciiTheme="minorHAnsi" w:hAnsiTheme="minorHAnsi" w:cstheme="minorHAnsi"/>
        </w:rPr>
        <w:t xml:space="preserve">and </w:t>
      </w:r>
      <w:r w:rsidR="00E411D4" w:rsidRPr="00BF17B0">
        <w:rPr>
          <w:rFonts w:asciiTheme="minorHAnsi" w:hAnsiTheme="minorHAnsi" w:cstheme="minorHAnsi"/>
        </w:rPr>
        <w:t>issues that require</w:t>
      </w:r>
      <w:r w:rsidR="002A096F" w:rsidRPr="00BF17B0">
        <w:rPr>
          <w:rFonts w:asciiTheme="minorHAnsi" w:hAnsiTheme="minorHAnsi" w:cstheme="minorHAnsi"/>
        </w:rPr>
        <w:t>d</w:t>
      </w:r>
      <w:r w:rsidR="00E411D4" w:rsidRPr="00BF17B0">
        <w:rPr>
          <w:rFonts w:asciiTheme="minorHAnsi" w:hAnsiTheme="minorHAnsi" w:cstheme="minorHAnsi"/>
        </w:rPr>
        <w:t xml:space="preserve"> </w:t>
      </w:r>
      <w:r w:rsidR="00327F35" w:rsidRPr="00BF17B0">
        <w:rPr>
          <w:rFonts w:asciiTheme="minorHAnsi" w:hAnsiTheme="minorHAnsi" w:cstheme="minorHAnsi"/>
        </w:rPr>
        <w:t xml:space="preserve">the </w:t>
      </w:r>
      <w:r w:rsidR="00EF79CA" w:rsidRPr="00BF17B0">
        <w:rPr>
          <w:rFonts w:asciiTheme="minorHAnsi" w:hAnsiTheme="minorHAnsi" w:cstheme="minorHAnsi"/>
        </w:rPr>
        <w:t>S</w:t>
      </w:r>
      <w:r w:rsidR="00327F35" w:rsidRPr="00BF17B0">
        <w:rPr>
          <w:rFonts w:asciiTheme="minorHAnsi" w:hAnsiTheme="minorHAnsi" w:cstheme="minorHAnsi"/>
        </w:rPr>
        <w:t xml:space="preserve">teering </w:t>
      </w:r>
      <w:r w:rsidR="00EF79CA" w:rsidRPr="00BF17B0">
        <w:rPr>
          <w:rFonts w:asciiTheme="minorHAnsi" w:hAnsiTheme="minorHAnsi" w:cstheme="minorHAnsi"/>
        </w:rPr>
        <w:t>C</w:t>
      </w:r>
      <w:r w:rsidR="00327F35" w:rsidRPr="00BF17B0">
        <w:rPr>
          <w:rFonts w:asciiTheme="minorHAnsi" w:hAnsiTheme="minorHAnsi" w:cstheme="minorHAnsi"/>
        </w:rPr>
        <w:t>ommittee’s attention</w:t>
      </w:r>
      <w:r w:rsidR="0090594F" w:rsidRPr="00BF17B0">
        <w:rPr>
          <w:rFonts w:asciiTheme="minorHAnsi" w:hAnsiTheme="minorHAnsi" w:cstheme="minorHAnsi"/>
        </w:rPr>
        <w:t xml:space="preserve">. </w:t>
      </w:r>
      <w:r w:rsidR="00AB2B0C" w:rsidRPr="00BF17B0">
        <w:rPr>
          <w:rFonts w:asciiTheme="minorHAnsi" w:hAnsiTheme="minorHAnsi" w:cstheme="minorHAnsi"/>
        </w:rPr>
        <w:t>The second is the Results Framework, which was developed to address a recommendation of the review</w:t>
      </w:r>
      <w:r w:rsidR="008A4577" w:rsidRPr="00BF17B0">
        <w:rPr>
          <w:rFonts w:asciiTheme="minorHAnsi" w:hAnsiTheme="minorHAnsi" w:cstheme="minorHAnsi"/>
        </w:rPr>
        <w:t xml:space="preserve"> </w:t>
      </w:r>
      <w:r w:rsidR="001E169A" w:rsidRPr="00BF17B0">
        <w:rPr>
          <w:rFonts w:asciiTheme="minorHAnsi" w:hAnsiTheme="minorHAnsi" w:cstheme="minorHAnsi"/>
        </w:rPr>
        <w:t xml:space="preserve">about the lack of </w:t>
      </w:r>
      <w:r w:rsidR="00327F35" w:rsidRPr="00BF17B0">
        <w:rPr>
          <w:rFonts w:asciiTheme="minorHAnsi" w:hAnsiTheme="minorHAnsi" w:cstheme="minorHAnsi"/>
        </w:rPr>
        <w:t xml:space="preserve">a program level </w:t>
      </w:r>
      <w:r w:rsidR="00A57472" w:rsidRPr="00BF17B0">
        <w:rPr>
          <w:rFonts w:asciiTheme="minorHAnsi" w:hAnsiTheme="minorHAnsi" w:cstheme="minorHAnsi"/>
        </w:rPr>
        <w:t>r</w:t>
      </w:r>
      <w:r w:rsidR="00327F35" w:rsidRPr="00BF17B0">
        <w:rPr>
          <w:rFonts w:asciiTheme="minorHAnsi" w:hAnsiTheme="minorHAnsi" w:cstheme="minorHAnsi"/>
        </w:rPr>
        <w:t xml:space="preserve">esults </w:t>
      </w:r>
      <w:r w:rsidR="00A57472" w:rsidRPr="00BF17B0">
        <w:rPr>
          <w:rFonts w:asciiTheme="minorHAnsi" w:hAnsiTheme="minorHAnsi" w:cstheme="minorHAnsi"/>
        </w:rPr>
        <w:t>f</w:t>
      </w:r>
      <w:r w:rsidR="00327F35" w:rsidRPr="00BF17B0">
        <w:rPr>
          <w:rFonts w:asciiTheme="minorHAnsi" w:hAnsiTheme="minorHAnsi" w:cstheme="minorHAnsi"/>
        </w:rPr>
        <w:t>ramework</w:t>
      </w:r>
      <w:r w:rsidR="008A4577" w:rsidRPr="00BF17B0">
        <w:rPr>
          <w:rFonts w:asciiTheme="minorHAnsi" w:hAnsiTheme="minorHAnsi" w:cstheme="minorHAnsi"/>
        </w:rPr>
        <w:t xml:space="preserve"> (</w:t>
      </w:r>
      <w:r w:rsidR="00450B16" w:rsidRPr="00BF17B0">
        <w:rPr>
          <w:rFonts w:asciiTheme="minorHAnsi" w:hAnsiTheme="minorHAnsi" w:cstheme="minorHAnsi"/>
        </w:rPr>
        <w:t xml:space="preserve">see </w:t>
      </w:r>
      <w:r w:rsidR="00353E2D" w:rsidRPr="00BF17B0">
        <w:rPr>
          <w:rFonts w:asciiTheme="minorHAnsi" w:hAnsiTheme="minorHAnsi" w:cstheme="minorHAnsi"/>
        </w:rPr>
        <w:fldChar w:fldCharType="begin"/>
      </w:r>
      <w:r w:rsidR="00353E2D" w:rsidRPr="00BF17B0">
        <w:rPr>
          <w:rFonts w:asciiTheme="minorHAnsi" w:hAnsiTheme="minorHAnsi" w:cstheme="minorHAnsi"/>
        </w:rPr>
        <w:instrText xml:space="preserve"> REF _Ref531044720 \h </w:instrText>
      </w:r>
      <w:r w:rsidR="00BF17B0">
        <w:rPr>
          <w:rFonts w:asciiTheme="minorHAnsi" w:hAnsiTheme="minorHAnsi" w:cstheme="minorHAnsi"/>
        </w:rPr>
        <w:instrText xml:space="preserve"> \* MERGEFORMAT </w:instrText>
      </w:r>
      <w:r w:rsidR="00353E2D" w:rsidRPr="00BF17B0">
        <w:rPr>
          <w:rFonts w:asciiTheme="minorHAnsi" w:hAnsiTheme="minorHAnsi" w:cstheme="minorHAnsi"/>
        </w:rPr>
      </w:r>
      <w:r w:rsidR="00353E2D" w:rsidRPr="00BF17B0">
        <w:rPr>
          <w:rFonts w:asciiTheme="minorHAnsi" w:hAnsiTheme="minorHAnsi" w:cstheme="minorHAnsi"/>
        </w:rPr>
        <w:fldChar w:fldCharType="separate"/>
      </w:r>
      <w:r w:rsidR="00F338BE" w:rsidRPr="00F338BE">
        <w:rPr>
          <w:rFonts w:asciiTheme="minorHAnsi" w:hAnsiTheme="minorHAnsi" w:cstheme="minorHAnsi"/>
        </w:rPr>
        <w:t>Results Framework</w:t>
      </w:r>
      <w:r w:rsidR="00353E2D" w:rsidRPr="00BF17B0">
        <w:rPr>
          <w:rFonts w:asciiTheme="minorHAnsi" w:hAnsiTheme="minorHAnsi" w:cstheme="minorHAnsi"/>
        </w:rPr>
        <w:fldChar w:fldCharType="end"/>
      </w:r>
      <w:r w:rsidR="00450B16" w:rsidRPr="00BF17B0">
        <w:rPr>
          <w:rFonts w:asciiTheme="minorHAnsi" w:hAnsiTheme="minorHAnsi" w:cstheme="minorHAnsi"/>
        </w:rPr>
        <w:t xml:space="preserve"> in Section </w:t>
      </w:r>
      <w:r w:rsidR="00450B16" w:rsidRPr="00BF17B0">
        <w:rPr>
          <w:rFonts w:asciiTheme="minorHAnsi" w:hAnsiTheme="minorHAnsi" w:cstheme="minorHAnsi"/>
        </w:rPr>
        <w:fldChar w:fldCharType="begin"/>
      </w:r>
      <w:r w:rsidR="00450B16" w:rsidRPr="00BF17B0">
        <w:rPr>
          <w:rFonts w:asciiTheme="minorHAnsi" w:hAnsiTheme="minorHAnsi" w:cstheme="minorHAnsi"/>
        </w:rPr>
        <w:instrText xml:space="preserve"> REF _Ref532838180 \r \h </w:instrText>
      </w:r>
      <w:r w:rsidR="00BF17B0">
        <w:rPr>
          <w:rFonts w:asciiTheme="minorHAnsi" w:hAnsiTheme="minorHAnsi" w:cstheme="minorHAnsi"/>
        </w:rPr>
        <w:instrText xml:space="preserve"> \* MERGEFORMAT </w:instrText>
      </w:r>
      <w:r w:rsidR="00450B16" w:rsidRPr="00BF17B0">
        <w:rPr>
          <w:rFonts w:asciiTheme="minorHAnsi" w:hAnsiTheme="minorHAnsi" w:cstheme="minorHAnsi"/>
        </w:rPr>
      </w:r>
      <w:r w:rsidR="00450B16" w:rsidRPr="00BF17B0">
        <w:rPr>
          <w:rFonts w:asciiTheme="minorHAnsi" w:hAnsiTheme="minorHAnsi" w:cstheme="minorHAnsi"/>
        </w:rPr>
        <w:fldChar w:fldCharType="separate"/>
      </w:r>
      <w:r w:rsidR="00F338BE">
        <w:rPr>
          <w:rFonts w:asciiTheme="minorHAnsi" w:hAnsiTheme="minorHAnsi" w:cstheme="minorHAnsi"/>
        </w:rPr>
        <w:t>2</w:t>
      </w:r>
      <w:r w:rsidR="00450B16" w:rsidRPr="00BF17B0">
        <w:rPr>
          <w:rFonts w:asciiTheme="minorHAnsi" w:hAnsiTheme="minorHAnsi" w:cstheme="minorHAnsi"/>
        </w:rPr>
        <w:fldChar w:fldCharType="end"/>
      </w:r>
      <w:r w:rsidR="00353E2D" w:rsidRPr="00BF17B0">
        <w:rPr>
          <w:rFonts w:asciiTheme="minorHAnsi" w:hAnsiTheme="minorHAnsi" w:cstheme="minorHAnsi"/>
        </w:rPr>
        <w:t>)</w:t>
      </w:r>
      <w:r w:rsidR="00A64939" w:rsidRPr="00BF17B0">
        <w:rPr>
          <w:rFonts w:asciiTheme="minorHAnsi" w:hAnsiTheme="minorHAnsi" w:cstheme="minorHAnsi"/>
        </w:rPr>
        <w:t>.</w:t>
      </w:r>
      <w:r w:rsidR="00D60E1C" w:rsidRPr="00BF17B0">
        <w:rPr>
          <w:rFonts w:asciiTheme="minorHAnsi" w:hAnsiTheme="minorHAnsi" w:cstheme="minorHAnsi"/>
          <w:szCs w:val="24"/>
        </w:rPr>
        <w:t xml:space="preserve"> </w:t>
      </w:r>
    </w:p>
    <w:p w14:paraId="060C5578" w14:textId="558D05CB" w:rsidR="00B819E9" w:rsidRPr="00BF17B0" w:rsidRDefault="00B819E9" w:rsidP="00C87430">
      <w:pPr>
        <w:rPr>
          <w:rFonts w:asciiTheme="minorHAnsi" w:hAnsiTheme="minorHAnsi" w:cstheme="minorHAnsi"/>
          <w:szCs w:val="24"/>
        </w:rPr>
      </w:pPr>
      <w:r w:rsidRPr="00BF17B0">
        <w:rPr>
          <w:rFonts w:asciiTheme="minorHAnsi" w:hAnsiTheme="minorHAnsi" w:cstheme="minorHAnsi"/>
          <w:szCs w:val="24"/>
        </w:rPr>
        <w:t xml:space="preserve">Section </w:t>
      </w:r>
      <w:r w:rsidRPr="00BF17B0">
        <w:rPr>
          <w:rFonts w:asciiTheme="minorHAnsi" w:hAnsiTheme="minorHAnsi" w:cstheme="minorHAnsi"/>
          <w:szCs w:val="24"/>
        </w:rPr>
        <w:fldChar w:fldCharType="begin"/>
      </w:r>
      <w:r w:rsidRPr="00BF17B0">
        <w:rPr>
          <w:rFonts w:asciiTheme="minorHAnsi" w:hAnsiTheme="minorHAnsi" w:cstheme="minorHAnsi"/>
          <w:szCs w:val="24"/>
        </w:rPr>
        <w:instrText xml:space="preserve"> REF _Ref532838180 \r \h </w:instrText>
      </w:r>
      <w:r w:rsidR="00BF17B0">
        <w:rPr>
          <w:rFonts w:asciiTheme="minorHAnsi" w:hAnsiTheme="minorHAnsi" w:cstheme="minorHAnsi"/>
          <w:szCs w:val="24"/>
        </w:rPr>
        <w:instrText xml:space="preserve"> \* MERGEFORMAT </w:instrText>
      </w:r>
      <w:r w:rsidRPr="00BF17B0">
        <w:rPr>
          <w:rFonts w:asciiTheme="minorHAnsi" w:hAnsiTheme="minorHAnsi" w:cstheme="minorHAnsi"/>
          <w:szCs w:val="24"/>
        </w:rPr>
      </w:r>
      <w:r w:rsidRPr="00BF17B0">
        <w:rPr>
          <w:rFonts w:asciiTheme="minorHAnsi" w:hAnsiTheme="minorHAnsi" w:cstheme="minorHAnsi"/>
          <w:szCs w:val="24"/>
        </w:rPr>
        <w:fldChar w:fldCharType="separate"/>
      </w:r>
      <w:r w:rsidR="00F338BE">
        <w:rPr>
          <w:rFonts w:asciiTheme="minorHAnsi" w:hAnsiTheme="minorHAnsi" w:cstheme="minorHAnsi"/>
          <w:szCs w:val="24"/>
        </w:rPr>
        <w:t>2</w:t>
      </w:r>
      <w:r w:rsidRPr="00BF17B0">
        <w:rPr>
          <w:rFonts w:asciiTheme="minorHAnsi" w:hAnsiTheme="minorHAnsi" w:cstheme="minorHAnsi"/>
          <w:szCs w:val="24"/>
        </w:rPr>
        <w:fldChar w:fldCharType="end"/>
      </w:r>
      <w:r w:rsidRPr="00BF17B0">
        <w:rPr>
          <w:rFonts w:asciiTheme="minorHAnsi" w:hAnsiTheme="minorHAnsi" w:cstheme="minorHAnsi"/>
          <w:szCs w:val="24"/>
        </w:rPr>
        <w:t xml:space="preserve"> of the report provides an overview and context of the PH-PTF. </w:t>
      </w:r>
      <w:r w:rsidR="004B5FB1">
        <w:rPr>
          <w:rFonts w:asciiTheme="minorHAnsi" w:hAnsiTheme="minorHAnsi" w:cstheme="minorHAnsi"/>
          <w:szCs w:val="24"/>
        </w:rPr>
        <w:t xml:space="preserve">Section 3 </w:t>
      </w:r>
      <w:r w:rsidR="002262D4" w:rsidRPr="00BF17B0">
        <w:rPr>
          <w:rFonts w:asciiTheme="minorHAnsi" w:hAnsiTheme="minorHAnsi" w:cstheme="minorHAnsi"/>
          <w:szCs w:val="24"/>
        </w:rPr>
        <w:t>presents the findings</w:t>
      </w:r>
      <w:r w:rsidRPr="00BF17B0">
        <w:rPr>
          <w:rFonts w:asciiTheme="minorHAnsi" w:hAnsiTheme="minorHAnsi" w:cstheme="minorHAnsi"/>
          <w:szCs w:val="24"/>
        </w:rPr>
        <w:t xml:space="preserve"> of the independent evaluation of the </w:t>
      </w:r>
      <w:r w:rsidRPr="00BF17B0">
        <w:rPr>
          <w:rFonts w:asciiTheme="minorHAnsi" w:hAnsiTheme="minorHAnsi" w:cstheme="minorHAnsi"/>
        </w:rPr>
        <w:t>PH-PTF</w:t>
      </w:r>
      <w:r w:rsidRPr="00BF17B0">
        <w:rPr>
          <w:rFonts w:asciiTheme="minorHAnsi" w:hAnsiTheme="minorHAnsi" w:cstheme="minorHAnsi"/>
          <w:szCs w:val="24"/>
        </w:rPr>
        <w:t xml:space="preserve">, its effectiveness, efficiency, and relevance. The report also looks at various cross-cutting areas, including sustainability, monitoring and evaluation, gender, disability, indigenous peoples, climate change and disasters, innovation, and private sector engagement. Section </w:t>
      </w:r>
      <w:r w:rsidRPr="00BF17B0">
        <w:rPr>
          <w:rFonts w:asciiTheme="minorHAnsi" w:hAnsiTheme="minorHAnsi" w:cstheme="minorHAnsi"/>
          <w:szCs w:val="24"/>
        </w:rPr>
        <w:fldChar w:fldCharType="begin"/>
      </w:r>
      <w:r w:rsidRPr="00BF17B0">
        <w:rPr>
          <w:rFonts w:asciiTheme="minorHAnsi" w:hAnsiTheme="minorHAnsi" w:cstheme="minorHAnsi"/>
          <w:szCs w:val="24"/>
        </w:rPr>
        <w:instrText xml:space="preserve"> REF _Ref531043481 \r \h </w:instrText>
      </w:r>
      <w:r w:rsidR="00BF17B0">
        <w:rPr>
          <w:rFonts w:asciiTheme="minorHAnsi" w:hAnsiTheme="minorHAnsi" w:cstheme="minorHAnsi"/>
          <w:szCs w:val="24"/>
        </w:rPr>
        <w:instrText xml:space="preserve"> \* MERGEFORMAT </w:instrText>
      </w:r>
      <w:r w:rsidRPr="00BF17B0">
        <w:rPr>
          <w:rFonts w:asciiTheme="minorHAnsi" w:hAnsiTheme="minorHAnsi" w:cstheme="minorHAnsi"/>
          <w:szCs w:val="24"/>
        </w:rPr>
      </w:r>
      <w:r w:rsidRPr="00BF17B0">
        <w:rPr>
          <w:rFonts w:asciiTheme="minorHAnsi" w:hAnsiTheme="minorHAnsi" w:cstheme="minorHAnsi"/>
          <w:szCs w:val="24"/>
        </w:rPr>
        <w:fldChar w:fldCharType="separate"/>
      </w:r>
      <w:r w:rsidR="00F338BE">
        <w:rPr>
          <w:rFonts w:asciiTheme="minorHAnsi" w:hAnsiTheme="minorHAnsi" w:cstheme="minorHAnsi"/>
          <w:szCs w:val="24"/>
        </w:rPr>
        <w:t>4</w:t>
      </w:r>
      <w:r w:rsidRPr="00BF17B0">
        <w:rPr>
          <w:rFonts w:asciiTheme="minorHAnsi" w:hAnsiTheme="minorHAnsi" w:cstheme="minorHAnsi"/>
          <w:szCs w:val="24"/>
        </w:rPr>
        <w:fldChar w:fldCharType="end"/>
      </w:r>
      <w:r w:rsidRPr="00BF17B0">
        <w:rPr>
          <w:rFonts w:asciiTheme="minorHAnsi" w:hAnsiTheme="minorHAnsi" w:cstheme="minorHAnsi"/>
          <w:szCs w:val="24"/>
        </w:rPr>
        <w:t xml:space="preserve"> presents lessons learned and recommendations. </w:t>
      </w:r>
    </w:p>
    <w:p w14:paraId="223784FB" w14:textId="77777777" w:rsidR="00530431" w:rsidRPr="00BF17B0" w:rsidRDefault="00530431" w:rsidP="00530431">
      <w:pPr>
        <w:rPr>
          <w:rFonts w:asciiTheme="minorHAnsi" w:hAnsiTheme="minorHAnsi" w:cstheme="minorHAnsi"/>
        </w:rPr>
      </w:pPr>
    </w:p>
    <w:p w14:paraId="46F5675A" w14:textId="77777777" w:rsidR="008269D6" w:rsidRPr="00BF17B0" w:rsidRDefault="00530431" w:rsidP="00530431">
      <w:pPr>
        <w:pStyle w:val="Heading1"/>
        <w:rPr>
          <w:rFonts w:asciiTheme="minorHAnsi" w:hAnsiTheme="minorHAnsi" w:cstheme="minorHAnsi"/>
        </w:rPr>
      </w:pPr>
      <w:bookmarkStart w:id="12" w:name="_Ref532838180"/>
      <w:bookmarkStart w:id="13" w:name="_Toc532994287"/>
      <w:r w:rsidRPr="00BF17B0">
        <w:rPr>
          <w:rFonts w:asciiTheme="minorHAnsi" w:hAnsiTheme="minorHAnsi" w:cstheme="minorHAnsi"/>
        </w:rPr>
        <w:t>Australia-World Bank Partnership in the Philippines</w:t>
      </w:r>
      <w:bookmarkEnd w:id="12"/>
      <w:bookmarkEnd w:id="13"/>
    </w:p>
    <w:p w14:paraId="4F8ABD30" w14:textId="77777777" w:rsidR="006C5722" w:rsidRPr="00BF17B0" w:rsidRDefault="00B9144F" w:rsidP="00BF07C4">
      <w:pPr>
        <w:pStyle w:val="Heading2"/>
        <w:rPr>
          <w:rFonts w:asciiTheme="minorHAnsi" w:hAnsiTheme="minorHAnsi" w:cstheme="minorHAnsi"/>
        </w:rPr>
      </w:pPr>
      <w:bookmarkStart w:id="14" w:name="_Toc532994288"/>
      <w:r w:rsidRPr="00BF17B0">
        <w:rPr>
          <w:rFonts w:asciiTheme="minorHAnsi" w:hAnsiTheme="minorHAnsi" w:cstheme="minorHAnsi"/>
        </w:rPr>
        <w:t>Country</w:t>
      </w:r>
      <w:r w:rsidR="006C5722" w:rsidRPr="00BF17B0">
        <w:rPr>
          <w:rFonts w:asciiTheme="minorHAnsi" w:hAnsiTheme="minorHAnsi" w:cstheme="minorHAnsi"/>
        </w:rPr>
        <w:t xml:space="preserve"> Context</w:t>
      </w:r>
      <w:bookmarkEnd w:id="14"/>
    </w:p>
    <w:p w14:paraId="1888BDF2" w14:textId="77777777" w:rsidR="008C7FC6" w:rsidRPr="00BF17B0" w:rsidRDefault="008C7FC6" w:rsidP="008C7FC6">
      <w:pPr>
        <w:rPr>
          <w:rFonts w:asciiTheme="minorHAnsi" w:hAnsiTheme="minorHAnsi" w:cstheme="minorHAnsi"/>
        </w:rPr>
      </w:pPr>
      <w:r w:rsidRPr="00BF17B0">
        <w:rPr>
          <w:rFonts w:asciiTheme="minorHAnsi" w:hAnsiTheme="minorHAnsi" w:cstheme="minorHAnsi"/>
        </w:rPr>
        <w:t xml:space="preserve">Continuous high economic growth, along with well-targeted social sector spending, contributed to significant poverty reduction gains in the Philippines </w:t>
      </w:r>
      <w:r w:rsidR="0023427D" w:rsidRPr="00BF17B0">
        <w:rPr>
          <w:rFonts w:asciiTheme="minorHAnsi" w:hAnsiTheme="minorHAnsi" w:cstheme="minorHAnsi"/>
        </w:rPr>
        <w:t>in</w:t>
      </w:r>
      <w:r w:rsidRPr="00BF17B0">
        <w:rPr>
          <w:rFonts w:asciiTheme="minorHAnsi" w:hAnsiTheme="minorHAnsi" w:cstheme="minorHAnsi"/>
        </w:rPr>
        <w:t xml:space="preserve"> the last decade. Since the PH-PTF was established in 2009,</w:t>
      </w:r>
      <w:r w:rsidRPr="00BF17B0">
        <w:rPr>
          <w:rFonts w:asciiTheme="minorHAnsi" w:eastAsia="DengXian" w:hAnsiTheme="minorHAnsi" w:cstheme="minorHAnsi"/>
        </w:rPr>
        <w:t xml:space="preserve"> economic growth averaged </w:t>
      </w:r>
      <w:r w:rsidR="007979B2" w:rsidRPr="00BF17B0">
        <w:rPr>
          <w:rFonts w:asciiTheme="minorHAnsi" w:eastAsia="DengXian" w:hAnsiTheme="minorHAnsi" w:cstheme="minorHAnsi"/>
        </w:rPr>
        <w:t>5.8</w:t>
      </w:r>
      <w:r w:rsidRPr="00BF17B0">
        <w:rPr>
          <w:rFonts w:asciiTheme="minorHAnsi" w:eastAsia="DengXian" w:hAnsiTheme="minorHAnsi" w:cstheme="minorHAnsi"/>
        </w:rPr>
        <w:t xml:space="preserve"> percent per year, as the economy benefited from past structural reforms and sustained government efforts to improve macroeconomic and fiscal fundamentals and favorable external conditions</w:t>
      </w:r>
      <w:r w:rsidR="00773E75" w:rsidRPr="00BF17B0">
        <w:rPr>
          <w:rFonts w:asciiTheme="minorHAnsi" w:eastAsia="DengXian" w:hAnsiTheme="minorHAnsi" w:cstheme="minorHAnsi"/>
        </w:rPr>
        <w:t xml:space="preserve"> (World Bank 2018</w:t>
      </w:r>
      <w:r w:rsidR="00CF5291" w:rsidRPr="00BF17B0">
        <w:rPr>
          <w:rFonts w:asciiTheme="minorHAnsi" w:eastAsia="DengXian" w:hAnsiTheme="minorHAnsi" w:cstheme="minorHAnsi"/>
        </w:rPr>
        <w:t>a</w:t>
      </w:r>
      <w:r w:rsidR="00773E75" w:rsidRPr="00BF17B0">
        <w:rPr>
          <w:rFonts w:asciiTheme="minorHAnsi" w:eastAsia="DengXian" w:hAnsiTheme="minorHAnsi" w:cstheme="minorHAnsi"/>
        </w:rPr>
        <w:t>)</w:t>
      </w:r>
      <w:r w:rsidRPr="00BF17B0">
        <w:rPr>
          <w:rFonts w:asciiTheme="minorHAnsi" w:eastAsia="DengXian" w:hAnsiTheme="minorHAnsi" w:cstheme="minorHAnsi"/>
        </w:rPr>
        <w:t xml:space="preserve">. </w:t>
      </w:r>
      <w:r w:rsidRPr="00BF17B0">
        <w:rPr>
          <w:rFonts w:asciiTheme="minorHAnsi" w:hAnsiTheme="minorHAnsi" w:cstheme="minorHAnsi"/>
        </w:rPr>
        <w:t>The national poverty rate fell to 21.6 percent in 2015, declining by an average of 1.2 percentage points per year over 2012–2015 compared with 0.6 percentage points per year over 2006–2015</w:t>
      </w:r>
      <w:r w:rsidR="00836A2D" w:rsidRPr="00BF17B0">
        <w:rPr>
          <w:rFonts w:asciiTheme="minorHAnsi" w:hAnsiTheme="minorHAnsi" w:cstheme="minorHAnsi"/>
        </w:rPr>
        <w:t>.</w:t>
      </w:r>
      <w:r w:rsidRPr="00BF17B0">
        <w:rPr>
          <w:rStyle w:val="FootnoteReference"/>
          <w:rFonts w:asciiTheme="minorHAnsi" w:hAnsiTheme="minorHAnsi" w:cstheme="minorHAnsi"/>
        </w:rPr>
        <w:footnoteReference w:id="4"/>
      </w:r>
      <w:r w:rsidRPr="00BF17B0">
        <w:rPr>
          <w:rFonts w:asciiTheme="minorHAnsi" w:hAnsiTheme="minorHAnsi" w:cstheme="minorHAnsi"/>
        </w:rPr>
        <w:t xml:space="preserve"> From a long</w:t>
      </w:r>
      <w:r w:rsidR="00A52817" w:rsidRPr="00BF17B0">
        <w:rPr>
          <w:rFonts w:asciiTheme="minorHAnsi" w:hAnsiTheme="minorHAnsi" w:cstheme="minorHAnsi"/>
        </w:rPr>
        <w:t>-</w:t>
      </w:r>
      <w:r w:rsidRPr="00BF17B0">
        <w:rPr>
          <w:rFonts w:asciiTheme="minorHAnsi" w:hAnsiTheme="minorHAnsi" w:cstheme="minorHAnsi"/>
        </w:rPr>
        <w:t>term perspective, the main drivers that reduced poverty between 2006 and 2015 were</w:t>
      </w:r>
      <w:r w:rsidR="00A55054" w:rsidRPr="00BF17B0">
        <w:rPr>
          <w:rFonts w:asciiTheme="minorHAnsi" w:hAnsiTheme="minorHAnsi" w:cstheme="minorHAnsi"/>
        </w:rPr>
        <w:t xml:space="preserve"> </w:t>
      </w:r>
      <w:r w:rsidRPr="00BF17B0">
        <w:rPr>
          <w:rFonts w:asciiTheme="minorHAnsi" w:hAnsiTheme="minorHAnsi" w:cstheme="minorHAnsi"/>
        </w:rPr>
        <w:t>an increase in wage income and movement of employment out of agriculture; government transfers; and remittances from domestic and foreign sources</w:t>
      </w:r>
      <w:r w:rsidR="00A41F63" w:rsidRPr="00BF17B0">
        <w:rPr>
          <w:rFonts w:asciiTheme="minorHAnsi" w:hAnsiTheme="minorHAnsi" w:cstheme="minorHAnsi"/>
        </w:rPr>
        <w:t xml:space="preserve"> (World Bank 2018</w:t>
      </w:r>
      <w:r w:rsidR="00CF5291" w:rsidRPr="00BF17B0">
        <w:rPr>
          <w:rFonts w:asciiTheme="minorHAnsi" w:hAnsiTheme="minorHAnsi" w:cstheme="minorHAnsi"/>
        </w:rPr>
        <w:t>a</w:t>
      </w:r>
      <w:r w:rsidR="00A41F63" w:rsidRPr="00BF17B0">
        <w:rPr>
          <w:rFonts w:asciiTheme="minorHAnsi" w:hAnsiTheme="minorHAnsi" w:cstheme="minorHAnsi"/>
        </w:rPr>
        <w:t>)</w:t>
      </w:r>
      <w:r w:rsidRPr="00BF17B0">
        <w:rPr>
          <w:rFonts w:asciiTheme="minorHAnsi" w:hAnsiTheme="minorHAnsi" w:cstheme="minorHAnsi"/>
        </w:rPr>
        <w:t>.</w:t>
      </w:r>
      <w:r w:rsidR="00A41F63" w:rsidRPr="00BF17B0">
        <w:rPr>
          <w:rStyle w:val="FootnoteReference"/>
          <w:rFonts w:asciiTheme="minorHAnsi" w:hAnsiTheme="minorHAnsi" w:cstheme="minorHAnsi"/>
        </w:rPr>
        <w:t xml:space="preserve"> </w:t>
      </w:r>
      <w:r w:rsidRPr="00BF17B0">
        <w:rPr>
          <w:rFonts w:asciiTheme="minorHAnsi" w:hAnsiTheme="minorHAnsi" w:cstheme="minorHAnsi"/>
        </w:rPr>
        <w:t xml:space="preserve">The government more than doubled social services spending between 2011 and 2015, enabling significant allocations for health care and poverty reduction through the </w:t>
      </w:r>
      <w:r w:rsidRPr="00BF17B0">
        <w:rPr>
          <w:rFonts w:asciiTheme="minorHAnsi" w:hAnsiTheme="minorHAnsi" w:cstheme="minorHAnsi"/>
          <w:iCs/>
        </w:rPr>
        <w:t xml:space="preserve">Pantawid Pamilyang Pilipino Program </w:t>
      </w:r>
      <w:r w:rsidRPr="00BF17B0">
        <w:rPr>
          <w:rFonts w:asciiTheme="minorHAnsi" w:hAnsiTheme="minorHAnsi" w:cstheme="minorHAnsi"/>
        </w:rPr>
        <w:t xml:space="preserve">(4Ps), the national program </w:t>
      </w:r>
      <w:r w:rsidR="009014AD" w:rsidRPr="00BF17B0">
        <w:rPr>
          <w:rFonts w:asciiTheme="minorHAnsi" w:hAnsiTheme="minorHAnsi" w:cstheme="minorHAnsi"/>
        </w:rPr>
        <w:t xml:space="preserve">for </w:t>
      </w:r>
      <w:r w:rsidR="009A57F1" w:rsidRPr="00BF17B0">
        <w:rPr>
          <w:rFonts w:asciiTheme="minorHAnsi" w:hAnsiTheme="minorHAnsi" w:cstheme="minorHAnsi"/>
        </w:rPr>
        <w:t xml:space="preserve">targeted </w:t>
      </w:r>
      <w:r w:rsidRPr="00BF17B0">
        <w:rPr>
          <w:rFonts w:asciiTheme="minorHAnsi" w:hAnsiTheme="minorHAnsi" w:cstheme="minorHAnsi"/>
        </w:rPr>
        <w:t>conditional cash transfers.</w:t>
      </w:r>
    </w:p>
    <w:p w14:paraId="50EBA8C8" w14:textId="77777777" w:rsidR="008C7FC6" w:rsidRPr="00BF17B0" w:rsidRDefault="009014AD" w:rsidP="008C7FC6">
      <w:pPr>
        <w:rPr>
          <w:rFonts w:asciiTheme="minorHAnsi" w:hAnsiTheme="minorHAnsi" w:cstheme="minorHAnsi"/>
        </w:rPr>
      </w:pPr>
      <w:r w:rsidRPr="00BF17B0">
        <w:rPr>
          <w:rFonts w:asciiTheme="minorHAnsi" w:hAnsiTheme="minorHAnsi" w:cstheme="minorHAnsi"/>
        </w:rPr>
        <w:t xml:space="preserve">In the same </w:t>
      </w:r>
      <w:r w:rsidR="008C7FC6" w:rsidRPr="00BF17B0">
        <w:rPr>
          <w:rFonts w:asciiTheme="minorHAnsi" w:hAnsiTheme="minorHAnsi" w:cstheme="minorHAnsi"/>
        </w:rPr>
        <w:t>period, debt-to-GDP ratio declined from 45.4 percent in 2014 to 42.1 percent in 2016, helped by careful debt restructuring and securing investment grade credit rating</w:t>
      </w:r>
      <w:r w:rsidRPr="00BF17B0">
        <w:rPr>
          <w:rFonts w:asciiTheme="minorHAnsi" w:hAnsiTheme="minorHAnsi" w:cstheme="minorHAnsi"/>
        </w:rPr>
        <w:t xml:space="preserve">—a </w:t>
      </w:r>
      <w:r w:rsidR="008C7FC6" w:rsidRPr="00BF17B0">
        <w:rPr>
          <w:rFonts w:asciiTheme="minorHAnsi" w:hAnsiTheme="minorHAnsi" w:cstheme="minorHAnsi"/>
        </w:rPr>
        <w:t xml:space="preserve">significant and important milestone since </w:t>
      </w:r>
      <w:r w:rsidR="00A91611" w:rsidRPr="00BF17B0">
        <w:rPr>
          <w:rFonts w:asciiTheme="minorHAnsi" w:hAnsiTheme="minorHAnsi" w:cstheme="minorHAnsi"/>
        </w:rPr>
        <w:t xml:space="preserve">2009 when </w:t>
      </w:r>
      <w:r w:rsidR="008C7FC6" w:rsidRPr="00BF17B0">
        <w:rPr>
          <w:rFonts w:asciiTheme="minorHAnsi" w:hAnsiTheme="minorHAnsi" w:cstheme="minorHAnsi"/>
        </w:rPr>
        <w:t>the PH-PTF was established. Remittances have remained important macroeconomic and household</w:t>
      </w:r>
      <w:r w:rsidR="00C6197C" w:rsidRPr="00BF17B0">
        <w:rPr>
          <w:rFonts w:asciiTheme="minorHAnsi" w:hAnsiTheme="minorHAnsi" w:cstheme="minorHAnsi"/>
        </w:rPr>
        <w:t xml:space="preserve"> </w:t>
      </w:r>
      <w:r w:rsidR="008C7FC6" w:rsidRPr="00BF17B0">
        <w:rPr>
          <w:rFonts w:asciiTheme="minorHAnsi" w:hAnsiTheme="minorHAnsi" w:cstheme="minorHAnsi"/>
        </w:rPr>
        <w:t xml:space="preserve">income stabilizers: remittance growth accelerated to a record 4.9 percent year-on-year </w:t>
      </w:r>
      <w:r w:rsidR="00C6197C" w:rsidRPr="00BF17B0">
        <w:rPr>
          <w:rFonts w:asciiTheme="minorHAnsi" w:hAnsiTheme="minorHAnsi" w:cstheme="minorHAnsi"/>
        </w:rPr>
        <w:t xml:space="preserve">in 2016 </w:t>
      </w:r>
      <w:r w:rsidR="008C7FC6" w:rsidRPr="00BF17B0">
        <w:rPr>
          <w:rFonts w:asciiTheme="minorHAnsi" w:hAnsiTheme="minorHAnsi" w:cstheme="minorHAnsi"/>
        </w:rPr>
        <w:t>from 3.8 percent in 2015. Public financial management was strengthened in key dimensions</w:t>
      </w:r>
      <w:r w:rsidR="001D447B" w:rsidRPr="00BF17B0">
        <w:rPr>
          <w:rFonts w:asciiTheme="minorHAnsi" w:hAnsiTheme="minorHAnsi" w:cstheme="minorHAnsi"/>
        </w:rPr>
        <w:t xml:space="preserve">, </w:t>
      </w:r>
      <w:r w:rsidR="008C7FC6" w:rsidRPr="00BF17B0">
        <w:rPr>
          <w:rFonts w:asciiTheme="minorHAnsi" w:hAnsiTheme="minorHAnsi" w:cstheme="minorHAnsi"/>
        </w:rPr>
        <w:t>including planning</w:t>
      </w:r>
      <w:r w:rsidR="001D447B" w:rsidRPr="00BF17B0">
        <w:rPr>
          <w:rFonts w:asciiTheme="minorHAnsi" w:hAnsiTheme="minorHAnsi" w:cstheme="minorHAnsi"/>
        </w:rPr>
        <w:t xml:space="preserve">, </w:t>
      </w:r>
      <w:r w:rsidR="008C7FC6" w:rsidRPr="00BF17B0">
        <w:rPr>
          <w:rFonts w:asciiTheme="minorHAnsi" w:hAnsiTheme="minorHAnsi" w:cstheme="minorHAnsi"/>
        </w:rPr>
        <w:t>policy-based budgeting</w:t>
      </w:r>
      <w:r w:rsidR="001D447B" w:rsidRPr="00BF17B0">
        <w:rPr>
          <w:rFonts w:asciiTheme="minorHAnsi" w:hAnsiTheme="minorHAnsi" w:cstheme="minorHAnsi"/>
        </w:rPr>
        <w:t xml:space="preserve">, </w:t>
      </w:r>
      <w:r w:rsidR="008C7FC6" w:rsidRPr="00BF17B0">
        <w:rPr>
          <w:rFonts w:asciiTheme="minorHAnsi" w:hAnsiTheme="minorHAnsi" w:cstheme="minorHAnsi"/>
        </w:rPr>
        <w:t>and budget execution</w:t>
      </w:r>
      <w:r w:rsidR="00297538" w:rsidRPr="00BF17B0">
        <w:rPr>
          <w:rFonts w:asciiTheme="minorHAnsi" w:hAnsiTheme="minorHAnsi" w:cstheme="minorHAnsi"/>
        </w:rPr>
        <w:t xml:space="preserve"> (World Bank </w:t>
      </w:r>
      <w:r w:rsidR="00297538" w:rsidRPr="00BF17B0">
        <w:rPr>
          <w:rFonts w:asciiTheme="minorHAnsi" w:hAnsiTheme="minorHAnsi" w:cstheme="minorHAnsi"/>
          <w:lang w:val="en-GB"/>
        </w:rPr>
        <w:t>2017c)</w:t>
      </w:r>
      <w:r w:rsidR="00297538" w:rsidRPr="00BF17B0">
        <w:rPr>
          <w:rFonts w:asciiTheme="minorHAnsi" w:hAnsiTheme="minorHAnsi" w:cstheme="minorHAnsi"/>
        </w:rPr>
        <w:t xml:space="preserve">, </w:t>
      </w:r>
      <w:r w:rsidR="008C7FC6" w:rsidRPr="00BF17B0">
        <w:rPr>
          <w:rFonts w:asciiTheme="minorHAnsi" w:hAnsiTheme="minorHAnsi" w:cstheme="minorHAnsi"/>
        </w:rPr>
        <w:t xml:space="preserve">while fiscal discipline, including fiscal risk management, improved. </w:t>
      </w:r>
      <w:r w:rsidR="00297538" w:rsidRPr="00BF17B0">
        <w:rPr>
          <w:rFonts w:asciiTheme="minorHAnsi" w:hAnsiTheme="minorHAnsi" w:cstheme="minorHAnsi"/>
        </w:rPr>
        <w:t xml:space="preserve"> </w:t>
      </w:r>
    </w:p>
    <w:p w14:paraId="7BB6DF83" w14:textId="77777777" w:rsidR="008C7FC6" w:rsidRPr="00BF17B0" w:rsidRDefault="008C7FC6" w:rsidP="0094177D">
      <w:pPr>
        <w:rPr>
          <w:rFonts w:asciiTheme="minorHAnsi" w:hAnsiTheme="minorHAnsi" w:cstheme="minorHAnsi"/>
        </w:rPr>
      </w:pPr>
      <w:r w:rsidRPr="00BF17B0">
        <w:rPr>
          <w:rFonts w:asciiTheme="minorHAnsi" w:hAnsiTheme="minorHAnsi" w:cstheme="minorHAnsi"/>
        </w:rPr>
        <w:t>Recent strong progress on poverty reduction and shared prosperity represents another important breakthrough in the Philippines. Poverty incidence declined</w:t>
      </w:r>
      <w:r w:rsidR="000E156A" w:rsidRPr="00BF17B0">
        <w:rPr>
          <w:rFonts w:asciiTheme="minorHAnsi" w:hAnsiTheme="minorHAnsi" w:cstheme="minorHAnsi"/>
        </w:rPr>
        <w:t xml:space="preserve"> </w:t>
      </w:r>
      <w:r w:rsidRPr="00BF17B0">
        <w:rPr>
          <w:rFonts w:asciiTheme="minorHAnsi" w:hAnsiTheme="minorHAnsi" w:cstheme="minorHAnsi"/>
        </w:rPr>
        <w:t>and shared prosperity increased</w:t>
      </w:r>
      <w:r w:rsidR="006357F0" w:rsidRPr="00BF17B0">
        <w:rPr>
          <w:rFonts w:asciiTheme="minorHAnsi" w:hAnsiTheme="minorHAnsi" w:cstheme="minorHAnsi"/>
        </w:rPr>
        <w:t>. W</w:t>
      </w:r>
      <w:r w:rsidRPr="00BF17B0">
        <w:rPr>
          <w:rFonts w:asciiTheme="minorHAnsi" w:hAnsiTheme="minorHAnsi" w:cstheme="minorHAnsi"/>
        </w:rPr>
        <w:t>hile household per capita incomes in the Philippines increased for all income deciles between 2012 and 2015, the incomes of the bottom 40 percent of the population grew at nearly twice the overall rate of real household income per capita in that period</w:t>
      </w:r>
      <w:r w:rsidR="006F69C4" w:rsidRPr="00BF17B0">
        <w:rPr>
          <w:rFonts w:asciiTheme="minorHAnsi" w:hAnsiTheme="minorHAnsi" w:cstheme="minorHAnsi"/>
        </w:rPr>
        <w:t xml:space="preserve"> (</w:t>
      </w:r>
      <w:r w:rsidR="00E54744" w:rsidRPr="00BF17B0">
        <w:rPr>
          <w:rFonts w:asciiTheme="minorHAnsi" w:hAnsiTheme="minorHAnsi" w:cstheme="minorHAnsi"/>
        </w:rPr>
        <w:t xml:space="preserve">Philippine Statistical Authority </w:t>
      </w:r>
      <w:r w:rsidR="006F69C4" w:rsidRPr="00BF17B0">
        <w:rPr>
          <w:rFonts w:asciiTheme="minorHAnsi" w:hAnsiTheme="minorHAnsi" w:cstheme="minorHAnsi"/>
        </w:rPr>
        <w:t>201</w:t>
      </w:r>
      <w:r w:rsidR="00F0088A" w:rsidRPr="00BF17B0">
        <w:rPr>
          <w:rFonts w:asciiTheme="minorHAnsi" w:hAnsiTheme="minorHAnsi" w:cstheme="minorHAnsi"/>
        </w:rPr>
        <w:t>6</w:t>
      </w:r>
      <w:r w:rsidR="006F69C4" w:rsidRPr="00BF17B0">
        <w:rPr>
          <w:rFonts w:asciiTheme="minorHAnsi" w:hAnsiTheme="minorHAnsi" w:cstheme="minorHAnsi"/>
        </w:rPr>
        <w:t>)</w:t>
      </w:r>
      <w:r w:rsidR="006357F0" w:rsidRPr="00BF17B0">
        <w:rPr>
          <w:rFonts w:asciiTheme="minorHAnsi" w:hAnsiTheme="minorHAnsi" w:cstheme="minorHAnsi"/>
        </w:rPr>
        <w:t>.</w:t>
      </w:r>
      <w:r w:rsidR="009330B2" w:rsidRPr="00BF17B0">
        <w:rPr>
          <w:rStyle w:val="FootnoteReference"/>
          <w:rFonts w:asciiTheme="minorHAnsi" w:hAnsiTheme="minorHAnsi" w:cstheme="minorHAnsi"/>
        </w:rPr>
        <w:t xml:space="preserve"> </w:t>
      </w:r>
      <w:r w:rsidRPr="00BF17B0">
        <w:rPr>
          <w:rFonts w:asciiTheme="minorHAnsi" w:hAnsiTheme="minorHAnsi" w:cstheme="minorHAnsi"/>
        </w:rPr>
        <w:t>These advances contributed to a dip in inequality. Measured by household income per capita, the Gini coefficient declined from 46.1 in 2012 to 44.4 in 2015</w:t>
      </w:r>
      <w:r w:rsidR="00AF648C" w:rsidRPr="00BF17B0">
        <w:rPr>
          <w:rFonts w:asciiTheme="minorHAnsi" w:hAnsiTheme="minorHAnsi" w:cstheme="minorHAnsi"/>
        </w:rPr>
        <w:t xml:space="preserve"> (Philippine Statistical Authority 2016)</w:t>
      </w:r>
      <w:r w:rsidRPr="00BF17B0">
        <w:rPr>
          <w:rFonts w:asciiTheme="minorHAnsi" w:hAnsiTheme="minorHAnsi" w:cstheme="minorHAnsi"/>
        </w:rPr>
        <w:t xml:space="preserve">. </w:t>
      </w:r>
    </w:p>
    <w:p w14:paraId="31A9A325" w14:textId="77777777" w:rsidR="008C7FC6" w:rsidRPr="00BF17B0" w:rsidRDefault="00074787" w:rsidP="0094177D">
      <w:pPr>
        <w:rPr>
          <w:rFonts w:asciiTheme="minorHAnsi" w:hAnsiTheme="minorHAnsi" w:cstheme="minorHAnsi"/>
          <w:b/>
        </w:rPr>
      </w:pPr>
      <w:r w:rsidRPr="00BF17B0">
        <w:rPr>
          <w:rFonts w:asciiTheme="minorHAnsi" w:hAnsiTheme="minorHAnsi" w:cstheme="minorHAnsi"/>
        </w:rPr>
        <w:t xml:space="preserve">From 2011-2015, </w:t>
      </w:r>
      <w:r w:rsidR="008C7FC6" w:rsidRPr="00BF17B0">
        <w:rPr>
          <w:rFonts w:asciiTheme="minorHAnsi" w:hAnsiTheme="minorHAnsi" w:cstheme="minorHAnsi"/>
        </w:rPr>
        <w:t xml:space="preserve">the government more than doubled </w:t>
      </w:r>
      <w:r w:rsidRPr="00BF17B0">
        <w:rPr>
          <w:rFonts w:asciiTheme="minorHAnsi" w:hAnsiTheme="minorHAnsi" w:cstheme="minorHAnsi"/>
        </w:rPr>
        <w:t xml:space="preserve">its </w:t>
      </w:r>
      <w:r w:rsidR="008C7FC6" w:rsidRPr="00BF17B0">
        <w:rPr>
          <w:rFonts w:asciiTheme="minorHAnsi" w:hAnsiTheme="minorHAnsi" w:cstheme="minorHAnsi"/>
        </w:rPr>
        <w:t xml:space="preserve">social services spending, enabling significant allocations for poverty reduction through </w:t>
      </w:r>
      <w:r w:rsidR="005345E8" w:rsidRPr="00BF17B0">
        <w:rPr>
          <w:rFonts w:asciiTheme="minorHAnsi" w:hAnsiTheme="minorHAnsi" w:cstheme="minorHAnsi"/>
        </w:rPr>
        <w:t xml:space="preserve">the </w:t>
      </w:r>
      <w:r w:rsidR="008C7FC6" w:rsidRPr="00BF17B0">
        <w:rPr>
          <w:rFonts w:asciiTheme="minorHAnsi" w:hAnsiTheme="minorHAnsi" w:cstheme="minorHAnsi"/>
        </w:rPr>
        <w:t>4Ps</w:t>
      </w:r>
      <w:r w:rsidR="008C7FC6" w:rsidRPr="00BF17B0">
        <w:rPr>
          <w:rFonts w:asciiTheme="minorHAnsi" w:hAnsiTheme="minorHAnsi" w:cstheme="minorHAnsi"/>
          <w:b/>
        </w:rPr>
        <w:t>.</w:t>
      </w:r>
      <w:r w:rsidR="008C7FC6" w:rsidRPr="00BF17B0">
        <w:rPr>
          <w:rFonts w:asciiTheme="minorHAnsi" w:hAnsiTheme="minorHAnsi" w:cstheme="minorHAnsi"/>
        </w:rPr>
        <w:t xml:space="preserve"> The program expanded its coverage and now reaches roughly 4.4 million poor households. Robust evaluations of the 4Ps substantiate gains in increased health and education outcomes for poor children, as well as poverty reduction impact</w:t>
      </w:r>
      <w:r w:rsidR="005E70F7" w:rsidRPr="00BF17B0">
        <w:rPr>
          <w:rFonts w:asciiTheme="minorHAnsi" w:hAnsiTheme="minorHAnsi" w:cstheme="minorHAnsi"/>
        </w:rPr>
        <w:t xml:space="preserve"> (World Bank 2013</w:t>
      </w:r>
      <w:r w:rsidR="00F043CF" w:rsidRPr="00BF17B0">
        <w:rPr>
          <w:rFonts w:asciiTheme="minorHAnsi" w:hAnsiTheme="minorHAnsi" w:cstheme="minorHAnsi"/>
        </w:rPr>
        <w:t>;</w:t>
      </w:r>
      <w:r w:rsidR="005E70F7" w:rsidRPr="00BF17B0">
        <w:rPr>
          <w:rFonts w:asciiTheme="minorHAnsi" w:hAnsiTheme="minorHAnsi" w:cstheme="minorHAnsi"/>
        </w:rPr>
        <w:t xml:space="preserve"> </w:t>
      </w:r>
      <w:r w:rsidR="003C50DC" w:rsidRPr="00BF17B0">
        <w:rPr>
          <w:rFonts w:asciiTheme="minorHAnsi" w:hAnsiTheme="minorHAnsi" w:cstheme="minorHAnsi"/>
        </w:rPr>
        <w:t xml:space="preserve">Honorati </w:t>
      </w:r>
      <w:r w:rsidR="00A244AC" w:rsidRPr="00BF17B0">
        <w:rPr>
          <w:rFonts w:asciiTheme="minorHAnsi" w:hAnsiTheme="minorHAnsi" w:cstheme="minorHAnsi"/>
        </w:rPr>
        <w:t>et al. 2015)</w:t>
      </w:r>
      <w:r w:rsidR="0094177D" w:rsidRPr="00BF17B0">
        <w:rPr>
          <w:rFonts w:asciiTheme="minorHAnsi" w:hAnsiTheme="minorHAnsi" w:cstheme="minorHAnsi"/>
        </w:rPr>
        <w:t xml:space="preserve">. </w:t>
      </w:r>
      <w:r w:rsidR="008C7FC6" w:rsidRPr="00BF17B0">
        <w:rPr>
          <w:rFonts w:asciiTheme="minorHAnsi" w:hAnsiTheme="minorHAnsi" w:cstheme="minorHAnsi"/>
        </w:rPr>
        <w:t xml:space="preserve">This was accompanied by an expansion of the health benefit package and improved targeting through an update of the national poverty targeting system, </w:t>
      </w:r>
      <w:r w:rsidR="008C7FC6" w:rsidRPr="00BF17B0">
        <w:rPr>
          <w:rFonts w:asciiTheme="minorHAnsi" w:hAnsiTheme="minorHAnsi" w:cstheme="minorHAnsi"/>
          <w:iCs/>
        </w:rPr>
        <w:t>Listahanan</w:t>
      </w:r>
      <w:r w:rsidR="008C7FC6" w:rsidRPr="00BF17B0">
        <w:rPr>
          <w:rFonts w:asciiTheme="minorHAnsi" w:hAnsiTheme="minorHAnsi" w:cstheme="minorHAnsi"/>
        </w:rPr>
        <w:t>, which is among the most effective targeting systems globally.</w:t>
      </w:r>
      <w:r w:rsidR="008C7FC6" w:rsidRPr="00BF17B0">
        <w:rPr>
          <w:rFonts w:asciiTheme="minorHAnsi" w:hAnsiTheme="minorHAnsi" w:cstheme="minorHAnsi"/>
          <w:b/>
        </w:rPr>
        <w:t xml:space="preserve">  </w:t>
      </w:r>
    </w:p>
    <w:p w14:paraId="53E49456" w14:textId="77777777" w:rsidR="00FE571B" w:rsidRPr="00BF17B0" w:rsidRDefault="00FE571B" w:rsidP="00FE571B">
      <w:pPr>
        <w:rPr>
          <w:rFonts w:asciiTheme="minorHAnsi" w:hAnsiTheme="minorHAnsi" w:cstheme="minorHAnsi"/>
          <w:b/>
        </w:rPr>
      </w:pPr>
      <w:r w:rsidRPr="00BF17B0">
        <w:rPr>
          <w:rFonts w:asciiTheme="minorHAnsi" w:hAnsiTheme="minorHAnsi" w:cstheme="minorHAnsi"/>
        </w:rPr>
        <w:t>The Philippines has made progress toward achieving the Millennium Development Goals (MDGs) on gender equality,</w:t>
      </w:r>
      <w:r w:rsidRPr="00BF17B0">
        <w:rPr>
          <w:rStyle w:val="FootnoteReference"/>
          <w:rFonts w:asciiTheme="minorHAnsi" w:hAnsiTheme="minorHAnsi" w:cstheme="minorHAnsi"/>
          <w:sz w:val="22"/>
        </w:rPr>
        <w:footnoteReference w:id="5"/>
      </w:r>
      <w:r w:rsidRPr="00BF17B0">
        <w:rPr>
          <w:rFonts w:asciiTheme="minorHAnsi" w:hAnsiTheme="minorHAnsi" w:cstheme="minorHAnsi"/>
        </w:rPr>
        <w:t xml:space="preserve"> infant and child mortality, and access to safe water. However, performance in basic education and maternal health lagged. The Philippines did not meet MDG 1 targets on ending hunger by 2015, and the rate of stunting showed no progress over the last decade, remaining at one-in-three children under age five.</w:t>
      </w:r>
      <w:r w:rsidRPr="00BF17B0">
        <w:rPr>
          <w:rStyle w:val="FootnoteReference"/>
          <w:rFonts w:asciiTheme="minorHAnsi" w:hAnsiTheme="minorHAnsi" w:cstheme="minorHAnsi"/>
          <w:sz w:val="22"/>
        </w:rPr>
        <w:footnoteReference w:id="6"/>
      </w:r>
      <w:r w:rsidR="00B819E9" w:rsidRPr="00BF17B0">
        <w:rPr>
          <w:rFonts w:asciiTheme="minorHAnsi" w:hAnsiTheme="minorHAnsi" w:cstheme="minorHAnsi"/>
        </w:rPr>
        <w:t xml:space="preserve">  Across rural and urban areas, many Filipinos still hover just above the poverty line and are vulnerable to climatic, disaster, financial and price shocks. Recurrent flooding, for example, has the greatest impact on informal settler families living in higher-risk flood prone areas.</w:t>
      </w:r>
    </w:p>
    <w:p w14:paraId="031B958A" w14:textId="77777777" w:rsidR="00DC6CDD" w:rsidRPr="00BF17B0" w:rsidRDefault="00FE571B" w:rsidP="001F0BCB">
      <w:pPr>
        <w:rPr>
          <w:rFonts w:asciiTheme="minorHAnsi" w:hAnsiTheme="minorHAnsi" w:cstheme="minorHAnsi"/>
        </w:rPr>
      </w:pPr>
      <w:r w:rsidRPr="00BF17B0">
        <w:rPr>
          <w:rFonts w:asciiTheme="minorHAnsi" w:hAnsiTheme="minorHAnsi" w:cstheme="minorHAnsi"/>
        </w:rPr>
        <w:t>D</w:t>
      </w:r>
      <w:r w:rsidR="008C7FC6" w:rsidRPr="00BF17B0">
        <w:rPr>
          <w:rFonts w:asciiTheme="minorHAnsi" w:hAnsiTheme="minorHAnsi" w:cstheme="minorHAnsi"/>
        </w:rPr>
        <w:t xml:space="preserve">espite recent progress, poverty reduction in the Philippines still </w:t>
      </w:r>
      <w:r w:rsidR="009F051A" w:rsidRPr="00BF17B0">
        <w:rPr>
          <w:rFonts w:asciiTheme="minorHAnsi" w:hAnsiTheme="minorHAnsi" w:cstheme="minorHAnsi"/>
        </w:rPr>
        <w:t>lags</w:t>
      </w:r>
      <w:r w:rsidR="008C7FC6" w:rsidRPr="00BF17B0">
        <w:rPr>
          <w:rFonts w:asciiTheme="minorHAnsi" w:hAnsiTheme="minorHAnsi" w:cstheme="minorHAnsi"/>
        </w:rPr>
        <w:t xml:space="preserve"> </w:t>
      </w:r>
      <w:r w:rsidR="00885E32" w:rsidRPr="00BF17B0">
        <w:rPr>
          <w:rFonts w:asciiTheme="minorHAnsi" w:hAnsiTheme="minorHAnsi" w:cstheme="minorHAnsi"/>
        </w:rPr>
        <w:t xml:space="preserve">behind </w:t>
      </w:r>
      <w:r w:rsidR="008C7FC6" w:rsidRPr="00BF17B0">
        <w:rPr>
          <w:rFonts w:asciiTheme="minorHAnsi" w:hAnsiTheme="minorHAnsi" w:cstheme="minorHAnsi"/>
        </w:rPr>
        <w:t xml:space="preserve">other East Asian economies, including Indonesia and Vietnam, and the country remains one of the most unequal in Asia. </w:t>
      </w:r>
      <w:r w:rsidR="00C11807" w:rsidRPr="00BF17B0">
        <w:rPr>
          <w:rFonts w:asciiTheme="minorHAnsi" w:hAnsiTheme="minorHAnsi" w:cstheme="minorHAnsi"/>
        </w:rPr>
        <w:t xml:space="preserve">Based on the initial review of the World Bank Group and external sources, the main factors that seem to have been holding </w:t>
      </w:r>
      <w:r w:rsidR="00885E32" w:rsidRPr="00BF17B0">
        <w:rPr>
          <w:rFonts w:asciiTheme="minorHAnsi" w:hAnsiTheme="minorHAnsi" w:cstheme="minorHAnsi"/>
        </w:rPr>
        <w:t xml:space="preserve">back </w:t>
      </w:r>
      <w:r w:rsidR="00C11807" w:rsidRPr="00BF17B0">
        <w:rPr>
          <w:rFonts w:asciiTheme="minorHAnsi" w:hAnsiTheme="minorHAnsi" w:cstheme="minorHAnsi"/>
        </w:rPr>
        <w:t xml:space="preserve">the Philippines compared </w:t>
      </w:r>
      <w:r w:rsidR="00885E32" w:rsidRPr="00BF17B0">
        <w:rPr>
          <w:rFonts w:asciiTheme="minorHAnsi" w:hAnsiTheme="minorHAnsi" w:cstheme="minorHAnsi"/>
        </w:rPr>
        <w:t xml:space="preserve">with </w:t>
      </w:r>
      <w:r w:rsidR="00C11807" w:rsidRPr="00BF17B0">
        <w:rPr>
          <w:rFonts w:asciiTheme="minorHAnsi" w:hAnsiTheme="minorHAnsi" w:cstheme="minorHAnsi"/>
        </w:rPr>
        <w:t xml:space="preserve">many other East Asian countries </w:t>
      </w:r>
      <w:r w:rsidR="00885E32" w:rsidRPr="00BF17B0">
        <w:rPr>
          <w:rFonts w:asciiTheme="minorHAnsi" w:hAnsiTheme="minorHAnsi" w:cstheme="minorHAnsi"/>
        </w:rPr>
        <w:t xml:space="preserve">can </w:t>
      </w:r>
      <w:r w:rsidR="00C11807" w:rsidRPr="00BF17B0">
        <w:rPr>
          <w:rFonts w:asciiTheme="minorHAnsi" w:hAnsiTheme="minorHAnsi" w:cstheme="minorHAnsi"/>
        </w:rPr>
        <w:t>be summarized as follows: (i) the slower pace and less pro-poor pattern of growth compared to many other East Asian countries; (ii) high inequality of income and wealth; (iii) adverse impact of natural disasters and conflicts;  (iv) rapid urbanization, population growth, and infrastructure gaps; and (v) governance problems.</w:t>
      </w:r>
    </w:p>
    <w:p w14:paraId="544490FE" w14:textId="77777777" w:rsidR="00B9144F" w:rsidRPr="00BF17B0" w:rsidRDefault="00B9144F" w:rsidP="00F33EAC">
      <w:pPr>
        <w:rPr>
          <w:rFonts w:asciiTheme="minorHAnsi" w:hAnsiTheme="minorHAnsi" w:cstheme="minorHAnsi"/>
          <w:lang w:eastAsia="en-GB"/>
        </w:rPr>
      </w:pPr>
    </w:p>
    <w:p w14:paraId="657B5383" w14:textId="77777777" w:rsidR="00B9144F" w:rsidRPr="00BF17B0" w:rsidRDefault="00B9144F" w:rsidP="004B5FB1">
      <w:pPr>
        <w:pStyle w:val="Heading2"/>
        <w:rPr>
          <w:lang w:eastAsia="en-GB"/>
        </w:rPr>
      </w:pPr>
      <w:bookmarkStart w:id="15" w:name="_Toc532994289"/>
      <w:r w:rsidRPr="00BF17B0">
        <w:rPr>
          <w:lang w:eastAsia="en-GB"/>
        </w:rPr>
        <w:t>Australia WB Philippines Development Trust Fund</w:t>
      </w:r>
      <w:bookmarkEnd w:id="15"/>
    </w:p>
    <w:p w14:paraId="473FC75E" w14:textId="77777777" w:rsidR="000E55C5" w:rsidRPr="00BF17B0" w:rsidRDefault="000C6096" w:rsidP="00F33EAC">
      <w:pPr>
        <w:rPr>
          <w:rFonts w:asciiTheme="minorHAnsi" w:hAnsiTheme="minorHAnsi" w:cstheme="minorHAnsi"/>
        </w:rPr>
      </w:pPr>
      <w:r w:rsidRPr="00BF17B0">
        <w:rPr>
          <w:rFonts w:asciiTheme="minorHAnsi" w:hAnsiTheme="minorHAnsi" w:cstheme="minorHAnsi"/>
        </w:rPr>
        <w:t>The PH-PTF was established in 2009 to operate for three-and-a-half years through the end of 2012. It was thereafter extended to 10 years, providing the foundation for a continuing strategic partnership between Australia and the World Bank in the Philippines. The PH-PTF allowed DFAT and the Bank to complement their respective programs and served as an effective means of working together and engaging with government on various policy issues.</w:t>
      </w:r>
      <w:r w:rsidR="000E55C5" w:rsidRPr="00BF17B0">
        <w:rPr>
          <w:rFonts w:asciiTheme="minorHAnsi" w:hAnsiTheme="minorHAnsi" w:cstheme="minorHAnsi"/>
        </w:rPr>
        <w:t xml:space="preserve"> </w:t>
      </w:r>
    </w:p>
    <w:p w14:paraId="74D047DF" w14:textId="4E3E40EF" w:rsidR="00F33EAC" w:rsidRPr="00BF17B0" w:rsidRDefault="00F33EAC" w:rsidP="00F33EAC">
      <w:pPr>
        <w:rPr>
          <w:rFonts w:asciiTheme="minorHAnsi" w:hAnsiTheme="minorHAnsi" w:cstheme="minorHAnsi"/>
          <w:lang w:eastAsia="en-GB"/>
        </w:rPr>
      </w:pPr>
      <w:r w:rsidRPr="00BF17B0">
        <w:rPr>
          <w:rFonts w:asciiTheme="minorHAnsi" w:hAnsiTheme="minorHAnsi" w:cstheme="minorHAnsi"/>
          <w:lang w:eastAsia="en-GB"/>
        </w:rPr>
        <w:t xml:space="preserve">The PH-PTF aimed to contribute to the achievement of DFAT and the World Bank’s shared objectives, and to align these objectives with the </w:t>
      </w:r>
      <w:r w:rsidR="00407909">
        <w:rPr>
          <w:rFonts w:asciiTheme="minorHAnsi" w:hAnsiTheme="minorHAnsi" w:cstheme="minorHAnsi"/>
          <w:lang w:eastAsia="en-GB"/>
        </w:rPr>
        <w:t xml:space="preserve">GoP </w:t>
      </w:r>
      <w:r w:rsidRPr="00BF17B0">
        <w:rPr>
          <w:rFonts w:asciiTheme="minorHAnsi" w:hAnsiTheme="minorHAnsi" w:cstheme="minorHAnsi"/>
          <w:lang w:eastAsia="en-GB"/>
        </w:rPr>
        <w:t>development strategy.</w:t>
      </w:r>
      <w:r w:rsidRPr="00BF17B0">
        <w:rPr>
          <w:rFonts w:asciiTheme="minorHAnsi" w:hAnsiTheme="minorHAnsi" w:cstheme="minorHAnsi"/>
        </w:rPr>
        <w:t xml:space="preserve"> The activities supported by PH-PTF were selected according to the priorities articulated in the Philippines-Australia Development Cooperation Program and in the World Bank Country </w:t>
      </w:r>
      <w:r w:rsidR="00B819E9" w:rsidRPr="00BF17B0">
        <w:rPr>
          <w:rFonts w:asciiTheme="minorHAnsi" w:hAnsiTheme="minorHAnsi" w:cstheme="minorHAnsi"/>
        </w:rPr>
        <w:t xml:space="preserve">Partnership </w:t>
      </w:r>
      <w:r w:rsidRPr="00BF17B0">
        <w:rPr>
          <w:rFonts w:asciiTheme="minorHAnsi" w:hAnsiTheme="minorHAnsi" w:cstheme="minorHAnsi"/>
        </w:rPr>
        <w:t xml:space="preserve">Strategy, both of which are anchored on the Philippine Development Plan and prepared in close consultation with </w:t>
      </w:r>
      <w:r w:rsidR="00A31F64">
        <w:rPr>
          <w:rFonts w:asciiTheme="minorHAnsi" w:hAnsiTheme="minorHAnsi" w:cstheme="minorHAnsi"/>
        </w:rPr>
        <w:t>GoP</w:t>
      </w:r>
      <w:r w:rsidRPr="00BF17B0">
        <w:rPr>
          <w:rFonts w:asciiTheme="minorHAnsi" w:hAnsiTheme="minorHAnsi" w:cstheme="minorHAnsi"/>
        </w:rPr>
        <w:t xml:space="preserve"> counterparts and other stakeholders. </w:t>
      </w:r>
    </w:p>
    <w:p w14:paraId="716C7E4A" w14:textId="3308AB7C" w:rsidR="00407909" w:rsidRDefault="00F33EAC" w:rsidP="001D3783">
      <w:pPr>
        <w:rPr>
          <w:rFonts w:asciiTheme="minorHAnsi" w:hAnsiTheme="minorHAnsi" w:cstheme="minorHAnsi"/>
        </w:rPr>
      </w:pPr>
      <w:r w:rsidRPr="00BF17B0">
        <w:rPr>
          <w:rFonts w:asciiTheme="minorHAnsi" w:hAnsiTheme="minorHAnsi" w:cstheme="minorHAnsi"/>
        </w:rPr>
        <w:t xml:space="preserve">Since the PH-PTF was established in June 2009, the World Bank’s and Australia’s country strategies have responded to the </w:t>
      </w:r>
      <w:r w:rsidR="00A31F64">
        <w:rPr>
          <w:rFonts w:asciiTheme="minorHAnsi" w:hAnsiTheme="minorHAnsi" w:cstheme="minorHAnsi"/>
        </w:rPr>
        <w:t>GoP</w:t>
      </w:r>
      <w:r w:rsidRPr="00BF17B0">
        <w:rPr>
          <w:rFonts w:asciiTheme="minorHAnsi" w:hAnsiTheme="minorHAnsi" w:cstheme="minorHAnsi"/>
        </w:rPr>
        <w:t>’s priorities as articulated in the medium-term development plans of the administrations of President Gloria Macapagal-Arroyo (2001-10), President Benigno Aquino Jr. (2010-16), and President Rodrigo Duterte (2016-22)</w:t>
      </w:r>
      <w:r w:rsidR="00D90A28" w:rsidRPr="00BF17B0">
        <w:rPr>
          <w:rFonts w:asciiTheme="minorHAnsi" w:hAnsiTheme="minorHAnsi" w:cstheme="minorHAnsi"/>
        </w:rPr>
        <w:t>.</w:t>
      </w:r>
      <w:r w:rsidR="00962023" w:rsidRPr="00BF17B0">
        <w:rPr>
          <w:rFonts w:asciiTheme="minorHAnsi" w:hAnsiTheme="minorHAnsi" w:cstheme="minorHAnsi"/>
        </w:rPr>
        <w:t xml:space="preserve"> </w:t>
      </w:r>
      <w:r w:rsidR="00962023" w:rsidRPr="00BF17B0">
        <w:rPr>
          <w:rFonts w:asciiTheme="minorHAnsi" w:hAnsiTheme="minorHAnsi" w:cstheme="minorHAnsi"/>
        </w:rPr>
        <w:fldChar w:fldCharType="begin"/>
      </w:r>
      <w:r w:rsidR="00962023" w:rsidRPr="00BF17B0">
        <w:rPr>
          <w:rFonts w:asciiTheme="minorHAnsi" w:hAnsiTheme="minorHAnsi" w:cstheme="minorHAnsi"/>
        </w:rPr>
        <w:instrText xml:space="preserve"> REF _Ref532843778 \h </w:instrText>
      </w:r>
      <w:r w:rsidR="00BF17B0">
        <w:rPr>
          <w:rFonts w:asciiTheme="minorHAnsi" w:hAnsiTheme="minorHAnsi" w:cstheme="minorHAnsi"/>
        </w:rPr>
        <w:instrText xml:space="preserve"> \* MERGEFORMAT </w:instrText>
      </w:r>
      <w:r w:rsidR="00962023" w:rsidRPr="00BF17B0">
        <w:rPr>
          <w:rFonts w:asciiTheme="minorHAnsi" w:hAnsiTheme="minorHAnsi" w:cstheme="minorHAnsi"/>
        </w:rPr>
      </w:r>
      <w:r w:rsidR="00962023" w:rsidRPr="00BF17B0">
        <w:rPr>
          <w:rFonts w:asciiTheme="minorHAnsi" w:hAnsiTheme="minorHAnsi" w:cstheme="minorHAnsi"/>
        </w:rPr>
        <w:fldChar w:fldCharType="separate"/>
      </w:r>
      <w:r w:rsidR="00F338BE" w:rsidRPr="00BF17B0">
        <w:rPr>
          <w:rFonts w:asciiTheme="minorHAnsi" w:hAnsiTheme="minorHAnsi" w:cstheme="minorHAnsi"/>
        </w:rPr>
        <w:t xml:space="preserve">Figure </w:t>
      </w:r>
      <w:r w:rsidR="00F338BE">
        <w:rPr>
          <w:rFonts w:asciiTheme="minorHAnsi" w:hAnsiTheme="minorHAnsi" w:cstheme="minorHAnsi"/>
          <w:noProof/>
        </w:rPr>
        <w:t>2</w:t>
      </w:r>
      <w:r w:rsidR="00F338BE" w:rsidRPr="00BF17B0">
        <w:rPr>
          <w:rFonts w:asciiTheme="minorHAnsi" w:hAnsiTheme="minorHAnsi" w:cstheme="minorHAnsi"/>
          <w:noProof/>
        </w:rPr>
        <w:noBreakHyphen/>
      </w:r>
      <w:r w:rsidR="00F338BE">
        <w:rPr>
          <w:rFonts w:asciiTheme="minorHAnsi" w:hAnsiTheme="minorHAnsi" w:cstheme="minorHAnsi"/>
          <w:noProof/>
        </w:rPr>
        <w:t>1</w:t>
      </w:r>
      <w:r w:rsidR="00962023" w:rsidRPr="00BF17B0">
        <w:rPr>
          <w:rFonts w:asciiTheme="minorHAnsi" w:hAnsiTheme="minorHAnsi" w:cstheme="minorHAnsi"/>
        </w:rPr>
        <w:fldChar w:fldCharType="end"/>
      </w:r>
      <w:r w:rsidR="00962023" w:rsidRPr="00BF17B0">
        <w:rPr>
          <w:rFonts w:asciiTheme="minorHAnsi" w:hAnsiTheme="minorHAnsi" w:cstheme="minorHAnsi"/>
        </w:rPr>
        <w:t xml:space="preserve"> shows </w:t>
      </w:r>
      <w:r w:rsidR="002060DE" w:rsidRPr="00BF17B0">
        <w:rPr>
          <w:rFonts w:asciiTheme="minorHAnsi" w:hAnsiTheme="minorHAnsi" w:cstheme="minorHAnsi"/>
        </w:rPr>
        <w:t>how PH-PTF priorities have evolved over time</w:t>
      </w:r>
      <w:r w:rsidR="00817195" w:rsidRPr="00BF17B0">
        <w:rPr>
          <w:rFonts w:asciiTheme="minorHAnsi" w:hAnsiTheme="minorHAnsi" w:cstheme="minorHAnsi"/>
        </w:rPr>
        <w:t>.</w:t>
      </w:r>
      <w:r w:rsidR="0053487D">
        <w:rPr>
          <w:rFonts w:asciiTheme="minorHAnsi" w:hAnsiTheme="minorHAnsi" w:cstheme="minorHAnsi"/>
        </w:rPr>
        <w:t xml:space="preserve"> </w:t>
      </w:r>
      <w:r w:rsidR="00817195" w:rsidRPr="00BF17B0">
        <w:rPr>
          <w:rFonts w:asciiTheme="minorHAnsi" w:hAnsiTheme="minorHAnsi" w:cstheme="minorHAnsi"/>
        </w:rPr>
        <w:t xml:space="preserve">Over the course of its implementation, the PH-PTF also adjusted the focus of its support and its approach in reviewing and approving funding proposals. Analytical support and technical advice delivered with PH-PTF support and complemented by the World Bank’s administrative budgets and technical inputs from DFAT helped </w:t>
      </w:r>
      <w:r w:rsidR="00407909">
        <w:rPr>
          <w:rFonts w:asciiTheme="minorHAnsi" w:hAnsiTheme="minorHAnsi" w:cstheme="minorHAnsi"/>
        </w:rPr>
        <w:t>promote stable macroeconomy and good governance, enhance peace and security, improve service delivery, and reduce vulnerabilities</w:t>
      </w:r>
    </w:p>
    <w:p w14:paraId="7E26AD3B" w14:textId="7C62B2A6" w:rsidR="001D3783" w:rsidRPr="00BF17B0" w:rsidRDefault="001D3783" w:rsidP="001D3783">
      <w:pPr>
        <w:rPr>
          <w:rFonts w:asciiTheme="minorHAnsi" w:hAnsiTheme="minorHAnsi" w:cstheme="minorHAnsi"/>
        </w:rPr>
      </w:pPr>
      <w:r w:rsidRPr="00BF17B0">
        <w:rPr>
          <w:rFonts w:asciiTheme="minorHAnsi" w:hAnsiTheme="minorHAnsi" w:cstheme="minorHAnsi"/>
        </w:rPr>
        <w:t>Analytical and capacity building support to the social sectors through the Bank’s investment operations, DFAT’s bilateral programs and PH-PTF grants, helped strengthen the quality, targeting</w:t>
      </w:r>
      <w:r w:rsidR="007673E2" w:rsidRPr="00BF17B0">
        <w:rPr>
          <w:rFonts w:asciiTheme="minorHAnsi" w:hAnsiTheme="minorHAnsi" w:cstheme="minorHAnsi"/>
        </w:rPr>
        <w:t>,</w:t>
      </w:r>
      <w:r w:rsidRPr="00BF17B0">
        <w:rPr>
          <w:rFonts w:asciiTheme="minorHAnsi" w:hAnsiTheme="minorHAnsi" w:cstheme="minorHAnsi"/>
        </w:rPr>
        <w:t xml:space="preserve"> and impact of the government’s anti-poverty programs.  Aside from extending technical assistance to the Department of Social Welfare and Development in establishing and maintaining </w:t>
      </w:r>
      <w:r w:rsidRPr="004B5FB1">
        <w:rPr>
          <w:rFonts w:asciiTheme="minorHAnsi" w:hAnsiTheme="minorHAnsi" w:cstheme="minorHAnsi"/>
          <w:i/>
        </w:rPr>
        <w:t>Listahanan</w:t>
      </w:r>
      <w:r w:rsidRPr="00BF17B0">
        <w:rPr>
          <w:rFonts w:asciiTheme="minorHAnsi" w:hAnsiTheme="minorHAnsi" w:cstheme="minorHAnsi"/>
        </w:rPr>
        <w:t>, PH-PTF complemented funding support from other sources to strengthen key statistical surveys and instruments and support the setup of the organizational and staffing pattern of the newly</w:t>
      </w:r>
      <w:r w:rsidR="00CB08B0" w:rsidRPr="00BF17B0">
        <w:rPr>
          <w:rFonts w:asciiTheme="minorHAnsi" w:hAnsiTheme="minorHAnsi" w:cstheme="minorHAnsi"/>
        </w:rPr>
        <w:t>-</w:t>
      </w:r>
      <w:r w:rsidRPr="00BF17B0">
        <w:rPr>
          <w:rFonts w:asciiTheme="minorHAnsi" w:hAnsiTheme="minorHAnsi" w:cstheme="minorHAnsi"/>
        </w:rPr>
        <w:t>established Philippine Statistical Authority (PSA). Continued and close partnership with statistical authorities has supported the generation and timely release of improved poverty estimates and the generation of solid data across various sectors that are used to inform policies. These improvements are expected to have wide relevance, including for strengthening capacity to measure progress toward the Sustainable Development Goals (SDGs).</w:t>
      </w:r>
      <w:r w:rsidRPr="00BF17B0">
        <w:rPr>
          <w:rFonts w:asciiTheme="minorHAnsi" w:hAnsiTheme="minorHAnsi" w:cstheme="minorHAnsi"/>
          <w:vertAlign w:val="superscript"/>
        </w:rPr>
        <w:footnoteReference w:id="7"/>
      </w:r>
      <w:r w:rsidRPr="00BF17B0">
        <w:rPr>
          <w:rFonts w:asciiTheme="minorHAnsi" w:hAnsiTheme="minorHAnsi" w:cstheme="minorHAnsi"/>
        </w:rPr>
        <w:t xml:space="preserve"> </w:t>
      </w:r>
    </w:p>
    <w:p w14:paraId="2CD0A95F" w14:textId="6CC287CA" w:rsidR="001D3783" w:rsidRDefault="001D3783" w:rsidP="001D3783">
      <w:pPr>
        <w:rPr>
          <w:rFonts w:asciiTheme="minorHAnsi" w:hAnsiTheme="minorHAnsi" w:cstheme="minorHAnsi"/>
        </w:rPr>
      </w:pPr>
      <w:r w:rsidRPr="00BF17B0">
        <w:rPr>
          <w:rFonts w:asciiTheme="minorHAnsi" w:hAnsiTheme="minorHAnsi" w:cstheme="minorHAnsi"/>
        </w:rPr>
        <w:t xml:space="preserve">PH-PTF support also focused on addressing significant and ongoing challenges to </w:t>
      </w:r>
      <w:r w:rsidR="00384E6D" w:rsidRPr="00BF17B0">
        <w:rPr>
          <w:rFonts w:asciiTheme="minorHAnsi" w:hAnsiTheme="minorHAnsi" w:cstheme="minorHAnsi"/>
        </w:rPr>
        <w:t xml:space="preserve">fiscal management and revenue mobilization, </w:t>
      </w:r>
      <w:r w:rsidRPr="00BF17B0">
        <w:rPr>
          <w:rFonts w:asciiTheme="minorHAnsi" w:hAnsiTheme="minorHAnsi" w:cstheme="minorHAnsi"/>
        </w:rPr>
        <w:t>competitiveness,</w:t>
      </w:r>
      <w:r w:rsidR="00384E6D" w:rsidRPr="00BF17B0">
        <w:rPr>
          <w:rFonts w:asciiTheme="minorHAnsi" w:hAnsiTheme="minorHAnsi" w:cstheme="minorHAnsi"/>
        </w:rPr>
        <w:t xml:space="preserve"> </w:t>
      </w:r>
      <w:r w:rsidRPr="00BF17B0">
        <w:rPr>
          <w:rFonts w:asciiTheme="minorHAnsi" w:hAnsiTheme="minorHAnsi" w:cstheme="minorHAnsi"/>
        </w:rPr>
        <w:t>social development and local service delivery.  PH-PTF leveraged Bank lending operations and bilateral DFAT assistance in education, community-driven development, local service delivery, infrastructure, and road management through co-financing and technical assistance. PH-PTF also aimed to strengthen the implementation capacity of key government agencies delivering important public services, such as infrastructure, agriculture, and social welfare.</w:t>
      </w:r>
    </w:p>
    <w:p w14:paraId="173B76E6" w14:textId="3B36C7C5" w:rsidR="000A57A2" w:rsidRPr="009C7FE7" w:rsidRDefault="00F10852" w:rsidP="000A57A2">
      <w:pPr>
        <w:rPr>
          <w:rFonts w:asciiTheme="minorHAnsi" w:hAnsiTheme="minorHAnsi" w:cstheme="minorHAnsi"/>
        </w:rPr>
      </w:pPr>
      <w:r w:rsidRPr="00BF17B0">
        <w:rPr>
          <w:rFonts w:asciiTheme="minorHAnsi" w:hAnsiTheme="minorHAnsi" w:cstheme="minorHAnsi"/>
        </w:rPr>
        <w:t xml:space="preserve">The World Bank recently agreed with government to pursue a </w:t>
      </w:r>
      <w:r w:rsidRPr="00BF17B0">
        <w:rPr>
          <w:rFonts w:asciiTheme="minorHAnsi" w:hAnsiTheme="minorHAnsi" w:cstheme="minorHAnsi"/>
          <w:iCs/>
        </w:rPr>
        <w:t xml:space="preserve">Comprehensive Program for Regional Development in Mindanao that </w:t>
      </w:r>
      <w:r w:rsidRPr="00BF17B0">
        <w:rPr>
          <w:rFonts w:asciiTheme="minorHAnsi" w:hAnsiTheme="minorHAnsi" w:cstheme="minorHAnsi"/>
        </w:rPr>
        <w:t xml:space="preserve">focuses on the development needs of the region. The Philippines Mindanao Jobs Report provided the analytical basis for the program, which integrates a spatial and geographical focus for reaching the poorest beneficiaries in Mindanao while also linking hinterlands to main markets and ports along key corridors. It ensures the continuity of current initiatives on peace building while expanding the engagement to conflict-affected and non-conflict affected areas of Mindanao. Aside from providing financial and technical resources for the Mindanao Jobs Report and the development of the Comprehensive Program for Regional Development, PH-PTF currently </w:t>
      </w:r>
    </w:p>
    <w:p w14:paraId="5F4D1E62" w14:textId="77777777" w:rsidR="000A57A2" w:rsidRPr="00BF17B0" w:rsidRDefault="000A57A2" w:rsidP="003D35C1">
      <w:pPr>
        <w:pStyle w:val="Caption"/>
        <w:rPr>
          <w:rFonts w:asciiTheme="minorHAnsi" w:hAnsiTheme="minorHAnsi" w:cstheme="minorHAnsi"/>
        </w:rPr>
        <w:sectPr w:rsidR="000A57A2" w:rsidRPr="00BF17B0" w:rsidSect="003525DD">
          <w:footerReference w:type="first" r:id="rId20"/>
          <w:pgSz w:w="11906" w:h="16838"/>
          <w:pgMar w:top="1440" w:right="1440" w:bottom="1440" w:left="1440" w:header="708" w:footer="708" w:gutter="0"/>
          <w:pgNumType w:start="1"/>
          <w:cols w:space="708"/>
          <w:titlePg/>
          <w:docGrid w:linePitch="360"/>
        </w:sectPr>
      </w:pPr>
    </w:p>
    <w:p w14:paraId="2C9384B9" w14:textId="7F4A9663" w:rsidR="00DB2F6A" w:rsidRPr="00BF17B0" w:rsidRDefault="00DB2F6A" w:rsidP="003D35C1">
      <w:pPr>
        <w:pStyle w:val="Caption"/>
        <w:rPr>
          <w:rFonts w:asciiTheme="minorHAnsi" w:hAnsiTheme="minorHAnsi" w:cstheme="minorHAnsi"/>
        </w:rPr>
      </w:pPr>
      <w:bookmarkStart w:id="16" w:name="_Ref532843778"/>
      <w:bookmarkStart w:id="17" w:name="_Toc532885885"/>
      <w:r w:rsidRPr="00BF17B0">
        <w:rPr>
          <w:rFonts w:asciiTheme="minorHAnsi" w:hAnsiTheme="minorHAnsi" w:cstheme="minorHAnsi"/>
        </w:rPr>
        <w:t xml:space="preserve">Figure </w:t>
      </w:r>
      <w:r w:rsidRPr="00BF17B0">
        <w:rPr>
          <w:rFonts w:asciiTheme="minorHAnsi" w:hAnsiTheme="minorHAnsi" w:cstheme="minorHAnsi"/>
        </w:rPr>
        <w:fldChar w:fldCharType="begin"/>
      </w:r>
      <w:r w:rsidRPr="00BF17B0">
        <w:rPr>
          <w:rFonts w:asciiTheme="minorHAnsi" w:hAnsiTheme="minorHAnsi" w:cstheme="minorHAnsi"/>
        </w:rPr>
        <w:instrText xml:space="preserve"> STYLEREF 1 \s </w:instrText>
      </w:r>
      <w:r w:rsidRPr="00BF17B0">
        <w:rPr>
          <w:rFonts w:asciiTheme="minorHAnsi" w:hAnsiTheme="minorHAnsi" w:cstheme="minorHAnsi"/>
        </w:rPr>
        <w:fldChar w:fldCharType="separate"/>
      </w:r>
      <w:r w:rsidR="00F338BE">
        <w:rPr>
          <w:rFonts w:asciiTheme="minorHAnsi" w:hAnsiTheme="minorHAnsi" w:cstheme="minorHAnsi"/>
          <w:noProof/>
        </w:rPr>
        <w:t>2</w:t>
      </w:r>
      <w:r w:rsidRPr="00BF17B0">
        <w:rPr>
          <w:rFonts w:asciiTheme="minorHAnsi" w:hAnsiTheme="minorHAnsi" w:cstheme="minorHAnsi"/>
        </w:rPr>
        <w:fldChar w:fldCharType="end"/>
      </w:r>
      <w:r w:rsidRPr="00BF17B0">
        <w:rPr>
          <w:rFonts w:asciiTheme="minorHAnsi" w:hAnsiTheme="minorHAnsi" w:cstheme="minorHAnsi"/>
        </w:rPr>
        <w:noBreakHyphen/>
      </w:r>
      <w:r w:rsidRPr="00BF17B0">
        <w:rPr>
          <w:rFonts w:asciiTheme="minorHAnsi" w:hAnsiTheme="minorHAnsi" w:cstheme="minorHAnsi"/>
        </w:rPr>
        <w:fldChar w:fldCharType="begin"/>
      </w:r>
      <w:r w:rsidRPr="00BF17B0">
        <w:rPr>
          <w:rFonts w:asciiTheme="minorHAnsi" w:hAnsiTheme="minorHAnsi" w:cstheme="minorHAnsi"/>
        </w:rPr>
        <w:instrText xml:space="preserve"> SEQ Figure \* ARABIC \s 1 </w:instrText>
      </w:r>
      <w:r w:rsidRPr="00BF17B0">
        <w:rPr>
          <w:rFonts w:asciiTheme="minorHAnsi" w:hAnsiTheme="minorHAnsi" w:cstheme="minorHAnsi"/>
        </w:rPr>
        <w:fldChar w:fldCharType="separate"/>
      </w:r>
      <w:r w:rsidR="00F338BE">
        <w:rPr>
          <w:rFonts w:asciiTheme="minorHAnsi" w:hAnsiTheme="minorHAnsi" w:cstheme="minorHAnsi"/>
          <w:noProof/>
        </w:rPr>
        <w:t>1</w:t>
      </w:r>
      <w:r w:rsidRPr="00BF17B0">
        <w:rPr>
          <w:rFonts w:asciiTheme="minorHAnsi" w:hAnsiTheme="minorHAnsi" w:cstheme="minorHAnsi"/>
        </w:rPr>
        <w:fldChar w:fldCharType="end"/>
      </w:r>
      <w:bookmarkEnd w:id="16"/>
      <w:r w:rsidRPr="00BF17B0">
        <w:rPr>
          <w:rFonts w:asciiTheme="minorHAnsi" w:hAnsiTheme="minorHAnsi" w:cstheme="minorHAnsi"/>
        </w:rPr>
        <w:t xml:space="preserve"> Evolution of PH-PTF Strategic Priorities</w:t>
      </w:r>
      <w:bookmarkEnd w:id="17"/>
    </w:p>
    <w:p w14:paraId="32576EFF" w14:textId="77777777" w:rsidR="000A57A2" w:rsidRPr="00BF17B0" w:rsidRDefault="000A57A2" w:rsidP="000A57A2">
      <w:pPr>
        <w:rPr>
          <w:rFonts w:asciiTheme="minorHAnsi" w:hAnsiTheme="minorHAnsi" w:cstheme="minorHAnsi"/>
        </w:rPr>
      </w:pPr>
      <w:r w:rsidRPr="00BF17B0">
        <w:rPr>
          <w:rFonts w:asciiTheme="minorHAnsi" w:hAnsiTheme="minorHAnsi" w:cstheme="minorHAnsi"/>
          <w:noProof/>
          <w:lang w:val="en-AU" w:eastAsia="en-AU"/>
        </w:rPr>
        <w:drawing>
          <wp:inline distT="0" distB="0" distL="0" distR="0" wp14:anchorId="15E828FD" wp14:editId="06792324">
            <wp:extent cx="8715375" cy="5305425"/>
            <wp:effectExtent l="0" t="0" r="9525"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F49F28B" w14:textId="77777777" w:rsidR="000A57A2" w:rsidRPr="00BF17B0" w:rsidRDefault="000A57A2" w:rsidP="00366728">
      <w:pPr>
        <w:rPr>
          <w:rFonts w:asciiTheme="minorHAnsi" w:hAnsiTheme="minorHAnsi" w:cstheme="minorHAnsi"/>
        </w:rPr>
        <w:sectPr w:rsidR="000A57A2" w:rsidRPr="00BF17B0" w:rsidSect="003525DD">
          <w:pgSz w:w="16838" w:h="11906" w:orient="landscape"/>
          <w:pgMar w:top="1440" w:right="1440" w:bottom="1440" w:left="1440" w:header="708" w:footer="708" w:gutter="0"/>
          <w:cols w:space="708"/>
          <w:titlePg/>
          <w:docGrid w:linePitch="360"/>
        </w:sectPr>
      </w:pPr>
    </w:p>
    <w:p w14:paraId="2D0686A4" w14:textId="77777777" w:rsidR="000F774A" w:rsidRDefault="000F774A" w:rsidP="004B5FB1">
      <w:pPr>
        <w:pStyle w:val="Heading3"/>
      </w:pPr>
      <w:bookmarkStart w:id="18" w:name="_Toc530053925"/>
      <w:bookmarkStart w:id="19" w:name="_Toc530054982"/>
      <w:bookmarkStart w:id="20" w:name="_Toc530386610"/>
      <w:bookmarkStart w:id="21" w:name="_Toc530391327"/>
      <w:bookmarkStart w:id="22" w:name="_Toc530391390"/>
      <w:bookmarkStart w:id="23" w:name="_Toc530391427"/>
      <w:bookmarkStart w:id="24" w:name="_Toc530391464"/>
      <w:bookmarkStart w:id="25" w:name="_Toc530391518"/>
      <w:bookmarkStart w:id="26" w:name="_Toc530814274"/>
      <w:bookmarkStart w:id="27" w:name="_Toc530814311"/>
      <w:bookmarkStart w:id="28" w:name="_Toc530853017"/>
      <w:bookmarkStart w:id="29" w:name="_Toc530853055"/>
      <w:bookmarkStart w:id="30" w:name="_Toc530867767"/>
      <w:bookmarkStart w:id="31" w:name="_Toc531013360"/>
      <w:bookmarkStart w:id="32" w:name="_Toc531013434"/>
      <w:bookmarkStart w:id="33" w:name="_Toc531013551"/>
      <w:bookmarkStart w:id="34" w:name="_Toc531017323"/>
      <w:bookmarkStart w:id="35" w:name="_Toc531035658"/>
      <w:bookmarkStart w:id="36" w:name="_Toc531038554"/>
      <w:bookmarkStart w:id="37" w:name="_Toc531043041"/>
      <w:bookmarkStart w:id="38" w:name="_Toc531165604"/>
      <w:bookmarkStart w:id="39" w:name="_Toc531166170"/>
      <w:bookmarkStart w:id="40" w:name="_Toc531166197"/>
      <w:bookmarkStart w:id="41" w:name="_Toc531166225"/>
      <w:bookmarkStart w:id="42" w:name="_Toc531166613"/>
      <w:bookmarkStart w:id="43" w:name="_Toc531200852"/>
      <w:bookmarkStart w:id="44" w:name="_Toc531214310"/>
      <w:bookmarkStart w:id="45" w:name="_Toc531216041"/>
      <w:bookmarkStart w:id="46" w:name="_Toc531217183"/>
      <w:bookmarkStart w:id="47" w:name="_Toc531217210"/>
      <w:bookmarkStart w:id="48" w:name="_Toc531217250"/>
      <w:bookmarkStart w:id="49" w:name="_Toc531217383"/>
      <w:bookmarkStart w:id="50" w:name="_Toc531217425"/>
      <w:bookmarkStart w:id="51" w:name="_Toc531218360"/>
      <w:bookmarkStart w:id="52" w:name="_Toc531222866"/>
      <w:bookmarkStart w:id="53" w:name="_Toc531230654"/>
      <w:bookmarkStart w:id="54" w:name="_Toc531249398"/>
      <w:bookmarkStart w:id="55" w:name="_Toc531351170"/>
      <w:bookmarkStart w:id="56" w:name="_Toc531351316"/>
      <w:bookmarkStart w:id="57" w:name="_Toc531618581"/>
      <w:bookmarkStart w:id="58" w:name="_Toc531618694"/>
      <w:bookmarkStart w:id="59" w:name="_Toc531618719"/>
      <w:bookmarkStart w:id="60" w:name="_Toc531619063"/>
      <w:bookmarkStart w:id="61" w:name="_Toc531619853"/>
      <w:bookmarkStart w:id="62" w:name="_Ref531220817"/>
      <w:bookmarkStart w:id="63" w:name="_Ref53122082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EE59B8C" w14:textId="42E7C078" w:rsidR="000F774A" w:rsidRPr="009C7FE7" w:rsidRDefault="000F774A" w:rsidP="000F774A">
      <w:pPr>
        <w:rPr>
          <w:rFonts w:asciiTheme="minorHAnsi" w:hAnsiTheme="minorHAnsi" w:cstheme="minorHAnsi"/>
        </w:rPr>
      </w:pPr>
      <w:r w:rsidRPr="00BF17B0">
        <w:rPr>
          <w:rFonts w:asciiTheme="minorHAnsi" w:hAnsiTheme="minorHAnsi" w:cstheme="minorHAnsi"/>
        </w:rPr>
        <w:t>supports advisory services and analytics and project preparation activities in core components of the program, including (i) raising agricultural p</w:t>
      </w:r>
      <w:r w:rsidR="00AE3416">
        <w:rPr>
          <w:rFonts w:asciiTheme="minorHAnsi" w:hAnsiTheme="minorHAnsi" w:cstheme="minorHAnsi"/>
        </w:rPr>
        <w:t>roductivity, connectivity and</w:t>
      </w:r>
      <w:r w:rsidRPr="000F774A">
        <w:rPr>
          <w:rFonts w:asciiTheme="minorHAnsi" w:hAnsiTheme="minorHAnsi" w:cstheme="minorHAnsi"/>
        </w:rPr>
        <w:t xml:space="preserve"> </w:t>
      </w:r>
      <w:r w:rsidRPr="00BF17B0">
        <w:rPr>
          <w:rFonts w:asciiTheme="minorHAnsi" w:hAnsiTheme="minorHAnsi" w:cstheme="minorHAnsi"/>
        </w:rPr>
        <w:t>logistics from farm to market; (ii) boosting human development; and (iii) addressing drivers of conflict.</w:t>
      </w:r>
    </w:p>
    <w:p w14:paraId="2880E59C" w14:textId="77777777" w:rsidR="000F774A" w:rsidRDefault="000F774A" w:rsidP="000F774A"/>
    <w:p w14:paraId="28F1560D" w14:textId="6E680B28" w:rsidR="006464C3" w:rsidRPr="004B5FB1" w:rsidRDefault="006464C3" w:rsidP="004B5FB1">
      <w:pPr>
        <w:pStyle w:val="Heading3"/>
      </w:pPr>
      <w:r w:rsidRPr="004B5FB1">
        <w:t>Trust Fund Objectives and Expected Outcomes</w:t>
      </w:r>
      <w:bookmarkEnd w:id="62"/>
      <w:bookmarkEnd w:id="63"/>
    </w:p>
    <w:p w14:paraId="4D7EE64C" w14:textId="77777777" w:rsidR="006464C3" w:rsidRPr="00BF17B0" w:rsidRDefault="007B245A" w:rsidP="00F05A23">
      <w:pPr>
        <w:rPr>
          <w:rFonts w:asciiTheme="minorHAnsi" w:hAnsiTheme="minorHAnsi" w:cstheme="minorHAnsi"/>
        </w:rPr>
      </w:pPr>
      <w:r w:rsidRPr="00BF17B0">
        <w:rPr>
          <w:rFonts w:asciiTheme="minorHAnsi" w:hAnsiTheme="minorHAnsi" w:cstheme="minorHAnsi"/>
        </w:rPr>
        <w:t xml:space="preserve">The </w:t>
      </w:r>
      <w:r w:rsidR="00F05A23" w:rsidRPr="00BF17B0">
        <w:rPr>
          <w:rFonts w:asciiTheme="minorHAnsi" w:hAnsiTheme="minorHAnsi" w:cstheme="minorHAnsi"/>
        </w:rPr>
        <w:t>a</w:t>
      </w:r>
      <w:r w:rsidRPr="00BF17B0">
        <w:rPr>
          <w:rFonts w:asciiTheme="minorHAnsi" w:hAnsiTheme="minorHAnsi" w:cstheme="minorHAnsi"/>
        </w:rPr>
        <w:t xml:space="preserve">dministration </w:t>
      </w:r>
      <w:r w:rsidR="00F05A23" w:rsidRPr="00BF17B0">
        <w:rPr>
          <w:rFonts w:asciiTheme="minorHAnsi" w:hAnsiTheme="minorHAnsi" w:cstheme="minorHAnsi"/>
        </w:rPr>
        <w:t>a</w:t>
      </w:r>
      <w:r w:rsidRPr="00BF17B0">
        <w:rPr>
          <w:rFonts w:asciiTheme="minorHAnsi" w:hAnsiTheme="minorHAnsi" w:cstheme="minorHAnsi"/>
        </w:rPr>
        <w:t xml:space="preserve">greement </w:t>
      </w:r>
      <w:r w:rsidR="006C708E" w:rsidRPr="00BF17B0">
        <w:rPr>
          <w:rFonts w:asciiTheme="minorHAnsi" w:hAnsiTheme="minorHAnsi" w:cstheme="minorHAnsi"/>
        </w:rPr>
        <w:t xml:space="preserve">establishing </w:t>
      </w:r>
      <w:r w:rsidR="0055789B" w:rsidRPr="00BF17B0">
        <w:rPr>
          <w:rFonts w:asciiTheme="minorHAnsi" w:hAnsiTheme="minorHAnsi" w:cstheme="minorHAnsi"/>
        </w:rPr>
        <w:t xml:space="preserve">the </w:t>
      </w:r>
      <w:r w:rsidR="006D1856" w:rsidRPr="00BF17B0">
        <w:rPr>
          <w:rFonts w:asciiTheme="minorHAnsi" w:hAnsiTheme="minorHAnsi" w:cstheme="minorHAnsi"/>
        </w:rPr>
        <w:t>PH-PTF</w:t>
      </w:r>
      <w:r w:rsidRPr="00BF17B0">
        <w:rPr>
          <w:rFonts w:asciiTheme="minorHAnsi" w:hAnsiTheme="minorHAnsi" w:cstheme="minorHAnsi"/>
        </w:rPr>
        <w:t xml:space="preserve"> was signed on </w:t>
      </w:r>
      <w:r w:rsidR="00445562" w:rsidRPr="00BF17B0">
        <w:rPr>
          <w:rFonts w:asciiTheme="minorHAnsi" w:hAnsiTheme="minorHAnsi" w:cstheme="minorHAnsi"/>
        </w:rPr>
        <w:t xml:space="preserve">29 </w:t>
      </w:r>
      <w:r w:rsidRPr="00BF17B0">
        <w:rPr>
          <w:rFonts w:asciiTheme="minorHAnsi" w:hAnsiTheme="minorHAnsi" w:cstheme="minorHAnsi"/>
        </w:rPr>
        <w:t xml:space="preserve">May 2009 </w:t>
      </w:r>
      <w:r w:rsidR="00AD46E9" w:rsidRPr="00BF17B0">
        <w:rPr>
          <w:rFonts w:asciiTheme="minorHAnsi" w:hAnsiTheme="minorHAnsi" w:cstheme="minorHAnsi"/>
        </w:rPr>
        <w:t>specifying a completion date of 30</w:t>
      </w:r>
      <w:r w:rsidR="00AD46E9" w:rsidRPr="00BF17B0">
        <w:rPr>
          <w:rFonts w:asciiTheme="minorHAnsi" w:hAnsiTheme="minorHAnsi" w:cstheme="minorHAnsi"/>
          <w:vertAlign w:val="superscript"/>
        </w:rPr>
        <w:t xml:space="preserve"> </w:t>
      </w:r>
      <w:r w:rsidR="00AD46E9" w:rsidRPr="00BF17B0">
        <w:rPr>
          <w:rFonts w:asciiTheme="minorHAnsi" w:hAnsiTheme="minorHAnsi" w:cstheme="minorHAnsi"/>
        </w:rPr>
        <w:t xml:space="preserve">December 2012 </w:t>
      </w:r>
      <w:r w:rsidRPr="00BF17B0">
        <w:rPr>
          <w:rFonts w:asciiTheme="minorHAnsi" w:hAnsiTheme="minorHAnsi" w:cstheme="minorHAnsi"/>
        </w:rPr>
        <w:t xml:space="preserve">(AusAID and </w:t>
      </w:r>
      <w:r w:rsidR="00687594" w:rsidRPr="00BF17B0">
        <w:rPr>
          <w:rFonts w:asciiTheme="minorHAnsi" w:hAnsiTheme="minorHAnsi" w:cstheme="minorHAnsi"/>
        </w:rPr>
        <w:t>World Bank</w:t>
      </w:r>
      <w:r w:rsidR="002A096F" w:rsidRPr="00BF17B0">
        <w:rPr>
          <w:rFonts w:asciiTheme="minorHAnsi" w:hAnsiTheme="minorHAnsi" w:cstheme="minorHAnsi"/>
        </w:rPr>
        <w:t xml:space="preserve"> 20</w:t>
      </w:r>
      <w:r w:rsidR="00AD46E9" w:rsidRPr="00BF17B0">
        <w:rPr>
          <w:rFonts w:asciiTheme="minorHAnsi" w:hAnsiTheme="minorHAnsi" w:cstheme="minorHAnsi"/>
        </w:rPr>
        <w:t>09</w:t>
      </w:r>
      <w:r w:rsidRPr="00BF17B0">
        <w:rPr>
          <w:rFonts w:asciiTheme="minorHAnsi" w:hAnsiTheme="minorHAnsi" w:cstheme="minorHAnsi"/>
        </w:rPr>
        <w:t>)</w:t>
      </w:r>
      <w:r w:rsidR="00AD46E9" w:rsidRPr="00BF17B0">
        <w:rPr>
          <w:rFonts w:asciiTheme="minorHAnsi" w:hAnsiTheme="minorHAnsi" w:cstheme="minorHAnsi"/>
        </w:rPr>
        <w:t>.</w:t>
      </w:r>
      <w:r w:rsidRPr="00BF17B0">
        <w:rPr>
          <w:rStyle w:val="FootnoteReference"/>
          <w:rFonts w:asciiTheme="minorHAnsi" w:hAnsiTheme="minorHAnsi" w:cstheme="minorHAnsi"/>
        </w:rPr>
        <w:footnoteReference w:id="8"/>
      </w:r>
      <w:r w:rsidR="00EB211F" w:rsidRPr="00BF17B0">
        <w:rPr>
          <w:rFonts w:asciiTheme="minorHAnsi" w:hAnsiTheme="minorHAnsi" w:cstheme="minorHAnsi"/>
        </w:rPr>
        <w:t xml:space="preserve"> </w:t>
      </w:r>
      <w:r w:rsidR="00AD5994" w:rsidRPr="00BF17B0">
        <w:rPr>
          <w:rFonts w:asciiTheme="minorHAnsi" w:hAnsiTheme="minorHAnsi" w:cstheme="minorHAnsi"/>
        </w:rPr>
        <w:t xml:space="preserve">It </w:t>
      </w:r>
      <w:r w:rsidR="006464C3" w:rsidRPr="00BF17B0">
        <w:rPr>
          <w:rFonts w:asciiTheme="minorHAnsi" w:hAnsiTheme="minorHAnsi" w:cstheme="minorHAnsi"/>
        </w:rPr>
        <w:t xml:space="preserve">was amended in December 2012 to extend the completion date to </w:t>
      </w:r>
      <w:r w:rsidR="00445562" w:rsidRPr="00BF17B0">
        <w:rPr>
          <w:rFonts w:asciiTheme="minorHAnsi" w:hAnsiTheme="minorHAnsi" w:cstheme="minorHAnsi"/>
        </w:rPr>
        <w:t xml:space="preserve">31 </w:t>
      </w:r>
      <w:r w:rsidR="006464C3" w:rsidRPr="00BF17B0">
        <w:rPr>
          <w:rFonts w:asciiTheme="minorHAnsi" w:hAnsiTheme="minorHAnsi" w:cstheme="minorHAnsi"/>
        </w:rPr>
        <w:t xml:space="preserve">December </w:t>
      </w:r>
      <w:r w:rsidR="00504FAC" w:rsidRPr="00BF17B0">
        <w:rPr>
          <w:rFonts w:asciiTheme="minorHAnsi" w:hAnsiTheme="minorHAnsi" w:cstheme="minorHAnsi"/>
        </w:rPr>
        <w:t>2015</w:t>
      </w:r>
      <w:r w:rsidR="002A096F" w:rsidRPr="00BF17B0">
        <w:rPr>
          <w:rFonts w:asciiTheme="minorHAnsi" w:hAnsiTheme="minorHAnsi" w:cstheme="minorHAnsi"/>
        </w:rPr>
        <w:t xml:space="preserve"> (AusAID and </w:t>
      </w:r>
      <w:r w:rsidR="00394C4D" w:rsidRPr="00BF17B0">
        <w:rPr>
          <w:rFonts w:asciiTheme="minorHAnsi" w:hAnsiTheme="minorHAnsi" w:cstheme="minorHAnsi"/>
        </w:rPr>
        <w:t>World Bank</w:t>
      </w:r>
      <w:r w:rsidR="00F83316" w:rsidRPr="00BF17B0">
        <w:rPr>
          <w:rFonts w:asciiTheme="minorHAnsi" w:hAnsiTheme="minorHAnsi" w:cstheme="minorHAnsi"/>
        </w:rPr>
        <w:t xml:space="preserve"> </w:t>
      </w:r>
      <w:r w:rsidR="002A096F" w:rsidRPr="00BF17B0">
        <w:rPr>
          <w:rFonts w:asciiTheme="minorHAnsi" w:hAnsiTheme="minorHAnsi" w:cstheme="minorHAnsi"/>
        </w:rPr>
        <w:t>2012)</w:t>
      </w:r>
      <w:r w:rsidR="00641EEC" w:rsidRPr="00BF17B0">
        <w:rPr>
          <w:rFonts w:asciiTheme="minorHAnsi" w:hAnsiTheme="minorHAnsi" w:cstheme="minorHAnsi"/>
        </w:rPr>
        <w:t xml:space="preserve">. </w:t>
      </w:r>
      <w:r w:rsidR="00AD5994" w:rsidRPr="00BF17B0">
        <w:rPr>
          <w:rFonts w:asciiTheme="minorHAnsi" w:hAnsiTheme="minorHAnsi" w:cstheme="minorHAnsi"/>
        </w:rPr>
        <w:t xml:space="preserve">The </w:t>
      </w:r>
      <w:r w:rsidR="00B50665" w:rsidRPr="00BF17B0">
        <w:rPr>
          <w:rFonts w:asciiTheme="minorHAnsi" w:hAnsiTheme="minorHAnsi" w:cstheme="minorHAnsi"/>
        </w:rPr>
        <w:t>agreement</w:t>
      </w:r>
      <w:r w:rsidR="00641EEC" w:rsidRPr="00BF17B0">
        <w:rPr>
          <w:rFonts w:asciiTheme="minorHAnsi" w:hAnsiTheme="minorHAnsi" w:cstheme="minorHAnsi"/>
        </w:rPr>
        <w:t xml:space="preserve"> was extended a second time through 30 </w:t>
      </w:r>
      <w:r w:rsidR="006464C3" w:rsidRPr="00BF17B0">
        <w:rPr>
          <w:rFonts w:asciiTheme="minorHAnsi" w:hAnsiTheme="minorHAnsi" w:cstheme="minorHAnsi"/>
        </w:rPr>
        <w:t>June 2019</w:t>
      </w:r>
      <w:r w:rsidR="002A096F" w:rsidRPr="00BF17B0">
        <w:rPr>
          <w:rFonts w:asciiTheme="minorHAnsi" w:hAnsiTheme="minorHAnsi" w:cstheme="minorHAnsi"/>
        </w:rPr>
        <w:t xml:space="preserve"> (DFAT and </w:t>
      </w:r>
      <w:r w:rsidR="00394C4D" w:rsidRPr="00BF17B0">
        <w:rPr>
          <w:rFonts w:asciiTheme="minorHAnsi" w:hAnsiTheme="minorHAnsi" w:cstheme="minorHAnsi"/>
        </w:rPr>
        <w:t>World Bank</w:t>
      </w:r>
      <w:r w:rsidR="00F83316" w:rsidRPr="00BF17B0">
        <w:rPr>
          <w:rFonts w:asciiTheme="minorHAnsi" w:hAnsiTheme="minorHAnsi" w:cstheme="minorHAnsi"/>
        </w:rPr>
        <w:t xml:space="preserve"> </w:t>
      </w:r>
      <w:r w:rsidR="002A096F" w:rsidRPr="00BF17B0">
        <w:rPr>
          <w:rFonts w:asciiTheme="minorHAnsi" w:hAnsiTheme="minorHAnsi" w:cstheme="minorHAnsi"/>
        </w:rPr>
        <w:t>201</w:t>
      </w:r>
      <w:r w:rsidR="00E47706" w:rsidRPr="00BF17B0">
        <w:rPr>
          <w:rFonts w:asciiTheme="minorHAnsi" w:hAnsiTheme="minorHAnsi" w:cstheme="minorHAnsi"/>
        </w:rPr>
        <w:t>5)</w:t>
      </w:r>
      <w:r w:rsidR="00216BD3" w:rsidRPr="00BF17B0">
        <w:rPr>
          <w:rFonts w:asciiTheme="minorHAnsi" w:hAnsiTheme="minorHAnsi" w:cstheme="minorHAnsi"/>
        </w:rPr>
        <w:t>.</w:t>
      </w:r>
    </w:p>
    <w:p w14:paraId="1855C695" w14:textId="77777777" w:rsidR="006464C3" w:rsidRPr="00BF17B0" w:rsidRDefault="006464C3" w:rsidP="006464C3">
      <w:pPr>
        <w:rPr>
          <w:rFonts w:asciiTheme="minorHAnsi" w:hAnsiTheme="minorHAnsi" w:cstheme="minorHAnsi"/>
        </w:rPr>
      </w:pPr>
      <w:r w:rsidRPr="00BF17B0">
        <w:rPr>
          <w:rFonts w:asciiTheme="minorHAnsi" w:hAnsiTheme="minorHAnsi" w:cstheme="minorHAnsi"/>
        </w:rPr>
        <w:t xml:space="preserve">The goal of the </w:t>
      </w:r>
      <w:r w:rsidR="006D1856" w:rsidRPr="00BF17B0">
        <w:rPr>
          <w:rFonts w:asciiTheme="minorHAnsi" w:hAnsiTheme="minorHAnsi" w:cstheme="minorHAnsi"/>
        </w:rPr>
        <w:t>PH-PTF</w:t>
      </w:r>
      <w:r w:rsidRPr="00BF17B0">
        <w:rPr>
          <w:rFonts w:asciiTheme="minorHAnsi" w:hAnsiTheme="minorHAnsi" w:cstheme="minorHAnsi"/>
        </w:rPr>
        <w:t xml:space="preserve"> </w:t>
      </w:r>
      <w:r w:rsidR="00FA1D32" w:rsidRPr="00BF17B0">
        <w:rPr>
          <w:rFonts w:asciiTheme="minorHAnsi" w:hAnsiTheme="minorHAnsi" w:cstheme="minorHAnsi"/>
        </w:rPr>
        <w:t>wa</w:t>
      </w:r>
      <w:r w:rsidRPr="00BF17B0">
        <w:rPr>
          <w:rFonts w:asciiTheme="minorHAnsi" w:hAnsiTheme="minorHAnsi" w:cstheme="minorHAnsi"/>
        </w:rPr>
        <w:t xml:space="preserve">s to improve governance and support investments that contribute to a stronger foundation for sustained and inclusive growth in the Philippines. This goal </w:t>
      </w:r>
      <w:r w:rsidR="00FA1D32" w:rsidRPr="00BF17B0">
        <w:rPr>
          <w:rFonts w:asciiTheme="minorHAnsi" w:hAnsiTheme="minorHAnsi" w:cstheme="minorHAnsi"/>
        </w:rPr>
        <w:t>wa</w:t>
      </w:r>
      <w:r w:rsidRPr="00BF17B0">
        <w:rPr>
          <w:rFonts w:asciiTheme="minorHAnsi" w:hAnsiTheme="minorHAnsi" w:cstheme="minorHAnsi"/>
        </w:rPr>
        <w:t xml:space="preserve">s </w:t>
      </w:r>
      <w:r w:rsidR="00641EEC" w:rsidRPr="00BF17B0">
        <w:rPr>
          <w:rFonts w:asciiTheme="minorHAnsi" w:hAnsiTheme="minorHAnsi" w:cstheme="minorHAnsi"/>
        </w:rPr>
        <w:t xml:space="preserve">expressed in </w:t>
      </w:r>
      <w:r w:rsidRPr="00BF17B0">
        <w:rPr>
          <w:rFonts w:asciiTheme="minorHAnsi" w:hAnsiTheme="minorHAnsi" w:cstheme="minorHAnsi"/>
        </w:rPr>
        <w:t>two objectives: (</w:t>
      </w:r>
      <w:r w:rsidR="00FA1D32" w:rsidRPr="00BF17B0">
        <w:rPr>
          <w:rFonts w:asciiTheme="minorHAnsi" w:hAnsiTheme="minorHAnsi" w:cstheme="minorHAnsi"/>
        </w:rPr>
        <w:t>i</w:t>
      </w:r>
      <w:r w:rsidRPr="00BF17B0">
        <w:rPr>
          <w:rFonts w:asciiTheme="minorHAnsi" w:hAnsiTheme="minorHAnsi" w:cstheme="minorHAnsi"/>
        </w:rPr>
        <w:t xml:space="preserve">) </w:t>
      </w:r>
      <w:r w:rsidR="00366728" w:rsidRPr="00BF17B0">
        <w:rPr>
          <w:rFonts w:asciiTheme="minorHAnsi" w:hAnsiTheme="minorHAnsi" w:cstheme="minorHAnsi"/>
        </w:rPr>
        <w:t>t</w:t>
      </w:r>
      <w:r w:rsidRPr="00BF17B0">
        <w:rPr>
          <w:rFonts w:asciiTheme="minorHAnsi" w:hAnsiTheme="minorHAnsi" w:cstheme="minorHAnsi"/>
        </w:rPr>
        <w:t>o serve as an important tool for leveraging the assistance programs of the two institutions in support of the Philippines’ development agenda</w:t>
      </w:r>
      <w:r w:rsidR="00641EEC" w:rsidRPr="00BF17B0">
        <w:rPr>
          <w:rFonts w:asciiTheme="minorHAnsi" w:hAnsiTheme="minorHAnsi" w:cstheme="minorHAnsi"/>
        </w:rPr>
        <w:t>;</w:t>
      </w:r>
      <w:r w:rsidRPr="00BF17B0">
        <w:rPr>
          <w:rFonts w:asciiTheme="minorHAnsi" w:hAnsiTheme="minorHAnsi" w:cstheme="minorHAnsi"/>
        </w:rPr>
        <w:t xml:space="preserve"> and (</w:t>
      </w:r>
      <w:r w:rsidR="00FA1D32" w:rsidRPr="00BF17B0">
        <w:rPr>
          <w:rFonts w:asciiTheme="minorHAnsi" w:hAnsiTheme="minorHAnsi" w:cstheme="minorHAnsi"/>
        </w:rPr>
        <w:t>ii</w:t>
      </w:r>
      <w:r w:rsidRPr="00BF17B0">
        <w:rPr>
          <w:rFonts w:asciiTheme="minorHAnsi" w:hAnsiTheme="minorHAnsi" w:cstheme="minorHAnsi"/>
        </w:rPr>
        <w:t xml:space="preserve">) </w:t>
      </w:r>
      <w:r w:rsidR="00366728" w:rsidRPr="00BF17B0">
        <w:rPr>
          <w:rFonts w:asciiTheme="minorHAnsi" w:hAnsiTheme="minorHAnsi" w:cstheme="minorHAnsi"/>
        </w:rPr>
        <w:t>t</w:t>
      </w:r>
      <w:r w:rsidRPr="00BF17B0">
        <w:rPr>
          <w:rFonts w:asciiTheme="minorHAnsi" w:hAnsiTheme="minorHAnsi" w:cstheme="minorHAnsi"/>
        </w:rPr>
        <w:t xml:space="preserve">o promote greater harmonization </w:t>
      </w:r>
      <w:r w:rsidR="00EF79CA" w:rsidRPr="00BF17B0">
        <w:rPr>
          <w:rFonts w:asciiTheme="minorHAnsi" w:hAnsiTheme="minorHAnsi" w:cstheme="minorHAnsi"/>
        </w:rPr>
        <w:t>between</w:t>
      </w:r>
      <w:r w:rsidRPr="00BF17B0">
        <w:rPr>
          <w:rFonts w:asciiTheme="minorHAnsi" w:hAnsiTheme="minorHAnsi" w:cstheme="minorHAnsi"/>
        </w:rPr>
        <w:t xml:space="preserve"> </w:t>
      </w:r>
      <w:r w:rsidR="000E54BC" w:rsidRPr="00BF17B0">
        <w:rPr>
          <w:rFonts w:asciiTheme="minorHAnsi" w:hAnsiTheme="minorHAnsi" w:cstheme="minorHAnsi"/>
        </w:rPr>
        <w:t xml:space="preserve">the </w:t>
      </w:r>
      <w:r w:rsidRPr="00BF17B0">
        <w:rPr>
          <w:rFonts w:asciiTheme="minorHAnsi" w:hAnsiTheme="minorHAnsi" w:cstheme="minorHAnsi"/>
        </w:rPr>
        <w:t>government and its development partners.</w:t>
      </w:r>
    </w:p>
    <w:p w14:paraId="2DAFF4DB" w14:textId="77777777" w:rsidR="006464C3" w:rsidRPr="00BF17B0" w:rsidRDefault="0073681F" w:rsidP="006464C3">
      <w:pPr>
        <w:rPr>
          <w:rFonts w:asciiTheme="minorHAnsi" w:hAnsiTheme="minorHAnsi" w:cstheme="minorHAnsi"/>
        </w:rPr>
      </w:pPr>
      <w:r w:rsidRPr="00BF17B0">
        <w:rPr>
          <w:rFonts w:asciiTheme="minorHAnsi" w:hAnsiTheme="minorHAnsi" w:cstheme="minorHAnsi"/>
        </w:rPr>
        <w:t>The intended outcomes were rephrased in t</w:t>
      </w:r>
      <w:r w:rsidR="00E47706" w:rsidRPr="00BF17B0">
        <w:rPr>
          <w:rFonts w:asciiTheme="minorHAnsi" w:hAnsiTheme="minorHAnsi" w:cstheme="minorHAnsi"/>
        </w:rPr>
        <w:t>he Results Framework</w:t>
      </w:r>
      <w:r w:rsidR="006464C3" w:rsidRPr="00BF17B0">
        <w:rPr>
          <w:rFonts w:asciiTheme="minorHAnsi" w:hAnsiTheme="minorHAnsi" w:cstheme="minorHAnsi"/>
        </w:rPr>
        <w:t xml:space="preserve"> </w:t>
      </w:r>
      <w:r w:rsidR="00E47706" w:rsidRPr="00BF17B0">
        <w:rPr>
          <w:rFonts w:asciiTheme="minorHAnsi" w:hAnsiTheme="minorHAnsi" w:cstheme="minorHAnsi"/>
        </w:rPr>
        <w:t>(</w:t>
      </w:r>
      <w:r w:rsidR="00394C4D" w:rsidRPr="00BF17B0">
        <w:rPr>
          <w:rFonts w:asciiTheme="minorHAnsi" w:hAnsiTheme="minorHAnsi" w:cstheme="minorHAnsi"/>
        </w:rPr>
        <w:t>World Bank</w:t>
      </w:r>
      <w:r w:rsidR="00E47706" w:rsidRPr="00BF17B0">
        <w:rPr>
          <w:rFonts w:asciiTheme="minorHAnsi" w:hAnsiTheme="minorHAnsi" w:cstheme="minorHAnsi"/>
        </w:rPr>
        <w:t xml:space="preserve"> 2017a)</w:t>
      </w:r>
      <w:r w:rsidRPr="00BF17B0">
        <w:rPr>
          <w:rFonts w:asciiTheme="minorHAnsi" w:hAnsiTheme="minorHAnsi" w:cstheme="minorHAnsi"/>
        </w:rPr>
        <w:t xml:space="preserve">, and were </w:t>
      </w:r>
      <w:r w:rsidR="00E47706" w:rsidRPr="00BF17B0">
        <w:rPr>
          <w:rFonts w:asciiTheme="minorHAnsi" w:hAnsiTheme="minorHAnsi" w:cstheme="minorHAnsi"/>
        </w:rPr>
        <w:t>endorsed by the Steering Committee</w:t>
      </w:r>
      <w:r w:rsidR="00AD46E9" w:rsidRPr="00BF17B0">
        <w:rPr>
          <w:rFonts w:asciiTheme="minorHAnsi" w:hAnsiTheme="minorHAnsi" w:cstheme="minorHAnsi"/>
        </w:rPr>
        <w:t xml:space="preserve"> as follows:</w:t>
      </w:r>
      <w:r w:rsidR="00E47706" w:rsidRPr="00BF17B0">
        <w:rPr>
          <w:rFonts w:asciiTheme="minorHAnsi" w:hAnsiTheme="minorHAnsi" w:cstheme="minorHAnsi"/>
        </w:rPr>
        <w:t xml:space="preserve"> </w:t>
      </w:r>
    </w:p>
    <w:p w14:paraId="52514E46" w14:textId="65B1C227" w:rsidR="00015A04" w:rsidRPr="00BF17B0" w:rsidRDefault="006464C3" w:rsidP="00633549">
      <w:pPr>
        <w:pStyle w:val="ListParagraph"/>
        <w:numPr>
          <w:ilvl w:val="1"/>
          <w:numId w:val="2"/>
        </w:numPr>
        <w:rPr>
          <w:rFonts w:asciiTheme="minorHAnsi" w:hAnsiTheme="minorHAnsi" w:cstheme="minorHAnsi"/>
        </w:rPr>
      </w:pPr>
      <w:r w:rsidRPr="00BF17B0">
        <w:rPr>
          <w:rFonts w:asciiTheme="minorHAnsi" w:hAnsiTheme="minorHAnsi" w:cstheme="minorHAnsi"/>
          <w:b/>
        </w:rPr>
        <w:t>Meaningful collaboration between Australia and the World Bank</w:t>
      </w:r>
      <w:r w:rsidRPr="00BF17B0">
        <w:rPr>
          <w:rFonts w:asciiTheme="minorHAnsi" w:hAnsiTheme="minorHAnsi" w:cstheme="minorHAnsi"/>
        </w:rPr>
        <w:t xml:space="preserve"> to (</w:t>
      </w:r>
      <w:r w:rsidR="00FA1D32" w:rsidRPr="00BF17B0">
        <w:rPr>
          <w:rFonts w:asciiTheme="minorHAnsi" w:hAnsiTheme="minorHAnsi" w:cstheme="minorHAnsi"/>
        </w:rPr>
        <w:t>i</w:t>
      </w:r>
      <w:r w:rsidRPr="00BF17B0">
        <w:rPr>
          <w:rFonts w:asciiTheme="minorHAnsi" w:hAnsiTheme="minorHAnsi" w:cstheme="minorHAnsi"/>
        </w:rPr>
        <w:t>) provide high quality and harmonized assistance to t</w:t>
      </w:r>
      <w:r w:rsidR="00407909">
        <w:rPr>
          <w:rFonts w:asciiTheme="minorHAnsi" w:hAnsiTheme="minorHAnsi" w:cstheme="minorHAnsi"/>
        </w:rPr>
        <w:t>he GoP</w:t>
      </w:r>
      <w:r w:rsidR="00AD46E9" w:rsidRPr="00BF17B0">
        <w:rPr>
          <w:rFonts w:asciiTheme="minorHAnsi" w:hAnsiTheme="minorHAnsi" w:cstheme="minorHAnsi"/>
        </w:rPr>
        <w:t>,</w:t>
      </w:r>
      <w:r w:rsidRPr="00BF17B0">
        <w:rPr>
          <w:rFonts w:asciiTheme="minorHAnsi" w:hAnsiTheme="minorHAnsi" w:cstheme="minorHAnsi"/>
        </w:rPr>
        <w:t xml:space="preserve"> and (</w:t>
      </w:r>
      <w:r w:rsidR="00FA1D32" w:rsidRPr="00BF17B0">
        <w:rPr>
          <w:rFonts w:asciiTheme="minorHAnsi" w:hAnsiTheme="minorHAnsi" w:cstheme="minorHAnsi"/>
        </w:rPr>
        <w:t>ii</w:t>
      </w:r>
      <w:r w:rsidRPr="00BF17B0">
        <w:rPr>
          <w:rFonts w:asciiTheme="minorHAnsi" w:hAnsiTheme="minorHAnsi" w:cstheme="minorHAnsi"/>
        </w:rPr>
        <w:t>) contribute to the enhanced quality and effectiveness of policy dialog</w:t>
      </w:r>
      <w:r w:rsidR="005A4781" w:rsidRPr="00BF17B0">
        <w:rPr>
          <w:rFonts w:asciiTheme="minorHAnsi" w:hAnsiTheme="minorHAnsi" w:cstheme="minorHAnsi"/>
        </w:rPr>
        <w:t>ue</w:t>
      </w:r>
      <w:r w:rsidRPr="00BF17B0">
        <w:rPr>
          <w:rFonts w:asciiTheme="minorHAnsi" w:hAnsiTheme="minorHAnsi" w:cstheme="minorHAnsi"/>
        </w:rPr>
        <w:t xml:space="preserve"> between Australia, </w:t>
      </w:r>
      <w:r w:rsidR="00063409" w:rsidRPr="00BF17B0">
        <w:rPr>
          <w:rFonts w:asciiTheme="minorHAnsi" w:hAnsiTheme="minorHAnsi" w:cstheme="minorHAnsi"/>
        </w:rPr>
        <w:t>the World Bank</w:t>
      </w:r>
      <w:r w:rsidR="005A4781" w:rsidRPr="00BF17B0">
        <w:rPr>
          <w:rFonts w:asciiTheme="minorHAnsi" w:hAnsiTheme="minorHAnsi" w:cstheme="minorHAnsi"/>
        </w:rPr>
        <w:t>,</w:t>
      </w:r>
      <w:r w:rsidRPr="00BF17B0">
        <w:rPr>
          <w:rFonts w:asciiTheme="minorHAnsi" w:hAnsiTheme="minorHAnsi" w:cstheme="minorHAnsi"/>
        </w:rPr>
        <w:t xml:space="preserve"> and t</w:t>
      </w:r>
      <w:r w:rsidR="00407909">
        <w:rPr>
          <w:rFonts w:asciiTheme="minorHAnsi" w:hAnsiTheme="minorHAnsi" w:cstheme="minorHAnsi"/>
        </w:rPr>
        <w:t>he GoP;</w:t>
      </w:r>
    </w:p>
    <w:p w14:paraId="1434AFAB" w14:textId="466CC6B8" w:rsidR="006464C3" w:rsidRPr="00BF17B0" w:rsidRDefault="006464C3" w:rsidP="00633549">
      <w:pPr>
        <w:pStyle w:val="ListParagraph"/>
        <w:numPr>
          <w:ilvl w:val="1"/>
          <w:numId w:val="2"/>
        </w:numPr>
        <w:rPr>
          <w:rFonts w:asciiTheme="minorHAnsi" w:hAnsiTheme="minorHAnsi" w:cstheme="minorHAnsi"/>
        </w:rPr>
      </w:pPr>
      <w:r w:rsidRPr="00BF17B0">
        <w:rPr>
          <w:rFonts w:asciiTheme="minorHAnsi" w:hAnsiTheme="minorHAnsi" w:cstheme="minorHAnsi"/>
          <w:b/>
        </w:rPr>
        <w:t xml:space="preserve">Strategic and efficient use </w:t>
      </w:r>
      <w:r w:rsidRPr="00BF17B0">
        <w:rPr>
          <w:rFonts w:asciiTheme="minorHAnsi" w:hAnsiTheme="minorHAnsi" w:cstheme="minorHAnsi"/>
        </w:rPr>
        <w:t>of Australia’s and World Bank’s resources in the Philippines</w:t>
      </w:r>
      <w:r w:rsidR="00407909">
        <w:rPr>
          <w:rFonts w:asciiTheme="minorHAnsi" w:hAnsiTheme="minorHAnsi" w:cstheme="minorHAnsi"/>
        </w:rPr>
        <w:t>; and</w:t>
      </w:r>
    </w:p>
    <w:p w14:paraId="4443FD9A" w14:textId="561048C6" w:rsidR="008308C5" w:rsidRDefault="006464C3" w:rsidP="00633549">
      <w:pPr>
        <w:pStyle w:val="ListParagraph"/>
        <w:numPr>
          <w:ilvl w:val="1"/>
          <w:numId w:val="2"/>
        </w:numPr>
        <w:rPr>
          <w:rFonts w:asciiTheme="minorHAnsi" w:hAnsiTheme="minorHAnsi" w:cstheme="minorHAnsi"/>
        </w:rPr>
      </w:pPr>
      <w:r w:rsidRPr="00BF17B0">
        <w:rPr>
          <w:rFonts w:asciiTheme="minorHAnsi" w:hAnsiTheme="minorHAnsi" w:cstheme="minorHAnsi"/>
        </w:rPr>
        <w:t>Contribut</w:t>
      </w:r>
      <w:r w:rsidR="005A4781" w:rsidRPr="00BF17B0">
        <w:rPr>
          <w:rFonts w:asciiTheme="minorHAnsi" w:hAnsiTheme="minorHAnsi" w:cstheme="minorHAnsi"/>
        </w:rPr>
        <w:t>ion</w:t>
      </w:r>
      <w:r w:rsidRPr="00BF17B0">
        <w:rPr>
          <w:rFonts w:asciiTheme="minorHAnsi" w:hAnsiTheme="minorHAnsi" w:cstheme="minorHAnsi"/>
        </w:rPr>
        <w:t xml:space="preserve"> to the </w:t>
      </w:r>
      <w:r w:rsidRPr="00BF17B0">
        <w:rPr>
          <w:rFonts w:asciiTheme="minorHAnsi" w:hAnsiTheme="minorHAnsi" w:cstheme="minorHAnsi"/>
          <w:b/>
        </w:rPr>
        <w:t>achievement of shared development objectives</w:t>
      </w:r>
      <w:r w:rsidRPr="00BF17B0">
        <w:rPr>
          <w:rFonts w:asciiTheme="minorHAnsi" w:hAnsiTheme="minorHAnsi" w:cstheme="minorHAnsi"/>
        </w:rPr>
        <w:t xml:space="preserve"> of Australia and </w:t>
      </w:r>
      <w:r w:rsidR="00063409" w:rsidRPr="00BF17B0">
        <w:rPr>
          <w:rFonts w:asciiTheme="minorHAnsi" w:hAnsiTheme="minorHAnsi" w:cstheme="minorHAnsi"/>
        </w:rPr>
        <w:t>the World Bank</w:t>
      </w:r>
      <w:r w:rsidRPr="00BF17B0">
        <w:rPr>
          <w:rFonts w:asciiTheme="minorHAnsi" w:hAnsiTheme="minorHAnsi" w:cstheme="minorHAnsi"/>
        </w:rPr>
        <w:t xml:space="preserve"> in the Philippines</w:t>
      </w:r>
      <w:r w:rsidR="00407909">
        <w:rPr>
          <w:rFonts w:asciiTheme="minorHAnsi" w:hAnsiTheme="minorHAnsi" w:cstheme="minorHAnsi"/>
        </w:rPr>
        <w:t>.</w:t>
      </w:r>
    </w:p>
    <w:p w14:paraId="2855DF0A" w14:textId="77777777" w:rsidR="009C7FE7" w:rsidRPr="009C7FE7" w:rsidRDefault="009C7FE7" w:rsidP="009C7FE7">
      <w:pPr>
        <w:ind w:left="360"/>
        <w:rPr>
          <w:rFonts w:asciiTheme="minorHAnsi" w:hAnsiTheme="minorHAnsi" w:cstheme="minorHAnsi"/>
        </w:rPr>
      </w:pPr>
    </w:p>
    <w:p w14:paraId="7F64C58C" w14:textId="77777777" w:rsidR="006464C3" w:rsidRPr="00BF17B0" w:rsidRDefault="006464C3" w:rsidP="00BF17B0">
      <w:pPr>
        <w:pStyle w:val="Heading3"/>
      </w:pPr>
      <w:bookmarkStart w:id="64" w:name="_Ref531013822"/>
      <w:bookmarkStart w:id="65" w:name="_Ref531013834"/>
      <w:bookmarkStart w:id="66" w:name="_Ref531013840"/>
      <w:bookmarkStart w:id="67" w:name="_Ref531013855"/>
      <w:bookmarkStart w:id="68" w:name="_Ref531013862"/>
      <w:bookmarkStart w:id="69" w:name="_Ref531013898"/>
      <w:bookmarkStart w:id="70" w:name="_Ref531013907"/>
      <w:bookmarkStart w:id="71" w:name="_Ref531014010"/>
      <w:r w:rsidRPr="00BF17B0">
        <w:t>Governance</w:t>
      </w:r>
      <w:bookmarkEnd w:id="64"/>
      <w:bookmarkEnd w:id="65"/>
      <w:bookmarkEnd w:id="66"/>
      <w:bookmarkEnd w:id="67"/>
      <w:bookmarkEnd w:id="68"/>
      <w:bookmarkEnd w:id="69"/>
      <w:bookmarkEnd w:id="70"/>
      <w:bookmarkEnd w:id="71"/>
    </w:p>
    <w:p w14:paraId="366F4DEE" w14:textId="77777777" w:rsidR="00DF4621" w:rsidRDefault="00E429A5" w:rsidP="00AD46E9">
      <w:pPr>
        <w:rPr>
          <w:rFonts w:asciiTheme="minorHAnsi" w:hAnsiTheme="minorHAnsi" w:cstheme="minorHAnsi"/>
        </w:rPr>
      </w:pPr>
      <w:r w:rsidRPr="00BF17B0">
        <w:rPr>
          <w:rFonts w:asciiTheme="minorHAnsi" w:hAnsiTheme="minorHAnsi" w:cstheme="minorHAnsi"/>
        </w:rPr>
        <w:t xml:space="preserve">PH-PTF was established as a programmatic trust fund </w:t>
      </w:r>
      <w:r w:rsidR="00AD46E9" w:rsidRPr="00BF17B0">
        <w:rPr>
          <w:rFonts w:asciiTheme="minorHAnsi" w:hAnsiTheme="minorHAnsi" w:cstheme="minorHAnsi"/>
        </w:rPr>
        <w:t>that</w:t>
      </w:r>
      <w:r w:rsidRPr="00BF17B0">
        <w:rPr>
          <w:rFonts w:asciiTheme="minorHAnsi" w:hAnsiTheme="minorHAnsi" w:cstheme="minorHAnsi"/>
        </w:rPr>
        <w:t xml:space="preserve"> can finance multiple grants</w:t>
      </w:r>
      <w:r w:rsidR="00AD46E9" w:rsidRPr="00BF17B0">
        <w:rPr>
          <w:rFonts w:asciiTheme="minorHAnsi" w:hAnsiTheme="minorHAnsi" w:cstheme="minorHAnsi"/>
        </w:rPr>
        <w:t xml:space="preserve"> </w:t>
      </w:r>
      <w:r w:rsidRPr="00BF17B0">
        <w:rPr>
          <w:rFonts w:asciiTheme="minorHAnsi" w:hAnsiTheme="minorHAnsi" w:cstheme="minorHAnsi"/>
        </w:rPr>
        <w:t xml:space="preserve">under a two-stage funding mechanism.  In the first stage </w:t>
      </w:r>
      <w:r w:rsidR="00AD46E9" w:rsidRPr="00BF17B0">
        <w:rPr>
          <w:rFonts w:asciiTheme="minorHAnsi" w:hAnsiTheme="minorHAnsi" w:cstheme="minorHAnsi"/>
        </w:rPr>
        <w:t xml:space="preserve">World Bank </w:t>
      </w:r>
      <w:r w:rsidRPr="00BF17B0">
        <w:rPr>
          <w:rFonts w:asciiTheme="minorHAnsi" w:hAnsiTheme="minorHAnsi" w:cstheme="minorHAnsi"/>
        </w:rPr>
        <w:t xml:space="preserve">and DFAT agreed on the broad parameters </w:t>
      </w:r>
      <w:r w:rsidR="008F1A73" w:rsidRPr="00BF17B0">
        <w:rPr>
          <w:rFonts w:asciiTheme="minorHAnsi" w:hAnsiTheme="minorHAnsi" w:cstheme="minorHAnsi"/>
        </w:rPr>
        <w:t>for establishing the trust fund</w:t>
      </w:r>
      <w:r w:rsidRPr="00BF17B0">
        <w:rPr>
          <w:rFonts w:asciiTheme="minorHAnsi" w:hAnsiTheme="minorHAnsi" w:cstheme="minorHAnsi"/>
        </w:rPr>
        <w:t xml:space="preserve">. </w:t>
      </w:r>
      <w:r w:rsidR="00DF4621">
        <w:rPr>
          <w:rFonts w:asciiTheme="minorHAnsi" w:hAnsiTheme="minorHAnsi" w:cstheme="minorHAnsi"/>
        </w:rPr>
        <w:t>In the second stage, the Steering Committee decided on the specific activities to be supported by PH-PTF.</w:t>
      </w:r>
    </w:p>
    <w:p w14:paraId="57FB8C6F" w14:textId="68982D60" w:rsidR="00E429A5" w:rsidRPr="00BF17B0" w:rsidRDefault="00EC3EE9" w:rsidP="00AD46E9">
      <w:pPr>
        <w:rPr>
          <w:rFonts w:asciiTheme="minorHAnsi" w:hAnsiTheme="minorHAnsi" w:cstheme="minorHAnsi"/>
        </w:rPr>
      </w:pPr>
      <w:r w:rsidRPr="00BF17B0">
        <w:rPr>
          <w:rFonts w:asciiTheme="minorHAnsi" w:hAnsiTheme="minorHAnsi" w:cstheme="minorHAnsi"/>
        </w:rPr>
        <w:t xml:space="preserve">The </w:t>
      </w:r>
      <w:r w:rsidR="00087996" w:rsidRPr="00BF17B0">
        <w:rPr>
          <w:rFonts w:asciiTheme="minorHAnsi" w:hAnsiTheme="minorHAnsi" w:cstheme="minorHAnsi"/>
        </w:rPr>
        <w:t xml:space="preserve">administration agreement </w:t>
      </w:r>
      <w:r w:rsidRPr="00BF17B0">
        <w:rPr>
          <w:rFonts w:asciiTheme="minorHAnsi" w:hAnsiTheme="minorHAnsi" w:cstheme="minorHAnsi"/>
        </w:rPr>
        <w:t>established the Steering Committee</w:t>
      </w:r>
      <w:r w:rsidR="00C53434" w:rsidRPr="00BF17B0">
        <w:rPr>
          <w:rFonts w:asciiTheme="minorHAnsi" w:hAnsiTheme="minorHAnsi" w:cstheme="minorHAnsi"/>
        </w:rPr>
        <w:t xml:space="preserve"> </w:t>
      </w:r>
      <w:r w:rsidRPr="00BF17B0">
        <w:rPr>
          <w:rFonts w:asciiTheme="minorHAnsi" w:hAnsiTheme="minorHAnsi" w:cstheme="minorHAnsi"/>
        </w:rPr>
        <w:t xml:space="preserve">as the </w:t>
      </w:r>
      <w:r w:rsidR="006D1856" w:rsidRPr="00BF17B0">
        <w:rPr>
          <w:rFonts w:asciiTheme="minorHAnsi" w:hAnsiTheme="minorHAnsi" w:cstheme="minorHAnsi"/>
        </w:rPr>
        <w:t>PH-PTF</w:t>
      </w:r>
      <w:r w:rsidR="00EB0147" w:rsidRPr="00BF17B0">
        <w:rPr>
          <w:rFonts w:asciiTheme="minorHAnsi" w:hAnsiTheme="minorHAnsi" w:cstheme="minorHAnsi"/>
        </w:rPr>
        <w:t xml:space="preserve">’s </w:t>
      </w:r>
      <w:r w:rsidRPr="00BF17B0">
        <w:rPr>
          <w:rFonts w:asciiTheme="minorHAnsi" w:hAnsiTheme="minorHAnsi" w:cstheme="minorHAnsi"/>
        </w:rPr>
        <w:t xml:space="preserve">key </w:t>
      </w:r>
      <w:r w:rsidR="005B4896" w:rsidRPr="00BF17B0">
        <w:rPr>
          <w:rFonts w:asciiTheme="minorHAnsi" w:hAnsiTheme="minorHAnsi" w:cstheme="minorHAnsi"/>
        </w:rPr>
        <w:t>g</w:t>
      </w:r>
      <w:r w:rsidRPr="00BF17B0">
        <w:rPr>
          <w:rFonts w:asciiTheme="minorHAnsi" w:hAnsiTheme="minorHAnsi" w:cstheme="minorHAnsi"/>
        </w:rPr>
        <w:t>overnance structure</w:t>
      </w:r>
      <w:r w:rsidR="008F1A73" w:rsidRPr="00BF17B0">
        <w:rPr>
          <w:rFonts w:asciiTheme="minorHAnsi" w:hAnsiTheme="minorHAnsi" w:cstheme="minorHAnsi"/>
        </w:rPr>
        <w:t xml:space="preserve"> for the program of activities </w:t>
      </w:r>
      <w:r w:rsidR="00AD46E9" w:rsidRPr="00BF17B0">
        <w:rPr>
          <w:rFonts w:asciiTheme="minorHAnsi" w:hAnsiTheme="minorHAnsi" w:cstheme="minorHAnsi"/>
        </w:rPr>
        <w:t>that</w:t>
      </w:r>
      <w:r w:rsidR="008F1A73" w:rsidRPr="00BF17B0">
        <w:rPr>
          <w:rFonts w:asciiTheme="minorHAnsi" w:hAnsiTheme="minorHAnsi" w:cstheme="minorHAnsi"/>
        </w:rPr>
        <w:t xml:space="preserve"> would be supported by the trust fund</w:t>
      </w:r>
      <w:r w:rsidR="00E429A5" w:rsidRPr="00BF17B0">
        <w:rPr>
          <w:rFonts w:asciiTheme="minorHAnsi" w:hAnsiTheme="minorHAnsi" w:cstheme="minorHAnsi"/>
        </w:rPr>
        <w:t>.  It</w:t>
      </w:r>
      <w:r w:rsidRPr="00BF17B0">
        <w:rPr>
          <w:rFonts w:asciiTheme="minorHAnsi" w:hAnsiTheme="minorHAnsi" w:cstheme="minorHAnsi"/>
        </w:rPr>
        <w:t xml:space="preserve"> regularly </w:t>
      </w:r>
      <w:r w:rsidR="00AD46E9" w:rsidRPr="00BF17B0">
        <w:rPr>
          <w:rFonts w:asciiTheme="minorHAnsi" w:hAnsiTheme="minorHAnsi" w:cstheme="minorHAnsi"/>
        </w:rPr>
        <w:t>br</w:t>
      </w:r>
      <w:r w:rsidR="00B869C5" w:rsidRPr="00BF17B0">
        <w:rPr>
          <w:rFonts w:asciiTheme="minorHAnsi" w:hAnsiTheme="minorHAnsi" w:cstheme="minorHAnsi"/>
        </w:rPr>
        <w:t>ought</w:t>
      </w:r>
      <w:r w:rsidR="00AD46E9" w:rsidRPr="00BF17B0">
        <w:rPr>
          <w:rFonts w:asciiTheme="minorHAnsi" w:hAnsiTheme="minorHAnsi" w:cstheme="minorHAnsi"/>
        </w:rPr>
        <w:t xml:space="preserve"> </w:t>
      </w:r>
      <w:r w:rsidRPr="00BF17B0">
        <w:rPr>
          <w:rFonts w:asciiTheme="minorHAnsi" w:hAnsiTheme="minorHAnsi" w:cstheme="minorHAnsi"/>
        </w:rPr>
        <w:t xml:space="preserve">together two </w:t>
      </w:r>
      <w:r w:rsidR="00C53434" w:rsidRPr="00BF17B0">
        <w:rPr>
          <w:rFonts w:asciiTheme="minorHAnsi" w:hAnsiTheme="minorHAnsi" w:cstheme="minorHAnsi"/>
        </w:rPr>
        <w:t xml:space="preserve">senior </w:t>
      </w:r>
      <w:r w:rsidRPr="00BF17B0">
        <w:rPr>
          <w:rFonts w:asciiTheme="minorHAnsi" w:hAnsiTheme="minorHAnsi" w:cstheme="minorHAnsi"/>
        </w:rPr>
        <w:t xml:space="preserve">representatives each from DFAT and </w:t>
      </w:r>
      <w:r w:rsidR="00063409" w:rsidRPr="00BF17B0">
        <w:rPr>
          <w:rFonts w:asciiTheme="minorHAnsi" w:hAnsiTheme="minorHAnsi" w:cstheme="minorHAnsi"/>
        </w:rPr>
        <w:t>the World Bank</w:t>
      </w:r>
      <w:r w:rsidR="00C53434" w:rsidRPr="00BF17B0">
        <w:rPr>
          <w:rFonts w:asciiTheme="minorHAnsi" w:hAnsiTheme="minorHAnsi" w:cstheme="minorHAnsi"/>
        </w:rPr>
        <w:t xml:space="preserve"> to </w:t>
      </w:r>
      <w:r w:rsidR="008457DD" w:rsidRPr="00BF17B0">
        <w:rPr>
          <w:rFonts w:asciiTheme="minorHAnsi" w:hAnsiTheme="minorHAnsi" w:cstheme="minorHAnsi"/>
        </w:rPr>
        <w:t xml:space="preserve">constitute </w:t>
      </w:r>
      <w:r w:rsidR="00C53434" w:rsidRPr="00BF17B0">
        <w:rPr>
          <w:rFonts w:asciiTheme="minorHAnsi" w:hAnsiTheme="minorHAnsi" w:cstheme="minorHAnsi"/>
        </w:rPr>
        <w:t>the policy and decision</w:t>
      </w:r>
      <w:r w:rsidR="00AD0DAC" w:rsidRPr="00BF17B0">
        <w:rPr>
          <w:rFonts w:asciiTheme="minorHAnsi" w:hAnsiTheme="minorHAnsi" w:cstheme="minorHAnsi"/>
        </w:rPr>
        <w:t>-</w:t>
      </w:r>
      <w:r w:rsidR="00C53434" w:rsidRPr="00BF17B0">
        <w:rPr>
          <w:rFonts w:asciiTheme="minorHAnsi" w:hAnsiTheme="minorHAnsi" w:cstheme="minorHAnsi"/>
        </w:rPr>
        <w:t xml:space="preserve">making body for the </w:t>
      </w:r>
      <w:r w:rsidR="006D1856" w:rsidRPr="00BF17B0">
        <w:rPr>
          <w:rFonts w:asciiTheme="minorHAnsi" w:hAnsiTheme="minorHAnsi" w:cstheme="minorHAnsi"/>
        </w:rPr>
        <w:t>PH-PTF</w:t>
      </w:r>
      <w:r w:rsidR="00EB211F" w:rsidRPr="00BF17B0">
        <w:rPr>
          <w:rFonts w:asciiTheme="minorHAnsi" w:hAnsiTheme="minorHAnsi" w:cstheme="minorHAnsi"/>
        </w:rPr>
        <w:t xml:space="preserve">. </w:t>
      </w:r>
      <w:r w:rsidR="008457DD" w:rsidRPr="00BF17B0">
        <w:rPr>
          <w:rFonts w:asciiTheme="minorHAnsi" w:hAnsiTheme="minorHAnsi" w:cstheme="minorHAnsi"/>
        </w:rPr>
        <w:t>A</w:t>
      </w:r>
      <w:r w:rsidR="00C53434" w:rsidRPr="00BF17B0">
        <w:rPr>
          <w:rFonts w:asciiTheme="minorHAnsi" w:hAnsiTheme="minorHAnsi" w:cstheme="minorHAnsi"/>
        </w:rPr>
        <w:t xml:space="preserve">dministration of the </w:t>
      </w:r>
      <w:r w:rsidR="006D1856" w:rsidRPr="00BF17B0">
        <w:rPr>
          <w:rFonts w:asciiTheme="minorHAnsi" w:hAnsiTheme="minorHAnsi" w:cstheme="minorHAnsi"/>
        </w:rPr>
        <w:t>PH-PTF</w:t>
      </w:r>
      <w:r w:rsidR="00C53434" w:rsidRPr="00BF17B0">
        <w:rPr>
          <w:rFonts w:asciiTheme="minorHAnsi" w:hAnsiTheme="minorHAnsi" w:cstheme="minorHAnsi"/>
        </w:rPr>
        <w:t xml:space="preserve"> portfolio and secretariat support for the </w:t>
      </w:r>
      <w:r w:rsidR="008457DD" w:rsidRPr="00BF17B0">
        <w:rPr>
          <w:rFonts w:asciiTheme="minorHAnsi" w:hAnsiTheme="minorHAnsi" w:cstheme="minorHAnsi"/>
        </w:rPr>
        <w:t xml:space="preserve">Steering </w:t>
      </w:r>
      <w:r w:rsidR="00E429A5" w:rsidRPr="00BF17B0">
        <w:rPr>
          <w:rFonts w:asciiTheme="minorHAnsi" w:hAnsiTheme="minorHAnsi" w:cstheme="minorHAnsi"/>
        </w:rPr>
        <w:t xml:space="preserve">and Operations </w:t>
      </w:r>
      <w:r w:rsidR="008457DD" w:rsidRPr="00BF17B0">
        <w:rPr>
          <w:rFonts w:asciiTheme="minorHAnsi" w:hAnsiTheme="minorHAnsi" w:cstheme="minorHAnsi"/>
        </w:rPr>
        <w:t>Committee</w:t>
      </w:r>
      <w:r w:rsidR="00E429A5" w:rsidRPr="00BF17B0">
        <w:rPr>
          <w:rFonts w:asciiTheme="minorHAnsi" w:hAnsiTheme="minorHAnsi" w:cstheme="minorHAnsi"/>
        </w:rPr>
        <w:t>s</w:t>
      </w:r>
      <w:r w:rsidR="008457DD" w:rsidRPr="00BF17B0">
        <w:rPr>
          <w:rFonts w:asciiTheme="minorHAnsi" w:hAnsiTheme="minorHAnsi" w:cstheme="minorHAnsi"/>
        </w:rPr>
        <w:t xml:space="preserve"> </w:t>
      </w:r>
      <w:r w:rsidR="00B869C5" w:rsidRPr="00BF17B0">
        <w:rPr>
          <w:rFonts w:asciiTheme="minorHAnsi" w:hAnsiTheme="minorHAnsi" w:cstheme="minorHAnsi"/>
        </w:rPr>
        <w:t>wa</w:t>
      </w:r>
      <w:r w:rsidR="00AD46E9" w:rsidRPr="00BF17B0">
        <w:rPr>
          <w:rFonts w:asciiTheme="minorHAnsi" w:hAnsiTheme="minorHAnsi" w:cstheme="minorHAnsi"/>
        </w:rPr>
        <w:t>s</w:t>
      </w:r>
      <w:r w:rsidR="00203523" w:rsidRPr="00BF17B0">
        <w:rPr>
          <w:rFonts w:asciiTheme="minorHAnsi" w:hAnsiTheme="minorHAnsi" w:cstheme="minorHAnsi"/>
        </w:rPr>
        <w:t xml:space="preserve"> the responsibility of </w:t>
      </w:r>
      <w:r w:rsidR="00C53434" w:rsidRPr="00BF17B0">
        <w:rPr>
          <w:rFonts w:asciiTheme="minorHAnsi" w:hAnsiTheme="minorHAnsi" w:cstheme="minorHAnsi"/>
        </w:rPr>
        <w:t xml:space="preserve">the </w:t>
      </w:r>
      <w:r w:rsidR="000C1505" w:rsidRPr="00BF17B0">
        <w:rPr>
          <w:rFonts w:asciiTheme="minorHAnsi" w:hAnsiTheme="minorHAnsi" w:cstheme="minorHAnsi"/>
        </w:rPr>
        <w:t xml:space="preserve">trust fund </w:t>
      </w:r>
      <w:r w:rsidR="00C53434" w:rsidRPr="00BF17B0">
        <w:rPr>
          <w:rFonts w:asciiTheme="minorHAnsi" w:hAnsiTheme="minorHAnsi" w:cstheme="minorHAnsi"/>
        </w:rPr>
        <w:t xml:space="preserve">program manager in the </w:t>
      </w:r>
      <w:r w:rsidR="00687594" w:rsidRPr="00BF17B0">
        <w:rPr>
          <w:rFonts w:asciiTheme="minorHAnsi" w:hAnsiTheme="minorHAnsi" w:cstheme="minorHAnsi"/>
        </w:rPr>
        <w:t>World Bank</w:t>
      </w:r>
      <w:r w:rsidR="00C53434" w:rsidRPr="00BF17B0">
        <w:rPr>
          <w:rFonts w:asciiTheme="minorHAnsi" w:hAnsiTheme="minorHAnsi" w:cstheme="minorHAnsi"/>
        </w:rPr>
        <w:t xml:space="preserve">’s country management unit </w:t>
      </w:r>
      <w:r w:rsidR="00DB657F" w:rsidRPr="00BF17B0">
        <w:rPr>
          <w:rFonts w:asciiTheme="minorHAnsi" w:hAnsiTheme="minorHAnsi" w:cstheme="minorHAnsi"/>
        </w:rPr>
        <w:t xml:space="preserve">in </w:t>
      </w:r>
      <w:r w:rsidR="00C53434" w:rsidRPr="00BF17B0">
        <w:rPr>
          <w:rFonts w:asciiTheme="minorHAnsi" w:hAnsiTheme="minorHAnsi" w:cstheme="minorHAnsi"/>
        </w:rPr>
        <w:t xml:space="preserve">the Philippines, </w:t>
      </w:r>
      <w:r w:rsidR="000C1505" w:rsidRPr="00BF17B0">
        <w:rPr>
          <w:rFonts w:asciiTheme="minorHAnsi" w:hAnsiTheme="minorHAnsi" w:cstheme="minorHAnsi"/>
        </w:rPr>
        <w:t xml:space="preserve">who </w:t>
      </w:r>
      <w:r w:rsidR="00DB657F" w:rsidRPr="00BF17B0">
        <w:rPr>
          <w:rFonts w:asciiTheme="minorHAnsi" w:hAnsiTheme="minorHAnsi" w:cstheme="minorHAnsi"/>
        </w:rPr>
        <w:t xml:space="preserve">in turn </w:t>
      </w:r>
      <w:r w:rsidR="003613C6" w:rsidRPr="00BF17B0">
        <w:rPr>
          <w:rFonts w:asciiTheme="minorHAnsi" w:hAnsiTheme="minorHAnsi" w:cstheme="minorHAnsi"/>
        </w:rPr>
        <w:t>report</w:t>
      </w:r>
      <w:r w:rsidR="00B869C5" w:rsidRPr="00BF17B0">
        <w:rPr>
          <w:rFonts w:asciiTheme="minorHAnsi" w:hAnsiTheme="minorHAnsi" w:cstheme="minorHAnsi"/>
        </w:rPr>
        <w:t>ed</w:t>
      </w:r>
      <w:r w:rsidR="003613C6" w:rsidRPr="00BF17B0">
        <w:rPr>
          <w:rFonts w:asciiTheme="minorHAnsi" w:hAnsiTheme="minorHAnsi" w:cstheme="minorHAnsi"/>
        </w:rPr>
        <w:t xml:space="preserve"> to </w:t>
      </w:r>
      <w:r w:rsidR="00C53434" w:rsidRPr="00BF17B0">
        <w:rPr>
          <w:rFonts w:asciiTheme="minorHAnsi" w:hAnsiTheme="minorHAnsi" w:cstheme="minorHAnsi"/>
        </w:rPr>
        <w:t xml:space="preserve">the </w:t>
      </w:r>
      <w:r w:rsidR="00687594" w:rsidRPr="00BF17B0">
        <w:rPr>
          <w:rFonts w:asciiTheme="minorHAnsi" w:hAnsiTheme="minorHAnsi" w:cstheme="minorHAnsi"/>
        </w:rPr>
        <w:t>World Bank</w:t>
      </w:r>
      <w:r w:rsidR="00C53434" w:rsidRPr="00BF17B0">
        <w:rPr>
          <w:rFonts w:asciiTheme="minorHAnsi" w:hAnsiTheme="minorHAnsi" w:cstheme="minorHAnsi"/>
        </w:rPr>
        <w:t xml:space="preserve"> </w:t>
      </w:r>
      <w:r w:rsidR="00DB657F" w:rsidRPr="00BF17B0">
        <w:rPr>
          <w:rFonts w:asciiTheme="minorHAnsi" w:hAnsiTheme="minorHAnsi" w:cstheme="minorHAnsi"/>
        </w:rPr>
        <w:t>c</w:t>
      </w:r>
      <w:r w:rsidR="00C53434" w:rsidRPr="00BF17B0">
        <w:rPr>
          <w:rFonts w:asciiTheme="minorHAnsi" w:hAnsiTheme="minorHAnsi" w:cstheme="minorHAnsi"/>
        </w:rPr>
        <w:t xml:space="preserve">ountry </w:t>
      </w:r>
      <w:r w:rsidR="00DB657F" w:rsidRPr="00BF17B0">
        <w:rPr>
          <w:rFonts w:asciiTheme="minorHAnsi" w:hAnsiTheme="minorHAnsi" w:cstheme="minorHAnsi"/>
        </w:rPr>
        <w:t>d</w:t>
      </w:r>
      <w:r w:rsidR="00C53434" w:rsidRPr="00BF17B0">
        <w:rPr>
          <w:rFonts w:asciiTheme="minorHAnsi" w:hAnsiTheme="minorHAnsi" w:cstheme="minorHAnsi"/>
        </w:rPr>
        <w:t xml:space="preserve">irector and </w:t>
      </w:r>
      <w:r w:rsidR="00DB657F" w:rsidRPr="00BF17B0">
        <w:rPr>
          <w:rFonts w:asciiTheme="minorHAnsi" w:hAnsiTheme="minorHAnsi" w:cstheme="minorHAnsi"/>
        </w:rPr>
        <w:t>o</w:t>
      </w:r>
      <w:r w:rsidR="00C53434" w:rsidRPr="00BF17B0">
        <w:rPr>
          <w:rFonts w:asciiTheme="minorHAnsi" w:hAnsiTheme="minorHAnsi" w:cstheme="minorHAnsi"/>
        </w:rPr>
        <w:t xml:space="preserve">perations </w:t>
      </w:r>
      <w:r w:rsidR="00DB657F" w:rsidRPr="00BF17B0">
        <w:rPr>
          <w:rFonts w:asciiTheme="minorHAnsi" w:hAnsiTheme="minorHAnsi" w:cstheme="minorHAnsi"/>
        </w:rPr>
        <w:t>m</w:t>
      </w:r>
      <w:r w:rsidR="00C53434" w:rsidRPr="00BF17B0">
        <w:rPr>
          <w:rFonts w:asciiTheme="minorHAnsi" w:hAnsiTheme="minorHAnsi" w:cstheme="minorHAnsi"/>
        </w:rPr>
        <w:t xml:space="preserve">anager. </w:t>
      </w:r>
      <w:r w:rsidR="001A31AC" w:rsidRPr="00BF17B0">
        <w:rPr>
          <w:rFonts w:asciiTheme="minorHAnsi" w:hAnsiTheme="minorHAnsi" w:cstheme="minorHAnsi"/>
        </w:rPr>
        <w:t xml:space="preserve">The </w:t>
      </w:r>
      <w:r w:rsidR="002E7260" w:rsidRPr="00BF17B0">
        <w:rPr>
          <w:rFonts w:asciiTheme="minorHAnsi" w:hAnsiTheme="minorHAnsi" w:cstheme="minorHAnsi"/>
        </w:rPr>
        <w:t>c</w:t>
      </w:r>
      <w:r w:rsidR="001A31AC" w:rsidRPr="00BF17B0">
        <w:rPr>
          <w:rFonts w:asciiTheme="minorHAnsi" w:hAnsiTheme="minorHAnsi" w:cstheme="minorHAnsi"/>
        </w:rPr>
        <w:t xml:space="preserve">ounsellor for Economic Section of DFAT </w:t>
      </w:r>
      <w:r w:rsidR="00984839" w:rsidRPr="00BF17B0">
        <w:rPr>
          <w:rFonts w:asciiTheme="minorHAnsi" w:hAnsiTheme="minorHAnsi" w:cstheme="minorHAnsi"/>
        </w:rPr>
        <w:t>le</w:t>
      </w:r>
      <w:r w:rsidR="00DF4621">
        <w:rPr>
          <w:rFonts w:asciiTheme="minorHAnsi" w:hAnsiTheme="minorHAnsi" w:cstheme="minorHAnsi"/>
        </w:rPr>
        <w:t>a</w:t>
      </w:r>
      <w:r w:rsidR="00984839" w:rsidRPr="00BF17B0">
        <w:rPr>
          <w:rFonts w:asciiTheme="minorHAnsi" w:hAnsiTheme="minorHAnsi" w:cstheme="minorHAnsi"/>
        </w:rPr>
        <w:t>d</w:t>
      </w:r>
      <w:r w:rsidR="00DF4621">
        <w:rPr>
          <w:rFonts w:asciiTheme="minorHAnsi" w:hAnsiTheme="minorHAnsi" w:cstheme="minorHAnsi"/>
        </w:rPr>
        <w:t>s</w:t>
      </w:r>
      <w:r w:rsidR="009A0E84" w:rsidRPr="00BF17B0">
        <w:rPr>
          <w:rFonts w:asciiTheme="minorHAnsi" w:hAnsiTheme="minorHAnsi" w:cstheme="minorHAnsi"/>
        </w:rPr>
        <w:t xml:space="preserve"> </w:t>
      </w:r>
      <w:r w:rsidR="001A31AC" w:rsidRPr="00BF17B0">
        <w:rPr>
          <w:rFonts w:asciiTheme="minorHAnsi" w:hAnsiTheme="minorHAnsi" w:cstheme="minorHAnsi"/>
        </w:rPr>
        <w:t xml:space="preserve">the coordination within the DFAT team, liaison with </w:t>
      </w:r>
      <w:r w:rsidR="00063409" w:rsidRPr="00BF17B0">
        <w:rPr>
          <w:rFonts w:asciiTheme="minorHAnsi" w:hAnsiTheme="minorHAnsi" w:cstheme="minorHAnsi"/>
        </w:rPr>
        <w:t>the World Bank</w:t>
      </w:r>
      <w:r w:rsidR="009A0E84" w:rsidRPr="00BF17B0">
        <w:rPr>
          <w:rFonts w:asciiTheme="minorHAnsi" w:hAnsiTheme="minorHAnsi" w:cstheme="minorHAnsi"/>
        </w:rPr>
        <w:t>,</w:t>
      </w:r>
      <w:r w:rsidR="001A31AC" w:rsidRPr="00BF17B0">
        <w:rPr>
          <w:rFonts w:asciiTheme="minorHAnsi" w:hAnsiTheme="minorHAnsi" w:cstheme="minorHAnsi"/>
        </w:rPr>
        <w:t xml:space="preserve"> and </w:t>
      </w:r>
      <w:r w:rsidR="009A0E84" w:rsidRPr="00BF17B0">
        <w:rPr>
          <w:rFonts w:asciiTheme="minorHAnsi" w:hAnsiTheme="minorHAnsi" w:cstheme="minorHAnsi"/>
        </w:rPr>
        <w:t xml:space="preserve">administration of </w:t>
      </w:r>
      <w:r w:rsidR="001A31AC" w:rsidRPr="00BF17B0">
        <w:rPr>
          <w:rFonts w:asciiTheme="minorHAnsi" w:hAnsiTheme="minorHAnsi" w:cstheme="minorHAnsi"/>
        </w:rPr>
        <w:t xml:space="preserve">DFAT’s contributions </w:t>
      </w:r>
      <w:r w:rsidR="00AD46E9" w:rsidRPr="00BF17B0">
        <w:rPr>
          <w:rFonts w:asciiTheme="minorHAnsi" w:hAnsiTheme="minorHAnsi" w:cstheme="minorHAnsi"/>
        </w:rPr>
        <w:t>in</w:t>
      </w:r>
      <w:r w:rsidR="001A31AC" w:rsidRPr="00BF17B0">
        <w:rPr>
          <w:rFonts w:asciiTheme="minorHAnsi" w:hAnsiTheme="minorHAnsi" w:cstheme="minorHAnsi"/>
        </w:rPr>
        <w:t xml:space="preserve"> </w:t>
      </w:r>
      <w:r w:rsidR="00EB0147" w:rsidRPr="00BF17B0">
        <w:rPr>
          <w:rFonts w:asciiTheme="minorHAnsi" w:hAnsiTheme="minorHAnsi" w:cstheme="minorHAnsi"/>
        </w:rPr>
        <w:t xml:space="preserve">the </w:t>
      </w:r>
      <w:r w:rsidR="006D1856" w:rsidRPr="00BF17B0">
        <w:rPr>
          <w:rFonts w:asciiTheme="minorHAnsi" w:hAnsiTheme="minorHAnsi" w:cstheme="minorHAnsi"/>
        </w:rPr>
        <w:t>PH-PTF</w:t>
      </w:r>
      <w:r w:rsidR="00CA47B1" w:rsidRPr="00BF17B0">
        <w:rPr>
          <w:rFonts w:asciiTheme="minorHAnsi" w:hAnsiTheme="minorHAnsi" w:cstheme="minorHAnsi"/>
        </w:rPr>
        <w:t>.</w:t>
      </w:r>
    </w:p>
    <w:p w14:paraId="684772D6" w14:textId="77777777" w:rsidR="00C53434" w:rsidRPr="00BF17B0" w:rsidRDefault="00C53434" w:rsidP="008269D6">
      <w:pPr>
        <w:rPr>
          <w:rFonts w:asciiTheme="minorHAnsi" w:hAnsiTheme="minorHAnsi" w:cstheme="minorHAnsi"/>
        </w:rPr>
      </w:pPr>
      <w:r w:rsidRPr="00BF17B0">
        <w:rPr>
          <w:rFonts w:asciiTheme="minorHAnsi" w:hAnsiTheme="minorHAnsi" w:cstheme="minorHAnsi"/>
        </w:rPr>
        <w:t xml:space="preserve">The </w:t>
      </w:r>
      <w:r w:rsidR="001E1C5E" w:rsidRPr="00BF17B0">
        <w:rPr>
          <w:rFonts w:asciiTheme="minorHAnsi" w:hAnsiTheme="minorHAnsi" w:cstheme="minorHAnsi"/>
        </w:rPr>
        <w:t xml:space="preserve">trust fund </w:t>
      </w:r>
      <w:r w:rsidRPr="00BF17B0">
        <w:rPr>
          <w:rFonts w:asciiTheme="minorHAnsi" w:hAnsiTheme="minorHAnsi" w:cstheme="minorHAnsi"/>
        </w:rPr>
        <w:t>program manager</w:t>
      </w:r>
      <w:r w:rsidR="00302EA6" w:rsidRPr="00BF17B0">
        <w:rPr>
          <w:rFonts w:asciiTheme="minorHAnsi" w:hAnsiTheme="minorHAnsi" w:cstheme="minorHAnsi"/>
        </w:rPr>
        <w:t>,</w:t>
      </w:r>
      <w:r w:rsidR="001A31AC" w:rsidRPr="00BF17B0">
        <w:rPr>
          <w:rFonts w:asciiTheme="minorHAnsi" w:hAnsiTheme="minorHAnsi" w:cstheme="minorHAnsi"/>
        </w:rPr>
        <w:t xml:space="preserve"> working closely with DFAT</w:t>
      </w:r>
      <w:r w:rsidR="00302EA6" w:rsidRPr="00BF17B0">
        <w:rPr>
          <w:rFonts w:asciiTheme="minorHAnsi" w:hAnsiTheme="minorHAnsi" w:cstheme="minorHAnsi"/>
        </w:rPr>
        <w:t xml:space="preserve">, </w:t>
      </w:r>
      <w:r w:rsidRPr="00BF17B0">
        <w:rPr>
          <w:rFonts w:asciiTheme="minorHAnsi" w:hAnsiTheme="minorHAnsi" w:cstheme="minorHAnsi"/>
        </w:rPr>
        <w:t xml:space="preserve">prepared a set of </w:t>
      </w:r>
      <w:r w:rsidR="00302EA6" w:rsidRPr="00BF17B0">
        <w:rPr>
          <w:rFonts w:asciiTheme="minorHAnsi" w:hAnsiTheme="minorHAnsi" w:cstheme="minorHAnsi"/>
        </w:rPr>
        <w:t>o</w:t>
      </w:r>
      <w:r w:rsidRPr="00BF17B0">
        <w:rPr>
          <w:rFonts w:asciiTheme="minorHAnsi" w:hAnsiTheme="minorHAnsi" w:cstheme="minorHAnsi"/>
        </w:rPr>
        <w:t xml:space="preserve">perating </w:t>
      </w:r>
      <w:r w:rsidR="00302EA6" w:rsidRPr="00BF17B0">
        <w:rPr>
          <w:rFonts w:asciiTheme="minorHAnsi" w:hAnsiTheme="minorHAnsi" w:cstheme="minorHAnsi"/>
        </w:rPr>
        <w:t>g</w:t>
      </w:r>
      <w:r w:rsidRPr="00BF17B0">
        <w:rPr>
          <w:rFonts w:asciiTheme="minorHAnsi" w:hAnsiTheme="minorHAnsi" w:cstheme="minorHAnsi"/>
        </w:rPr>
        <w:t xml:space="preserve">uidelines for the </w:t>
      </w:r>
      <w:r w:rsidR="006D1856" w:rsidRPr="00BF17B0">
        <w:rPr>
          <w:rFonts w:asciiTheme="minorHAnsi" w:hAnsiTheme="minorHAnsi" w:cstheme="minorHAnsi"/>
        </w:rPr>
        <w:t>PH-PTF</w:t>
      </w:r>
      <w:r w:rsidRPr="00BF17B0">
        <w:rPr>
          <w:rFonts w:asciiTheme="minorHAnsi" w:hAnsiTheme="minorHAnsi" w:cstheme="minorHAnsi"/>
        </w:rPr>
        <w:t xml:space="preserve">, which was adopted by the </w:t>
      </w:r>
      <w:r w:rsidR="00302EA6" w:rsidRPr="00BF17B0">
        <w:rPr>
          <w:rFonts w:asciiTheme="minorHAnsi" w:hAnsiTheme="minorHAnsi" w:cstheme="minorHAnsi"/>
        </w:rPr>
        <w:t xml:space="preserve">Steering Committee </w:t>
      </w:r>
      <w:r w:rsidRPr="00BF17B0">
        <w:rPr>
          <w:rFonts w:asciiTheme="minorHAnsi" w:hAnsiTheme="minorHAnsi" w:cstheme="minorHAnsi"/>
        </w:rPr>
        <w:t xml:space="preserve">in June 2009 and updated periodically to reflect adjustments in </w:t>
      </w:r>
      <w:r w:rsidR="006D1856" w:rsidRPr="00BF17B0">
        <w:rPr>
          <w:rFonts w:asciiTheme="minorHAnsi" w:hAnsiTheme="minorHAnsi" w:cstheme="minorHAnsi"/>
        </w:rPr>
        <w:t>PH-PTF</w:t>
      </w:r>
      <w:r w:rsidRPr="00BF17B0">
        <w:rPr>
          <w:rFonts w:asciiTheme="minorHAnsi" w:hAnsiTheme="minorHAnsi" w:cstheme="minorHAnsi"/>
        </w:rPr>
        <w:t xml:space="preserve"> policies and procedures.</w:t>
      </w:r>
    </w:p>
    <w:p w14:paraId="180D66E4" w14:textId="77777777" w:rsidR="00EC3EE9" w:rsidRPr="00BF17B0" w:rsidRDefault="00EC3EE9" w:rsidP="008269D6">
      <w:pPr>
        <w:rPr>
          <w:rFonts w:asciiTheme="minorHAnsi" w:hAnsiTheme="minorHAnsi" w:cstheme="minorHAnsi"/>
        </w:rPr>
      </w:pPr>
      <w:r w:rsidRPr="00BF17B0">
        <w:rPr>
          <w:rFonts w:asciiTheme="minorHAnsi" w:hAnsiTheme="minorHAnsi" w:cstheme="minorHAnsi"/>
        </w:rPr>
        <w:t xml:space="preserve">The </w:t>
      </w:r>
      <w:r w:rsidR="00302EA6" w:rsidRPr="00BF17B0">
        <w:rPr>
          <w:rFonts w:asciiTheme="minorHAnsi" w:hAnsiTheme="minorHAnsi" w:cstheme="minorHAnsi"/>
        </w:rPr>
        <w:t>g</w:t>
      </w:r>
      <w:r w:rsidRPr="00BF17B0">
        <w:rPr>
          <w:rFonts w:asciiTheme="minorHAnsi" w:hAnsiTheme="minorHAnsi" w:cstheme="minorHAnsi"/>
        </w:rPr>
        <w:t xml:space="preserve">uidelines </w:t>
      </w:r>
      <w:r w:rsidR="002550EB" w:rsidRPr="00BF17B0">
        <w:rPr>
          <w:rFonts w:asciiTheme="minorHAnsi" w:hAnsiTheme="minorHAnsi" w:cstheme="minorHAnsi"/>
        </w:rPr>
        <w:t>specif</w:t>
      </w:r>
      <w:r w:rsidR="00984839" w:rsidRPr="00BF17B0">
        <w:rPr>
          <w:rFonts w:asciiTheme="minorHAnsi" w:hAnsiTheme="minorHAnsi" w:cstheme="minorHAnsi"/>
        </w:rPr>
        <w:t>ied</w:t>
      </w:r>
      <w:r w:rsidR="002550EB" w:rsidRPr="00BF17B0">
        <w:rPr>
          <w:rFonts w:asciiTheme="minorHAnsi" w:hAnsiTheme="minorHAnsi" w:cstheme="minorHAnsi"/>
        </w:rPr>
        <w:t xml:space="preserve"> </w:t>
      </w:r>
      <w:r w:rsidRPr="00BF17B0">
        <w:rPr>
          <w:rFonts w:asciiTheme="minorHAnsi" w:hAnsiTheme="minorHAnsi" w:cstheme="minorHAnsi"/>
        </w:rPr>
        <w:t xml:space="preserve">that the </w:t>
      </w:r>
      <w:r w:rsidR="00302EA6" w:rsidRPr="00BF17B0">
        <w:rPr>
          <w:rFonts w:asciiTheme="minorHAnsi" w:hAnsiTheme="minorHAnsi" w:cstheme="minorHAnsi"/>
        </w:rPr>
        <w:t xml:space="preserve">Steering Committee </w:t>
      </w:r>
      <w:r w:rsidR="00984839" w:rsidRPr="00BF17B0">
        <w:rPr>
          <w:rFonts w:asciiTheme="minorHAnsi" w:hAnsiTheme="minorHAnsi" w:cstheme="minorHAnsi"/>
        </w:rPr>
        <w:t>was</w:t>
      </w:r>
      <w:r w:rsidR="002E7260" w:rsidRPr="00BF17B0">
        <w:rPr>
          <w:rFonts w:asciiTheme="minorHAnsi" w:hAnsiTheme="minorHAnsi" w:cstheme="minorHAnsi"/>
        </w:rPr>
        <w:t xml:space="preserve"> to </w:t>
      </w:r>
      <w:r w:rsidRPr="00BF17B0">
        <w:rPr>
          <w:rFonts w:asciiTheme="minorHAnsi" w:hAnsiTheme="minorHAnsi" w:cstheme="minorHAnsi"/>
        </w:rPr>
        <w:t>meet</w:t>
      </w:r>
      <w:r w:rsidR="00FA5E6A" w:rsidRPr="00BF17B0">
        <w:rPr>
          <w:rFonts w:asciiTheme="minorHAnsi" w:hAnsiTheme="minorHAnsi" w:cstheme="minorHAnsi"/>
        </w:rPr>
        <w:t xml:space="preserve"> </w:t>
      </w:r>
      <w:r w:rsidR="00302EA6" w:rsidRPr="00BF17B0">
        <w:rPr>
          <w:rFonts w:asciiTheme="minorHAnsi" w:hAnsiTheme="minorHAnsi" w:cstheme="minorHAnsi"/>
        </w:rPr>
        <w:t xml:space="preserve">twice </w:t>
      </w:r>
      <w:r w:rsidRPr="00BF17B0">
        <w:rPr>
          <w:rFonts w:asciiTheme="minorHAnsi" w:hAnsiTheme="minorHAnsi" w:cstheme="minorHAnsi"/>
        </w:rPr>
        <w:t>a year</w:t>
      </w:r>
      <w:r w:rsidR="00FA5E6A" w:rsidRPr="00BF17B0">
        <w:rPr>
          <w:rFonts w:asciiTheme="minorHAnsi" w:hAnsiTheme="minorHAnsi" w:cstheme="minorHAnsi"/>
        </w:rPr>
        <w:t>. In practice</w:t>
      </w:r>
      <w:r w:rsidR="00984839" w:rsidRPr="00BF17B0">
        <w:rPr>
          <w:rFonts w:asciiTheme="minorHAnsi" w:hAnsiTheme="minorHAnsi" w:cstheme="minorHAnsi"/>
        </w:rPr>
        <w:t>,</w:t>
      </w:r>
      <w:r w:rsidR="00FA5E6A" w:rsidRPr="00BF17B0">
        <w:rPr>
          <w:rFonts w:asciiTheme="minorHAnsi" w:hAnsiTheme="minorHAnsi" w:cstheme="minorHAnsi"/>
        </w:rPr>
        <w:t xml:space="preserve"> </w:t>
      </w:r>
      <w:r w:rsidR="007979B2" w:rsidRPr="00BF17B0">
        <w:rPr>
          <w:rFonts w:asciiTheme="minorHAnsi" w:hAnsiTheme="minorHAnsi" w:cstheme="minorHAnsi"/>
        </w:rPr>
        <w:t>however,</w:t>
      </w:r>
      <w:r w:rsidR="00FA5E6A" w:rsidRPr="00BF17B0">
        <w:rPr>
          <w:rFonts w:asciiTheme="minorHAnsi" w:hAnsiTheme="minorHAnsi" w:cstheme="minorHAnsi"/>
        </w:rPr>
        <w:t xml:space="preserve"> the committee met formally only </w:t>
      </w:r>
      <w:r w:rsidRPr="00BF17B0">
        <w:rPr>
          <w:rFonts w:asciiTheme="minorHAnsi" w:hAnsiTheme="minorHAnsi" w:cstheme="minorHAnsi"/>
        </w:rPr>
        <w:t xml:space="preserve">17 times in </w:t>
      </w:r>
      <w:r w:rsidR="00FA5E6A" w:rsidRPr="00BF17B0">
        <w:rPr>
          <w:rFonts w:asciiTheme="minorHAnsi" w:hAnsiTheme="minorHAnsi" w:cstheme="minorHAnsi"/>
        </w:rPr>
        <w:t xml:space="preserve">the last 10 </w:t>
      </w:r>
      <w:r w:rsidRPr="00BF17B0">
        <w:rPr>
          <w:rFonts w:asciiTheme="minorHAnsi" w:hAnsiTheme="minorHAnsi" w:cstheme="minorHAnsi"/>
        </w:rPr>
        <w:t>years</w:t>
      </w:r>
      <w:r w:rsidR="00E47706" w:rsidRPr="00BF17B0">
        <w:rPr>
          <w:rFonts w:asciiTheme="minorHAnsi" w:hAnsiTheme="minorHAnsi" w:cstheme="minorHAnsi"/>
        </w:rPr>
        <w:t>, with some decisions made virtually through email.</w:t>
      </w:r>
      <w:r w:rsidR="007A03C9" w:rsidRPr="00BF17B0">
        <w:rPr>
          <w:rFonts w:asciiTheme="minorHAnsi" w:hAnsiTheme="minorHAnsi" w:cstheme="minorHAnsi"/>
        </w:rPr>
        <w:t xml:space="preserve"> </w:t>
      </w:r>
      <w:r w:rsidR="00C53434" w:rsidRPr="00BF17B0">
        <w:rPr>
          <w:rFonts w:asciiTheme="minorHAnsi" w:hAnsiTheme="minorHAnsi" w:cstheme="minorHAnsi"/>
        </w:rPr>
        <w:t xml:space="preserve">The </w:t>
      </w:r>
      <w:r w:rsidR="007A03C9" w:rsidRPr="00BF17B0">
        <w:rPr>
          <w:rFonts w:asciiTheme="minorHAnsi" w:hAnsiTheme="minorHAnsi" w:cstheme="minorHAnsi"/>
        </w:rPr>
        <w:t xml:space="preserve">committee’s </w:t>
      </w:r>
      <w:r w:rsidRPr="00BF17B0">
        <w:rPr>
          <w:rFonts w:asciiTheme="minorHAnsi" w:hAnsiTheme="minorHAnsi" w:cstheme="minorHAnsi"/>
        </w:rPr>
        <w:t>role changed</w:t>
      </w:r>
      <w:r w:rsidR="007A03C9" w:rsidRPr="00BF17B0">
        <w:rPr>
          <w:rFonts w:asciiTheme="minorHAnsi" w:hAnsiTheme="minorHAnsi" w:cstheme="minorHAnsi"/>
        </w:rPr>
        <w:t xml:space="preserve"> as well</w:t>
      </w:r>
      <w:r w:rsidRPr="00BF17B0">
        <w:rPr>
          <w:rFonts w:asciiTheme="minorHAnsi" w:hAnsiTheme="minorHAnsi" w:cstheme="minorHAnsi"/>
        </w:rPr>
        <w:t xml:space="preserve">, partly </w:t>
      </w:r>
      <w:r w:rsidR="007A03C9" w:rsidRPr="00BF17B0">
        <w:rPr>
          <w:rFonts w:asciiTheme="minorHAnsi" w:hAnsiTheme="minorHAnsi" w:cstheme="minorHAnsi"/>
        </w:rPr>
        <w:t xml:space="preserve">in response to </w:t>
      </w:r>
      <w:r w:rsidRPr="00BF17B0">
        <w:rPr>
          <w:rFonts w:asciiTheme="minorHAnsi" w:hAnsiTheme="minorHAnsi" w:cstheme="minorHAnsi"/>
        </w:rPr>
        <w:t xml:space="preserve">the recommendations of the </w:t>
      </w:r>
      <w:r w:rsidR="008263B5" w:rsidRPr="00BF17B0">
        <w:rPr>
          <w:rFonts w:asciiTheme="minorHAnsi" w:hAnsiTheme="minorHAnsi" w:cstheme="minorHAnsi"/>
        </w:rPr>
        <w:t>Midterm</w:t>
      </w:r>
      <w:r w:rsidRPr="00BF17B0">
        <w:rPr>
          <w:rFonts w:asciiTheme="minorHAnsi" w:hAnsiTheme="minorHAnsi" w:cstheme="minorHAnsi"/>
        </w:rPr>
        <w:t xml:space="preserve"> Review</w:t>
      </w:r>
      <w:r w:rsidR="007A03C9" w:rsidRPr="00BF17B0">
        <w:rPr>
          <w:rFonts w:asciiTheme="minorHAnsi" w:hAnsiTheme="minorHAnsi" w:cstheme="minorHAnsi"/>
        </w:rPr>
        <w:t xml:space="preserve"> that suggested that the committee</w:t>
      </w:r>
      <w:r w:rsidR="002E7260" w:rsidRPr="00BF17B0">
        <w:rPr>
          <w:rFonts w:asciiTheme="minorHAnsi" w:hAnsiTheme="minorHAnsi" w:cstheme="minorHAnsi"/>
        </w:rPr>
        <w:t xml:space="preserve"> focus</w:t>
      </w:r>
      <w:r w:rsidR="007A03C9" w:rsidRPr="00BF17B0">
        <w:rPr>
          <w:rFonts w:asciiTheme="minorHAnsi" w:hAnsiTheme="minorHAnsi" w:cstheme="minorHAnsi"/>
        </w:rPr>
        <w:t xml:space="preserve"> </w:t>
      </w:r>
      <w:r w:rsidRPr="00BF17B0">
        <w:rPr>
          <w:rFonts w:asciiTheme="minorHAnsi" w:hAnsiTheme="minorHAnsi" w:cstheme="minorHAnsi"/>
        </w:rPr>
        <w:t>on overall strategic issues and be supported by a</w:t>
      </w:r>
      <w:r w:rsidR="003613C6" w:rsidRPr="00BF17B0">
        <w:rPr>
          <w:rFonts w:asciiTheme="minorHAnsi" w:hAnsiTheme="minorHAnsi" w:cstheme="minorHAnsi"/>
        </w:rPr>
        <w:t xml:space="preserve">n </w:t>
      </w:r>
      <w:r w:rsidR="00514593" w:rsidRPr="00BF17B0">
        <w:rPr>
          <w:rFonts w:asciiTheme="minorHAnsi" w:hAnsiTheme="minorHAnsi" w:cstheme="minorHAnsi"/>
        </w:rPr>
        <w:t>O</w:t>
      </w:r>
      <w:r w:rsidR="003613C6" w:rsidRPr="00BF17B0">
        <w:rPr>
          <w:rFonts w:asciiTheme="minorHAnsi" w:hAnsiTheme="minorHAnsi" w:cstheme="minorHAnsi"/>
        </w:rPr>
        <w:t>perations</w:t>
      </w:r>
      <w:r w:rsidR="00C53434" w:rsidRPr="00BF17B0">
        <w:rPr>
          <w:rFonts w:asciiTheme="minorHAnsi" w:hAnsiTheme="minorHAnsi" w:cstheme="minorHAnsi"/>
        </w:rPr>
        <w:t xml:space="preserve"> </w:t>
      </w:r>
      <w:r w:rsidR="00514593" w:rsidRPr="00BF17B0">
        <w:rPr>
          <w:rFonts w:asciiTheme="minorHAnsi" w:hAnsiTheme="minorHAnsi" w:cstheme="minorHAnsi"/>
        </w:rPr>
        <w:t>C</w:t>
      </w:r>
      <w:r w:rsidRPr="00BF17B0">
        <w:rPr>
          <w:rFonts w:asciiTheme="minorHAnsi" w:hAnsiTheme="minorHAnsi" w:cstheme="minorHAnsi"/>
        </w:rPr>
        <w:t xml:space="preserve">ommittee that would </w:t>
      </w:r>
      <w:r w:rsidR="003613C6" w:rsidRPr="00BF17B0">
        <w:rPr>
          <w:rFonts w:asciiTheme="minorHAnsi" w:hAnsiTheme="minorHAnsi" w:cstheme="minorHAnsi"/>
        </w:rPr>
        <w:t>discuss</w:t>
      </w:r>
      <w:r w:rsidR="00D761E7" w:rsidRPr="00BF17B0">
        <w:rPr>
          <w:rFonts w:asciiTheme="minorHAnsi" w:hAnsiTheme="minorHAnsi" w:cstheme="minorHAnsi"/>
        </w:rPr>
        <w:t xml:space="preserve"> progress </w:t>
      </w:r>
      <w:r w:rsidR="003613C6" w:rsidRPr="00BF17B0">
        <w:rPr>
          <w:rFonts w:asciiTheme="minorHAnsi" w:hAnsiTheme="minorHAnsi" w:cstheme="minorHAnsi"/>
        </w:rPr>
        <w:t>and resolve implementation issues</w:t>
      </w:r>
      <w:r w:rsidR="00EB211F" w:rsidRPr="00BF17B0">
        <w:rPr>
          <w:rFonts w:asciiTheme="minorHAnsi" w:hAnsiTheme="minorHAnsi" w:cstheme="minorHAnsi"/>
        </w:rPr>
        <w:t xml:space="preserve">. </w:t>
      </w:r>
      <w:r w:rsidRPr="00BF17B0">
        <w:rPr>
          <w:rFonts w:asciiTheme="minorHAnsi" w:hAnsiTheme="minorHAnsi" w:cstheme="minorHAnsi"/>
        </w:rPr>
        <w:t xml:space="preserve">This arrangement </w:t>
      </w:r>
      <w:r w:rsidR="002E7260" w:rsidRPr="00BF17B0">
        <w:rPr>
          <w:rFonts w:asciiTheme="minorHAnsi" w:hAnsiTheme="minorHAnsi" w:cstheme="minorHAnsi"/>
        </w:rPr>
        <w:t xml:space="preserve">was put </w:t>
      </w:r>
      <w:r w:rsidRPr="00BF17B0">
        <w:rPr>
          <w:rFonts w:asciiTheme="minorHAnsi" w:hAnsiTheme="minorHAnsi" w:cstheme="minorHAnsi"/>
        </w:rPr>
        <w:t xml:space="preserve">in place </w:t>
      </w:r>
      <w:r w:rsidR="002E7260" w:rsidRPr="00BF17B0">
        <w:rPr>
          <w:rFonts w:asciiTheme="minorHAnsi" w:hAnsiTheme="minorHAnsi" w:cstheme="minorHAnsi"/>
        </w:rPr>
        <w:t xml:space="preserve">in </w:t>
      </w:r>
      <w:r w:rsidR="00C53434" w:rsidRPr="00BF17B0">
        <w:rPr>
          <w:rFonts w:asciiTheme="minorHAnsi" w:hAnsiTheme="minorHAnsi" w:cstheme="minorHAnsi"/>
        </w:rPr>
        <w:t>December</w:t>
      </w:r>
      <w:r w:rsidR="00C2085D" w:rsidRPr="00BF17B0">
        <w:rPr>
          <w:rFonts w:asciiTheme="minorHAnsi" w:hAnsiTheme="minorHAnsi" w:cstheme="minorHAnsi"/>
        </w:rPr>
        <w:t xml:space="preserve"> </w:t>
      </w:r>
      <w:r w:rsidR="002E7260" w:rsidRPr="00BF17B0">
        <w:rPr>
          <w:rFonts w:asciiTheme="minorHAnsi" w:hAnsiTheme="minorHAnsi" w:cstheme="minorHAnsi"/>
        </w:rPr>
        <w:t>201</w:t>
      </w:r>
      <w:r w:rsidR="006879D6" w:rsidRPr="00BF17B0">
        <w:rPr>
          <w:rFonts w:asciiTheme="minorHAnsi" w:hAnsiTheme="minorHAnsi" w:cstheme="minorHAnsi"/>
        </w:rPr>
        <w:t>5</w:t>
      </w:r>
      <w:r w:rsidR="00C2085D" w:rsidRPr="00BF17B0">
        <w:rPr>
          <w:rFonts w:asciiTheme="minorHAnsi" w:hAnsiTheme="minorHAnsi" w:cstheme="minorHAnsi"/>
        </w:rPr>
        <w:t xml:space="preserve"> </w:t>
      </w:r>
      <w:r w:rsidR="00D01B76" w:rsidRPr="00BF17B0">
        <w:rPr>
          <w:rFonts w:asciiTheme="minorHAnsi" w:hAnsiTheme="minorHAnsi" w:cstheme="minorHAnsi"/>
        </w:rPr>
        <w:t xml:space="preserve">and </w:t>
      </w:r>
      <w:r w:rsidR="006967B4" w:rsidRPr="00BF17B0">
        <w:rPr>
          <w:rFonts w:asciiTheme="minorHAnsi" w:hAnsiTheme="minorHAnsi" w:cstheme="minorHAnsi"/>
        </w:rPr>
        <w:t xml:space="preserve">proved </w:t>
      </w:r>
      <w:r w:rsidR="00FA5B20" w:rsidRPr="00BF17B0">
        <w:rPr>
          <w:rFonts w:asciiTheme="minorHAnsi" w:hAnsiTheme="minorHAnsi" w:cstheme="minorHAnsi"/>
        </w:rPr>
        <w:t xml:space="preserve">flexible and </w:t>
      </w:r>
      <w:r w:rsidR="00D01B76" w:rsidRPr="00BF17B0">
        <w:rPr>
          <w:rFonts w:asciiTheme="minorHAnsi" w:hAnsiTheme="minorHAnsi" w:cstheme="minorHAnsi"/>
        </w:rPr>
        <w:t xml:space="preserve">effective in </w:t>
      </w:r>
      <w:r w:rsidR="007E1BFF" w:rsidRPr="00BF17B0">
        <w:rPr>
          <w:rFonts w:asciiTheme="minorHAnsi" w:hAnsiTheme="minorHAnsi" w:cstheme="minorHAnsi"/>
        </w:rPr>
        <w:t xml:space="preserve">responding promptly to changing </w:t>
      </w:r>
      <w:r w:rsidR="00FA5B20" w:rsidRPr="00BF17B0">
        <w:rPr>
          <w:rFonts w:asciiTheme="minorHAnsi" w:hAnsiTheme="minorHAnsi" w:cstheme="minorHAnsi"/>
        </w:rPr>
        <w:t xml:space="preserve">needs and </w:t>
      </w:r>
      <w:r w:rsidR="007E1BFF" w:rsidRPr="00BF17B0">
        <w:rPr>
          <w:rFonts w:asciiTheme="minorHAnsi" w:hAnsiTheme="minorHAnsi" w:cstheme="minorHAnsi"/>
        </w:rPr>
        <w:t>requirem</w:t>
      </w:r>
      <w:r w:rsidR="00FA5B20" w:rsidRPr="00BF17B0">
        <w:rPr>
          <w:rFonts w:asciiTheme="minorHAnsi" w:hAnsiTheme="minorHAnsi" w:cstheme="minorHAnsi"/>
        </w:rPr>
        <w:t xml:space="preserve">ents. </w:t>
      </w:r>
    </w:p>
    <w:p w14:paraId="553108ED" w14:textId="77777777" w:rsidR="00BE3DBE" w:rsidRPr="00BF17B0" w:rsidRDefault="00BE3DBE" w:rsidP="00BE3DBE">
      <w:pPr>
        <w:rPr>
          <w:rFonts w:asciiTheme="minorHAnsi" w:hAnsiTheme="minorHAnsi" w:cstheme="minorHAnsi"/>
        </w:rPr>
      </w:pPr>
    </w:p>
    <w:p w14:paraId="55304C9B" w14:textId="77777777" w:rsidR="00A23406" w:rsidRPr="00BF17B0" w:rsidRDefault="00A23406" w:rsidP="00BF17B0">
      <w:pPr>
        <w:pStyle w:val="Heading3"/>
      </w:pPr>
      <w:bookmarkStart w:id="72" w:name="_Ref531044720"/>
      <w:bookmarkStart w:id="73" w:name="_Ref531044726"/>
      <w:r w:rsidRPr="00BF17B0">
        <w:t>Results Framework</w:t>
      </w:r>
      <w:bookmarkEnd w:id="72"/>
      <w:bookmarkEnd w:id="73"/>
    </w:p>
    <w:p w14:paraId="38F7AE5A" w14:textId="77777777" w:rsidR="00404FD0" w:rsidRPr="00BF17B0" w:rsidRDefault="00A23406" w:rsidP="00BE3DBE">
      <w:pPr>
        <w:rPr>
          <w:rFonts w:asciiTheme="minorHAnsi" w:hAnsiTheme="minorHAnsi" w:cstheme="minorHAnsi"/>
        </w:rPr>
      </w:pPr>
      <w:r w:rsidRPr="00BF17B0">
        <w:rPr>
          <w:rFonts w:asciiTheme="minorHAnsi" w:hAnsiTheme="minorHAnsi" w:cstheme="minorHAnsi"/>
        </w:rPr>
        <w:t xml:space="preserve">The </w:t>
      </w:r>
      <w:r w:rsidR="000E2325" w:rsidRPr="00BF17B0">
        <w:rPr>
          <w:rFonts w:asciiTheme="minorHAnsi" w:hAnsiTheme="minorHAnsi" w:cstheme="minorHAnsi"/>
        </w:rPr>
        <w:t>p</w:t>
      </w:r>
      <w:r w:rsidRPr="00BF17B0">
        <w:rPr>
          <w:rFonts w:asciiTheme="minorHAnsi" w:hAnsiTheme="minorHAnsi" w:cstheme="minorHAnsi"/>
        </w:rPr>
        <w:t xml:space="preserve">rogram </w:t>
      </w:r>
      <w:r w:rsidR="000E2325" w:rsidRPr="00BF17B0">
        <w:rPr>
          <w:rFonts w:asciiTheme="minorHAnsi" w:hAnsiTheme="minorHAnsi" w:cstheme="minorHAnsi"/>
        </w:rPr>
        <w:t>d</w:t>
      </w:r>
      <w:r w:rsidRPr="00BF17B0">
        <w:rPr>
          <w:rFonts w:asciiTheme="minorHAnsi" w:hAnsiTheme="minorHAnsi" w:cstheme="minorHAnsi"/>
        </w:rPr>
        <w:t xml:space="preserve">escription in the </w:t>
      </w:r>
      <w:r w:rsidR="00906CC3" w:rsidRPr="00BF17B0">
        <w:rPr>
          <w:rFonts w:asciiTheme="minorHAnsi" w:hAnsiTheme="minorHAnsi" w:cstheme="minorHAnsi"/>
        </w:rPr>
        <w:t xml:space="preserve">administration agreement </w:t>
      </w:r>
      <w:r w:rsidR="003032D4" w:rsidRPr="00BF17B0">
        <w:rPr>
          <w:rFonts w:asciiTheme="minorHAnsi" w:hAnsiTheme="minorHAnsi" w:cstheme="minorHAnsi"/>
        </w:rPr>
        <w:t>define</w:t>
      </w:r>
      <w:r w:rsidR="00BE3DBE" w:rsidRPr="00BF17B0">
        <w:rPr>
          <w:rFonts w:asciiTheme="minorHAnsi" w:hAnsiTheme="minorHAnsi" w:cstheme="minorHAnsi"/>
        </w:rPr>
        <w:t>d</w:t>
      </w:r>
      <w:r w:rsidR="003032D4" w:rsidRPr="00BF17B0">
        <w:rPr>
          <w:rFonts w:asciiTheme="minorHAnsi" w:hAnsiTheme="minorHAnsi" w:cstheme="minorHAnsi"/>
        </w:rPr>
        <w:t xml:space="preserve"> </w:t>
      </w:r>
      <w:r w:rsidRPr="00BF17B0">
        <w:rPr>
          <w:rFonts w:asciiTheme="minorHAnsi" w:hAnsiTheme="minorHAnsi" w:cstheme="minorHAnsi"/>
        </w:rPr>
        <w:t xml:space="preserve">the objectives and expected outcomes </w:t>
      </w:r>
      <w:r w:rsidR="00FE332C" w:rsidRPr="00BF17B0">
        <w:rPr>
          <w:rFonts w:asciiTheme="minorHAnsi" w:hAnsiTheme="minorHAnsi" w:cstheme="minorHAnsi"/>
        </w:rPr>
        <w:t xml:space="preserve">for </w:t>
      </w:r>
      <w:r w:rsidRPr="00BF17B0">
        <w:rPr>
          <w:rFonts w:asciiTheme="minorHAnsi" w:hAnsiTheme="minorHAnsi" w:cstheme="minorHAnsi"/>
        </w:rPr>
        <w:t xml:space="preserve">the </w:t>
      </w:r>
      <w:r w:rsidR="006D1856" w:rsidRPr="00BF17B0">
        <w:rPr>
          <w:rFonts w:asciiTheme="minorHAnsi" w:hAnsiTheme="minorHAnsi" w:cstheme="minorHAnsi"/>
        </w:rPr>
        <w:t>PH-PTF</w:t>
      </w:r>
      <w:r w:rsidR="00872C7F" w:rsidRPr="00BF17B0">
        <w:rPr>
          <w:rFonts w:asciiTheme="minorHAnsi" w:hAnsiTheme="minorHAnsi" w:cstheme="minorHAnsi"/>
        </w:rPr>
        <w:t xml:space="preserve">. It also </w:t>
      </w:r>
      <w:r w:rsidR="003032D4" w:rsidRPr="00BF17B0">
        <w:rPr>
          <w:rFonts w:asciiTheme="minorHAnsi" w:hAnsiTheme="minorHAnsi" w:cstheme="minorHAnsi"/>
        </w:rPr>
        <w:t>state</w:t>
      </w:r>
      <w:r w:rsidR="00BE3DBE" w:rsidRPr="00BF17B0">
        <w:rPr>
          <w:rFonts w:asciiTheme="minorHAnsi" w:hAnsiTheme="minorHAnsi" w:cstheme="minorHAnsi"/>
        </w:rPr>
        <w:t>d</w:t>
      </w:r>
      <w:r w:rsidR="003032D4" w:rsidRPr="00BF17B0">
        <w:rPr>
          <w:rFonts w:asciiTheme="minorHAnsi" w:hAnsiTheme="minorHAnsi" w:cstheme="minorHAnsi"/>
        </w:rPr>
        <w:t xml:space="preserve"> </w:t>
      </w:r>
      <w:r w:rsidRPr="00BF17B0">
        <w:rPr>
          <w:rFonts w:asciiTheme="minorHAnsi" w:hAnsiTheme="minorHAnsi" w:cstheme="minorHAnsi"/>
        </w:rPr>
        <w:t xml:space="preserve">that monitoring and evaluation indicators for individual activities supported by the </w:t>
      </w:r>
      <w:r w:rsidR="006D1856" w:rsidRPr="00BF17B0">
        <w:rPr>
          <w:rFonts w:asciiTheme="minorHAnsi" w:hAnsiTheme="minorHAnsi" w:cstheme="minorHAnsi"/>
        </w:rPr>
        <w:t>PH-PTF</w:t>
      </w:r>
      <w:r w:rsidRPr="00BF17B0">
        <w:rPr>
          <w:rFonts w:asciiTheme="minorHAnsi" w:hAnsiTheme="minorHAnsi" w:cstheme="minorHAnsi"/>
        </w:rPr>
        <w:t xml:space="preserve"> be developed jointly by World Bank </w:t>
      </w:r>
      <w:r w:rsidR="005A3BA0" w:rsidRPr="00BF17B0">
        <w:rPr>
          <w:rFonts w:asciiTheme="minorHAnsi" w:hAnsiTheme="minorHAnsi" w:cstheme="minorHAnsi"/>
        </w:rPr>
        <w:t>t</w:t>
      </w:r>
      <w:r w:rsidRPr="00BF17B0">
        <w:rPr>
          <w:rFonts w:asciiTheme="minorHAnsi" w:hAnsiTheme="minorHAnsi" w:cstheme="minorHAnsi"/>
        </w:rPr>
        <w:t xml:space="preserve">ask </w:t>
      </w:r>
      <w:r w:rsidR="005A3BA0" w:rsidRPr="00BF17B0">
        <w:rPr>
          <w:rFonts w:asciiTheme="minorHAnsi" w:hAnsiTheme="minorHAnsi" w:cstheme="minorHAnsi"/>
        </w:rPr>
        <w:t>t</w:t>
      </w:r>
      <w:r w:rsidRPr="00BF17B0">
        <w:rPr>
          <w:rFonts w:asciiTheme="minorHAnsi" w:hAnsiTheme="minorHAnsi" w:cstheme="minorHAnsi"/>
        </w:rPr>
        <w:t>eam</w:t>
      </w:r>
      <w:r w:rsidR="00FE332C" w:rsidRPr="00BF17B0">
        <w:rPr>
          <w:rFonts w:asciiTheme="minorHAnsi" w:hAnsiTheme="minorHAnsi" w:cstheme="minorHAnsi"/>
        </w:rPr>
        <w:t>s</w:t>
      </w:r>
      <w:r w:rsidRPr="00BF17B0">
        <w:rPr>
          <w:rFonts w:asciiTheme="minorHAnsi" w:hAnsiTheme="minorHAnsi" w:cstheme="minorHAnsi"/>
        </w:rPr>
        <w:t xml:space="preserve"> and DFAT during project preparation</w:t>
      </w:r>
      <w:r w:rsidR="00EC181C" w:rsidRPr="00BF17B0">
        <w:rPr>
          <w:rFonts w:asciiTheme="minorHAnsi" w:hAnsiTheme="minorHAnsi" w:cstheme="minorHAnsi"/>
        </w:rPr>
        <w:t xml:space="preserve">, with the indicators </w:t>
      </w:r>
      <w:r w:rsidRPr="00BF17B0">
        <w:rPr>
          <w:rFonts w:asciiTheme="minorHAnsi" w:hAnsiTheme="minorHAnsi" w:cstheme="minorHAnsi"/>
        </w:rPr>
        <w:t>cleared by the Steering Committee at project approval</w:t>
      </w:r>
      <w:r w:rsidR="00EB211F" w:rsidRPr="00BF17B0">
        <w:rPr>
          <w:rFonts w:asciiTheme="minorHAnsi" w:hAnsiTheme="minorHAnsi" w:cstheme="minorHAnsi"/>
        </w:rPr>
        <w:t>.</w:t>
      </w:r>
      <w:r w:rsidR="00060360" w:rsidRPr="00BF17B0">
        <w:rPr>
          <w:rFonts w:asciiTheme="minorHAnsi" w:hAnsiTheme="minorHAnsi" w:cstheme="minorHAnsi"/>
        </w:rPr>
        <w:t xml:space="preserve"> Moreover, no rigorous monitoring and evaluation framework linking the program level objectives to individual grant objectives was set up when the PH-PTF was established.</w:t>
      </w:r>
      <w:r w:rsidR="00060360" w:rsidRPr="00BF17B0" w:rsidDel="00467B56">
        <w:rPr>
          <w:rStyle w:val="CommentReference"/>
          <w:rFonts w:asciiTheme="minorHAnsi" w:hAnsiTheme="minorHAnsi" w:cstheme="minorHAnsi"/>
          <w:sz w:val="24"/>
          <w:szCs w:val="24"/>
        </w:rPr>
        <w:t xml:space="preserve"> </w:t>
      </w:r>
    </w:p>
    <w:p w14:paraId="10E87695" w14:textId="0FAC2CCD" w:rsidR="004427CD" w:rsidRDefault="00A23406" w:rsidP="00A62144">
      <w:pPr>
        <w:pStyle w:val="Level1BodyText"/>
        <w:spacing w:after="160" w:line="259" w:lineRule="auto"/>
        <w:ind w:right="0"/>
        <w:rPr>
          <w:rFonts w:asciiTheme="minorHAnsi" w:hAnsiTheme="minorHAnsi" w:cstheme="minorHAnsi"/>
          <w:szCs w:val="24"/>
        </w:rPr>
      </w:pPr>
      <w:r w:rsidRPr="00BF17B0">
        <w:rPr>
          <w:rFonts w:asciiTheme="minorHAnsi" w:eastAsiaTheme="minorHAnsi" w:hAnsiTheme="minorHAnsi" w:cstheme="minorHAnsi"/>
          <w:color w:val="000000"/>
          <w:szCs w:val="24"/>
        </w:rPr>
        <w:t xml:space="preserve">The </w:t>
      </w:r>
      <w:r w:rsidR="008263B5" w:rsidRPr="00BF17B0">
        <w:rPr>
          <w:rFonts w:asciiTheme="minorHAnsi" w:eastAsiaTheme="minorHAnsi" w:hAnsiTheme="minorHAnsi" w:cstheme="minorHAnsi"/>
          <w:color w:val="000000"/>
          <w:szCs w:val="24"/>
        </w:rPr>
        <w:t xml:space="preserve">Midterm Review </w:t>
      </w:r>
      <w:r w:rsidRPr="00BF17B0">
        <w:rPr>
          <w:rFonts w:asciiTheme="minorHAnsi" w:eastAsiaTheme="minorHAnsi" w:hAnsiTheme="minorHAnsi" w:cstheme="minorHAnsi"/>
          <w:color w:val="000000"/>
          <w:szCs w:val="24"/>
        </w:rPr>
        <w:t xml:space="preserve">noted that this arrangement </w:t>
      </w:r>
      <w:r w:rsidR="00A1485B" w:rsidRPr="00BF17B0">
        <w:rPr>
          <w:rFonts w:asciiTheme="minorHAnsi" w:eastAsiaTheme="minorHAnsi" w:hAnsiTheme="minorHAnsi" w:cstheme="minorHAnsi"/>
          <w:color w:val="000000"/>
          <w:szCs w:val="24"/>
        </w:rPr>
        <w:t xml:space="preserve">was not </w:t>
      </w:r>
      <w:r w:rsidRPr="00BF17B0">
        <w:rPr>
          <w:rFonts w:asciiTheme="minorHAnsi" w:eastAsiaTheme="minorHAnsi" w:hAnsiTheme="minorHAnsi" w:cstheme="minorHAnsi"/>
          <w:color w:val="000000"/>
          <w:szCs w:val="24"/>
        </w:rPr>
        <w:t xml:space="preserve">implemented </w:t>
      </w:r>
      <w:r w:rsidR="005F2FFC" w:rsidRPr="00BF17B0">
        <w:rPr>
          <w:rFonts w:asciiTheme="minorHAnsi" w:eastAsiaTheme="minorHAnsi" w:hAnsiTheme="minorHAnsi" w:cstheme="minorHAnsi"/>
          <w:color w:val="000000"/>
          <w:szCs w:val="24"/>
        </w:rPr>
        <w:t xml:space="preserve">consistently across all grants </w:t>
      </w:r>
      <w:r w:rsidR="00E72349" w:rsidRPr="00BF17B0">
        <w:rPr>
          <w:rFonts w:asciiTheme="minorHAnsi" w:eastAsiaTheme="minorHAnsi" w:hAnsiTheme="minorHAnsi" w:cstheme="minorHAnsi"/>
          <w:color w:val="000000"/>
          <w:szCs w:val="24"/>
        </w:rPr>
        <w:t xml:space="preserve">and that there was room for improvement in the reporting system, </w:t>
      </w:r>
      <w:r w:rsidRPr="00BF17B0">
        <w:rPr>
          <w:rFonts w:asciiTheme="minorHAnsi" w:hAnsiTheme="minorHAnsi" w:cstheme="minorHAnsi"/>
          <w:szCs w:val="24"/>
        </w:rPr>
        <w:t>particularly</w:t>
      </w:r>
      <w:r w:rsidR="00A6240C" w:rsidRPr="00BF17B0">
        <w:rPr>
          <w:rFonts w:asciiTheme="minorHAnsi" w:hAnsiTheme="minorHAnsi" w:cstheme="minorHAnsi"/>
          <w:szCs w:val="24"/>
        </w:rPr>
        <w:t xml:space="preserve"> </w:t>
      </w:r>
      <w:r w:rsidR="00207A7A" w:rsidRPr="00BF17B0">
        <w:rPr>
          <w:rFonts w:asciiTheme="minorHAnsi" w:hAnsiTheme="minorHAnsi" w:cstheme="minorHAnsi"/>
          <w:szCs w:val="24"/>
        </w:rPr>
        <w:t xml:space="preserve">in </w:t>
      </w:r>
      <w:r w:rsidR="00A6240C" w:rsidRPr="00BF17B0">
        <w:rPr>
          <w:rFonts w:asciiTheme="minorHAnsi" w:hAnsiTheme="minorHAnsi" w:cstheme="minorHAnsi"/>
          <w:szCs w:val="24"/>
        </w:rPr>
        <w:t xml:space="preserve">the </w:t>
      </w:r>
      <w:r w:rsidRPr="00BF17B0">
        <w:rPr>
          <w:rFonts w:asciiTheme="minorHAnsi" w:hAnsiTheme="minorHAnsi" w:cstheme="minorHAnsi"/>
          <w:szCs w:val="24"/>
        </w:rPr>
        <w:t xml:space="preserve">frequency </w:t>
      </w:r>
      <w:r w:rsidR="00812F2C" w:rsidRPr="00BF17B0">
        <w:rPr>
          <w:rFonts w:asciiTheme="minorHAnsi" w:hAnsiTheme="minorHAnsi" w:cstheme="minorHAnsi"/>
          <w:szCs w:val="24"/>
        </w:rPr>
        <w:t xml:space="preserve">and quality of </w:t>
      </w:r>
      <w:r w:rsidR="00A6240C" w:rsidRPr="00BF17B0">
        <w:rPr>
          <w:rFonts w:asciiTheme="minorHAnsi" w:hAnsiTheme="minorHAnsi" w:cstheme="minorHAnsi"/>
          <w:szCs w:val="24"/>
        </w:rPr>
        <w:t>reporting</w:t>
      </w:r>
      <w:r w:rsidR="00EB211F" w:rsidRPr="00BF17B0">
        <w:rPr>
          <w:rFonts w:asciiTheme="minorHAnsi" w:hAnsiTheme="minorHAnsi" w:cstheme="minorHAnsi"/>
          <w:szCs w:val="24"/>
        </w:rPr>
        <w:t>.</w:t>
      </w:r>
      <w:r w:rsidR="004427CD" w:rsidRPr="00BF17B0">
        <w:rPr>
          <w:rFonts w:asciiTheme="minorHAnsi" w:hAnsiTheme="minorHAnsi" w:cstheme="minorHAnsi"/>
          <w:szCs w:val="24"/>
        </w:rPr>
        <w:t xml:space="preserve"> Specifically, the tracking and reporting of PH-PTF activities did not capture fully the quality of partnership between Australia and the World Bank. </w:t>
      </w:r>
    </w:p>
    <w:p w14:paraId="5B3F7CED" w14:textId="16F0E14C" w:rsidR="009C7FE7" w:rsidRPr="000F774A" w:rsidRDefault="009C7FE7" w:rsidP="000F774A">
      <w:pPr>
        <w:rPr>
          <w:rFonts w:asciiTheme="minorHAnsi" w:eastAsia="Times New Roman" w:hAnsiTheme="minorHAnsi" w:cstheme="minorHAnsi"/>
          <w:color w:val="000000"/>
          <w:lang w:eastAsia="en-GB"/>
        </w:rPr>
      </w:pPr>
      <w:r w:rsidRPr="00BF17B0">
        <w:rPr>
          <w:rFonts w:asciiTheme="minorHAnsi" w:hAnsiTheme="minorHAnsi" w:cstheme="minorHAnsi"/>
          <w:color w:val="000000"/>
          <w:lang w:eastAsia="en-GB"/>
        </w:rPr>
        <w:t xml:space="preserve">A formal results framework was developed retroactively for PH-PTF </w:t>
      </w:r>
      <w:r w:rsidRPr="00BF17B0">
        <w:rPr>
          <w:rFonts w:asciiTheme="minorHAnsi" w:hAnsiTheme="minorHAnsi" w:cstheme="minorHAnsi"/>
        </w:rPr>
        <w:t>using an extensive, iterative consultative process with the task teams that was completed in 2017 (</w:t>
      </w:r>
      <w:r w:rsidRPr="00BF17B0">
        <w:rPr>
          <w:rFonts w:asciiTheme="minorHAnsi" w:hAnsiTheme="minorHAnsi" w:cstheme="minorHAnsi"/>
        </w:rPr>
        <w:fldChar w:fldCharType="begin"/>
      </w:r>
      <w:r w:rsidRPr="00BF17B0">
        <w:rPr>
          <w:rFonts w:asciiTheme="minorHAnsi" w:hAnsiTheme="minorHAnsi" w:cstheme="minorHAnsi"/>
        </w:rPr>
        <w:instrText xml:space="preserve"> REF _Ref530055608 \h  \* MERGEFORMAT </w:instrText>
      </w:r>
      <w:r w:rsidRPr="00BF17B0">
        <w:rPr>
          <w:rFonts w:asciiTheme="minorHAnsi" w:hAnsiTheme="minorHAnsi" w:cstheme="minorHAnsi"/>
        </w:rPr>
      </w:r>
      <w:r w:rsidRPr="00BF17B0">
        <w:rPr>
          <w:rFonts w:asciiTheme="minorHAnsi" w:hAnsiTheme="minorHAnsi" w:cstheme="minorHAnsi"/>
        </w:rPr>
        <w:fldChar w:fldCharType="separate"/>
      </w:r>
      <w:r w:rsidR="00F338BE" w:rsidRPr="00BF17B0">
        <w:rPr>
          <w:rFonts w:asciiTheme="minorHAnsi" w:hAnsiTheme="minorHAnsi" w:cstheme="minorHAnsi"/>
        </w:rPr>
        <w:t xml:space="preserve">Figure </w:t>
      </w:r>
      <w:r w:rsidR="00F338BE">
        <w:rPr>
          <w:rFonts w:asciiTheme="minorHAnsi" w:hAnsiTheme="minorHAnsi" w:cstheme="minorHAnsi"/>
        </w:rPr>
        <w:t>2</w:t>
      </w:r>
      <w:r w:rsidR="00F338BE" w:rsidRPr="00BF17B0">
        <w:rPr>
          <w:rFonts w:asciiTheme="minorHAnsi" w:hAnsiTheme="minorHAnsi" w:cstheme="minorHAnsi"/>
        </w:rPr>
        <w:noBreakHyphen/>
      </w:r>
      <w:r w:rsidR="00F338BE">
        <w:rPr>
          <w:rFonts w:asciiTheme="minorHAnsi" w:hAnsiTheme="minorHAnsi" w:cstheme="minorHAnsi"/>
        </w:rPr>
        <w:t>2</w:t>
      </w:r>
      <w:r w:rsidRPr="00BF17B0">
        <w:rPr>
          <w:rFonts w:asciiTheme="minorHAnsi" w:hAnsiTheme="minorHAnsi" w:cstheme="minorHAnsi"/>
        </w:rPr>
        <w:fldChar w:fldCharType="end"/>
      </w:r>
      <w:r w:rsidRPr="00BF17B0">
        <w:rPr>
          <w:rFonts w:asciiTheme="minorHAnsi" w:hAnsiTheme="minorHAnsi" w:cstheme="minorHAnsi"/>
        </w:rPr>
        <w:t xml:space="preserve">).  </w:t>
      </w:r>
      <w:r w:rsidRPr="00BF17B0">
        <w:rPr>
          <w:rFonts w:asciiTheme="minorHAnsi" w:hAnsiTheme="minorHAnsi" w:cstheme="minorHAnsi"/>
        </w:rPr>
        <w:fldChar w:fldCharType="begin"/>
      </w:r>
      <w:r w:rsidRPr="00BF17B0">
        <w:rPr>
          <w:rFonts w:asciiTheme="minorHAnsi" w:hAnsiTheme="minorHAnsi" w:cstheme="minorHAnsi"/>
        </w:rPr>
        <w:instrText xml:space="preserve"> REF _Ref532845914 \h  \* MERGEFORMAT </w:instrText>
      </w:r>
      <w:r w:rsidRPr="00BF17B0">
        <w:rPr>
          <w:rFonts w:asciiTheme="minorHAnsi" w:hAnsiTheme="minorHAnsi" w:cstheme="minorHAnsi"/>
        </w:rPr>
      </w:r>
      <w:r w:rsidRPr="00BF17B0">
        <w:rPr>
          <w:rFonts w:asciiTheme="minorHAnsi" w:hAnsiTheme="minorHAnsi" w:cstheme="minorHAnsi"/>
        </w:rPr>
        <w:fldChar w:fldCharType="separate"/>
      </w:r>
      <w:r w:rsidR="00F338BE" w:rsidRPr="00BF17B0">
        <w:rPr>
          <w:rFonts w:asciiTheme="minorHAnsi" w:hAnsiTheme="minorHAnsi" w:cstheme="minorHAnsi"/>
        </w:rPr>
        <w:t xml:space="preserve">Table </w:t>
      </w:r>
      <w:r w:rsidR="00F338BE">
        <w:rPr>
          <w:rFonts w:asciiTheme="minorHAnsi" w:hAnsiTheme="minorHAnsi" w:cstheme="minorHAnsi"/>
        </w:rPr>
        <w:t>2</w:t>
      </w:r>
      <w:r w:rsidR="00F338BE" w:rsidRPr="00BF17B0">
        <w:rPr>
          <w:rFonts w:asciiTheme="minorHAnsi" w:hAnsiTheme="minorHAnsi" w:cstheme="minorHAnsi"/>
        </w:rPr>
        <w:noBreakHyphen/>
      </w:r>
      <w:r w:rsidR="00F338BE">
        <w:rPr>
          <w:rFonts w:asciiTheme="minorHAnsi" w:hAnsiTheme="minorHAnsi" w:cstheme="minorHAnsi"/>
        </w:rPr>
        <w:t>1</w:t>
      </w:r>
      <w:r w:rsidRPr="00BF17B0">
        <w:rPr>
          <w:rFonts w:asciiTheme="minorHAnsi" w:hAnsiTheme="minorHAnsi" w:cstheme="minorHAnsi"/>
        </w:rPr>
        <w:fldChar w:fldCharType="end"/>
      </w:r>
      <w:r w:rsidRPr="00BF17B0">
        <w:rPr>
          <w:rFonts w:asciiTheme="minorHAnsi" w:hAnsiTheme="minorHAnsi" w:cstheme="minorHAnsi"/>
        </w:rPr>
        <w:t xml:space="preserve"> summarizes the allocation of grant approvals and disbursements by strategic focus area</w:t>
      </w:r>
      <w:r w:rsidRPr="00BF17B0">
        <w:rPr>
          <w:rFonts w:asciiTheme="minorHAnsi" w:eastAsia="Times New Roman" w:hAnsiTheme="minorHAnsi" w:cstheme="minorHAnsi"/>
          <w:color w:val="000000"/>
          <w:lang w:eastAsia="en-GB"/>
        </w:rPr>
        <w:t xml:space="preserve">. </w:t>
      </w:r>
      <w:r w:rsidRPr="00BF17B0">
        <w:rPr>
          <w:rFonts w:asciiTheme="minorHAnsi" w:hAnsiTheme="minorHAnsi" w:cstheme="minorHAnsi"/>
        </w:rPr>
        <w:t xml:space="preserve">The high resource allocation for Better Service Delivery is due to the high-value recipient-executed grants that co-financed World Bank’s investment operations, namely, KALAHI - Comprehensive and Integrated Delivery of Social Services Project and Mindanao Rural Development Project Phase II. The Bank-executed Technical Assistance Support to the Philippines Public-Private Partnership Program (Bank-executed $4.2 million approved) was also mapped to this focus area. </w:t>
      </w:r>
      <w:r w:rsidRPr="00BF17B0">
        <w:rPr>
          <w:rFonts w:asciiTheme="minorHAnsi" w:eastAsia="Times New Roman" w:hAnsiTheme="minorHAnsi" w:cstheme="minorHAnsi"/>
          <w:color w:val="000000"/>
          <w:lang w:eastAsia="en-GB"/>
        </w:rPr>
        <w:t xml:space="preserve">Six grants representing 2 percent of total grant amounts contributed to the accomplishment of cross-cutting tasks or supported overall trust fund program management and grant administration. </w:t>
      </w:r>
    </w:p>
    <w:p w14:paraId="4119FB56" w14:textId="77777777" w:rsidR="00060360" w:rsidRPr="00BF17B0" w:rsidRDefault="00060360" w:rsidP="00015A04">
      <w:pPr>
        <w:rPr>
          <w:rFonts w:asciiTheme="minorHAnsi" w:hAnsiTheme="minorHAnsi" w:cstheme="minorHAnsi"/>
        </w:rPr>
        <w:sectPr w:rsidR="00060360" w:rsidRPr="00BF17B0" w:rsidSect="003525DD">
          <w:pgSz w:w="11906" w:h="16838"/>
          <w:pgMar w:top="1440" w:right="1440" w:bottom="1440" w:left="1440" w:header="708" w:footer="708" w:gutter="0"/>
          <w:cols w:space="708"/>
          <w:titlePg/>
          <w:docGrid w:linePitch="360"/>
        </w:sectPr>
      </w:pPr>
    </w:p>
    <w:p w14:paraId="1CCBD77A" w14:textId="557A22D4" w:rsidR="001A31AC" w:rsidRPr="00BF17B0" w:rsidRDefault="00A94B17" w:rsidP="00BE3DBE">
      <w:pPr>
        <w:pStyle w:val="Caption"/>
        <w:rPr>
          <w:rFonts w:asciiTheme="minorHAnsi" w:hAnsiTheme="minorHAnsi" w:cstheme="minorHAnsi"/>
        </w:rPr>
      </w:pPr>
      <w:bookmarkStart w:id="74" w:name="_Ref530055608"/>
      <w:bookmarkStart w:id="75" w:name="_Ref531648227"/>
      <w:bookmarkStart w:id="76" w:name="_Toc532885886"/>
      <w:r w:rsidRPr="00BF17B0">
        <w:rPr>
          <w:rFonts w:asciiTheme="minorHAnsi" w:hAnsiTheme="minorHAnsi" w:cstheme="minorHAnsi"/>
        </w:rPr>
        <w:t xml:space="preserve">Figure </w:t>
      </w:r>
      <w:r w:rsidR="00766E4A" w:rsidRPr="00BF17B0">
        <w:rPr>
          <w:rFonts w:asciiTheme="minorHAnsi" w:hAnsiTheme="minorHAnsi" w:cstheme="minorHAnsi"/>
        </w:rPr>
        <w:fldChar w:fldCharType="begin"/>
      </w:r>
      <w:r w:rsidR="00766E4A" w:rsidRPr="00BF17B0">
        <w:rPr>
          <w:rFonts w:asciiTheme="minorHAnsi" w:hAnsiTheme="minorHAnsi" w:cstheme="minorHAnsi"/>
        </w:rPr>
        <w:instrText xml:space="preserve"> STYLEREF 1 \s </w:instrText>
      </w:r>
      <w:r w:rsidR="00766E4A" w:rsidRPr="00BF17B0">
        <w:rPr>
          <w:rFonts w:asciiTheme="minorHAnsi" w:hAnsiTheme="minorHAnsi" w:cstheme="minorHAnsi"/>
        </w:rPr>
        <w:fldChar w:fldCharType="separate"/>
      </w:r>
      <w:r w:rsidR="00F338BE">
        <w:rPr>
          <w:rFonts w:asciiTheme="minorHAnsi" w:hAnsiTheme="minorHAnsi" w:cstheme="minorHAnsi"/>
          <w:noProof/>
        </w:rPr>
        <w:t>2</w:t>
      </w:r>
      <w:r w:rsidR="00766E4A" w:rsidRPr="00BF17B0">
        <w:rPr>
          <w:rFonts w:asciiTheme="minorHAnsi" w:hAnsiTheme="minorHAnsi" w:cstheme="minorHAnsi"/>
        </w:rPr>
        <w:fldChar w:fldCharType="end"/>
      </w:r>
      <w:r w:rsidR="00766E4A" w:rsidRPr="00BF17B0">
        <w:rPr>
          <w:rFonts w:asciiTheme="minorHAnsi" w:hAnsiTheme="minorHAnsi" w:cstheme="minorHAnsi"/>
        </w:rPr>
        <w:noBreakHyphen/>
      </w:r>
      <w:r w:rsidR="00766E4A" w:rsidRPr="00BF17B0">
        <w:rPr>
          <w:rFonts w:asciiTheme="minorHAnsi" w:hAnsiTheme="minorHAnsi" w:cstheme="minorHAnsi"/>
        </w:rPr>
        <w:fldChar w:fldCharType="begin"/>
      </w:r>
      <w:r w:rsidR="00766E4A" w:rsidRPr="00BF17B0">
        <w:rPr>
          <w:rFonts w:asciiTheme="minorHAnsi" w:hAnsiTheme="minorHAnsi" w:cstheme="minorHAnsi"/>
        </w:rPr>
        <w:instrText xml:space="preserve"> SEQ Figure \* ARABIC \s 1 </w:instrText>
      </w:r>
      <w:r w:rsidR="00766E4A" w:rsidRPr="00BF17B0">
        <w:rPr>
          <w:rFonts w:asciiTheme="minorHAnsi" w:hAnsiTheme="minorHAnsi" w:cstheme="minorHAnsi"/>
        </w:rPr>
        <w:fldChar w:fldCharType="separate"/>
      </w:r>
      <w:r w:rsidR="00F338BE">
        <w:rPr>
          <w:rFonts w:asciiTheme="minorHAnsi" w:hAnsiTheme="minorHAnsi" w:cstheme="minorHAnsi"/>
          <w:noProof/>
        </w:rPr>
        <w:t>2</w:t>
      </w:r>
      <w:r w:rsidR="00766E4A" w:rsidRPr="00BF17B0">
        <w:rPr>
          <w:rFonts w:asciiTheme="minorHAnsi" w:hAnsiTheme="minorHAnsi" w:cstheme="minorHAnsi"/>
        </w:rPr>
        <w:fldChar w:fldCharType="end"/>
      </w:r>
      <w:bookmarkEnd w:id="74"/>
      <w:r w:rsidR="00EB7BC1" w:rsidRPr="00BF17B0">
        <w:rPr>
          <w:rFonts w:asciiTheme="minorHAnsi" w:hAnsiTheme="minorHAnsi" w:cstheme="minorHAnsi"/>
        </w:rPr>
        <w:t>:</w:t>
      </w:r>
      <w:r w:rsidRPr="00BF17B0">
        <w:rPr>
          <w:rFonts w:asciiTheme="minorHAnsi" w:hAnsiTheme="minorHAnsi" w:cstheme="minorHAnsi"/>
        </w:rPr>
        <w:t xml:space="preserve"> </w:t>
      </w:r>
      <w:r w:rsidR="006D1856" w:rsidRPr="00BF17B0">
        <w:rPr>
          <w:rFonts w:asciiTheme="minorHAnsi" w:hAnsiTheme="minorHAnsi" w:cstheme="minorHAnsi"/>
        </w:rPr>
        <w:t>PH-PTF</w:t>
      </w:r>
      <w:r w:rsidR="001A31AC" w:rsidRPr="00BF17B0">
        <w:rPr>
          <w:rFonts w:asciiTheme="minorHAnsi" w:hAnsiTheme="minorHAnsi" w:cstheme="minorHAnsi"/>
        </w:rPr>
        <w:t xml:space="preserve"> Results Framework</w:t>
      </w:r>
      <w:bookmarkEnd w:id="75"/>
      <w:bookmarkEnd w:id="76"/>
    </w:p>
    <w:p w14:paraId="531636DD" w14:textId="77777777" w:rsidR="00583131" w:rsidRPr="00BF17B0" w:rsidRDefault="001A31AC" w:rsidP="00121A5C">
      <w:pPr>
        <w:rPr>
          <w:rFonts w:asciiTheme="minorHAnsi" w:hAnsiTheme="minorHAnsi" w:cstheme="minorHAnsi"/>
          <w:b/>
        </w:rPr>
      </w:pPr>
      <w:r w:rsidRPr="00BF17B0">
        <w:rPr>
          <w:rFonts w:asciiTheme="minorHAnsi" w:hAnsiTheme="minorHAnsi" w:cstheme="minorHAnsi"/>
          <w:noProof/>
          <w:lang w:val="en-AU" w:eastAsia="en-AU"/>
        </w:rPr>
        <w:drawing>
          <wp:anchor distT="0" distB="0" distL="114300" distR="114300" simplePos="0" relativeHeight="251666432" behindDoc="0" locked="0" layoutInCell="1" allowOverlap="1" wp14:anchorId="7045DC84" wp14:editId="432995E2">
            <wp:simplePos x="914400" y="1219200"/>
            <wp:positionH relativeFrom="margin">
              <wp:align>left</wp:align>
            </wp:positionH>
            <wp:positionV relativeFrom="paragraph">
              <wp:align>top</wp:align>
            </wp:positionV>
            <wp:extent cx="8101965" cy="4837430"/>
            <wp:effectExtent l="0" t="0" r="13335" b="127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bookmarkStart w:id="77" w:name="_Ref530055690"/>
    </w:p>
    <w:p w14:paraId="1643AA6F" w14:textId="77777777" w:rsidR="00583131" w:rsidRPr="00BF17B0" w:rsidRDefault="00583131" w:rsidP="00583131">
      <w:pPr>
        <w:rPr>
          <w:rFonts w:asciiTheme="minorHAnsi" w:hAnsiTheme="minorHAnsi" w:cstheme="minorHAnsi"/>
        </w:rPr>
      </w:pPr>
    </w:p>
    <w:p w14:paraId="3CEE1840" w14:textId="77777777" w:rsidR="00583131" w:rsidRPr="00BF17B0" w:rsidRDefault="00583131" w:rsidP="00583131">
      <w:pPr>
        <w:rPr>
          <w:rFonts w:asciiTheme="minorHAnsi" w:hAnsiTheme="minorHAnsi" w:cstheme="minorHAnsi"/>
        </w:rPr>
      </w:pPr>
    </w:p>
    <w:p w14:paraId="1525245F" w14:textId="77777777" w:rsidR="00583131" w:rsidRPr="00BF17B0" w:rsidRDefault="00583131" w:rsidP="00583131">
      <w:pPr>
        <w:rPr>
          <w:rFonts w:asciiTheme="minorHAnsi" w:hAnsiTheme="minorHAnsi" w:cstheme="minorHAnsi"/>
        </w:rPr>
      </w:pPr>
    </w:p>
    <w:p w14:paraId="4CF1112D" w14:textId="77777777" w:rsidR="00583131" w:rsidRPr="00BF17B0" w:rsidRDefault="00583131" w:rsidP="00583131">
      <w:pPr>
        <w:rPr>
          <w:rFonts w:asciiTheme="minorHAnsi" w:hAnsiTheme="minorHAnsi" w:cstheme="minorHAnsi"/>
        </w:rPr>
      </w:pPr>
    </w:p>
    <w:p w14:paraId="572CBBD2" w14:textId="77777777" w:rsidR="00583131" w:rsidRPr="00BF17B0" w:rsidRDefault="00583131" w:rsidP="00583131">
      <w:pPr>
        <w:rPr>
          <w:rFonts w:asciiTheme="minorHAnsi" w:hAnsiTheme="minorHAnsi" w:cstheme="minorHAnsi"/>
        </w:rPr>
      </w:pPr>
    </w:p>
    <w:p w14:paraId="6A2E4446" w14:textId="77777777" w:rsidR="00583131" w:rsidRPr="00BF17B0" w:rsidRDefault="00583131" w:rsidP="00583131">
      <w:pPr>
        <w:rPr>
          <w:rFonts w:asciiTheme="minorHAnsi" w:hAnsiTheme="minorHAnsi" w:cstheme="minorHAnsi"/>
        </w:rPr>
      </w:pPr>
    </w:p>
    <w:p w14:paraId="0BFE1B3B" w14:textId="77777777" w:rsidR="00583131" w:rsidRPr="00BF17B0" w:rsidRDefault="00583131" w:rsidP="00583131">
      <w:pPr>
        <w:rPr>
          <w:rFonts w:asciiTheme="minorHAnsi" w:hAnsiTheme="minorHAnsi" w:cstheme="minorHAnsi"/>
        </w:rPr>
      </w:pPr>
    </w:p>
    <w:p w14:paraId="2E676C31" w14:textId="77777777" w:rsidR="00583131" w:rsidRPr="00BF17B0" w:rsidRDefault="00583131" w:rsidP="00583131">
      <w:pPr>
        <w:rPr>
          <w:rFonts w:asciiTheme="minorHAnsi" w:hAnsiTheme="minorHAnsi" w:cstheme="minorHAnsi"/>
        </w:rPr>
      </w:pPr>
    </w:p>
    <w:p w14:paraId="50AE71C3" w14:textId="77777777" w:rsidR="00583131" w:rsidRPr="00BF17B0" w:rsidRDefault="00583131" w:rsidP="00583131">
      <w:pPr>
        <w:rPr>
          <w:rFonts w:asciiTheme="minorHAnsi" w:hAnsiTheme="minorHAnsi" w:cstheme="minorHAnsi"/>
        </w:rPr>
      </w:pPr>
    </w:p>
    <w:p w14:paraId="4F4F1723" w14:textId="77777777" w:rsidR="00583131" w:rsidRPr="00BF17B0" w:rsidRDefault="00583131" w:rsidP="00583131">
      <w:pPr>
        <w:rPr>
          <w:rFonts w:asciiTheme="minorHAnsi" w:hAnsiTheme="minorHAnsi" w:cstheme="minorHAnsi"/>
        </w:rPr>
      </w:pPr>
    </w:p>
    <w:p w14:paraId="283776A1" w14:textId="77777777" w:rsidR="00583131" w:rsidRPr="00BF17B0" w:rsidRDefault="00583131" w:rsidP="00583131">
      <w:pPr>
        <w:rPr>
          <w:rFonts w:asciiTheme="minorHAnsi" w:hAnsiTheme="minorHAnsi" w:cstheme="minorHAnsi"/>
        </w:rPr>
      </w:pPr>
    </w:p>
    <w:p w14:paraId="72CEBAF4" w14:textId="77777777" w:rsidR="00583131" w:rsidRPr="00BF17B0" w:rsidRDefault="00583131" w:rsidP="00583131">
      <w:pPr>
        <w:rPr>
          <w:rFonts w:asciiTheme="minorHAnsi" w:hAnsiTheme="minorHAnsi" w:cstheme="minorHAnsi"/>
        </w:rPr>
      </w:pPr>
    </w:p>
    <w:p w14:paraId="7FE712E1" w14:textId="77777777" w:rsidR="00583131" w:rsidRPr="00BF17B0" w:rsidRDefault="00583131" w:rsidP="00583131">
      <w:pPr>
        <w:rPr>
          <w:rFonts w:asciiTheme="minorHAnsi" w:hAnsiTheme="minorHAnsi" w:cstheme="minorHAnsi"/>
        </w:rPr>
      </w:pPr>
    </w:p>
    <w:p w14:paraId="5ECC45D6" w14:textId="77777777" w:rsidR="00583131" w:rsidRPr="00BF17B0" w:rsidRDefault="00583131" w:rsidP="00583131">
      <w:pPr>
        <w:rPr>
          <w:rFonts w:asciiTheme="minorHAnsi" w:hAnsiTheme="minorHAnsi" w:cstheme="minorHAnsi"/>
        </w:rPr>
      </w:pPr>
    </w:p>
    <w:p w14:paraId="5DA00592" w14:textId="77777777" w:rsidR="00583131" w:rsidRPr="00BF17B0" w:rsidRDefault="00583131" w:rsidP="00583131">
      <w:pPr>
        <w:rPr>
          <w:rFonts w:asciiTheme="minorHAnsi" w:hAnsiTheme="minorHAnsi" w:cstheme="minorHAnsi"/>
        </w:rPr>
      </w:pPr>
    </w:p>
    <w:p w14:paraId="5F02A248" w14:textId="77777777" w:rsidR="00583131" w:rsidRPr="00BF17B0" w:rsidRDefault="00583131" w:rsidP="00583131">
      <w:pPr>
        <w:rPr>
          <w:rFonts w:asciiTheme="minorHAnsi" w:hAnsiTheme="minorHAnsi" w:cstheme="minorHAnsi"/>
        </w:rPr>
      </w:pPr>
    </w:p>
    <w:p w14:paraId="031881BF" w14:textId="77777777" w:rsidR="00583131" w:rsidRPr="00BF17B0" w:rsidRDefault="00583131" w:rsidP="00583131">
      <w:pPr>
        <w:rPr>
          <w:rFonts w:asciiTheme="minorHAnsi" w:hAnsiTheme="minorHAnsi" w:cstheme="minorHAnsi"/>
        </w:rPr>
      </w:pPr>
    </w:p>
    <w:p w14:paraId="5E362AD7" w14:textId="77777777" w:rsidR="00570BC0" w:rsidRPr="00BF17B0" w:rsidRDefault="00583131" w:rsidP="00583131">
      <w:pPr>
        <w:tabs>
          <w:tab w:val="left" w:pos="720"/>
        </w:tabs>
        <w:rPr>
          <w:rFonts w:asciiTheme="minorHAnsi" w:hAnsiTheme="minorHAnsi" w:cstheme="minorHAnsi"/>
          <w:b/>
        </w:rPr>
        <w:sectPr w:rsidR="00570BC0" w:rsidRPr="00BF17B0" w:rsidSect="00B52FCC">
          <w:footerReference w:type="default" r:id="rId31"/>
          <w:footerReference w:type="first" r:id="rId32"/>
          <w:pgSz w:w="16838" w:h="11906" w:orient="landscape"/>
          <w:pgMar w:top="1440" w:right="1440" w:bottom="1440" w:left="1440" w:header="708" w:footer="708" w:gutter="0"/>
          <w:cols w:space="708"/>
          <w:titlePg/>
          <w:docGrid w:linePitch="360"/>
        </w:sectPr>
      </w:pPr>
      <w:r w:rsidRPr="00BF17B0">
        <w:rPr>
          <w:rFonts w:asciiTheme="minorHAnsi" w:hAnsiTheme="minorHAnsi" w:cstheme="minorHAnsi"/>
          <w:b/>
        </w:rPr>
        <w:tab/>
      </w:r>
    </w:p>
    <w:bookmarkEnd w:id="77"/>
    <w:p w14:paraId="7A2BAAB8" w14:textId="1DCF41C3" w:rsidR="00D571EF" w:rsidRPr="00BF17B0" w:rsidRDefault="00992490" w:rsidP="00D571EF">
      <w:pPr>
        <w:rPr>
          <w:rFonts w:asciiTheme="minorHAnsi" w:hAnsiTheme="minorHAnsi" w:cstheme="minorHAnsi"/>
          <w:szCs w:val="24"/>
        </w:rPr>
      </w:pPr>
      <w:r w:rsidRPr="00BF17B0">
        <w:rPr>
          <w:rFonts w:asciiTheme="minorHAnsi" w:hAnsiTheme="minorHAnsi" w:cstheme="minorHAnsi"/>
        </w:rPr>
        <w:t xml:space="preserve">The results framework demonstrated the partners’ </w:t>
      </w:r>
      <w:r w:rsidR="00642042">
        <w:rPr>
          <w:rFonts w:asciiTheme="minorHAnsi" w:hAnsiTheme="minorHAnsi" w:cstheme="minorHAnsi"/>
        </w:rPr>
        <w:t xml:space="preserve">consistent </w:t>
      </w:r>
      <w:r w:rsidRPr="00BF17B0">
        <w:rPr>
          <w:rFonts w:asciiTheme="minorHAnsi" w:hAnsiTheme="minorHAnsi" w:cstheme="minorHAnsi"/>
        </w:rPr>
        <w:t xml:space="preserve">focus on their priorities throughout the program. </w:t>
      </w:r>
      <w:r w:rsidR="00AF59DF" w:rsidRPr="00BF17B0">
        <w:rPr>
          <w:rFonts w:asciiTheme="minorHAnsi" w:hAnsiTheme="minorHAnsi" w:cstheme="minorHAnsi"/>
        </w:rPr>
        <w:t>However, b</w:t>
      </w:r>
      <w:r w:rsidR="00D571EF" w:rsidRPr="00BF17B0">
        <w:rPr>
          <w:rFonts w:asciiTheme="minorHAnsi" w:hAnsiTheme="minorHAnsi" w:cstheme="minorHAnsi"/>
        </w:rPr>
        <w:t>ecause it was developed retroactively and quite late in the life of the PH-PTF</w:t>
      </w:r>
      <w:r w:rsidR="00AF59DF" w:rsidRPr="00BF17B0">
        <w:rPr>
          <w:rFonts w:asciiTheme="minorHAnsi" w:hAnsiTheme="minorHAnsi" w:cstheme="minorHAnsi"/>
        </w:rPr>
        <w:t xml:space="preserve">, </w:t>
      </w:r>
      <w:r w:rsidR="00D571EF" w:rsidRPr="00BF17B0">
        <w:rPr>
          <w:rFonts w:asciiTheme="minorHAnsi" w:hAnsiTheme="minorHAnsi" w:cstheme="minorHAnsi"/>
        </w:rPr>
        <w:t xml:space="preserve">the results framework could not be used as an effective monitoring tool. </w:t>
      </w:r>
      <w:r w:rsidRPr="00BF17B0">
        <w:rPr>
          <w:rFonts w:asciiTheme="minorHAnsi" w:hAnsiTheme="minorHAnsi" w:cstheme="minorHAnsi"/>
        </w:rPr>
        <w:t>It is notable that grants approved after the results framework was prepared fit easily within the structure, confirming that approvals continued to be consistent with the agreed areas of focus. In fact, the focus areas, while broad, represented one of the strengths of the PH-PTF, described in the Midterm Review as “nimbleness and flexibility.”</w:t>
      </w:r>
      <w:r w:rsidR="00D571EF" w:rsidRPr="00BF17B0">
        <w:rPr>
          <w:rFonts w:asciiTheme="minorHAnsi" w:hAnsiTheme="minorHAnsi" w:cstheme="minorHAnsi"/>
          <w:color w:val="000000"/>
          <w:lang w:eastAsia="en-GB"/>
        </w:rPr>
        <w:t xml:space="preserve"> </w:t>
      </w:r>
    </w:p>
    <w:p w14:paraId="78414DA0" w14:textId="77777777" w:rsidR="00992490" w:rsidRPr="00BF17B0" w:rsidRDefault="00992490" w:rsidP="0004414D">
      <w:pPr>
        <w:rPr>
          <w:rFonts w:asciiTheme="minorHAnsi" w:hAnsiTheme="minorHAnsi" w:cstheme="minorHAnsi"/>
        </w:rPr>
      </w:pPr>
    </w:p>
    <w:tbl>
      <w:tblPr>
        <w:tblW w:w="8460" w:type="dxa"/>
        <w:tblLook w:val="04A0" w:firstRow="1" w:lastRow="0" w:firstColumn="1" w:lastColumn="0" w:noHBand="0" w:noVBand="1"/>
      </w:tblPr>
      <w:tblGrid>
        <w:gridCol w:w="3510"/>
        <w:gridCol w:w="1080"/>
        <w:gridCol w:w="1800"/>
        <w:gridCol w:w="2070"/>
      </w:tblGrid>
      <w:tr w:rsidR="00992490" w:rsidRPr="00BF17B0" w14:paraId="07A33C33" w14:textId="77777777" w:rsidTr="00A62144">
        <w:trPr>
          <w:trHeight w:val="266"/>
        </w:trPr>
        <w:tc>
          <w:tcPr>
            <w:tcW w:w="8460" w:type="dxa"/>
            <w:gridSpan w:val="4"/>
            <w:tcBorders>
              <w:top w:val="nil"/>
              <w:left w:val="nil"/>
              <w:bottom w:val="nil"/>
              <w:right w:val="nil"/>
            </w:tcBorders>
            <w:shd w:val="clear" w:color="auto" w:fill="auto"/>
            <w:noWrap/>
            <w:hideMark/>
          </w:tcPr>
          <w:p w14:paraId="7C4BEBD5" w14:textId="6D3CF6BF" w:rsidR="00992490" w:rsidRPr="00BF17B0" w:rsidRDefault="00992490" w:rsidP="006D1C71">
            <w:pPr>
              <w:pStyle w:val="Caption"/>
              <w:rPr>
                <w:rFonts w:asciiTheme="minorHAnsi" w:eastAsia="Times New Roman" w:hAnsiTheme="minorHAnsi" w:cstheme="minorHAnsi"/>
                <w:bCs/>
                <w:sz w:val="20"/>
                <w:szCs w:val="20"/>
                <w:lang w:eastAsia="en-GB"/>
              </w:rPr>
            </w:pPr>
            <w:bookmarkStart w:id="78" w:name="_Ref532845914"/>
            <w:bookmarkStart w:id="79" w:name="_Toc532885878"/>
            <w:r w:rsidRPr="00BF17B0">
              <w:rPr>
                <w:rFonts w:asciiTheme="minorHAnsi" w:hAnsiTheme="minorHAnsi" w:cstheme="minorHAnsi"/>
              </w:rPr>
              <w:t xml:space="preserve">Table </w:t>
            </w:r>
            <w:r w:rsidRPr="00BF17B0">
              <w:rPr>
                <w:rFonts w:asciiTheme="minorHAnsi" w:hAnsiTheme="minorHAnsi" w:cstheme="minorHAnsi"/>
              </w:rPr>
              <w:fldChar w:fldCharType="begin"/>
            </w:r>
            <w:r w:rsidRPr="00BF17B0">
              <w:rPr>
                <w:rFonts w:asciiTheme="minorHAnsi" w:hAnsiTheme="minorHAnsi" w:cstheme="minorHAnsi"/>
              </w:rPr>
              <w:instrText xml:space="preserve"> STYLEREF 1 \s </w:instrText>
            </w:r>
            <w:r w:rsidRPr="00BF17B0">
              <w:rPr>
                <w:rFonts w:asciiTheme="minorHAnsi" w:hAnsiTheme="minorHAnsi" w:cstheme="minorHAnsi"/>
              </w:rPr>
              <w:fldChar w:fldCharType="separate"/>
            </w:r>
            <w:r w:rsidR="00F338BE">
              <w:rPr>
                <w:rFonts w:asciiTheme="minorHAnsi" w:hAnsiTheme="minorHAnsi" w:cstheme="minorHAnsi"/>
                <w:noProof/>
              </w:rPr>
              <w:t>2</w:t>
            </w:r>
            <w:r w:rsidRPr="00BF17B0">
              <w:rPr>
                <w:rFonts w:asciiTheme="minorHAnsi" w:hAnsiTheme="minorHAnsi" w:cstheme="minorHAnsi"/>
              </w:rPr>
              <w:fldChar w:fldCharType="end"/>
            </w:r>
            <w:r w:rsidRPr="00BF17B0">
              <w:rPr>
                <w:rFonts w:asciiTheme="minorHAnsi" w:hAnsiTheme="minorHAnsi" w:cstheme="minorHAnsi"/>
              </w:rPr>
              <w:noBreakHyphen/>
            </w:r>
            <w:r w:rsidRPr="00BF17B0">
              <w:rPr>
                <w:rFonts w:asciiTheme="minorHAnsi" w:hAnsiTheme="minorHAnsi" w:cstheme="minorHAnsi"/>
              </w:rPr>
              <w:fldChar w:fldCharType="begin"/>
            </w:r>
            <w:r w:rsidRPr="00BF17B0">
              <w:rPr>
                <w:rFonts w:asciiTheme="minorHAnsi" w:hAnsiTheme="minorHAnsi" w:cstheme="minorHAnsi"/>
              </w:rPr>
              <w:instrText xml:space="preserve"> SEQ Table \* ARABIC \s 1 </w:instrText>
            </w:r>
            <w:r w:rsidRPr="00BF17B0">
              <w:rPr>
                <w:rFonts w:asciiTheme="minorHAnsi" w:hAnsiTheme="minorHAnsi" w:cstheme="minorHAnsi"/>
              </w:rPr>
              <w:fldChar w:fldCharType="separate"/>
            </w:r>
            <w:r w:rsidR="00F338BE">
              <w:rPr>
                <w:rFonts w:asciiTheme="minorHAnsi" w:hAnsiTheme="minorHAnsi" w:cstheme="minorHAnsi"/>
                <w:noProof/>
              </w:rPr>
              <w:t>1</w:t>
            </w:r>
            <w:r w:rsidRPr="00BF17B0">
              <w:rPr>
                <w:rFonts w:asciiTheme="minorHAnsi" w:hAnsiTheme="minorHAnsi" w:cstheme="minorHAnsi"/>
              </w:rPr>
              <w:fldChar w:fldCharType="end"/>
            </w:r>
            <w:bookmarkEnd w:id="78"/>
            <w:r w:rsidRPr="00BF17B0">
              <w:rPr>
                <w:rFonts w:asciiTheme="minorHAnsi" w:hAnsiTheme="minorHAnsi" w:cstheme="minorHAnsi"/>
              </w:rPr>
              <w:t>: Approved Grants by Strategic Focus Area</w:t>
            </w:r>
            <w:bookmarkEnd w:id="79"/>
          </w:p>
        </w:tc>
      </w:tr>
      <w:tr w:rsidR="00992490" w:rsidRPr="00BF17B0" w14:paraId="1A821648" w14:textId="77777777" w:rsidTr="00A62144">
        <w:trPr>
          <w:trHeight w:val="1367"/>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920B5" w14:textId="77777777" w:rsidR="00992490" w:rsidRPr="00BF17B0" w:rsidRDefault="00992490" w:rsidP="00CC4E08">
            <w:pPr>
              <w:pStyle w:val="TableText"/>
              <w:jc w:val="center"/>
              <w:rPr>
                <w:b/>
                <w:lang w:eastAsia="en-GB"/>
              </w:rPr>
            </w:pPr>
            <w:r w:rsidRPr="00BF17B0">
              <w:rPr>
                <w:b/>
                <w:lang w:eastAsia="en-GB"/>
              </w:rPr>
              <w:t>Strategic Focus Area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C7891BA" w14:textId="77777777" w:rsidR="00992490" w:rsidRPr="00BF17B0" w:rsidRDefault="00992490" w:rsidP="00CC4E08">
            <w:pPr>
              <w:pStyle w:val="TableText"/>
              <w:jc w:val="center"/>
              <w:rPr>
                <w:b/>
                <w:lang w:eastAsia="en-GB"/>
              </w:rPr>
            </w:pPr>
            <w:r w:rsidRPr="00BF17B0">
              <w:rPr>
                <w:b/>
                <w:lang w:eastAsia="en-GB"/>
              </w:rPr>
              <w:t>No. of Grants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87B5B77" w14:textId="77777777" w:rsidR="00992490" w:rsidRPr="00BF17B0" w:rsidRDefault="00992490" w:rsidP="00CC4E08">
            <w:pPr>
              <w:pStyle w:val="TableText"/>
              <w:jc w:val="center"/>
              <w:rPr>
                <w:b/>
                <w:lang w:eastAsia="en-GB"/>
              </w:rPr>
            </w:pPr>
            <w:r w:rsidRPr="00BF17B0">
              <w:rPr>
                <w:b/>
                <w:lang w:eastAsia="en-GB"/>
              </w:rPr>
              <w:t>Total Approved Grant Amount (US$)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F70EEB3" w14:textId="77777777" w:rsidR="00992490" w:rsidRPr="00BF17B0" w:rsidRDefault="00992490" w:rsidP="00CC4E08">
            <w:pPr>
              <w:pStyle w:val="TableText"/>
              <w:jc w:val="center"/>
              <w:rPr>
                <w:b/>
                <w:lang w:eastAsia="en-GB"/>
              </w:rPr>
            </w:pPr>
            <w:r w:rsidRPr="00BF17B0">
              <w:rPr>
                <w:b/>
                <w:lang w:eastAsia="en-GB"/>
              </w:rPr>
              <w:t>Grant Amount Disbursed as of end June 2018 (US$)</w:t>
            </w:r>
          </w:p>
        </w:tc>
      </w:tr>
      <w:tr w:rsidR="00992490" w:rsidRPr="00BF17B0" w14:paraId="07395C40" w14:textId="77777777" w:rsidTr="00A62144">
        <w:trPr>
          <w:trHeight w:val="61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0B9D860D" w14:textId="77777777" w:rsidR="00992490" w:rsidRPr="00BF17B0" w:rsidRDefault="00992490" w:rsidP="00CC4E08">
            <w:pPr>
              <w:pStyle w:val="TableText"/>
              <w:rPr>
                <w:lang w:eastAsia="en-GB"/>
              </w:rPr>
            </w:pPr>
            <w:r w:rsidRPr="00BF17B0">
              <w:rPr>
                <w:lang w:eastAsia="en-GB"/>
              </w:rPr>
              <w:t>Stable Macroeconomy and Good Governance</w:t>
            </w:r>
          </w:p>
        </w:tc>
        <w:tc>
          <w:tcPr>
            <w:tcW w:w="1080" w:type="dxa"/>
            <w:tcBorders>
              <w:top w:val="nil"/>
              <w:left w:val="nil"/>
              <w:bottom w:val="single" w:sz="4" w:space="0" w:color="auto"/>
              <w:right w:val="single" w:sz="4" w:space="0" w:color="auto"/>
            </w:tcBorders>
            <w:shd w:val="clear" w:color="auto" w:fill="auto"/>
            <w:vAlign w:val="center"/>
            <w:hideMark/>
          </w:tcPr>
          <w:p w14:paraId="352C558C" w14:textId="77777777" w:rsidR="00992490" w:rsidRPr="00BF17B0" w:rsidRDefault="00992490" w:rsidP="00CC4E08">
            <w:pPr>
              <w:pStyle w:val="TableText"/>
              <w:rPr>
                <w:lang w:eastAsia="en-GB"/>
              </w:rPr>
            </w:pPr>
            <w:r w:rsidRPr="00BF17B0">
              <w:rPr>
                <w:lang w:eastAsia="en-GB"/>
              </w:rPr>
              <w:t>19</w:t>
            </w:r>
          </w:p>
        </w:tc>
        <w:tc>
          <w:tcPr>
            <w:tcW w:w="1800" w:type="dxa"/>
            <w:tcBorders>
              <w:top w:val="nil"/>
              <w:left w:val="nil"/>
              <w:bottom w:val="single" w:sz="4" w:space="0" w:color="auto"/>
              <w:right w:val="single" w:sz="4" w:space="0" w:color="auto"/>
            </w:tcBorders>
            <w:shd w:val="clear" w:color="auto" w:fill="auto"/>
            <w:vAlign w:val="center"/>
            <w:hideMark/>
          </w:tcPr>
          <w:p w14:paraId="00DAB7E0" w14:textId="77777777" w:rsidR="00992490" w:rsidRPr="00BF17B0" w:rsidRDefault="00992490" w:rsidP="00CC4E08">
            <w:pPr>
              <w:pStyle w:val="TableText"/>
              <w:rPr>
                <w:lang w:eastAsia="en-GB"/>
              </w:rPr>
            </w:pPr>
            <w:r w:rsidRPr="00BF17B0">
              <w:rPr>
                <w:lang w:eastAsia="en-GB"/>
              </w:rPr>
              <w:t xml:space="preserve">         8,287,588 </w:t>
            </w:r>
          </w:p>
        </w:tc>
        <w:tc>
          <w:tcPr>
            <w:tcW w:w="2070" w:type="dxa"/>
            <w:tcBorders>
              <w:top w:val="nil"/>
              <w:left w:val="nil"/>
              <w:bottom w:val="single" w:sz="4" w:space="0" w:color="auto"/>
              <w:right w:val="single" w:sz="4" w:space="0" w:color="auto"/>
            </w:tcBorders>
            <w:shd w:val="clear" w:color="auto" w:fill="auto"/>
            <w:vAlign w:val="center"/>
            <w:hideMark/>
          </w:tcPr>
          <w:p w14:paraId="61CCC1F2" w14:textId="77777777" w:rsidR="00992490" w:rsidRPr="00BF17B0" w:rsidRDefault="00992490" w:rsidP="00CC4E08">
            <w:pPr>
              <w:pStyle w:val="TableText"/>
              <w:rPr>
                <w:lang w:eastAsia="en-GB"/>
              </w:rPr>
            </w:pPr>
            <w:r w:rsidRPr="00BF17B0">
              <w:rPr>
                <w:lang w:eastAsia="en-GB"/>
              </w:rPr>
              <w:t xml:space="preserve">        7,913,876 </w:t>
            </w:r>
          </w:p>
        </w:tc>
      </w:tr>
      <w:tr w:rsidR="00992490" w:rsidRPr="00BF17B0" w14:paraId="655AA050" w14:textId="77777777" w:rsidTr="00A62144">
        <w:trPr>
          <w:trHeight w:val="579"/>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3E94C171" w14:textId="77777777" w:rsidR="00992490" w:rsidRPr="00BF17B0" w:rsidRDefault="00992490" w:rsidP="00CC4E08">
            <w:pPr>
              <w:pStyle w:val="TableText"/>
              <w:rPr>
                <w:lang w:eastAsia="en-GB"/>
              </w:rPr>
            </w:pPr>
            <w:r w:rsidRPr="00BF17B0">
              <w:rPr>
                <w:lang w:eastAsia="en-GB"/>
              </w:rPr>
              <w:t>Improved Conditions for Peace and Security</w:t>
            </w:r>
          </w:p>
        </w:tc>
        <w:tc>
          <w:tcPr>
            <w:tcW w:w="1080" w:type="dxa"/>
            <w:tcBorders>
              <w:top w:val="nil"/>
              <w:left w:val="nil"/>
              <w:bottom w:val="single" w:sz="4" w:space="0" w:color="auto"/>
              <w:right w:val="single" w:sz="4" w:space="0" w:color="auto"/>
            </w:tcBorders>
            <w:shd w:val="clear" w:color="auto" w:fill="auto"/>
            <w:vAlign w:val="center"/>
            <w:hideMark/>
          </w:tcPr>
          <w:p w14:paraId="6BCDDCBF" w14:textId="77777777" w:rsidR="00992490" w:rsidRPr="00BF17B0" w:rsidRDefault="00992490" w:rsidP="00CC4E08">
            <w:pPr>
              <w:pStyle w:val="TableText"/>
              <w:rPr>
                <w:lang w:eastAsia="en-GB"/>
              </w:rPr>
            </w:pPr>
            <w:r w:rsidRPr="00BF17B0">
              <w:rPr>
                <w:lang w:eastAsia="en-GB"/>
              </w:rPr>
              <w:t>10</w:t>
            </w:r>
          </w:p>
        </w:tc>
        <w:tc>
          <w:tcPr>
            <w:tcW w:w="1800" w:type="dxa"/>
            <w:tcBorders>
              <w:top w:val="nil"/>
              <w:left w:val="nil"/>
              <w:bottom w:val="single" w:sz="4" w:space="0" w:color="auto"/>
              <w:right w:val="single" w:sz="4" w:space="0" w:color="auto"/>
            </w:tcBorders>
            <w:shd w:val="clear" w:color="auto" w:fill="auto"/>
            <w:vAlign w:val="center"/>
            <w:hideMark/>
          </w:tcPr>
          <w:p w14:paraId="539A7D47" w14:textId="77777777" w:rsidR="00992490" w:rsidRPr="00BF17B0" w:rsidRDefault="00992490" w:rsidP="00CC4E08">
            <w:pPr>
              <w:pStyle w:val="TableText"/>
              <w:rPr>
                <w:lang w:eastAsia="en-GB"/>
              </w:rPr>
            </w:pPr>
            <w:r w:rsidRPr="00BF17B0">
              <w:rPr>
                <w:lang w:eastAsia="en-GB"/>
              </w:rPr>
              <w:t xml:space="preserve">         2,108,545 </w:t>
            </w:r>
          </w:p>
        </w:tc>
        <w:tc>
          <w:tcPr>
            <w:tcW w:w="2070" w:type="dxa"/>
            <w:tcBorders>
              <w:top w:val="nil"/>
              <w:left w:val="nil"/>
              <w:bottom w:val="single" w:sz="4" w:space="0" w:color="auto"/>
              <w:right w:val="single" w:sz="4" w:space="0" w:color="auto"/>
            </w:tcBorders>
            <w:shd w:val="clear" w:color="auto" w:fill="auto"/>
            <w:vAlign w:val="center"/>
            <w:hideMark/>
          </w:tcPr>
          <w:p w14:paraId="68C4EA3A" w14:textId="77777777" w:rsidR="00992490" w:rsidRPr="00BF17B0" w:rsidRDefault="00992490" w:rsidP="00CC4E08">
            <w:pPr>
              <w:pStyle w:val="TableText"/>
              <w:rPr>
                <w:lang w:eastAsia="en-GB"/>
              </w:rPr>
            </w:pPr>
            <w:r w:rsidRPr="00BF17B0">
              <w:rPr>
                <w:lang w:eastAsia="en-GB"/>
              </w:rPr>
              <w:t xml:space="preserve">        1,779,144 </w:t>
            </w:r>
          </w:p>
        </w:tc>
      </w:tr>
      <w:tr w:rsidR="00992490" w:rsidRPr="00BF17B0" w14:paraId="607F35A1" w14:textId="77777777" w:rsidTr="00A62144">
        <w:trPr>
          <w:trHeight w:val="422"/>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0C516D2" w14:textId="77777777" w:rsidR="00992490" w:rsidRPr="00BF17B0" w:rsidRDefault="00992490" w:rsidP="00CC4E08">
            <w:pPr>
              <w:pStyle w:val="TableText"/>
              <w:rPr>
                <w:lang w:eastAsia="en-GB"/>
              </w:rPr>
            </w:pPr>
            <w:r w:rsidRPr="00BF17B0">
              <w:rPr>
                <w:lang w:eastAsia="en-GB"/>
              </w:rPr>
              <w:t>Better Service Delivery</w:t>
            </w:r>
          </w:p>
        </w:tc>
        <w:tc>
          <w:tcPr>
            <w:tcW w:w="1080" w:type="dxa"/>
            <w:tcBorders>
              <w:top w:val="nil"/>
              <w:left w:val="nil"/>
              <w:bottom w:val="single" w:sz="4" w:space="0" w:color="auto"/>
              <w:right w:val="single" w:sz="4" w:space="0" w:color="auto"/>
            </w:tcBorders>
            <w:shd w:val="clear" w:color="auto" w:fill="auto"/>
            <w:vAlign w:val="center"/>
            <w:hideMark/>
          </w:tcPr>
          <w:p w14:paraId="04095680" w14:textId="77777777" w:rsidR="00992490" w:rsidRPr="00BF17B0" w:rsidRDefault="00992490" w:rsidP="00CC4E08">
            <w:pPr>
              <w:pStyle w:val="TableText"/>
              <w:rPr>
                <w:lang w:eastAsia="en-GB"/>
              </w:rPr>
            </w:pPr>
            <w:r w:rsidRPr="00BF17B0">
              <w:rPr>
                <w:lang w:eastAsia="en-GB"/>
              </w:rPr>
              <w:t>19</w:t>
            </w:r>
          </w:p>
        </w:tc>
        <w:tc>
          <w:tcPr>
            <w:tcW w:w="1800" w:type="dxa"/>
            <w:tcBorders>
              <w:top w:val="nil"/>
              <w:left w:val="nil"/>
              <w:bottom w:val="single" w:sz="4" w:space="0" w:color="auto"/>
              <w:right w:val="single" w:sz="4" w:space="0" w:color="auto"/>
            </w:tcBorders>
            <w:shd w:val="clear" w:color="auto" w:fill="auto"/>
            <w:vAlign w:val="center"/>
            <w:hideMark/>
          </w:tcPr>
          <w:p w14:paraId="754828AA" w14:textId="77777777" w:rsidR="00992490" w:rsidRPr="00BF17B0" w:rsidRDefault="00992490" w:rsidP="00CC4E08">
            <w:pPr>
              <w:pStyle w:val="TableText"/>
              <w:rPr>
                <w:lang w:eastAsia="en-GB"/>
              </w:rPr>
            </w:pPr>
            <w:r w:rsidRPr="00BF17B0">
              <w:rPr>
                <w:lang w:eastAsia="en-GB"/>
              </w:rPr>
              <w:t xml:space="preserve">       25,149,673 </w:t>
            </w:r>
          </w:p>
        </w:tc>
        <w:tc>
          <w:tcPr>
            <w:tcW w:w="2070" w:type="dxa"/>
            <w:tcBorders>
              <w:top w:val="nil"/>
              <w:left w:val="nil"/>
              <w:bottom w:val="single" w:sz="4" w:space="0" w:color="auto"/>
              <w:right w:val="single" w:sz="4" w:space="0" w:color="auto"/>
            </w:tcBorders>
            <w:shd w:val="clear" w:color="auto" w:fill="auto"/>
            <w:vAlign w:val="center"/>
            <w:hideMark/>
          </w:tcPr>
          <w:p w14:paraId="6C4CFC7D" w14:textId="77777777" w:rsidR="00992490" w:rsidRPr="00BF17B0" w:rsidRDefault="00992490" w:rsidP="00CC4E08">
            <w:pPr>
              <w:pStyle w:val="TableText"/>
              <w:rPr>
                <w:lang w:eastAsia="en-GB"/>
              </w:rPr>
            </w:pPr>
            <w:r w:rsidRPr="00BF17B0">
              <w:rPr>
                <w:lang w:eastAsia="en-GB"/>
              </w:rPr>
              <w:t xml:space="preserve">      23,149,677 </w:t>
            </w:r>
          </w:p>
        </w:tc>
      </w:tr>
      <w:tr w:rsidR="00992490" w:rsidRPr="00BF17B0" w14:paraId="5C40AB2D" w14:textId="77777777" w:rsidTr="00A62144">
        <w:trPr>
          <w:trHeight w:val="266"/>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0B3942D3" w14:textId="77777777" w:rsidR="00992490" w:rsidRPr="00BF17B0" w:rsidRDefault="00992490" w:rsidP="00CC4E08">
            <w:pPr>
              <w:pStyle w:val="TableText"/>
              <w:rPr>
                <w:lang w:eastAsia="en-GB"/>
              </w:rPr>
            </w:pPr>
            <w:r w:rsidRPr="00BF17B0">
              <w:rPr>
                <w:lang w:eastAsia="en-GB"/>
              </w:rPr>
              <w:t>Reduced Vulnerabilities</w:t>
            </w:r>
          </w:p>
        </w:tc>
        <w:tc>
          <w:tcPr>
            <w:tcW w:w="1080" w:type="dxa"/>
            <w:tcBorders>
              <w:top w:val="nil"/>
              <w:left w:val="nil"/>
              <w:bottom w:val="single" w:sz="4" w:space="0" w:color="auto"/>
              <w:right w:val="single" w:sz="4" w:space="0" w:color="auto"/>
            </w:tcBorders>
            <w:shd w:val="clear" w:color="auto" w:fill="auto"/>
            <w:vAlign w:val="center"/>
            <w:hideMark/>
          </w:tcPr>
          <w:p w14:paraId="2EC54A42" w14:textId="77777777" w:rsidR="00992490" w:rsidRPr="00BF17B0" w:rsidRDefault="00992490" w:rsidP="00CC4E08">
            <w:pPr>
              <w:pStyle w:val="TableText"/>
              <w:rPr>
                <w:lang w:eastAsia="en-GB"/>
              </w:rPr>
            </w:pPr>
            <w:r w:rsidRPr="00BF17B0">
              <w:rPr>
                <w:lang w:eastAsia="en-GB"/>
              </w:rPr>
              <w:t>11</w:t>
            </w:r>
          </w:p>
        </w:tc>
        <w:tc>
          <w:tcPr>
            <w:tcW w:w="1800" w:type="dxa"/>
            <w:tcBorders>
              <w:top w:val="nil"/>
              <w:left w:val="nil"/>
              <w:bottom w:val="single" w:sz="4" w:space="0" w:color="auto"/>
              <w:right w:val="single" w:sz="4" w:space="0" w:color="auto"/>
            </w:tcBorders>
            <w:shd w:val="clear" w:color="auto" w:fill="auto"/>
            <w:vAlign w:val="center"/>
            <w:hideMark/>
          </w:tcPr>
          <w:p w14:paraId="61BE82E4" w14:textId="77777777" w:rsidR="00992490" w:rsidRPr="00BF17B0" w:rsidRDefault="00992490" w:rsidP="00CC4E08">
            <w:pPr>
              <w:pStyle w:val="TableText"/>
              <w:rPr>
                <w:lang w:eastAsia="en-GB"/>
              </w:rPr>
            </w:pPr>
            <w:r w:rsidRPr="00BF17B0">
              <w:rPr>
                <w:lang w:eastAsia="en-GB"/>
              </w:rPr>
              <w:t xml:space="preserve">       13,841,962 </w:t>
            </w:r>
          </w:p>
        </w:tc>
        <w:tc>
          <w:tcPr>
            <w:tcW w:w="2070" w:type="dxa"/>
            <w:tcBorders>
              <w:top w:val="nil"/>
              <w:left w:val="nil"/>
              <w:bottom w:val="single" w:sz="4" w:space="0" w:color="auto"/>
              <w:right w:val="single" w:sz="4" w:space="0" w:color="auto"/>
            </w:tcBorders>
            <w:shd w:val="clear" w:color="auto" w:fill="auto"/>
            <w:vAlign w:val="center"/>
            <w:hideMark/>
          </w:tcPr>
          <w:p w14:paraId="64B05884" w14:textId="77777777" w:rsidR="00992490" w:rsidRPr="00BF17B0" w:rsidRDefault="00992490" w:rsidP="00CC4E08">
            <w:pPr>
              <w:pStyle w:val="TableText"/>
              <w:rPr>
                <w:lang w:eastAsia="en-GB"/>
              </w:rPr>
            </w:pPr>
            <w:r w:rsidRPr="00BF17B0">
              <w:rPr>
                <w:lang w:eastAsia="en-GB"/>
              </w:rPr>
              <w:t xml:space="preserve">        9,298,666 </w:t>
            </w:r>
          </w:p>
        </w:tc>
      </w:tr>
      <w:tr w:rsidR="00992490" w:rsidRPr="00BF17B0" w14:paraId="65C20C3B" w14:textId="77777777" w:rsidTr="00A62144">
        <w:trPr>
          <w:trHeight w:val="641"/>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37F3B46A" w14:textId="77777777" w:rsidR="00992490" w:rsidRPr="00BF17B0" w:rsidRDefault="00992490" w:rsidP="00CC4E08">
            <w:pPr>
              <w:pStyle w:val="TableText"/>
              <w:rPr>
                <w:lang w:eastAsia="en-GB"/>
              </w:rPr>
            </w:pPr>
            <w:r w:rsidRPr="00BF17B0">
              <w:rPr>
                <w:lang w:eastAsia="en-GB"/>
              </w:rPr>
              <w:t>Cross-Cutting Tasks and Program Management</w:t>
            </w:r>
          </w:p>
        </w:tc>
        <w:tc>
          <w:tcPr>
            <w:tcW w:w="1080" w:type="dxa"/>
            <w:tcBorders>
              <w:top w:val="nil"/>
              <w:left w:val="nil"/>
              <w:bottom w:val="single" w:sz="4" w:space="0" w:color="auto"/>
              <w:right w:val="single" w:sz="4" w:space="0" w:color="auto"/>
            </w:tcBorders>
            <w:shd w:val="clear" w:color="auto" w:fill="auto"/>
            <w:vAlign w:val="center"/>
            <w:hideMark/>
          </w:tcPr>
          <w:p w14:paraId="1B5D22E6" w14:textId="77777777" w:rsidR="00992490" w:rsidRPr="00BF17B0" w:rsidRDefault="00992490" w:rsidP="00CC4E08">
            <w:pPr>
              <w:pStyle w:val="TableText"/>
              <w:rPr>
                <w:lang w:eastAsia="en-GB"/>
              </w:rPr>
            </w:pPr>
            <w:r w:rsidRPr="00BF17B0">
              <w:rPr>
                <w:lang w:eastAsia="en-GB"/>
              </w:rPr>
              <w:t>6</w:t>
            </w:r>
          </w:p>
        </w:tc>
        <w:tc>
          <w:tcPr>
            <w:tcW w:w="1800" w:type="dxa"/>
            <w:tcBorders>
              <w:top w:val="nil"/>
              <w:left w:val="nil"/>
              <w:bottom w:val="single" w:sz="4" w:space="0" w:color="auto"/>
              <w:right w:val="single" w:sz="4" w:space="0" w:color="auto"/>
            </w:tcBorders>
            <w:shd w:val="clear" w:color="auto" w:fill="auto"/>
            <w:vAlign w:val="center"/>
            <w:hideMark/>
          </w:tcPr>
          <w:p w14:paraId="5F10839B" w14:textId="77777777" w:rsidR="00992490" w:rsidRPr="00BF17B0" w:rsidRDefault="00992490" w:rsidP="00CC4E08">
            <w:pPr>
              <w:pStyle w:val="TableText"/>
              <w:rPr>
                <w:lang w:eastAsia="en-GB"/>
              </w:rPr>
            </w:pPr>
            <w:r w:rsidRPr="00BF17B0">
              <w:rPr>
                <w:lang w:eastAsia="en-GB"/>
              </w:rPr>
              <w:t xml:space="preserve">            978,987 </w:t>
            </w:r>
          </w:p>
        </w:tc>
        <w:tc>
          <w:tcPr>
            <w:tcW w:w="2070" w:type="dxa"/>
            <w:tcBorders>
              <w:top w:val="nil"/>
              <w:left w:val="nil"/>
              <w:bottom w:val="single" w:sz="4" w:space="0" w:color="auto"/>
              <w:right w:val="single" w:sz="4" w:space="0" w:color="auto"/>
            </w:tcBorders>
            <w:shd w:val="clear" w:color="auto" w:fill="auto"/>
            <w:vAlign w:val="center"/>
            <w:hideMark/>
          </w:tcPr>
          <w:p w14:paraId="1795B80A" w14:textId="77777777" w:rsidR="00992490" w:rsidRPr="00BF17B0" w:rsidRDefault="00992490" w:rsidP="00CC4E08">
            <w:pPr>
              <w:pStyle w:val="TableText"/>
              <w:rPr>
                <w:lang w:eastAsia="en-GB"/>
              </w:rPr>
            </w:pPr>
            <w:r w:rsidRPr="00BF17B0">
              <w:rPr>
                <w:lang w:eastAsia="en-GB"/>
              </w:rPr>
              <w:t xml:space="preserve">           647,394 </w:t>
            </w:r>
          </w:p>
        </w:tc>
      </w:tr>
      <w:tr w:rsidR="00992490" w:rsidRPr="00BF17B0" w14:paraId="792EB985" w14:textId="77777777" w:rsidTr="00A62144">
        <w:trPr>
          <w:trHeight w:val="391"/>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05C20E7" w14:textId="77777777" w:rsidR="00992490" w:rsidRPr="00BF17B0" w:rsidRDefault="00992490" w:rsidP="00CC4E08">
            <w:pPr>
              <w:pStyle w:val="TableText"/>
              <w:rPr>
                <w:b/>
                <w:lang w:eastAsia="en-GB"/>
              </w:rPr>
            </w:pPr>
            <w:r w:rsidRPr="00BF17B0">
              <w:rPr>
                <w:b/>
                <w:lang w:eastAsia="en-GB"/>
              </w:rPr>
              <w:t>Totals</w:t>
            </w:r>
          </w:p>
        </w:tc>
        <w:tc>
          <w:tcPr>
            <w:tcW w:w="1080" w:type="dxa"/>
            <w:tcBorders>
              <w:top w:val="nil"/>
              <w:left w:val="nil"/>
              <w:bottom w:val="single" w:sz="4" w:space="0" w:color="auto"/>
              <w:right w:val="single" w:sz="4" w:space="0" w:color="auto"/>
            </w:tcBorders>
            <w:shd w:val="clear" w:color="auto" w:fill="auto"/>
            <w:vAlign w:val="center"/>
            <w:hideMark/>
          </w:tcPr>
          <w:p w14:paraId="49672638" w14:textId="77777777" w:rsidR="00992490" w:rsidRPr="00BF17B0" w:rsidRDefault="00992490" w:rsidP="00CC4E08">
            <w:pPr>
              <w:pStyle w:val="TableText"/>
              <w:rPr>
                <w:b/>
                <w:lang w:eastAsia="en-GB"/>
              </w:rPr>
            </w:pPr>
            <w:r w:rsidRPr="00BF17B0">
              <w:rPr>
                <w:b/>
                <w:lang w:eastAsia="en-GB"/>
              </w:rPr>
              <w:t>65</w:t>
            </w:r>
          </w:p>
        </w:tc>
        <w:tc>
          <w:tcPr>
            <w:tcW w:w="1800" w:type="dxa"/>
            <w:tcBorders>
              <w:top w:val="nil"/>
              <w:left w:val="nil"/>
              <w:bottom w:val="single" w:sz="4" w:space="0" w:color="auto"/>
              <w:right w:val="single" w:sz="4" w:space="0" w:color="auto"/>
            </w:tcBorders>
            <w:shd w:val="clear" w:color="auto" w:fill="auto"/>
            <w:vAlign w:val="center"/>
            <w:hideMark/>
          </w:tcPr>
          <w:p w14:paraId="15320631" w14:textId="77777777" w:rsidR="00992490" w:rsidRPr="00BF17B0" w:rsidRDefault="00992490" w:rsidP="00CC4E08">
            <w:pPr>
              <w:pStyle w:val="TableText"/>
              <w:rPr>
                <w:b/>
                <w:lang w:eastAsia="en-GB"/>
              </w:rPr>
            </w:pPr>
            <w:r w:rsidRPr="00BF17B0">
              <w:rPr>
                <w:b/>
                <w:lang w:eastAsia="en-GB"/>
              </w:rPr>
              <w:t>50,366,755</w:t>
            </w:r>
          </w:p>
        </w:tc>
        <w:tc>
          <w:tcPr>
            <w:tcW w:w="2070" w:type="dxa"/>
            <w:tcBorders>
              <w:top w:val="nil"/>
              <w:left w:val="nil"/>
              <w:bottom w:val="single" w:sz="4" w:space="0" w:color="auto"/>
              <w:right w:val="single" w:sz="4" w:space="0" w:color="auto"/>
            </w:tcBorders>
            <w:shd w:val="clear" w:color="auto" w:fill="auto"/>
            <w:vAlign w:val="center"/>
            <w:hideMark/>
          </w:tcPr>
          <w:p w14:paraId="3B244318" w14:textId="77777777" w:rsidR="00992490" w:rsidRPr="00BF17B0" w:rsidRDefault="00992490" w:rsidP="00CC4E08">
            <w:pPr>
              <w:pStyle w:val="TableText"/>
              <w:rPr>
                <w:b/>
                <w:lang w:eastAsia="en-GB"/>
              </w:rPr>
            </w:pPr>
            <w:r w:rsidRPr="00BF17B0">
              <w:rPr>
                <w:b/>
                <w:lang w:eastAsia="en-GB"/>
              </w:rPr>
              <w:t>42,788,758</w:t>
            </w:r>
          </w:p>
        </w:tc>
      </w:tr>
    </w:tbl>
    <w:p w14:paraId="1090204D" w14:textId="77777777" w:rsidR="0027582B" w:rsidRPr="00BF17B0" w:rsidRDefault="0027582B" w:rsidP="0027582B">
      <w:pPr>
        <w:rPr>
          <w:rFonts w:asciiTheme="minorHAnsi" w:hAnsiTheme="minorHAnsi" w:cstheme="minorHAnsi"/>
        </w:rPr>
      </w:pPr>
    </w:p>
    <w:p w14:paraId="54A0D800" w14:textId="77777777" w:rsidR="0027582B" w:rsidRPr="00BF17B0" w:rsidRDefault="00992490" w:rsidP="00BF17B0">
      <w:pPr>
        <w:pStyle w:val="Heading3"/>
      </w:pPr>
      <w:r w:rsidRPr="00BF17B0">
        <w:t>F</w:t>
      </w:r>
      <w:r w:rsidR="00C77FDE" w:rsidRPr="00BF17B0">
        <w:t>inancial Contributions and Disbursements</w:t>
      </w:r>
    </w:p>
    <w:p w14:paraId="398B5C7B" w14:textId="4FCF8AF1" w:rsidR="00C77FDE" w:rsidRPr="00BF17B0" w:rsidRDefault="00C77FDE" w:rsidP="00C77FDE">
      <w:pPr>
        <w:rPr>
          <w:rFonts w:asciiTheme="minorHAnsi" w:hAnsiTheme="minorHAnsi" w:cstheme="minorHAnsi"/>
        </w:rPr>
      </w:pPr>
      <w:r w:rsidRPr="00BF17B0">
        <w:rPr>
          <w:rFonts w:asciiTheme="minorHAnsi" w:hAnsiTheme="minorHAnsi" w:cstheme="minorHAnsi"/>
        </w:rPr>
        <w:t>The administration agreement signed in May 2009 indicated that AusAID would contribute up to AU$50 million to the PH-PTF. The 2015 amendment clarified that the Australian contribution would comprise AU$44,084,297 plus US$2,659,778, with an estimated equivalent of AU$3,009,991. It cancelled all remaining unpaid contributions as of that date. The total contribution of Australia to PH-PTF amounted to AU$47,094,288 (US$44,</w:t>
      </w:r>
      <w:r w:rsidR="00AE3416">
        <w:rPr>
          <w:rFonts w:asciiTheme="minorHAnsi" w:hAnsiTheme="minorHAnsi" w:cstheme="minorHAnsi"/>
        </w:rPr>
        <w:t>7</w:t>
      </w:r>
      <w:r w:rsidRPr="00BF17B0">
        <w:rPr>
          <w:rFonts w:asciiTheme="minorHAnsi" w:hAnsiTheme="minorHAnsi" w:cstheme="minorHAnsi"/>
        </w:rPr>
        <w:t xml:space="preserve">70,738). </w:t>
      </w:r>
    </w:p>
    <w:p w14:paraId="3267A46A" w14:textId="77777777" w:rsidR="00C77FDE" w:rsidRPr="00BF17B0" w:rsidRDefault="00C77FDE" w:rsidP="00C77FDE">
      <w:pPr>
        <w:rPr>
          <w:rFonts w:asciiTheme="minorHAnsi" w:hAnsiTheme="minorHAnsi" w:cstheme="minorHAnsi"/>
        </w:rPr>
      </w:pPr>
      <w:r w:rsidRPr="00BF17B0">
        <w:rPr>
          <w:rFonts w:asciiTheme="minorHAnsi" w:hAnsiTheme="minorHAnsi" w:cstheme="minorHAnsi"/>
        </w:rPr>
        <w:t>The administration agreement also provided that DFAT contributions be paid in Australian dollars, to be converted to US dollars immediately upon receipt by the World Bank. Interest income earned on paid contributions went to the parent trust fund account. This arrangement resulted in foreign exchange gains and investment income flowing back to the parent trust fund, which were subsequently allocated to activities approved by the Steering Committee.</w:t>
      </w:r>
    </w:p>
    <w:p w14:paraId="4D1B4628" w14:textId="77777777" w:rsidR="00286AFD" w:rsidRPr="00BF17B0" w:rsidRDefault="00452021" w:rsidP="00F81B49">
      <w:pPr>
        <w:rPr>
          <w:rFonts w:asciiTheme="minorHAnsi" w:hAnsiTheme="minorHAnsi" w:cstheme="minorHAnsi"/>
        </w:rPr>
      </w:pPr>
      <w:r w:rsidRPr="00BF17B0">
        <w:rPr>
          <w:rFonts w:asciiTheme="minorHAnsi" w:hAnsiTheme="minorHAnsi" w:cstheme="minorHAnsi"/>
        </w:rPr>
        <w:t>PH-PTF was set up to support a wide range of activities through grants that were executed either by external recipients such as government agencies and eligible non-government entities, including civil society organizations; or by World Bank task teams, in accordance with a work program approved by the Steering Committee. The latter included (</w:t>
      </w:r>
      <w:r w:rsidR="005B05DD" w:rsidRPr="00BF17B0">
        <w:rPr>
          <w:rFonts w:asciiTheme="minorHAnsi" w:hAnsiTheme="minorHAnsi" w:cstheme="minorHAnsi"/>
        </w:rPr>
        <w:t>i</w:t>
      </w:r>
      <w:r w:rsidRPr="00BF17B0">
        <w:rPr>
          <w:rFonts w:asciiTheme="minorHAnsi" w:hAnsiTheme="minorHAnsi" w:cstheme="minorHAnsi"/>
        </w:rPr>
        <w:t>) recipient-executed co-financing linked to World Bank-supported investment operations; (</w:t>
      </w:r>
      <w:r w:rsidR="005B05DD" w:rsidRPr="00BF17B0">
        <w:rPr>
          <w:rFonts w:asciiTheme="minorHAnsi" w:hAnsiTheme="minorHAnsi" w:cstheme="minorHAnsi"/>
        </w:rPr>
        <w:t>ii</w:t>
      </w:r>
      <w:r w:rsidRPr="00BF17B0">
        <w:rPr>
          <w:rFonts w:asciiTheme="minorHAnsi" w:hAnsiTheme="minorHAnsi" w:cstheme="minorHAnsi"/>
        </w:rPr>
        <w:t>) recipient-executed technical assistance, including project preparation; (</w:t>
      </w:r>
      <w:r w:rsidR="005B05DD" w:rsidRPr="00BF17B0">
        <w:rPr>
          <w:rFonts w:asciiTheme="minorHAnsi" w:hAnsiTheme="minorHAnsi" w:cstheme="minorHAnsi"/>
        </w:rPr>
        <w:t>iii</w:t>
      </w:r>
      <w:r w:rsidRPr="00BF17B0">
        <w:rPr>
          <w:rFonts w:asciiTheme="minorHAnsi" w:hAnsiTheme="minorHAnsi" w:cstheme="minorHAnsi"/>
        </w:rPr>
        <w:t>) Bank-executed analytical and advisory activities; and (</w:t>
      </w:r>
      <w:r w:rsidR="005B05DD" w:rsidRPr="00BF17B0">
        <w:rPr>
          <w:rFonts w:asciiTheme="minorHAnsi" w:hAnsiTheme="minorHAnsi" w:cstheme="minorHAnsi"/>
        </w:rPr>
        <w:t>iv</w:t>
      </w:r>
      <w:r w:rsidRPr="00BF17B0">
        <w:rPr>
          <w:rFonts w:asciiTheme="minorHAnsi" w:hAnsiTheme="minorHAnsi" w:cstheme="minorHAnsi"/>
        </w:rPr>
        <w:t>) incremental costs of Bank-executed project development, appraisal and supervision of recipient-executed activities. PH-PTF’s ability to support different instruments and execution arrangements enabled it to respond flexibly to evolving needs in the Philippines.</w:t>
      </w:r>
    </w:p>
    <w:p w14:paraId="2A5F4998" w14:textId="77777777" w:rsidR="000E55C5" w:rsidRPr="00BF17B0" w:rsidRDefault="000E55C5" w:rsidP="000E55C5">
      <w:pPr>
        <w:rPr>
          <w:rFonts w:asciiTheme="minorHAnsi" w:hAnsiTheme="minorHAnsi" w:cstheme="minorHAnsi"/>
        </w:rPr>
      </w:pPr>
      <w:r w:rsidRPr="00BF17B0">
        <w:rPr>
          <w:rFonts w:asciiTheme="minorHAnsi" w:hAnsiTheme="minorHAnsi" w:cstheme="minorHAnsi"/>
        </w:rPr>
        <w:t>Most grants disbursed a high percentage of the allocated funds. As a standard practice, completed grant activities are “legally closed” in the Bank’s trust fund financial system and the grant amount is adjusted to the amount actually disbursed, so that remaining funds can be reallocated to other activities.</w:t>
      </w:r>
    </w:p>
    <w:p w14:paraId="249716A0" w14:textId="2469AAA0" w:rsidR="0027582B" w:rsidRPr="00BF17B0" w:rsidRDefault="00F81B49" w:rsidP="00F81B49">
      <w:pPr>
        <w:rPr>
          <w:rFonts w:asciiTheme="minorHAnsi" w:hAnsiTheme="minorHAnsi" w:cstheme="minorHAnsi"/>
        </w:rPr>
      </w:pPr>
      <w:r w:rsidRPr="00BF17B0">
        <w:rPr>
          <w:rFonts w:asciiTheme="minorHAnsi" w:hAnsiTheme="minorHAnsi" w:cstheme="minorHAnsi"/>
        </w:rPr>
        <w:fldChar w:fldCharType="begin"/>
      </w:r>
      <w:r w:rsidRPr="00BF17B0">
        <w:rPr>
          <w:rFonts w:asciiTheme="minorHAnsi" w:hAnsiTheme="minorHAnsi" w:cstheme="minorHAnsi"/>
        </w:rPr>
        <w:instrText xml:space="preserve"> REF _Ref530055783 \h  \* MERGEFORMAT </w:instrText>
      </w:r>
      <w:r w:rsidRPr="00BF17B0">
        <w:rPr>
          <w:rFonts w:asciiTheme="minorHAnsi" w:hAnsiTheme="minorHAnsi" w:cstheme="minorHAnsi"/>
        </w:rPr>
      </w:r>
      <w:r w:rsidRPr="00BF17B0">
        <w:rPr>
          <w:rFonts w:asciiTheme="minorHAnsi" w:hAnsiTheme="minorHAnsi" w:cstheme="minorHAnsi"/>
        </w:rPr>
        <w:fldChar w:fldCharType="separate"/>
      </w:r>
      <w:r w:rsidR="00F338BE" w:rsidRPr="00BF17B0">
        <w:rPr>
          <w:rFonts w:asciiTheme="minorHAnsi" w:hAnsiTheme="minorHAnsi" w:cstheme="minorHAnsi"/>
        </w:rPr>
        <w:t xml:space="preserve">Table </w:t>
      </w:r>
      <w:r w:rsidR="00F338BE">
        <w:rPr>
          <w:rFonts w:asciiTheme="minorHAnsi" w:hAnsiTheme="minorHAnsi" w:cstheme="minorHAnsi"/>
        </w:rPr>
        <w:t>2</w:t>
      </w:r>
      <w:r w:rsidR="00F338BE" w:rsidRPr="00BF17B0">
        <w:rPr>
          <w:rFonts w:asciiTheme="minorHAnsi" w:hAnsiTheme="minorHAnsi" w:cstheme="minorHAnsi"/>
        </w:rPr>
        <w:noBreakHyphen/>
      </w:r>
      <w:r w:rsidR="00F338BE">
        <w:rPr>
          <w:rFonts w:asciiTheme="minorHAnsi" w:hAnsiTheme="minorHAnsi" w:cstheme="minorHAnsi"/>
        </w:rPr>
        <w:t>2</w:t>
      </w:r>
      <w:r w:rsidRPr="00BF17B0">
        <w:rPr>
          <w:rFonts w:asciiTheme="minorHAnsi" w:hAnsiTheme="minorHAnsi" w:cstheme="minorHAnsi"/>
        </w:rPr>
        <w:fldChar w:fldCharType="end"/>
      </w:r>
      <w:r w:rsidRPr="00BF17B0">
        <w:rPr>
          <w:rFonts w:asciiTheme="minorHAnsi" w:hAnsiTheme="minorHAnsi" w:cstheme="minorHAnsi"/>
        </w:rPr>
        <w:t xml:space="preserve"> presents the portfolio by execution </w:t>
      </w:r>
      <w:r w:rsidR="000E55C5" w:rsidRPr="00BF17B0">
        <w:rPr>
          <w:rFonts w:asciiTheme="minorHAnsi" w:hAnsiTheme="minorHAnsi" w:cstheme="minorHAnsi"/>
        </w:rPr>
        <w:t>arrangement</w:t>
      </w:r>
      <w:r w:rsidRPr="00BF17B0">
        <w:rPr>
          <w:rFonts w:asciiTheme="minorHAnsi" w:hAnsiTheme="minorHAnsi" w:cstheme="minorHAnsi"/>
        </w:rPr>
        <w:t>, showing that the bulk of under-expenditure was in recipient-executed grants. Among recipient-executed grants, the major “underspends” were in the grants for Sustainable Flood Management studies, KALAHI – CIDSS Project, and the Mindanao Rural Development Project Phase II.</w:t>
      </w:r>
    </w:p>
    <w:tbl>
      <w:tblPr>
        <w:tblW w:w="7110" w:type="dxa"/>
        <w:jc w:val="center"/>
        <w:tblLook w:val="04A0" w:firstRow="1" w:lastRow="0" w:firstColumn="1" w:lastColumn="0" w:noHBand="0" w:noVBand="1"/>
      </w:tblPr>
      <w:tblGrid>
        <w:gridCol w:w="2510"/>
        <w:gridCol w:w="960"/>
        <w:gridCol w:w="1750"/>
        <w:gridCol w:w="1890"/>
      </w:tblGrid>
      <w:tr w:rsidR="00493C79" w:rsidRPr="00BF17B0" w14:paraId="1B224C2D" w14:textId="77777777" w:rsidTr="00CC3D27">
        <w:trPr>
          <w:trHeight w:val="405"/>
          <w:jc w:val="center"/>
        </w:trPr>
        <w:tc>
          <w:tcPr>
            <w:tcW w:w="7110" w:type="dxa"/>
            <w:gridSpan w:val="4"/>
            <w:tcBorders>
              <w:top w:val="nil"/>
              <w:left w:val="nil"/>
              <w:bottom w:val="nil"/>
              <w:right w:val="nil"/>
            </w:tcBorders>
            <w:shd w:val="clear" w:color="auto" w:fill="auto"/>
            <w:noWrap/>
            <w:vAlign w:val="center"/>
            <w:hideMark/>
          </w:tcPr>
          <w:p w14:paraId="534BB9C3" w14:textId="096FD253" w:rsidR="00493C79" w:rsidRPr="00BF17B0" w:rsidRDefault="00493C79" w:rsidP="00505D06">
            <w:pPr>
              <w:pStyle w:val="Caption"/>
              <w:rPr>
                <w:rFonts w:asciiTheme="minorHAnsi" w:hAnsiTheme="minorHAnsi" w:cstheme="minorHAnsi"/>
              </w:rPr>
            </w:pPr>
            <w:bookmarkStart w:id="80" w:name="_Ref530055783"/>
            <w:bookmarkStart w:id="81" w:name="_Toc532885879"/>
            <w:r w:rsidRPr="00BF17B0">
              <w:rPr>
                <w:rFonts w:asciiTheme="minorHAnsi" w:hAnsiTheme="minorHAnsi" w:cstheme="minorHAnsi"/>
              </w:rPr>
              <w:t xml:space="preserve">Table </w:t>
            </w:r>
            <w:r w:rsidRPr="00BF17B0">
              <w:rPr>
                <w:rFonts w:asciiTheme="minorHAnsi" w:hAnsiTheme="minorHAnsi" w:cstheme="minorHAnsi"/>
              </w:rPr>
              <w:fldChar w:fldCharType="begin"/>
            </w:r>
            <w:r w:rsidRPr="00BF17B0">
              <w:rPr>
                <w:rFonts w:asciiTheme="minorHAnsi" w:hAnsiTheme="minorHAnsi" w:cstheme="minorHAnsi"/>
              </w:rPr>
              <w:instrText xml:space="preserve"> STYLEREF 1 \s </w:instrText>
            </w:r>
            <w:r w:rsidRPr="00BF17B0">
              <w:rPr>
                <w:rFonts w:asciiTheme="minorHAnsi" w:hAnsiTheme="minorHAnsi" w:cstheme="minorHAnsi"/>
              </w:rPr>
              <w:fldChar w:fldCharType="separate"/>
            </w:r>
            <w:r w:rsidR="00F338BE">
              <w:rPr>
                <w:rFonts w:asciiTheme="minorHAnsi" w:hAnsiTheme="minorHAnsi" w:cstheme="minorHAnsi"/>
                <w:noProof/>
              </w:rPr>
              <w:t>2</w:t>
            </w:r>
            <w:r w:rsidRPr="00BF17B0">
              <w:rPr>
                <w:rFonts w:asciiTheme="minorHAnsi" w:hAnsiTheme="minorHAnsi" w:cstheme="minorHAnsi"/>
              </w:rPr>
              <w:fldChar w:fldCharType="end"/>
            </w:r>
            <w:r w:rsidRPr="00BF17B0">
              <w:rPr>
                <w:rFonts w:asciiTheme="minorHAnsi" w:hAnsiTheme="minorHAnsi" w:cstheme="minorHAnsi"/>
              </w:rPr>
              <w:noBreakHyphen/>
            </w:r>
            <w:r w:rsidRPr="00BF17B0">
              <w:rPr>
                <w:rFonts w:asciiTheme="minorHAnsi" w:hAnsiTheme="minorHAnsi" w:cstheme="minorHAnsi"/>
              </w:rPr>
              <w:fldChar w:fldCharType="begin"/>
            </w:r>
            <w:r w:rsidRPr="00BF17B0">
              <w:rPr>
                <w:rFonts w:asciiTheme="minorHAnsi" w:hAnsiTheme="minorHAnsi" w:cstheme="minorHAnsi"/>
              </w:rPr>
              <w:instrText xml:space="preserve"> SEQ Table \* ARABIC \s 1 </w:instrText>
            </w:r>
            <w:r w:rsidRPr="00BF17B0">
              <w:rPr>
                <w:rFonts w:asciiTheme="minorHAnsi" w:hAnsiTheme="minorHAnsi" w:cstheme="minorHAnsi"/>
              </w:rPr>
              <w:fldChar w:fldCharType="separate"/>
            </w:r>
            <w:r w:rsidR="00F338BE">
              <w:rPr>
                <w:rFonts w:asciiTheme="minorHAnsi" w:hAnsiTheme="minorHAnsi" w:cstheme="minorHAnsi"/>
                <w:noProof/>
              </w:rPr>
              <w:t>2</w:t>
            </w:r>
            <w:r w:rsidRPr="00BF17B0">
              <w:rPr>
                <w:rFonts w:asciiTheme="minorHAnsi" w:hAnsiTheme="minorHAnsi" w:cstheme="minorHAnsi"/>
              </w:rPr>
              <w:fldChar w:fldCharType="end"/>
            </w:r>
            <w:bookmarkEnd w:id="80"/>
            <w:r w:rsidRPr="00BF17B0">
              <w:rPr>
                <w:rFonts w:asciiTheme="minorHAnsi" w:hAnsiTheme="minorHAnsi" w:cstheme="minorHAnsi"/>
              </w:rPr>
              <w:t xml:space="preserve">: Approved Grants by Execution </w:t>
            </w:r>
            <w:r w:rsidR="000E55C5" w:rsidRPr="00BF17B0">
              <w:rPr>
                <w:rFonts w:asciiTheme="minorHAnsi" w:hAnsiTheme="minorHAnsi" w:cstheme="minorHAnsi"/>
              </w:rPr>
              <w:t>Arrangement</w:t>
            </w:r>
            <w:bookmarkEnd w:id="81"/>
          </w:p>
        </w:tc>
      </w:tr>
      <w:tr w:rsidR="00860572" w:rsidRPr="00BF17B0" w14:paraId="06F7C77B" w14:textId="77777777" w:rsidTr="00A62144">
        <w:trPr>
          <w:trHeight w:val="350"/>
          <w:jc w:val="center"/>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12820" w14:textId="77777777" w:rsidR="00860572" w:rsidRPr="00BF17B0" w:rsidRDefault="00860572" w:rsidP="00505D06">
            <w:pPr>
              <w:pStyle w:val="TableText"/>
              <w:jc w:val="center"/>
              <w:rPr>
                <w:b/>
              </w:rPr>
            </w:pPr>
            <w:r w:rsidRPr="00BF17B0">
              <w:rPr>
                <w:b/>
              </w:rPr>
              <w:t>Execution 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BFD1BEF" w14:textId="77777777" w:rsidR="00860572" w:rsidRPr="00BF17B0" w:rsidRDefault="00860572" w:rsidP="00505D06">
            <w:pPr>
              <w:pStyle w:val="TableText"/>
              <w:jc w:val="center"/>
              <w:rPr>
                <w:b/>
              </w:rPr>
            </w:pPr>
            <w:r w:rsidRPr="00BF17B0">
              <w:rPr>
                <w:b/>
              </w:rPr>
              <w:t>No</w:t>
            </w:r>
            <w:r w:rsidR="00FF71D4" w:rsidRPr="00BF17B0">
              <w:rPr>
                <w:b/>
              </w:rPr>
              <w:t>.</w:t>
            </w:r>
            <w:r w:rsidRPr="00BF17B0">
              <w:rPr>
                <w:b/>
              </w:rPr>
              <w:t xml:space="preserve"> of Grants</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14:paraId="28255E2B" w14:textId="77777777" w:rsidR="00860572" w:rsidRPr="00BF17B0" w:rsidRDefault="00860572" w:rsidP="00505D06">
            <w:pPr>
              <w:pStyle w:val="TableText"/>
              <w:jc w:val="center"/>
              <w:rPr>
                <w:b/>
              </w:rPr>
            </w:pPr>
            <w:r w:rsidRPr="00BF17B0">
              <w:rPr>
                <w:b/>
              </w:rPr>
              <w:t>Approved Grant Amount (US$)</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3C9A4FE5" w14:textId="77777777" w:rsidR="00860572" w:rsidRPr="00BF17B0" w:rsidRDefault="00860572" w:rsidP="00505D06">
            <w:pPr>
              <w:pStyle w:val="TableText"/>
              <w:jc w:val="center"/>
              <w:rPr>
                <w:b/>
              </w:rPr>
            </w:pPr>
            <w:r w:rsidRPr="00BF17B0">
              <w:rPr>
                <w:b/>
              </w:rPr>
              <w:t>Grant Amoun</w:t>
            </w:r>
            <w:r w:rsidR="009D405E" w:rsidRPr="00BF17B0">
              <w:rPr>
                <w:b/>
              </w:rPr>
              <w:t>t</w:t>
            </w:r>
            <w:r w:rsidRPr="00BF17B0">
              <w:rPr>
                <w:b/>
              </w:rPr>
              <w:t xml:space="preserve"> June 2018 (US$)</w:t>
            </w:r>
          </w:p>
        </w:tc>
      </w:tr>
      <w:tr w:rsidR="00860572" w:rsidRPr="00BF17B0" w14:paraId="29189772" w14:textId="77777777" w:rsidTr="00A62144">
        <w:trPr>
          <w:trHeight w:val="305"/>
          <w:jc w:val="center"/>
        </w:trPr>
        <w:tc>
          <w:tcPr>
            <w:tcW w:w="2510" w:type="dxa"/>
            <w:tcBorders>
              <w:top w:val="nil"/>
              <w:left w:val="single" w:sz="4" w:space="0" w:color="auto"/>
              <w:bottom w:val="single" w:sz="4" w:space="0" w:color="auto"/>
              <w:right w:val="single" w:sz="4" w:space="0" w:color="auto"/>
            </w:tcBorders>
            <w:shd w:val="clear" w:color="auto" w:fill="auto"/>
            <w:vAlign w:val="center"/>
            <w:hideMark/>
          </w:tcPr>
          <w:p w14:paraId="6AAC7181" w14:textId="77777777" w:rsidR="00860572" w:rsidRPr="00BF17B0" w:rsidRDefault="00860572" w:rsidP="00505D06">
            <w:pPr>
              <w:pStyle w:val="TableText"/>
            </w:pPr>
            <w:r w:rsidRPr="00BF17B0">
              <w:t>Recipient</w:t>
            </w:r>
            <w:r w:rsidR="00FF71D4" w:rsidRPr="00BF17B0">
              <w:t>-</w:t>
            </w:r>
            <w:r w:rsidR="00BF7C30" w:rsidRPr="00BF17B0">
              <w:t>E</w:t>
            </w:r>
            <w:r w:rsidRPr="00BF17B0">
              <w:t>xecuted</w:t>
            </w:r>
          </w:p>
        </w:tc>
        <w:tc>
          <w:tcPr>
            <w:tcW w:w="960" w:type="dxa"/>
            <w:tcBorders>
              <w:top w:val="nil"/>
              <w:left w:val="nil"/>
              <w:bottom w:val="single" w:sz="4" w:space="0" w:color="auto"/>
              <w:right w:val="single" w:sz="4" w:space="0" w:color="auto"/>
            </w:tcBorders>
            <w:shd w:val="clear" w:color="auto" w:fill="auto"/>
            <w:vAlign w:val="center"/>
            <w:hideMark/>
          </w:tcPr>
          <w:p w14:paraId="748B4810" w14:textId="77777777" w:rsidR="00860572" w:rsidRPr="00BF17B0" w:rsidRDefault="00860572" w:rsidP="00505D06">
            <w:pPr>
              <w:pStyle w:val="TableText"/>
            </w:pPr>
            <w:r w:rsidRPr="00BF17B0">
              <w:t>6</w:t>
            </w:r>
          </w:p>
        </w:tc>
        <w:tc>
          <w:tcPr>
            <w:tcW w:w="1750" w:type="dxa"/>
            <w:tcBorders>
              <w:top w:val="nil"/>
              <w:left w:val="nil"/>
              <w:bottom w:val="single" w:sz="4" w:space="0" w:color="auto"/>
              <w:right w:val="single" w:sz="4" w:space="0" w:color="auto"/>
            </w:tcBorders>
            <w:shd w:val="clear" w:color="auto" w:fill="auto"/>
            <w:vAlign w:val="center"/>
            <w:hideMark/>
          </w:tcPr>
          <w:p w14:paraId="1E5884BA" w14:textId="77777777" w:rsidR="00860572" w:rsidRPr="00BF17B0" w:rsidRDefault="00860572" w:rsidP="00505D06">
            <w:pPr>
              <w:pStyle w:val="TableText"/>
            </w:pPr>
            <w:r w:rsidRPr="00BF17B0">
              <w:t>20,800,000</w:t>
            </w:r>
          </w:p>
        </w:tc>
        <w:tc>
          <w:tcPr>
            <w:tcW w:w="1890" w:type="dxa"/>
            <w:tcBorders>
              <w:top w:val="nil"/>
              <w:left w:val="nil"/>
              <w:bottom w:val="single" w:sz="4" w:space="0" w:color="auto"/>
              <w:right w:val="single" w:sz="4" w:space="0" w:color="auto"/>
            </w:tcBorders>
            <w:shd w:val="clear" w:color="auto" w:fill="auto"/>
            <w:vAlign w:val="center"/>
            <w:hideMark/>
          </w:tcPr>
          <w:p w14:paraId="44E8913C" w14:textId="77777777" w:rsidR="00860572" w:rsidRPr="00BF17B0" w:rsidRDefault="00860572" w:rsidP="00505D06">
            <w:pPr>
              <w:pStyle w:val="TableText"/>
            </w:pPr>
            <w:r w:rsidRPr="00BF17B0">
              <w:t>15,734,396</w:t>
            </w:r>
          </w:p>
        </w:tc>
      </w:tr>
      <w:tr w:rsidR="00860572" w:rsidRPr="00BF17B0" w14:paraId="7086ED5E" w14:textId="77777777" w:rsidTr="00A62144">
        <w:trPr>
          <w:trHeight w:val="345"/>
          <w:jc w:val="center"/>
        </w:trPr>
        <w:tc>
          <w:tcPr>
            <w:tcW w:w="2510" w:type="dxa"/>
            <w:tcBorders>
              <w:top w:val="nil"/>
              <w:left w:val="single" w:sz="4" w:space="0" w:color="auto"/>
              <w:bottom w:val="single" w:sz="4" w:space="0" w:color="auto"/>
              <w:right w:val="single" w:sz="4" w:space="0" w:color="auto"/>
            </w:tcBorders>
            <w:shd w:val="clear" w:color="auto" w:fill="auto"/>
            <w:vAlign w:val="center"/>
            <w:hideMark/>
          </w:tcPr>
          <w:p w14:paraId="2F76B26D" w14:textId="77777777" w:rsidR="00860572" w:rsidRPr="00BF17B0" w:rsidRDefault="00860572" w:rsidP="00505D06">
            <w:pPr>
              <w:pStyle w:val="TableText"/>
            </w:pPr>
            <w:r w:rsidRPr="00BF17B0">
              <w:t>Bank</w:t>
            </w:r>
            <w:r w:rsidR="00FF71D4" w:rsidRPr="00BF17B0">
              <w:t>-</w:t>
            </w:r>
            <w:r w:rsidR="00BF7C30" w:rsidRPr="00BF17B0">
              <w:t>E</w:t>
            </w:r>
            <w:r w:rsidRPr="00BF17B0">
              <w:t>xecuted</w:t>
            </w:r>
          </w:p>
        </w:tc>
        <w:tc>
          <w:tcPr>
            <w:tcW w:w="960" w:type="dxa"/>
            <w:tcBorders>
              <w:top w:val="nil"/>
              <w:left w:val="nil"/>
              <w:bottom w:val="single" w:sz="4" w:space="0" w:color="auto"/>
              <w:right w:val="single" w:sz="4" w:space="0" w:color="auto"/>
            </w:tcBorders>
            <w:shd w:val="clear" w:color="auto" w:fill="auto"/>
            <w:vAlign w:val="center"/>
            <w:hideMark/>
          </w:tcPr>
          <w:p w14:paraId="77A7DA68" w14:textId="77777777" w:rsidR="00860572" w:rsidRPr="00BF17B0" w:rsidRDefault="00860572" w:rsidP="00505D06">
            <w:pPr>
              <w:pStyle w:val="TableText"/>
            </w:pPr>
            <w:r w:rsidRPr="00BF17B0">
              <w:t>59</w:t>
            </w:r>
          </w:p>
        </w:tc>
        <w:tc>
          <w:tcPr>
            <w:tcW w:w="1750" w:type="dxa"/>
            <w:tcBorders>
              <w:top w:val="nil"/>
              <w:left w:val="nil"/>
              <w:bottom w:val="single" w:sz="4" w:space="0" w:color="auto"/>
              <w:right w:val="single" w:sz="4" w:space="0" w:color="auto"/>
            </w:tcBorders>
            <w:shd w:val="clear" w:color="auto" w:fill="auto"/>
            <w:vAlign w:val="center"/>
            <w:hideMark/>
          </w:tcPr>
          <w:p w14:paraId="7D72CDAD" w14:textId="77777777" w:rsidR="00860572" w:rsidRPr="00BF17B0" w:rsidRDefault="00860572" w:rsidP="00505D06">
            <w:pPr>
              <w:pStyle w:val="TableText"/>
            </w:pPr>
            <w:r w:rsidRPr="00BF17B0">
              <w:t>29,566,755</w:t>
            </w:r>
          </w:p>
        </w:tc>
        <w:tc>
          <w:tcPr>
            <w:tcW w:w="1890" w:type="dxa"/>
            <w:tcBorders>
              <w:top w:val="nil"/>
              <w:left w:val="nil"/>
              <w:bottom w:val="single" w:sz="4" w:space="0" w:color="auto"/>
              <w:right w:val="single" w:sz="4" w:space="0" w:color="auto"/>
            </w:tcBorders>
            <w:shd w:val="clear" w:color="auto" w:fill="auto"/>
            <w:vAlign w:val="center"/>
            <w:hideMark/>
          </w:tcPr>
          <w:p w14:paraId="38495677" w14:textId="77777777" w:rsidR="00860572" w:rsidRPr="00BF17B0" w:rsidRDefault="00860572" w:rsidP="00505D06">
            <w:pPr>
              <w:pStyle w:val="TableText"/>
            </w:pPr>
            <w:r w:rsidRPr="00BF17B0">
              <w:t>27,054,362</w:t>
            </w:r>
          </w:p>
        </w:tc>
      </w:tr>
      <w:tr w:rsidR="00860572" w:rsidRPr="00BF17B0" w14:paraId="003ECB00" w14:textId="77777777" w:rsidTr="00A62144">
        <w:trPr>
          <w:trHeight w:val="395"/>
          <w:jc w:val="center"/>
        </w:trPr>
        <w:tc>
          <w:tcPr>
            <w:tcW w:w="2510" w:type="dxa"/>
            <w:tcBorders>
              <w:top w:val="nil"/>
              <w:left w:val="single" w:sz="4" w:space="0" w:color="auto"/>
              <w:bottom w:val="single" w:sz="4" w:space="0" w:color="auto"/>
              <w:right w:val="single" w:sz="4" w:space="0" w:color="auto"/>
            </w:tcBorders>
            <w:shd w:val="clear" w:color="auto" w:fill="auto"/>
            <w:vAlign w:val="center"/>
            <w:hideMark/>
          </w:tcPr>
          <w:p w14:paraId="034D1CB3" w14:textId="77777777" w:rsidR="00860572" w:rsidRPr="00BF17B0" w:rsidRDefault="00860572" w:rsidP="00505D06">
            <w:pPr>
              <w:pStyle w:val="TableText"/>
            </w:pPr>
            <w:r w:rsidRPr="00BF17B0">
              <w:t>Total</w:t>
            </w:r>
          </w:p>
        </w:tc>
        <w:tc>
          <w:tcPr>
            <w:tcW w:w="960" w:type="dxa"/>
            <w:tcBorders>
              <w:top w:val="nil"/>
              <w:left w:val="nil"/>
              <w:bottom w:val="single" w:sz="4" w:space="0" w:color="auto"/>
              <w:right w:val="single" w:sz="4" w:space="0" w:color="auto"/>
            </w:tcBorders>
            <w:shd w:val="clear" w:color="auto" w:fill="auto"/>
            <w:vAlign w:val="center"/>
            <w:hideMark/>
          </w:tcPr>
          <w:p w14:paraId="4052A1B8" w14:textId="77777777" w:rsidR="00860572" w:rsidRPr="00BF17B0" w:rsidRDefault="00860572" w:rsidP="00505D06">
            <w:pPr>
              <w:pStyle w:val="TableText"/>
            </w:pPr>
            <w:r w:rsidRPr="00BF17B0">
              <w:t>65</w:t>
            </w:r>
          </w:p>
        </w:tc>
        <w:tc>
          <w:tcPr>
            <w:tcW w:w="1750" w:type="dxa"/>
            <w:tcBorders>
              <w:top w:val="nil"/>
              <w:left w:val="nil"/>
              <w:bottom w:val="single" w:sz="4" w:space="0" w:color="auto"/>
              <w:right w:val="single" w:sz="4" w:space="0" w:color="auto"/>
            </w:tcBorders>
            <w:shd w:val="clear" w:color="auto" w:fill="auto"/>
            <w:vAlign w:val="center"/>
            <w:hideMark/>
          </w:tcPr>
          <w:p w14:paraId="3D12ED82" w14:textId="77777777" w:rsidR="00860572" w:rsidRPr="00BF17B0" w:rsidRDefault="00860572" w:rsidP="00505D06">
            <w:pPr>
              <w:pStyle w:val="TableText"/>
            </w:pPr>
            <w:r w:rsidRPr="00BF17B0">
              <w:t>50,366,755</w:t>
            </w:r>
          </w:p>
        </w:tc>
        <w:tc>
          <w:tcPr>
            <w:tcW w:w="1890" w:type="dxa"/>
            <w:tcBorders>
              <w:top w:val="nil"/>
              <w:left w:val="nil"/>
              <w:bottom w:val="single" w:sz="4" w:space="0" w:color="auto"/>
              <w:right w:val="single" w:sz="4" w:space="0" w:color="auto"/>
            </w:tcBorders>
            <w:shd w:val="clear" w:color="auto" w:fill="auto"/>
            <w:vAlign w:val="center"/>
            <w:hideMark/>
          </w:tcPr>
          <w:p w14:paraId="1A2E60A8" w14:textId="77777777" w:rsidR="00860572" w:rsidRPr="00BF17B0" w:rsidRDefault="00860572" w:rsidP="00505D06">
            <w:pPr>
              <w:pStyle w:val="TableText"/>
            </w:pPr>
            <w:r w:rsidRPr="00BF17B0">
              <w:t>42,788,758</w:t>
            </w:r>
          </w:p>
        </w:tc>
      </w:tr>
    </w:tbl>
    <w:p w14:paraId="03FE7ACC" w14:textId="77777777" w:rsidR="001F7786" w:rsidRPr="00BF17B0" w:rsidRDefault="001F7786" w:rsidP="000F5A19">
      <w:pPr>
        <w:rPr>
          <w:rFonts w:asciiTheme="minorHAnsi" w:hAnsiTheme="minorHAnsi" w:cstheme="minorHAnsi"/>
        </w:rPr>
      </w:pPr>
    </w:p>
    <w:p w14:paraId="54B995A3" w14:textId="3E550BA4" w:rsidR="005D6F9E" w:rsidRPr="00BF17B0" w:rsidRDefault="004E18C1" w:rsidP="000F5A19">
      <w:pPr>
        <w:rPr>
          <w:rFonts w:asciiTheme="minorHAnsi" w:hAnsiTheme="minorHAnsi" w:cstheme="minorHAnsi"/>
        </w:rPr>
      </w:pPr>
      <w:r w:rsidRPr="00BF17B0">
        <w:rPr>
          <w:rFonts w:asciiTheme="minorHAnsi" w:hAnsiTheme="minorHAnsi" w:cstheme="minorHAnsi"/>
        </w:rPr>
        <w:fldChar w:fldCharType="begin"/>
      </w:r>
      <w:r w:rsidRPr="00BF17B0">
        <w:rPr>
          <w:rFonts w:asciiTheme="minorHAnsi" w:hAnsiTheme="minorHAnsi" w:cstheme="minorHAnsi"/>
        </w:rPr>
        <w:instrText xml:space="preserve"> REF _Ref530991690 \h  \* MERGEFORMAT </w:instrText>
      </w:r>
      <w:r w:rsidRPr="00BF17B0">
        <w:rPr>
          <w:rFonts w:asciiTheme="minorHAnsi" w:hAnsiTheme="minorHAnsi" w:cstheme="minorHAnsi"/>
        </w:rPr>
      </w:r>
      <w:r w:rsidRPr="00BF17B0">
        <w:rPr>
          <w:rFonts w:asciiTheme="minorHAnsi" w:hAnsiTheme="minorHAnsi" w:cstheme="minorHAnsi"/>
        </w:rPr>
        <w:fldChar w:fldCharType="separate"/>
      </w:r>
      <w:r w:rsidR="00F338BE" w:rsidRPr="00BF17B0">
        <w:rPr>
          <w:rFonts w:asciiTheme="minorHAnsi" w:hAnsiTheme="minorHAnsi" w:cstheme="minorHAnsi"/>
        </w:rPr>
        <w:t xml:space="preserve">Figure </w:t>
      </w:r>
      <w:r w:rsidR="00F338BE">
        <w:rPr>
          <w:rFonts w:asciiTheme="minorHAnsi" w:hAnsiTheme="minorHAnsi" w:cstheme="minorHAnsi"/>
          <w:noProof/>
        </w:rPr>
        <w:t>2</w:t>
      </w:r>
      <w:r w:rsidR="00F338BE" w:rsidRPr="00BF17B0">
        <w:rPr>
          <w:rFonts w:asciiTheme="minorHAnsi" w:hAnsiTheme="minorHAnsi" w:cstheme="minorHAnsi"/>
          <w:noProof/>
        </w:rPr>
        <w:noBreakHyphen/>
      </w:r>
      <w:r w:rsidR="00F338BE">
        <w:rPr>
          <w:rFonts w:asciiTheme="minorHAnsi" w:hAnsiTheme="minorHAnsi" w:cstheme="minorHAnsi"/>
          <w:noProof/>
        </w:rPr>
        <w:t>3</w:t>
      </w:r>
      <w:r w:rsidRPr="00BF17B0">
        <w:rPr>
          <w:rFonts w:asciiTheme="minorHAnsi" w:hAnsiTheme="minorHAnsi" w:cstheme="minorHAnsi"/>
        </w:rPr>
        <w:fldChar w:fldCharType="end"/>
      </w:r>
      <w:r w:rsidRPr="00BF17B0">
        <w:rPr>
          <w:rFonts w:asciiTheme="minorHAnsi" w:hAnsiTheme="minorHAnsi" w:cstheme="minorHAnsi"/>
        </w:rPr>
        <w:t xml:space="preserve"> </w:t>
      </w:r>
      <w:r w:rsidR="000F5A19" w:rsidRPr="00BF17B0">
        <w:rPr>
          <w:rFonts w:asciiTheme="minorHAnsi" w:hAnsiTheme="minorHAnsi" w:cstheme="minorHAnsi"/>
        </w:rPr>
        <w:t xml:space="preserve">compares the cumulative contributions and disbursements </w:t>
      </w:r>
      <w:r w:rsidR="00C91D2F" w:rsidRPr="00BF17B0">
        <w:rPr>
          <w:rFonts w:asciiTheme="minorHAnsi" w:hAnsiTheme="minorHAnsi" w:cstheme="minorHAnsi"/>
        </w:rPr>
        <w:t xml:space="preserve">of </w:t>
      </w:r>
      <w:r w:rsidR="000F5A19" w:rsidRPr="00BF17B0">
        <w:rPr>
          <w:rFonts w:asciiTheme="minorHAnsi" w:hAnsiTheme="minorHAnsi" w:cstheme="minorHAnsi"/>
        </w:rPr>
        <w:t xml:space="preserve">the </w:t>
      </w:r>
      <w:r w:rsidR="006D1856" w:rsidRPr="00BF17B0">
        <w:rPr>
          <w:rFonts w:asciiTheme="minorHAnsi" w:hAnsiTheme="minorHAnsi" w:cstheme="minorHAnsi"/>
        </w:rPr>
        <w:t>PH-PTF</w:t>
      </w:r>
      <w:r w:rsidR="000F5A19" w:rsidRPr="00BF17B0">
        <w:rPr>
          <w:rFonts w:asciiTheme="minorHAnsi" w:hAnsiTheme="minorHAnsi" w:cstheme="minorHAnsi"/>
        </w:rPr>
        <w:t xml:space="preserve"> over the life of the </w:t>
      </w:r>
      <w:r w:rsidR="006C708E" w:rsidRPr="00BF17B0">
        <w:rPr>
          <w:rFonts w:asciiTheme="minorHAnsi" w:hAnsiTheme="minorHAnsi" w:cstheme="minorHAnsi"/>
        </w:rPr>
        <w:t>fund</w:t>
      </w:r>
      <w:r w:rsidR="00EB211F" w:rsidRPr="00BF17B0">
        <w:rPr>
          <w:rFonts w:asciiTheme="minorHAnsi" w:hAnsiTheme="minorHAnsi" w:cstheme="minorHAnsi"/>
        </w:rPr>
        <w:t xml:space="preserve">. </w:t>
      </w:r>
      <w:r w:rsidR="006C708E" w:rsidRPr="00BF17B0">
        <w:rPr>
          <w:rFonts w:asciiTheme="minorHAnsi" w:hAnsiTheme="minorHAnsi" w:cstheme="minorHAnsi"/>
        </w:rPr>
        <w:t>I</w:t>
      </w:r>
      <w:r w:rsidR="000F5A19" w:rsidRPr="00BF17B0">
        <w:rPr>
          <w:rFonts w:asciiTheme="minorHAnsi" w:hAnsiTheme="minorHAnsi" w:cstheme="minorHAnsi"/>
        </w:rPr>
        <w:t xml:space="preserve">n the early years of </w:t>
      </w:r>
      <w:r w:rsidR="00804FD7" w:rsidRPr="00BF17B0">
        <w:rPr>
          <w:rFonts w:asciiTheme="minorHAnsi" w:hAnsiTheme="minorHAnsi" w:cstheme="minorHAnsi"/>
        </w:rPr>
        <w:t xml:space="preserve">the </w:t>
      </w:r>
      <w:r w:rsidR="006D1856" w:rsidRPr="00BF17B0">
        <w:rPr>
          <w:rFonts w:asciiTheme="minorHAnsi" w:hAnsiTheme="minorHAnsi" w:cstheme="minorHAnsi"/>
        </w:rPr>
        <w:t>PH-PTF</w:t>
      </w:r>
      <w:r w:rsidR="000F5A19" w:rsidRPr="00BF17B0">
        <w:rPr>
          <w:rFonts w:asciiTheme="minorHAnsi" w:hAnsiTheme="minorHAnsi" w:cstheme="minorHAnsi"/>
        </w:rPr>
        <w:t xml:space="preserve">, disbursements </w:t>
      </w:r>
      <w:r w:rsidR="007E6E46" w:rsidRPr="00BF17B0">
        <w:rPr>
          <w:rFonts w:asciiTheme="minorHAnsi" w:hAnsiTheme="minorHAnsi" w:cstheme="minorHAnsi"/>
        </w:rPr>
        <w:t xml:space="preserve">were </w:t>
      </w:r>
      <w:r w:rsidR="000F5A19" w:rsidRPr="00BF17B0">
        <w:rPr>
          <w:rFonts w:asciiTheme="minorHAnsi" w:hAnsiTheme="minorHAnsi" w:cstheme="minorHAnsi"/>
        </w:rPr>
        <w:t>slow</w:t>
      </w:r>
      <w:r w:rsidR="006C708E" w:rsidRPr="00BF17B0">
        <w:rPr>
          <w:rFonts w:asciiTheme="minorHAnsi" w:hAnsiTheme="minorHAnsi" w:cstheme="minorHAnsi"/>
        </w:rPr>
        <w:t xml:space="preserve"> relative to DFAT’s contributions</w:t>
      </w:r>
      <w:r w:rsidR="00EB211F" w:rsidRPr="00BF17B0">
        <w:rPr>
          <w:rFonts w:asciiTheme="minorHAnsi" w:hAnsiTheme="minorHAnsi" w:cstheme="minorHAnsi"/>
        </w:rPr>
        <w:t xml:space="preserve">. </w:t>
      </w:r>
      <w:r w:rsidR="000F5A19" w:rsidRPr="00BF17B0">
        <w:rPr>
          <w:rFonts w:asciiTheme="minorHAnsi" w:hAnsiTheme="minorHAnsi" w:cstheme="minorHAnsi"/>
        </w:rPr>
        <w:t xml:space="preserve">This </w:t>
      </w:r>
      <w:r w:rsidR="007E6E46" w:rsidRPr="00BF17B0">
        <w:rPr>
          <w:rFonts w:asciiTheme="minorHAnsi" w:hAnsiTheme="minorHAnsi" w:cstheme="minorHAnsi"/>
        </w:rPr>
        <w:t xml:space="preserve">was </w:t>
      </w:r>
      <w:r w:rsidR="000F5A19" w:rsidRPr="00BF17B0">
        <w:rPr>
          <w:rFonts w:asciiTheme="minorHAnsi" w:hAnsiTheme="minorHAnsi" w:cstheme="minorHAnsi"/>
        </w:rPr>
        <w:t xml:space="preserve">due </w:t>
      </w:r>
      <w:r w:rsidR="007E6E46" w:rsidRPr="00BF17B0">
        <w:rPr>
          <w:rFonts w:asciiTheme="minorHAnsi" w:hAnsiTheme="minorHAnsi" w:cstheme="minorHAnsi"/>
        </w:rPr>
        <w:t xml:space="preserve">partly </w:t>
      </w:r>
      <w:r w:rsidR="000F5A19" w:rsidRPr="00BF17B0">
        <w:rPr>
          <w:rFonts w:asciiTheme="minorHAnsi" w:hAnsiTheme="minorHAnsi" w:cstheme="minorHAnsi"/>
        </w:rPr>
        <w:t xml:space="preserve">to the </w:t>
      </w:r>
      <w:r w:rsidR="006C708E" w:rsidRPr="00BF17B0">
        <w:rPr>
          <w:rFonts w:asciiTheme="minorHAnsi" w:hAnsiTheme="minorHAnsi" w:cstheme="minorHAnsi"/>
        </w:rPr>
        <w:t>approval</w:t>
      </w:r>
      <w:r w:rsidR="00D02C8F" w:rsidRPr="00BF17B0">
        <w:rPr>
          <w:rFonts w:asciiTheme="minorHAnsi" w:hAnsiTheme="minorHAnsi" w:cstheme="minorHAnsi"/>
        </w:rPr>
        <w:t xml:space="preserve"> </w:t>
      </w:r>
      <w:r w:rsidR="006C708E" w:rsidRPr="00BF17B0">
        <w:rPr>
          <w:rFonts w:asciiTheme="minorHAnsi" w:hAnsiTheme="minorHAnsi" w:cstheme="minorHAnsi"/>
        </w:rPr>
        <w:t xml:space="preserve">of large </w:t>
      </w:r>
      <w:r w:rsidR="007E6E46" w:rsidRPr="00BF17B0">
        <w:rPr>
          <w:rFonts w:asciiTheme="minorHAnsi" w:hAnsiTheme="minorHAnsi" w:cstheme="minorHAnsi"/>
        </w:rPr>
        <w:t xml:space="preserve">recipient-executed </w:t>
      </w:r>
      <w:r w:rsidR="000F5A19" w:rsidRPr="00BF17B0">
        <w:rPr>
          <w:rFonts w:asciiTheme="minorHAnsi" w:hAnsiTheme="minorHAnsi" w:cstheme="minorHAnsi"/>
        </w:rPr>
        <w:t>grants</w:t>
      </w:r>
      <w:r w:rsidR="00D02C8F" w:rsidRPr="00BF17B0">
        <w:rPr>
          <w:rFonts w:asciiTheme="minorHAnsi" w:hAnsiTheme="minorHAnsi" w:cstheme="minorHAnsi"/>
        </w:rPr>
        <w:t xml:space="preserve"> that </w:t>
      </w:r>
      <w:r w:rsidR="008F4B29" w:rsidRPr="00BF17B0">
        <w:rPr>
          <w:rFonts w:asciiTheme="minorHAnsi" w:hAnsiTheme="minorHAnsi" w:cstheme="minorHAnsi"/>
        </w:rPr>
        <w:t xml:space="preserve">complemented </w:t>
      </w:r>
      <w:r w:rsidR="007E6E46" w:rsidRPr="00BF17B0">
        <w:rPr>
          <w:rFonts w:asciiTheme="minorHAnsi" w:hAnsiTheme="minorHAnsi" w:cstheme="minorHAnsi"/>
        </w:rPr>
        <w:t xml:space="preserve">World Bank </w:t>
      </w:r>
      <w:r w:rsidR="007F1206" w:rsidRPr="00BF17B0">
        <w:rPr>
          <w:rFonts w:asciiTheme="minorHAnsi" w:hAnsiTheme="minorHAnsi" w:cstheme="minorHAnsi"/>
        </w:rPr>
        <w:t>investment operations</w:t>
      </w:r>
      <w:r w:rsidR="00D02C8F" w:rsidRPr="00BF17B0">
        <w:rPr>
          <w:rFonts w:asciiTheme="minorHAnsi" w:hAnsiTheme="minorHAnsi" w:cstheme="minorHAnsi"/>
        </w:rPr>
        <w:t xml:space="preserve">. These grants </w:t>
      </w:r>
      <w:r w:rsidR="006C708E" w:rsidRPr="00BF17B0">
        <w:rPr>
          <w:rFonts w:asciiTheme="minorHAnsi" w:hAnsiTheme="minorHAnsi" w:cstheme="minorHAnsi"/>
        </w:rPr>
        <w:t>encountered delays</w:t>
      </w:r>
      <w:r w:rsidR="007F1206" w:rsidRPr="00BF17B0">
        <w:rPr>
          <w:rFonts w:asciiTheme="minorHAnsi" w:hAnsiTheme="minorHAnsi" w:cstheme="minorHAnsi"/>
        </w:rPr>
        <w:t xml:space="preserve"> </w:t>
      </w:r>
      <w:r w:rsidR="007E6E46" w:rsidRPr="00BF17B0">
        <w:rPr>
          <w:rFonts w:asciiTheme="minorHAnsi" w:hAnsiTheme="minorHAnsi" w:cstheme="minorHAnsi"/>
        </w:rPr>
        <w:t>in the initial stages</w:t>
      </w:r>
      <w:r w:rsidR="00F52FC5" w:rsidRPr="00BF17B0">
        <w:rPr>
          <w:rFonts w:asciiTheme="minorHAnsi" w:hAnsiTheme="minorHAnsi" w:cstheme="minorHAnsi"/>
        </w:rPr>
        <w:t xml:space="preserve">, as </w:t>
      </w:r>
      <w:r w:rsidR="00B0103A" w:rsidRPr="00BF17B0">
        <w:rPr>
          <w:rFonts w:asciiTheme="minorHAnsi" w:hAnsiTheme="minorHAnsi" w:cstheme="minorHAnsi"/>
        </w:rPr>
        <w:t xml:space="preserve">is </w:t>
      </w:r>
      <w:r w:rsidR="007F1206" w:rsidRPr="00BF17B0">
        <w:rPr>
          <w:rFonts w:asciiTheme="minorHAnsi" w:hAnsiTheme="minorHAnsi" w:cstheme="minorHAnsi"/>
        </w:rPr>
        <w:t xml:space="preserve">typical </w:t>
      </w:r>
      <w:r w:rsidR="00D92E1A" w:rsidRPr="00BF17B0">
        <w:rPr>
          <w:rFonts w:asciiTheme="minorHAnsi" w:hAnsiTheme="minorHAnsi" w:cstheme="minorHAnsi"/>
        </w:rPr>
        <w:t xml:space="preserve">in </w:t>
      </w:r>
      <w:r w:rsidR="007F1206" w:rsidRPr="00BF17B0">
        <w:rPr>
          <w:rFonts w:asciiTheme="minorHAnsi" w:hAnsiTheme="minorHAnsi" w:cstheme="minorHAnsi"/>
        </w:rPr>
        <w:t>recipient</w:t>
      </w:r>
      <w:r w:rsidR="00D92E1A" w:rsidRPr="00BF17B0">
        <w:rPr>
          <w:rFonts w:asciiTheme="minorHAnsi" w:hAnsiTheme="minorHAnsi" w:cstheme="minorHAnsi"/>
        </w:rPr>
        <w:t>-</w:t>
      </w:r>
      <w:r w:rsidR="007F1206" w:rsidRPr="00BF17B0">
        <w:rPr>
          <w:rFonts w:asciiTheme="minorHAnsi" w:hAnsiTheme="minorHAnsi" w:cstheme="minorHAnsi"/>
        </w:rPr>
        <w:t>execut</w:t>
      </w:r>
      <w:r w:rsidR="00D92E1A" w:rsidRPr="00BF17B0">
        <w:rPr>
          <w:rFonts w:asciiTheme="minorHAnsi" w:hAnsiTheme="minorHAnsi" w:cstheme="minorHAnsi"/>
        </w:rPr>
        <w:t>ed grants</w:t>
      </w:r>
      <w:r w:rsidR="00EB211F" w:rsidRPr="00BF17B0">
        <w:rPr>
          <w:rFonts w:asciiTheme="minorHAnsi" w:hAnsiTheme="minorHAnsi" w:cstheme="minorHAnsi"/>
        </w:rPr>
        <w:t xml:space="preserve">. </w:t>
      </w:r>
      <w:r w:rsidR="00C33C74">
        <w:rPr>
          <w:rFonts w:asciiTheme="minorHAnsi" w:hAnsiTheme="minorHAnsi" w:cstheme="minorHAnsi"/>
        </w:rPr>
        <w:t xml:space="preserve">Lengthy government project startup and procurement processes constrained disbursements in the early years. </w:t>
      </w:r>
      <w:r w:rsidR="000F5A19" w:rsidRPr="00BF17B0">
        <w:rPr>
          <w:rFonts w:asciiTheme="minorHAnsi" w:hAnsiTheme="minorHAnsi" w:cstheme="minorHAnsi"/>
        </w:rPr>
        <w:t xml:space="preserve">In later years </w:t>
      </w:r>
      <w:r w:rsidR="000E55C5" w:rsidRPr="00BF17B0">
        <w:rPr>
          <w:rFonts w:asciiTheme="minorHAnsi" w:hAnsiTheme="minorHAnsi" w:cstheme="minorHAnsi"/>
        </w:rPr>
        <w:t xml:space="preserve">overall </w:t>
      </w:r>
      <w:r w:rsidR="000F5A19" w:rsidRPr="00BF17B0">
        <w:rPr>
          <w:rFonts w:asciiTheme="minorHAnsi" w:hAnsiTheme="minorHAnsi" w:cstheme="minorHAnsi"/>
        </w:rPr>
        <w:t xml:space="preserve">disbursements </w:t>
      </w:r>
      <w:r w:rsidR="007F1206" w:rsidRPr="00BF17B0">
        <w:rPr>
          <w:rFonts w:asciiTheme="minorHAnsi" w:hAnsiTheme="minorHAnsi" w:cstheme="minorHAnsi"/>
        </w:rPr>
        <w:t xml:space="preserve">eventually </w:t>
      </w:r>
      <w:r w:rsidR="006C60C6" w:rsidRPr="00BF17B0">
        <w:rPr>
          <w:rFonts w:asciiTheme="minorHAnsi" w:hAnsiTheme="minorHAnsi" w:cstheme="minorHAnsi"/>
        </w:rPr>
        <w:t xml:space="preserve">increased, and </w:t>
      </w:r>
      <w:r w:rsidR="000F5A19" w:rsidRPr="00BF17B0">
        <w:rPr>
          <w:rFonts w:asciiTheme="minorHAnsi" w:hAnsiTheme="minorHAnsi" w:cstheme="minorHAnsi"/>
        </w:rPr>
        <w:t xml:space="preserve">by </w:t>
      </w:r>
      <w:r w:rsidR="00833B01" w:rsidRPr="00BF17B0">
        <w:rPr>
          <w:rFonts w:asciiTheme="minorHAnsi" w:hAnsiTheme="minorHAnsi" w:cstheme="minorHAnsi"/>
        </w:rPr>
        <w:t>mid-2019</w:t>
      </w:r>
      <w:r w:rsidR="00CC5C39" w:rsidRPr="00BF17B0">
        <w:rPr>
          <w:rFonts w:asciiTheme="minorHAnsi" w:hAnsiTheme="minorHAnsi" w:cstheme="minorHAnsi"/>
        </w:rPr>
        <w:t xml:space="preserve"> when the </w:t>
      </w:r>
      <w:r w:rsidR="006D1856" w:rsidRPr="00BF17B0">
        <w:rPr>
          <w:rFonts w:asciiTheme="minorHAnsi" w:hAnsiTheme="minorHAnsi" w:cstheme="minorHAnsi"/>
        </w:rPr>
        <w:t>PH-PTF</w:t>
      </w:r>
      <w:r w:rsidR="00EB0147" w:rsidRPr="00BF17B0">
        <w:rPr>
          <w:rFonts w:asciiTheme="minorHAnsi" w:hAnsiTheme="minorHAnsi" w:cstheme="minorHAnsi"/>
        </w:rPr>
        <w:t xml:space="preserve"> </w:t>
      </w:r>
      <w:r w:rsidR="00CC5C39" w:rsidRPr="00BF17B0">
        <w:rPr>
          <w:rFonts w:asciiTheme="minorHAnsi" w:hAnsiTheme="minorHAnsi" w:cstheme="minorHAnsi"/>
        </w:rPr>
        <w:t xml:space="preserve">closes, </w:t>
      </w:r>
      <w:r w:rsidR="001A31AC" w:rsidRPr="00BF17B0">
        <w:rPr>
          <w:rFonts w:asciiTheme="minorHAnsi" w:hAnsiTheme="minorHAnsi" w:cstheme="minorHAnsi"/>
        </w:rPr>
        <w:t>all</w:t>
      </w:r>
      <w:r w:rsidR="000F5A19" w:rsidRPr="00BF17B0">
        <w:rPr>
          <w:rFonts w:asciiTheme="minorHAnsi" w:hAnsiTheme="minorHAnsi" w:cstheme="minorHAnsi"/>
        </w:rPr>
        <w:t xml:space="preserve"> the contributions are expected to be</w:t>
      </w:r>
      <w:r w:rsidR="006C708E" w:rsidRPr="00BF17B0">
        <w:rPr>
          <w:rFonts w:asciiTheme="minorHAnsi" w:hAnsiTheme="minorHAnsi" w:cstheme="minorHAnsi"/>
        </w:rPr>
        <w:t xml:space="preserve"> fully </w:t>
      </w:r>
      <w:r w:rsidR="000F5A19" w:rsidRPr="00BF17B0">
        <w:rPr>
          <w:rFonts w:asciiTheme="minorHAnsi" w:hAnsiTheme="minorHAnsi" w:cstheme="minorHAnsi"/>
        </w:rPr>
        <w:t>disbursed.</w:t>
      </w:r>
      <w:r w:rsidR="00452021" w:rsidRPr="00BF17B0">
        <w:rPr>
          <w:rFonts w:asciiTheme="minorHAnsi" w:hAnsiTheme="minorHAnsi" w:cstheme="minorHAnsi"/>
        </w:rPr>
        <w:t xml:space="preserve"> </w:t>
      </w:r>
      <w:r w:rsidR="00C91D2F" w:rsidRPr="00BF17B0">
        <w:rPr>
          <w:rFonts w:asciiTheme="minorHAnsi" w:hAnsiTheme="minorHAnsi" w:cstheme="minorHAnsi"/>
        </w:rPr>
        <w:t>A</w:t>
      </w:r>
      <w:r w:rsidR="005D6F9E" w:rsidRPr="00BF17B0">
        <w:rPr>
          <w:rFonts w:asciiTheme="minorHAnsi" w:hAnsiTheme="minorHAnsi" w:cstheme="minorHAnsi"/>
        </w:rPr>
        <w:t>s of 30 June 2018</w:t>
      </w:r>
      <w:r w:rsidR="00C91D2F" w:rsidRPr="00BF17B0">
        <w:rPr>
          <w:rFonts w:asciiTheme="minorHAnsi" w:hAnsiTheme="minorHAnsi" w:cstheme="minorHAnsi"/>
        </w:rPr>
        <w:t xml:space="preserve">, total disbursements </w:t>
      </w:r>
      <w:r w:rsidR="005D6F9E" w:rsidRPr="00BF17B0">
        <w:rPr>
          <w:rFonts w:asciiTheme="minorHAnsi" w:hAnsiTheme="minorHAnsi" w:cstheme="minorHAnsi"/>
        </w:rPr>
        <w:t>were $39 million, of which $13.6 million were for recipient-executed grants and $25.4 million for Bank-executed grants.</w:t>
      </w:r>
    </w:p>
    <w:p w14:paraId="2E51BF71" w14:textId="77777777" w:rsidR="009C7FE7" w:rsidRPr="00BF17B0" w:rsidRDefault="009C7FE7" w:rsidP="009C7FE7">
      <w:pPr>
        <w:spacing w:line="259" w:lineRule="auto"/>
        <w:rPr>
          <w:rFonts w:asciiTheme="minorHAnsi" w:hAnsiTheme="minorHAnsi" w:cstheme="minorHAnsi"/>
        </w:rPr>
      </w:pPr>
      <w:r w:rsidRPr="00BF17B0">
        <w:rPr>
          <w:rFonts w:asciiTheme="minorHAnsi" w:hAnsiTheme="minorHAnsi" w:cstheme="minorHAnsi"/>
        </w:rPr>
        <w:t>World Bank trust fund management staff and task team leaders are keenly aware of the fund’s status and the 30 June 2019 closing date. Action is underway in collaboration with DFAT to approve some small quick-disbursing grants that will use the balance of available resources that are not used in existing active grants. It is expected that current active grants will disburse most of the funds that have been approved. As a result, the amount that may be returned to DFAT after fund closure is likely to be smaller than the investment income that was generated over the past 10 years.</w:t>
      </w:r>
      <w:r w:rsidRPr="00BF17B0">
        <w:rPr>
          <w:rStyle w:val="FootnoteReference"/>
          <w:rFonts w:asciiTheme="minorHAnsi" w:hAnsiTheme="minorHAnsi" w:cstheme="minorHAnsi"/>
        </w:rPr>
        <w:footnoteReference w:id="9"/>
      </w:r>
    </w:p>
    <w:p w14:paraId="7168D2C5" w14:textId="64DCD3E2" w:rsidR="009C7FE7" w:rsidRPr="00BF17B0" w:rsidRDefault="009C7FE7" w:rsidP="004230C5">
      <w:pPr>
        <w:rPr>
          <w:rFonts w:asciiTheme="minorHAnsi" w:hAnsiTheme="minorHAnsi" w:cstheme="minorHAnsi"/>
        </w:rPr>
      </w:pPr>
    </w:p>
    <w:p w14:paraId="3660EBB8" w14:textId="708117CA" w:rsidR="0098156D" w:rsidRPr="00BF17B0" w:rsidRDefault="0098156D" w:rsidP="001F7786">
      <w:pPr>
        <w:pStyle w:val="Caption"/>
        <w:rPr>
          <w:rFonts w:asciiTheme="minorHAnsi" w:hAnsiTheme="minorHAnsi" w:cstheme="minorHAnsi"/>
        </w:rPr>
      </w:pPr>
      <w:bookmarkStart w:id="82" w:name="_Ref530991690"/>
      <w:bookmarkStart w:id="83" w:name="_Toc532885887"/>
      <w:r w:rsidRPr="00BF17B0">
        <w:rPr>
          <w:rFonts w:asciiTheme="minorHAnsi" w:hAnsiTheme="minorHAnsi" w:cstheme="minorHAnsi"/>
        </w:rPr>
        <w:t xml:space="preserve">Figure </w:t>
      </w:r>
      <w:r w:rsidR="00766E4A" w:rsidRPr="00BF17B0">
        <w:rPr>
          <w:rFonts w:asciiTheme="minorHAnsi" w:hAnsiTheme="minorHAnsi" w:cstheme="minorHAnsi"/>
        </w:rPr>
        <w:fldChar w:fldCharType="begin"/>
      </w:r>
      <w:r w:rsidR="00766E4A" w:rsidRPr="00BF17B0">
        <w:rPr>
          <w:rFonts w:asciiTheme="minorHAnsi" w:hAnsiTheme="minorHAnsi" w:cstheme="minorHAnsi"/>
        </w:rPr>
        <w:instrText xml:space="preserve"> STYLEREF 1 \s </w:instrText>
      </w:r>
      <w:r w:rsidR="00766E4A" w:rsidRPr="00BF17B0">
        <w:rPr>
          <w:rFonts w:asciiTheme="minorHAnsi" w:hAnsiTheme="minorHAnsi" w:cstheme="minorHAnsi"/>
        </w:rPr>
        <w:fldChar w:fldCharType="separate"/>
      </w:r>
      <w:r w:rsidR="00F338BE">
        <w:rPr>
          <w:rFonts w:asciiTheme="minorHAnsi" w:hAnsiTheme="minorHAnsi" w:cstheme="minorHAnsi"/>
          <w:noProof/>
        </w:rPr>
        <w:t>2</w:t>
      </w:r>
      <w:r w:rsidR="00766E4A" w:rsidRPr="00BF17B0">
        <w:rPr>
          <w:rFonts w:asciiTheme="minorHAnsi" w:hAnsiTheme="minorHAnsi" w:cstheme="minorHAnsi"/>
        </w:rPr>
        <w:fldChar w:fldCharType="end"/>
      </w:r>
      <w:r w:rsidR="00766E4A" w:rsidRPr="00BF17B0">
        <w:rPr>
          <w:rFonts w:asciiTheme="minorHAnsi" w:hAnsiTheme="minorHAnsi" w:cstheme="minorHAnsi"/>
        </w:rPr>
        <w:noBreakHyphen/>
      </w:r>
      <w:r w:rsidR="00766E4A" w:rsidRPr="00BF17B0">
        <w:rPr>
          <w:rFonts w:asciiTheme="minorHAnsi" w:hAnsiTheme="minorHAnsi" w:cstheme="minorHAnsi"/>
        </w:rPr>
        <w:fldChar w:fldCharType="begin"/>
      </w:r>
      <w:r w:rsidR="00766E4A" w:rsidRPr="00BF17B0">
        <w:rPr>
          <w:rFonts w:asciiTheme="minorHAnsi" w:hAnsiTheme="minorHAnsi" w:cstheme="minorHAnsi"/>
        </w:rPr>
        <w:instrText xml:space="preserve"> SEQ Figure \* ARABIC \s 1 </w:instrText>
      </w:r>
      <w:r w:rsidR="00766E4A" w:rsidRPr="00BF17B0">
        <w:rPr>
          <w:rFonts w:asciiTheme="minorHAnsi" w:hAnsiTheme="minorHAnsi" w:cstheme="minorHAnsi"/>
        </w:rPr>
        <w:fldChar w:fldCharType="separate"/>
      </w:r>
      <w:r w:rsidR="00F338BE">
        <w:rPr>
          <w:rFonts w:asciiTheme="minorHAnsi" w:hAnsiTheme="minorHAnsi" w:cstheme="minorHAnsi"/>
          <w:noProof/>
        </w:rPr>
        <w:t>3</w:t>
      </w:r>
      <w:r w:rsidR="00766E4A" w:rsidRPr="00BF17B0">
        <w:rPr>
          <w:rFonts w:asciiTheme="minorHAnsi" w:hAnsiTheme="minorHAnsi" w:cstheme="minorHAnsi"/>
        </w:rPr>
        <w:fldChar w:fldCharType="end"/>
      </w:r>
      <w:bookmarkEnd w:id="82"/>
      <w:r w:rsidR="00F52FC5" w:rsidRPr="00BF17B0">
        <w:rPr>
          <w:rFonts w:asciiTheme="minorHAnsi" w:hAnsiTheme="minorHAnsi" w:cstheme="minorHAnsi"/>
        </w:rPr>
        <w:t>:</w:t>
      </w:r>
      <w:r w:rsidRPr="00BF17B0">
        <w:rPr>
          <w:rFonts w:asciiTheme="minorHAnsi" w:hAnsiTheme="minorHAnsi" w:cstheme="minorHAnsi"/>
        </w:rPr>
        <w:t xml:space="preserve"> </w:t>
      </w:r>
      <w:r w:rsidR="00015A04" w:rsidRPr="00BF17B0">
        <w:rPr>
          <w:rFonts w:asciiTheme="minorHAnsi" w:hAnsiTheme="minorHAnsi" w:cstheme="minorHAnsi"/>
        </w:rPr>
        <w:br/>
      </w:r>
      <w:r w:rsidRPr="00BF17B0">
        <w:rPr>
          <w:rFonts w:asciiTheme="minorHAnsi" w:hAnsiTheme="minorHAnsi" w:cstheme="minorHAnsi"/>
        </w:rPr>
        <w:t>Cumulative Contributions and Disbursements, FY</w:t>
      </w:r>
      <w:r w:rsidR="00224F7E" w:rsidRPr="00BF17B0">
        <w:rPr>
          <w:rFonts w:asciiTheme="minorHAnsi" w:hAnsiTheme="minorHAnsi" w:cstheme="minorHAnsi"/>
        </w:rPr>
        <w:t>20</w:t>
      </w:r>
      <w:r w:rsidRPr="00BF17B0">
        <w:rPr>
          <w:rFonts w:asciiTheme="minorHAnsi" w:hAnsiTheme="minorHAnsi" w:cstheme="minorHAnsi"/>
        </w:rPr>
        <w:t>09-18</w:t>
      </w:r>
      <w:bookmarkEnd w:id="83"/>
    </w:p>
    <w:p w14:paraId="3F3FB581" w14:textId="77777777" w:rsidR="005405DA" w:rsidRPr="00BF17B0" w:rsidRDefault="000F5A19" w:rsidP="00EC6121">
      <w:pPr>
        <w:jc w:val="center"/>
        <w:rPr>
          <w:rFonts w:asciiTheme="minorHAnsi" w:hAnsiTheme="minorHAnsi" w:cstheme="minorHAnsi"/>
        </w:rPr>
      </w:pPr>
      <w:r w:rsidRPr="00BF17B0">
        <w:rPr>
          <w:rFonts w:asciiTheme="minorHAnsi" w:hAnsiTheme="minorHAnsi" w:cstheme="minorHAnsi"/>
          <w:noProof/>
          <w:lang w:val="en-AU" w:eastAsia="en-AU"/>
        </w:rPr>
        <w:drawing>
          <wp:inline distT="0" distB="0" distL="0" distR="0" wp14:anchorId="2D67E887" wp14:editId="06504C54">
            <wp:extent cx="4348716" cy="21931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3">
                      <a:extLst>
                        <a:ext uri="{28A0092B-C50C-407E-A947-70E740481C1C}">
                          <a14:useLocalDpi xmlns:a14="http://schemas.microsoft.com/office/drawing/2010/main" val="0"/>
                        </a:ext>
                      </a:extLst>
                    </a:blip>
                    <a:srcRect t="18081"/>
                    <a:stretch/>
                  </pic:blipFill>
                  <pic:spPr bwMode="auto">
                    <a:xfrm>
                      <a:off x="0" y="0"/>
                      <a:ext cx="4357302" cy="2197528"/>
                    </a:xfrm>
                    <a:prstGeom prst="rect">
                      <a:avLst/>
                    </a:prstGeom>
                    <a:noFill/>
                    <a:ln>
                      <a:noFill/>
                    </a:ln>
                    <a:extLst>
                      <a:ext uri="{53640926-AAD7-44D8-BBD7-CCE9431645EC}">
                        <a14:shadowObscured xmlns:a14="http://schemas.microsoft.com/office/drawing/2010/main"/>
                      </a:ext>
                    </a:extLst>
                  </pic:spPr>
                </pic:pic>
              </a:graphicData>
            </a:graphic>
          </wp:inline>
        </w:drawing>
      </w:r>
    </w:p>
    <w:p w14:paraId="0A22F088" w14:textId="77777777" w:rsidR="004427CD" w:rsidRPr="00BF17B0" w:rsidRDefault="004427CD" w:rsidP="004230C5">
      <w:pPr>
        <w:rPr>
          <w:rFonts w:asciiTheme="minorHAnsi" w:hAnsiTheme="minorHAnsi" w:cstheme="minorHAnsi"/>
        </w:rPr>
      </w:pPr>
    </w:p>
    <w:p w14:paraId="79C3FC58" w14:textId="78151F83" w:rsidR="00012E3A" w:rsidRPr="00BF17B0" w:rsidRDefault="005D0A3E" w:rsidP="002C183A">
      <w:pPr>
        <w:pStyle w:val="Heading1"/>
        <w:rPr>
          <w:rFonts w:asciiTheme="minorHAnsi" w:hAnsiTheme="minorHAnsi" w:cstheme="minorHAnsi"/>
        </w:rPr>
      </w:pPr>
      <w:bookmarkStart w:id="84" w:name="_Toc530386617"/>
      <w:bookmarkStart w:id="85" w:name="_Toc530052247"/>
      <w:bookmarkStart w:id="86" w:name="_Toc530052396"/>
      <w:bookmarkStart w:id="87" w:name="_Toc530053928"/>
      <w:bookmarkStart w:id="88" w:name="_Toc530054985"/>
      <w:bookmarkStart w:id="89" w:name="_Toc530386618"/>
      <w:bookmarkStart w:id="90" w:name="_Toc530052249"/>
      <w:bookmarkStart w:id="91" w:name="_Toc530052398"/>
      <w:bookmarkStart w:id="92" w:name="_Toc530053930"/>
      <w:bookmarkStart w:id="93" w:name="_Toc530054987"/>
      <w:bookmarkStart w:id="94" w:name="_Toc530386620"/>
      <w:bookmarkStart w:id="95" w:name="_Toc530052253"/>
      <w:bookmarkStart w:id="96" w:name="_Toc530052402"/>
      <w:bookmarkStart w:id="97" w:name="_Toc530053934"/>
      <w:bookmarkStart w:id="98" w:name="_Toc530054991"/>
      <w:bookmarkStart w:id="99" w:name="_Toc530386624"/>
      <w:bookmarkStart w:id="100" w:name="_Toc530052293"/>
      <w:bookmarkStart w:id="101" w:name="_Toc530052442"/>
      <w:bookmarkStart w:id="102" w:name="_Toc530053974"/>
      <w:bookmarkStart w:id="103" w:name="_Toc530055031"/>
      <w:bookmarkStart w:id="104" w:name="_Toc530386664"/>
      <w:bookmarkStart w:id="105" w:name="_Toc530052294"/>
      <w:bookmarkStart w:id="106" w:name="_Toc530052443"/>
      <w:bookmarkStart w:id="107" w:name="_Toc530053975"/>
      <w:bookmarkStart w:id="108" w:name="_Toc530055032"/>
      <w:bookmarkStart w:id="109" w:name="_Toc530386665"/>
      <w:bookmarkStart w:id="110" w:name="_Toc530052296"/>
      <w:bookmarkStart w:id="111" w:name="_Toc530052445"/>
      <w:bookmarkStart w:id="112" w:name="_Toc530053977"/>
      <w:bookmarkStart w:id="113" w:name="_Toc530055034"/>
      <w:bookmarkStart w:id="114" w:name="_Toc530386667"/>
      <w:bookmarkStart w:id="115" w:name="_Toc530052299"/>
      <w:bookmarkStart w:id="116" w:name="_Toc530052448"/>
      <w:bookmarkStart w:id="117" w:name="_Toc530053980"/>
      <w:bookmarkStart w:id="118" w:name="_Toc530055037"/>
      <w:bookmarkStart w:id="119" w:name="_Toc530386670"/>
      <w:bookmarkStart w:id="120" w:name="_Toc530052324"/>
      <w:bookmarkStart w:id="121" w:name="_Toc530052473"/>
      <w:bookmarkStart w:id="122" w:name="_Toc530054005"/>
      <w:bookmarkStart w:id="123" w:name="_Toc530055062"/>
      <w:bookmarkStart w:id="124" w:name="_Toc530386695"/>
      <w:bookmarkStart w:id="125" w:name="_Toc530052325"/>
      <w:bookmarkStart w:id="126" w:name="_Toc530052474"/>
      <w:bookmarkStart w:id="127" w:name="_Toc530054006"/>
      <w:bookmarkStart w:id="128" w:name="_Toc530055063"/>
      <w:bookmarkStart w:id="129" w:name="_Toc530386696"/>
      <w:bookmarkStart w:id="130" w:name="_Toc530052326"/>
      <w:bookmarkStart w:id="131" w:name="_Toc530052475"/>
      <w:bookmarkStart w:id="132" w:name="_Toc530054007"/>
      <w:bookmarkStart w:id="133" w:name="_Toc530055064"/>
      <w:bookmarkStart w:id="134" w:name="_Toc530386697"/>
      <w:bookmarkStart w:id="135" w:name="_Ref532884626"/>
      <w:bookmarkStart w:id="136" w:name="_Toc532994290"/>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BF17B0">
        <w:rPr>
          <w:rFonts w:asciiTheme="minorHAnsi" w:hAnsiTheme="minorHAnsi" w:cstheme="minorHAnsi"/>
        </w:rPr>
        <w:t xml:space="preserve">PH-PTF </w:t>
      </w:r>
      <w:r w:rsidR="003568FD" w:rsidRPr="00BF17B0">
        <w:rPr>
          <w:rFonts w:asciiTheme="minorHAnsi" w:hAnsiTheme="minorHAnsi" w:cstheme="minorHAnsi"/>
        </w:rPr>
        <w:t>Implementation from 2009-1</w:t>
      </w:r>
      <w:bookmarkEnd w:id="135"/>
      <w:r w:rsidR="009C7FE7">
        <w:rPr>
          <w:rFonts w:asciiTheme="minorHAnsi" w:hAnsiTheme="minorHAnsi" w:cstheme="minorHAnsi"/>
        </w:rPr>
        <w:t>8</w:t>
      </w:r>
      <w:bookmarkEnd w:id="136"/>
    </w:p>
    <w:p w14:paraId="6EB4ADB5" w14:textId="77777777" w:rsidR="00565A2D" w:rsidRPr="00BF17B0" w:rsidRDefault="006C4FF1" w:rsidP="007223C6">
      <w:pPr>
        <w:rPr>
          <w:rFonts w:asciiTheme="minorHAnsi" w:hAnsiTheme="minorHAnsi" w:cstheme="minorHAnsi"/>
        </w:rPr>
      </w:pPr>
      <w:r w:rsidRPr="00BF17B0">
        <w:rPr>
          <w:rFonts w:asciiTheme="minorHAnsi" w:hAnsiTheme="minorHAnsi" w:cstheme="minorHAnsi"/>
        </w:rPr>
        <w:t>The</w:t>
      </w:r>
      <w:r w:rsidR="007F5C7E" w:rsidRPr="00BF17B0">
        <w:rPr>
          <w:rFonts w:asciiTheme="minorHAnsi" w:hAnsiTheme="minorHAnsi" w:cstheme="minorHAnsi"/>
        </w:rPr>
        <w:t xml:space="preserve"> </w:t>
      </w:r>
      <w:r w:rsidR="005D0A3E" w:rsidRPr="00BF17B0">
        <w:rPr>
          <w:rFonts w:asciiTheme="minorHAnsi" w:hAnsiTheme="minorHAnsi" w:cstheme="minorHAnsi"/>
        </w:rPr>
        <w:t>report</w:t>
      </w:r>
      <w:r w:rsidR="007F5C7E" w:rsidRPr="00BF17B0">
        <w:rPr>
          <w:rFonts w:asciiTheme="minorHAnsi" w:hAnsiTheme="minorHAnsi" w:cstheme="minorHAnsi"/>
        </w:rPr>
        <w:t xml:space="preserve"> focuse</w:t>
      </w:r>
      <w:r w:rsidR="007324EC" w:rsidRPr="00BF17B0">
        <w:rPr>
          <w:rFonts w:asciiTheme="minorHAnsi" w:hAnsiTheme="minorHAnsi" w:cstheme="minorHAnsi"/>
        </w:rPr>
        <w:t>d</w:t>
      </w:r>
      <w:r w:rsidR="007F5C7E" w:rsidRPr="00BF17B0">
        <w:rPr>
          <w:rFonts w:asciiTheme="minorHAnsi" w:hAnsiTheme="minorHAnsi" w:cstheme="minorHAnsi"/>
        </w:rPr>
        <w:t xml:space="preserve"> on </w:t>
      </w:r>
      <w:r w:rsidR="00A8619B" w:rsidRPr="00BF17B0">
        <w:rPr>
          <w:rFonts w:asciiTheme="minorHAnsi" w:hAnsiTheme="minorHAnsi" w:cstheme="minorHAnsi"/>
        </w:rPr>
        <w:t xml:space="preserve">three areas: </w:t>
      </w:r>
      <w:r w:rsidRPr="00BF17B0">
        <w:rPr>
          <w:rFonts w:asciiTheme="minorHAnsi" w:hAnsiTheme="minorHAnsi" w:cstheme="minorHAnsi"/>
        </w:rPr>
        <w:t>Effectiveness, Efficiency and Relevance</w:t>
      </w:r>
      <w:r w:rsidR="00A8619B" w:rsidRPr="00BF17B0">
        <w:rPr>
          <w:rFonts w:asciiTheme="minorHAnsi" w:hAnsiTheme="minorHAnsi" w:cstheme="minorHAnsi"/>
        </w:rPr>
        <w:t xml:space="preserve">. They </w:t>
      </w:r>
      <w:r w:rsidR="0090148E" w:rsidRPr="00BF17B0">
        <w:rPr>
          <w:rFonts w:asciiTheme="minorHAnsi" w:hAnsiTheme="minorHAnsi" w:cstheme="minorHAnsi"/>
        </w:rPr>
        <w:t xml:space="preserve">correspond to the </w:t>
      </w:r>
      <w:r w:rsidR="00B04DB0" w:rsidRPr="00BF17B0">
        <w:rPr>
          <w:rFonts w:asciiTheme="minorHAnsi" w:hAnsiTheme="minorHAnsi" w:cstheme="minorHAnsi"/>
        </w:rPr>
        <w:t xml:space="preserve">expected outcomes of the </w:t>
      </w:r>
      <w:r w:rsidR="006D1856" w:rsidRPr="00BF17B0">
        <w:rPr>
          <w:rFonts w:asciiTheme="minorHAnsi" w:hAnsiTheme="minorHAnsi" w:cstheme="minorHAnsi"/>
        </w:rPr>
        <w:t>PH-PTF</w:t>
      </w:r>
      <w:r w:rsidR="00A8619B" w:rsidRPr="00BF17B0">
        <w:rPr>
          <w:rFonts w:asciiTheme="minorHAnsi" w:hAnsiTheme="minorHAnsi" w:cstheme="minorHAnsi"/>
        </w:rPr>
        <w:t xml:space="preserve">, which are </w:t>
      </w:r>
      <w:r w:rsidR="007223C6" w:rsidRPr="00BF17B0">
        <w:rPr>
          <w:rFonts w:asciiTheme="minorHAnsi" w:hAnsiTheme="minorHAnsi" w:cstheme="minorHAnsi"/>
        </w:rPr>
        <w:t>Effectiveness (</w:t>
      </w:r>
      <w:r w:rsidR="00A8619B" w:rsidRPr="00BF17B0">
        <w:rPr>
          <w:rFonts w:asciiTheme="minorHAnsi" w:hAnsiTheme="minorHAnsi" w:cstheme="minorHAnsi"/>
        </w:rPr>
        <w:t>m</w:t>
      </w:r>
      <w:r w:rsidR="007223C6" w:rsidRPr="00BF17B0">
        <w:rPr>
          <w:rFonts w:asciiTheme="minorHAnsi" w:hAnsiTheme="minorHAnsi" w:cstheme="minorHAnsi"/>
        </w:rPr>
        <w:t>eaningful collaboration</w:t>
      </w:r>
      <w:r w:rsidR="0090148E" w:rsidRPr="00BF17B0">
        <w:rPr>
          <w:rFonts w:asciiTheme="minorHAnsi" w:hAnsiTheme="minorHAnsi" w:cstheme="minorHAnsi"/>
        </w:rPr>
        <w:t>), Efficiency</w:t>
      </w:r>
      <w:r w:rsidR="007223C6" w:rsidRPr="00BF17B0">
        <w:rPr>
          <w:rFonts w:asciiTheme="minorHAnsi" w:hAnsiTheme="minorHAnsi" w:cstheme="minorHAnsi"/>
        </w:rPr>
        <w:t xml:space="preserve"> (</w:t>
      </w:r>
      <w:r w:rsidR="00A8619B" w:rsidRPr="00BF17B0">
        <w:rPr>
          <w:rFonts w:asciiTheme="minorHAnsi" w:hAnsiTheme="minorHAnsi" w:cstheme="minorHAnsi"/>
        </w:rPr>
        <w:t>s</w:t>
      </w:r>
      <w:r w:rsidR="007223C6" w:rsidRPr="00BF17B0">
        <w:rPr>
          <w:rFonts w:asciiTheme="minorHAnsi" w:hAnsiTheme="minorHAnsi" w:cstheme="minorHAnsi"/>
        </w:rPr>
        <w:t xml:space="preserve">trategic and </w:t>
      </w:r>
      <w:r w:rsidR="00A8619B" w:rsidRPr="00BF17B0">
        <w:rPr>
          <w:rFonts w:asciiTheme="minorHAnsi" w:hAnsiTheme="minorHAnsi" w:cstheme="minorHAnsi"/>
        </w:rPr>
        <w:t>e</w:t>
      </w:r>
      <w:r w:rsidR="007223C6" w:rsidRPr="00BF17B0">
        <w:rPr>
          <w:rFonts w:asciiTheme="minorHAnsi" w:hAnsiTheme="minorHAnsi" w:cstheme="minorHAnsi"/>
        </w:rPr>
        <w:t xml:space="preserve">fficient </w:t>
      </w:r>
      <w:r w:rsidR="00A8619B" w:rsidRPr="00BF17B0">
        <w:rPr>
          <w:rFonts w:asciiTheme="minorHAnsi" w:hAnsiTheme="minorHAnsi" w:cstheme="minorHAnsi"/>
        </w:rPr>
        <w:t>u</w:t>
      </w:r>
      <w:r w:rsidR="007223C6" w:rsidRPr="00BF17B0">
        <w:rPr>
          <w:rFonts w:asciiTheme="minorHAnsi" w:hAnsiTheme="minorHAnsi" w:cstheme="minorHAnsi"/>
        </w:rPr>
        <w:t xml:space="preserve">se of </w:t>
      </w:r>
      <w:r w:rsidR="00A8619B" w:rsidRPr="00BF17B0">
        <w:rPr>
          <w:rFonts w:asciiTheme="minorHAnsi" w:hAnsiTheme="minorHAnsi" w:cstheme="minorHAnsi"/>
        </w:rPr>
        <w:t>r</w:t>
      </w:r>
      <w:r w:rsidR="007223C6" w:rsidRPr="00BF17B0">
        <w:rPr>
          <w:rFonts w:asciiTheme="minorHAnsi" w:hAnsiTheme="minorHAnsi" w:cstheme="minorHAnsi"/>
        </w:rPr>
        <w:t>esources</w:t>
      </w:r>
      <w:r w:rsidR="0090148E" w:rsidRPr="00BF17B0">
        <w:rPr>
          <w:rFonts w:asciiTheme="minorHAnsi" w:hAnsiTheme="minorHAnsi" w:cstheme="minorHAnsi"/>
        </w:rPr>
        <w:t>),</w:t>
      </w:r>
      <w:r w:rsidR="007223C6" w:rsidRPr="00BF17B0">
        <w:rPr>
          <w:rFonts w:asciiTheme="minorHAnsi" w:hAnsiTheme="minorHAnsi" w:cstheme="minorHAnsi"/>
        </w:rPr>
        <w:t xml:space="preserve"> </w:t>
      </w:r>
      <w:r w:rsidR="00565A2D" w:rsidRPr="00BF17B0">
        <w:rPr>
          <w:rFonts w:asciiTheme="minorHAnsi" w:hAnsiTheme="minorHAnsi" w:cstheme="minorHAnsi"/>
        </w:rPr>
        <w:t xml:space="preserve">and </w:t>
      </w:r>
      <w:r w:rsidR="007223C6" w:rsidRPr="00BF17B0">
        <w:rPr>
          <w:rFonts w:asciiTheme="minorHAnsi" w:hAnsiTheme="minorHAnsi" w:cstheme="minorHAnsi"/>
        </w:rPr>
        <w:t>Relevance (</w:t>
      </w:r>
      <w:r w:rsidR="00A8619B" w:rsidRPr="00BF17B0">
        <w:rPr>
          <w:rFonts w:asciiTheme="minorHAnsi" w:hAnsiTheme="minorHAnsi" w:cstheme="minorHAnsi"/>
        </w:rPr>
        <w:t>a</w:t>
      </w:r>
      <w:r w:rsidR="007223C6" w:rsidRPr="00BF17B0">
        <w:rPr>
          <w:rFonts w:asciiTheme="minorHAnsi" w:hAnsiTheme="minorHAnsi" w:cstheme="minorHAnsi"/>
        </w:rPr>
        <w:t xml:space="preserve">chievement of </w:t>
      </w:r>
      <w:r w:rsidR="00A8619B" w:rsidRPr="00BF17B0">
        <w:rPr>
          <w:rFonts w:asciiTheme="minorHAnsi" w:hAnsiTheme="minorHAnsi" w:cstheme="minorHAnsi"/>
        </w:rPr>
        <w:t>s</w:t>
      </w:r>
      <w:r w:rsidR="007223C6" w:rsidRPr="00BF17B0">
        <w:rPr>
          <w:rFonts w:asciiTheme="minorHAnsi" w:hAnsiTheme="minorHAnsi" w:cstheme="minorHAnsi"/>
        </w:rPr>
        <w:t xml:space="preserve">hared </w:t>
      </w:r>
      <w:r w:rsidR="00A8619B" w:rsidRPr="00BF17B0">
        <w:rPr>
          <w:rFonts w:asciiTheme="minorHAnsi" w:hAnsiTheme="minorHAnsi" w:cstheme="minorHAnsi"/>
        </w:rPr>
        <w:t>o</w:t>
      </w:r>
      <w:r w:rsidR="007223C6" w:rsidRPr="00BF17B0">
        <w:rPr>
          <w:rFonts w:asciiTheme="minorHAnsi" w:hAnsiTheme="minorHAnsi" w:cstheme="minorHAnsi"/>
        </w:rPr>
        <w:t>bjectives</w:t>
      </w:r>
      <w:r w:rsidR="00565A2D" w:rsidRPr="00BF17B0">
        <w:rPr>
          <w:rFonts w:asciiTheme="minorHAnsi" w:hAnsiTheme="minorHAnsi" w:cstheme="minorHAnsi"/>
        </w:rPr>
        <w:t>)</w:t>
      </w:r>
      <w:r w:rsidR="00EB211F" w:rsidRPr="00BF17B0">
        <w:rPr>
          <w:rFonts w:asciiTheme="minorHAnsi" w:hAnsiTheme="minorHAnsi" w:cstheme="minorHAnsi"/>
        </w:rPr>
        <w:t xml:space="preserve">. </w:t>
      </w:r>
      <w:r w:rsidR="007223C6" w:rsidRPr="00BF17B0">
        <w:rPr>
          <w:rFonts w:asciiTheme="minorHAnsi" w:hAnsiTheme="minorHAnsi" w:cstheme="minorHAnsi"/>
        </w:rPr>
        <w:t xml:space="preserve">In addition, the </w:t>
      </w:r>
      <w:r w:rsidR="004E693D" w:rsidRPr="00BF17B0">
        <w:rPr>
          <w:rFonts w:asciiTheme="minorHAnsi" w:hAnsiTheme="minorHAnsi" w:cstheme="minorHAnsi"/>
        </w:rPr>
        <w:t>S</w:t>
      </w:r>
      <w:r w:rsidR="007223C6" w:rsidRPr="00BF17B0">
        <w:rPr>
          <w:rFonts w:asciiTheme="minorHAnsi" w:hAnsiTheme="minorHAnsi" w:cstheme="minorHAnsi"/>
        </w:rPr>
        <w:t xml:space="preserve">ustainability of </w:t>
      </w:r>
      <w:r w:rsidR="004E693D" w:rsidRPr="00BF17B0">
        <w:rPr>
          <w:rFonts w:asciiTheme="minorHAnsi" w:hAnsiTheme="minorHAnsi" w:cstheme="minorHAnsi"/>
        </w:rPr>
        <w:t>O</w:t>
      </w:r>
      <w:r w:rsidR="007223C6" w:rsidRPr="00BF17B0">
        <w:rPr>
          <w:rFonts w:asciiTheme="minorHAnsi" w:hAnsiTheme="minorHAnsi" w:cstheme="minorHAnsi"/>
        </w:rPr>
        <w:t xml:space="preserve">utcomes is discussed separately, as </w:t>
      </w:r>
      <w:r w:rsidR="00E8300B" w:rsidRPr="00BF17B0">
        <w:rPr>
          <w:rFonts w:asciiTheme="minorHAnsi" w:hAnsiTheme="minorHAnsi" w:cstheme="minorHAnsi"/>
        </w:rPr>
        <w:t>are</w:t>
      </w:r>
      <w:r w:rsidR="007223C6" w:rsidRPr="00BF17B0">
        <w:rPr>
          <w:rFonts w:asciiTheme="minorHAnsi" w:hAnsiTheme="minorHAnsi" w:cstheme="minorHAnsi"/>
        </w:rPr>
        <w:t xml:space="preserve"> the quality of </w:t>
      </w:r>
      <w:r w:rsidR="004E693D" w:rsidRPr="00BF17B0">
        <w:rPr>
          <w:rFonts w:asciiTheme="minorHAnsi" w:hAnsiTheme="minorHAnsi" w:cstheme="minorHAnsi"/>
        </w:rPr>
        <w:t>M</w:t>
      </w:r>
      <w:r w:rsidR="007223C6" w:rsidRPr="00BF17B0">
        <w:rPr>
          <w:rFonts w:asciiTheme="minorHAnsi" w:hAnsiTheme="minorHAnsi" w:cstheme="minorHAnsi"/>
        </w:rPr>
        <w:t xml:space="preserve">onitoring and </w:t>
      </w:r>
      <w:r w:rsidR="004E693D" w:rsidRPr="00BF17B0">
        <w:rPr>
          <w:rFonts w:asciiTheme="minorHAnsi" w:hAnsiTheme="minorHAnsi" w:cstheme="minorHAnsi"/>
        </w:rPr>
        <w:t>E</w:t>
      </w:r>
      <w:r w:rsidR="007223C6" w:rsidRPr="00BF17B0">
        <w:rPr>
          <w:rFonts w:asciiTheme="minorHAnsi" w:hAnsiTheme="minorHAnsi" w:cstheme="minorHAnsi"/>
        </w:rPr>
        <w:t>valuation</w:t>
      </w:r>
      <w:r w:rsidR="00A8619B" w:rsidRPr="00BF17B0">
        <w:rPr>
          <w:rFonts w:asciiTheme="minorHAnsi" w:hAnsiTheme="minorHAnsi" w:cstheme="minorHAnsi"/>
        </w:rPr>
        <w:t xml:space="preserve">, </w:t>
      </w:r>
      <w:r w:rsidR="00404FD0" w:rsidRPr="00BF17B0">
        <w:rPr>
          <w:rFonts w:asciiTheme="minorHAnsi" w:hAnsiTheme="minorHAnsi" w:cstheme="minorHAnsi"/>
        </w:rPr>
        <w:t xml:space="preserve">and </w:t>
      </w:r>
      <w:r w:rsidR="004E693D" w:rsidRPr="00BF17B0">
        <w:rPr>
          <w:rFonts w:asciiTheme="minorHAnsi" w:hAnsiTheme="minorHAnsi" w:cstheme="minorHAnsi"/>
        </w:rPr>
        <w:t>D</w:t>
      </w:r>
      <w:r w:rsidR="00404FD0" w:rsidRPr="00BF17B0">
        <w:rPr>
          <w:rFonts w:asciiTheme="minorHAnsi" w:hAnsiTheme="minorHAnsi" w:cstheme="minorHAnsi"/>
        </w:rPr>
        <w:t xml:space="preserve">onor </w:t>
      </w:r>
      <w:r w:rsidR="004E693D" w:rsidRPr="00BF17B0">
        <w:rPr>
          <w:rFonts w:asciiTheme="minorHAnsi" w:hAnsiTheme="minorHAnsi" w:cstheme="minorHAnsi"/>
        </w:rPr>
        <w:t>V</w:t>
      </w:r>
      <w:r w:rsidR="00404FD0" w:rsidRPr="00BF17B0">
        <w:rPr>
          <w:rFonts w:asciiTheme="minorHAnsi" w:hAnsiTheme="minorHAnsi" w:cstheme="minorHAnsi"/>
        </w:rPr>
        <w:t>isibility</w:t>
      </w:r>
      <w:r w:rsidR="00EB211F" w:rsidRPr="00BF17B0">
        <w:rPr>
          <w:rFonts w:asciiTheme="minorHAnsi" w:hAnsiTheme="minorHAnsi" w:cstheme="minorHAnsi"/>
        </w:rPr>
        <w:t xml:space="preserve">. </w:t>
      </w:r>
    </w:p>
    <w:p w14:paraId="2478EEC5" w14:textId="77777777" w:rsidR="00FA50F0" w:rsidRPr="00BF17B0" w:rsidRDefault="00C40262" w:rsidP="005B0402">
      <w:pPr>
        <w:rPr>
          <w:rFonts w:asciiTheme="minorHAnsi" w:hAnsiTheme="minorHAnsi" w:cstheme="minorHAnsi"/>
        </w:rPr>
      </w:pPr>
      <w:r w:rsidRPr="00BF17B0">
        <w:rPr>
          <w:rFonts w:asciiTheme="minorHAnsi" w:hAnsiTheme="minorHAnsi" w:cstheme="minorHAnsi"/>
        </w:rPr>
        <w:t>Highlights of the detailed</w:t>
      </w:r>
      <w:r w:rsidR="00E2439C" w:rsidRPr="00BF17B0">
        <w:rPr>
          <w:rFonts w:asciiTheme="minorHAnsi" w:hAnsiTheme="minorHAnsi" w:cstheme="minorHAnsi"/>
        </w:rPr>
        <w:t xml:space="preserve"> review of 65 approved grants</w:t>
      </w:r>
      <w:r w:rsidRPr="00BF17B0">
        <w:rPr>
          <w:rFonts w:asciiTheme="minorHAnsi" w:hAnsiTheme="minorHAnsi" w:cstheme="minorHAnsi"/>
        </w:rPr>
        <w:t xml:space="preserve"> </w:t>
      </w:r>
      <w:r w:rsidR="00FE1489" w:rsidRPr="00BF17B0">
        <w:rPr>
          <w:rFonts w:asciiTheme="minorHAnsi" w:hAnsiTheme="minorHAnsi" w:cstheme="minorHAnsi"/>
        </w:rPr>
        <w:t>are also presented. Note that t</w:t>
      </w:r>
      <w:r w:rsidR="00E2439C" w:rsidRPr="00BF17B0">
        <w:rPr>
          <w:rFonts w:asciiTheme="minorHAnsi" w:hAnsiTheme="minorHAnsi" w:cstheme="minorHAnsi"/>
        </w:rPr>
        <w:t>he discussion of cross-cutting issues pertains only to the grants</w:t>
      </w:r>
      <w:r w:rsidR="007C2868" w:rsidRPr="00BF17B0">
        <w:rPr>
          <w:rFonts w:asciiTheme="minorHAnsi" w:hAnsiTheme="minorHAnsi" w:cstheme="minorHAnsi"/>
        </w:rPr>
        <w:t xml:space="preserve"> and not to the overall program</w:t>
      </w:r>
      <w:r w:rsidR="00E2439C" w:rsidRPr="00BF17B0">
        <w:rPr>
          <w:rFonts w:asciiTheme="minorHAnsi" w:hAnsiTheme="minorHAnsi" w:cstheme="minorHAnsi"/>
        </w:rPr>
        <w:t>.</w:t>
      </w:r>
      <w:r w:rsidR="002B4558" w:rsidRPr="00BF17B0">
        <w:rPr>
          <w:rFonts w:asciiTheme="minorHAnsi" w:hAnsiTheme="minorHAnsi" w:cstheme="minorHAnsi"/>
        </w:rPr>
        <w:t xml:space="preserve"> </w:t>
      </w:r>
      <w:r w:rsidR="00E2439C" w:rsidRPr="00BF17B0">
        <w:rPr>
          <w:rFonts w:asciiTheme="minorHAnsi" w:hAnsiTheme="minorHAnsi" w:cstheme="minorHAnsi"/>
        </w:rPr>
        <w:t xml:space="preserve">The assessment of cross-cutting issues </w:t>
      </w:r>
      <w:r w:rsidR="00AE0CAB" w:rsidRPr="00BF17B0">
        <w:rPr>
          <w:rFonts w:asciiTheme="minorHAnsi" w:hAnsiTheme="minorHAnsi" w:cstheme="minorHAnsi"/>
        </w:rPr>
        <w:t>wa</w:t>
      </w:r>
      <w:r w:rsidR="00E2439C" w:rsidRPr="00BF17B0">
        <w:rPr>
          <w:rFonts w:asciiTheme="minorHAnsi" w:hAnsiTheme="minorHAnsi" w:cstheme="minorHAnsi"/>
        </w:rPr>
        <w:t xml:space="preserve">s included </w:t>
      </w:r>
      <w:r w:rsidR="007A1164" w:rsidRPr="00BF17B0">
        <w:rPr>
          <w:rFonts w:asciiTheme="minorHAnsi" w:hAnsiTheme="minorHAnsi" w:cstheme="minorHAnsi"/>
        </w:rPr>
        <w:t xml:space="preserve">at </w:t>
      </w:r>
      <w:r w:rsidR="00E2439C" w:rsidRPr="00BF17B0">
        <w:rPr>
          <w:rFonts w:asciiTheme="minorHAnsi" w:hAnsiTheme="minorHAnsi" w:cstheme="minorHAnsi"/>
        </w:rPr>
        <w:t xml:space="preserve">the request of DFAT, even though the administration agreement and subsequent agreements in the DFAT and World Bank Steering Committee </w:t>
      </w:r>
      <w:r w:rsidR="00F81B49" w:rsidRPr="00BF17B0">
        <w:rPr>
          <w:rFonts w:asciiTheme="minorHAnsi" w:hAnsiTheme="minorHAnsi" w:cstheme="minorHAnsi"/>
        </w:rPr>
        <w:t>d</w:t>
      </w:r>
      <w:r w:rsidR="007D4222" w:rsidRPr="00BF17B0">
        <w:rPr>
          <w:rFonts w:asciiTheme="minorHAnsi" w:hAnsiTheme="minorHAnsi" w:cstheme="minorHAnsi"/>
        </w:rPr>
        <w:t>id</w:t>
      </w:r>
      <w:r w:rsidR="00E2439C" w:rsidRPr="00BF17B0">
        <w:rPr>
          <w:rFonts w:asciiTheme="minorHAnsi" w:hAnsiTheme="minorHAnsi" w:cstheme="minorHAnsi"/>
        </w:rPr>
        <w:t xml:space="preserve"> not require such an assessment. The</w:t>
      </w:r>
      <w:r w:rsidR="002B4558" w:rsidRPr="00BF17B0">
        <w:rPr>
          <w:rFonts w:asciiTheme="minorHAnsi" w:hAnsiTheme="minorHAnsi" w:cstheme="minorHAnsi"/>
        </w:rPr>
        <w:t>se</w:t>
      </w:r>
      <w:r w:rsidR="00E2439C" w:rsidRPr="00BF17B0">
        <w:rPr>
          <w:rFonts w:asciiTheme="minorHAnsi" w:hAnsiTheme="minorHAnsi" w:cstheme="minorHAnsi"/>
        </w:rPr>
        <w:t xml:space="preserve"> cross-cutting issues are gender, disability, indigenous peoples, innovation and private sector engagement. </w:t>
      </w:r>
      <w:bookmarkStart w:id="137" w:name="_Toc530052329"/>
      <w:bookmarkStart w:id="138" w:name="_Toc530052478"/>
      <w:bookmarkStart w:id="139" w:name="_Toc530054010"/>
      <w:bookmarkStart w:id="140" w:name="_Toc530055067"/>
      <w:bookmarkStart w:id="141" w:name="_Toc530386701"/>
      <w:bookmarkStart w:id="142" w:name="_Toc530052334"/>
      <w:bookmarkStart w:id="143" w:name="_Toc530052483"/>
      <w:bookmarkStart w:id="144" w:name="_Toc530054015"/>
      <w:bookmarkStart w:id="145" w:name="_Toc530055072"/>
      <w:bookmarkStart w:id="146" w:name="_Toc530386706"/>
      <w:bookmarkStart w:id="147" w:name="_Toc530052335"/>
      <w:bookmarkStart w:id="148" w:name="_Toc530052484"/>
      <w:bookmarkStart w:id="149" w:name="_Toc530054016"/>
      <w:bookmarkStart w:id="150" w:name="_Toc530055073"/>
      <w:bookmarkStart w:id="151" w:name="_Toc53038670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E6CB257" w14:textId="77777777" w:rsidR="00F91818" w:rsidRPr="00BF17B0" w:rsidRDefault="00F91818" w:rsidP="00F91818">
      <w:pPr>
        <w:rPr>
          <w:rFonts w:asciiTheme="minorHAnsi" w:hAnsiTheme="minorHAnsi" w:cstheme="minorHAnsi"/>
        </w:rPr>
      </w:pPr>
    </w:p>
    <w:p w14:paraId="3B0284FA" w14:textId="77777777" w:rsidR="00E77026" w:rsidRPr="00BF17B0" w:rsidRDefault="00E77026" w:rsidP="00633549">
      <w:pPr>
        <w:pStyle w:val="Heading2"/>
        <w:numPr>
          <w:ilvl w:val="0"/>
          <w:numId w:val="12"/>
        </w:numPr>
        <w:rPr>
          <w:rFonts w:asciiTheme="minorHAnsi" w:hAnsiTheme="minorHAnsi" w:cstheme="minorHAnsi"/>
        </w:rPr>
      </w:pPr>
      <w:bookmarkStart w:id="152" w:name="_Toc532994291"/>
      <w:r w:rsidRPr="00BF17B0">
        <w:rPr>
          <w:rFonts w:asciiTheme="minorHAnsi" w:hAnsiTheme="minorHAnsi" w:cstheme="minorHAnsi"/>
        </w:rPr>
        <w:t>Effectiveness</w:t>
      </w:r>
      <w:bookmarkEnd w:id="152"/>
    </w:p>
    <w:p w14:paraId="6AB44EB3" w14:textId="77777777" w:rsidR="00886787" w:rsidRPr="00BF17B0" w:rsidRDefault="00D43E42" w:rsidP="00AD24E1">
      <w:pPr>
        <w:rPr>
          <w:rFonts w:asciiTheme="minorHAnsi" w:hAnsiTheme="minorHAnsi" w:cstheme="minorHAnsi"/>
        </w:rPr>
      </w:pPr>
      <w:r w:rsidRPr="00BF17B0">
        <w:rPr>
          <w:rFonts w:asciiTheme="minorHAnsi" w:hAnsiTheme="minorHAnsi" w:cstheme="minorHAnsi"/>
        </w:rPr>
        <w:t xml:space="preserve">The </w:t>
      </w:r>
      <w:r w:rsidR="006D1856" w:rsidRPr="00BF17B0">
        <w:rPr>
          <w:rFonts w:asciiTheme="minorHAnsi" w:hAnsiTheme="minorHAnsi" w:cstheme="minorHAnsi"/>
        </w:rPr>
        <w:t>PH-PTF</w:t>
      </w:r>
      <w:r w:rsidRPr="00BF17B0">
        <w:rPr>
          <w:rFonts w:asciiTheme="minorHAnsi" w:hAnsiTheme="minorHAnsi" w:cstheme="minorHAnsi"/>
        </w:rPr>
        <w:t xml:space="preserve"> </w:t>
      </w:r>
      <w:r w:rsidR="007D4222" w:rsidRPr="00BF17B0">
        <w:rPr>
          <w:rFonts w:asciiTheme="minorHAnsi" w:hAnsiTheme="minorHAnsi" w:cstheme="minorHAnsi"/>
        </w:rPr>
        <w:t xml:space="preserve">achieved </w:t>
      </w:r>
      <w:r w:rsidRPr="00BF17B0">
        <w:rPr>
          <w:rFonts w:asciiTheme="minorHAnsi" w:hAnsiTheme="minorHAnsi" w:cstheme="minorHAnsi"/>
        </w:rPr>
        <w:t xml:space="preserve">its expected </w:t>
      </w:r>
      <w:r w:rsidR="00FA50F0" w:rsidRPr="00BF17B0">
        <w:rPr>
          <w:rFonts w:asciiTheme="minorHAnsi" w:hAnsiTheme="minorHAnsi" w:cstheme="minorHAnsi"/>
        </w:rPr>
        <w:t>program</w:t>
      </w:r>
      <w:r w:rsidR="00050AF7" w:rsidRPr="00BF17B0">
        <w:rPr>
          <w:rFonts w:asciiTheme="minorHAnsi" w:hAnsiTheme="minorHAnsi" w:cstheme="minorHAnsi"/>
        </w:rPr>
        <w:t xml:space="preserve">-level </w:t>
      </w:r>
      <w:r w:rsidR="00CD0F5D" w:rsidRPr="00BF17B0">
        <w:rPr>
          <w:rFonts w:asciiTheme="minorHAnsi" w:hAnsiTheme="minorHAnsi" w:cstheme="minorHAnsi"/>
        </w:rPr>
        <w:t xml:space="preserve">effectiveness </w:t>
      </w:r>
      <w:r w:rsidRPr="00BF17B0">
        <w:rPr>
          <w:rFonts w:asciiTheme="minorHAnsi" w:hAnsiTheme="minorHAnsi" w:cstheme="minorHAnsi"/>
        </w:rPr>
        <w:t xml:space="preserve">outcomes, as defined in the </w:t>
      </w:r>
      <w:r w:rsidR="009D4618" w:rsidRPr="00BF17B0">
        <w:rPr>
          <w:rFonts w:asciiTheme="minorHAnsi" w:hAnsiTheme="minorHAnsi" w:cstheme="minorHAnsi"/>
        </w:rPr>
        <w:t xml:space="preserve">administration agreement </w:t>
      </w:r>
      <w:r w:rsidRPr="00BF17B0">
        <w:rPr>
          <w:rFonts w:asciiTheme="minorHAnsi" w:hAnsiTheme="minorHAnsi" w:cstheme="minorHAnsi"/>
        </w:rPr>
        <w:t xml:space="preserve">and the </w:t>
      </w:r>
      <w:r w:rsidR="009D4618" w:rsidRPr="00BF17B0">
        <w:rPr>
          <w:rFonts w:asciiTheme="minorHAnsi" w:hAnsiTheme="minorHAnsi" w:cstheme="minorHAnsi"/>
        </w:rPr>
        <w:t>r</w:t>
      </w:r>
      <w:r w:rsidRPr="00BF17B0">
        <w:rPr>
          <w:rFonts w:asciiTheme="minorHAnsi" w:hAnsiTheme="minorHAnsi" w:cstheme="minorHAnsi"/>
        </w:rPr>
        <w:t xml:space="preserve">esults </w:t>
      </w:r>
      <w:r w:rsidR="00CF7005" w:rsidRPr="00BF17B0">
        <w:rPr>
          <w:rFonts w:asciiTheme="minorHAnsi" w:hAnsiTheme="minorHAnsi" w:cstheme="minorHAnsi"/>
        </w:rPr>
        <w:t>f</w:t>
      </w:r>
      <w:r w:rsidRPr="00BF17B0">
        <w:rPr>
          <w:rFonts w:asciiTheme="minorHAnsi" w:hAnsiTheme="minorHAnsi" w:cstheme="minorHAnsi"/>
        </w:rPr>
        <w:t>ramework</w:t>
      </w:r>
      <w:r w:rsidR="00EB211F" w:rsidRPr="00BF17B0">
        <w:rPr>
          <w:rFonts w:asciiTheme="minorHAnsi" w:hAnsiTheme="minorHAnsi" w:cstheme="minorHAnsi"/>
        </w:rPr>
        <w:t xml:space="preserve">. </w:t>
      </w:r>
      <w:r w:rsidR="00AD24E1" w:rsidRPr="00BF17B0">
        <w:rPr>
          <w:rFonts w:asciiTheme="minorHAnsi" w:hAnsiTheme="minorHAnsi" w:cstheme="minorHAnsi"/>
        </w:rPr>
        <w:t xml:space="preserve">While the </w:t>
      </w:r>
      <w:r w:rsidR="006D1856" w:rsidRPr="00BF17B0">
        <w:rPr>
          <w:rFonts w:asciiTheme="minorHAnsi" w:hAnsiTheme="minorHAnsi" w:cstheme="minorHAnsi"/>
        </w:rPr>
        <w:t>PH-PTF</w:t>
      </w:r>
      <w:r w:rsidR="00AD24E1" w:rsidRPr="00BF17B0">
        <w:rPr>
          <w:rFonts w:asciiTheme="minorHAnsi" w:hAnsiTheme="minorHAnsi" w:cstheme="minorHAnsi"/>
        </w:rPr>
        <w:t xml:space="preserve"> </w:t>
      </w:r>
      <w:r w:rsidR="007D4222" w:rsidRPr="00BF17B0">
        <w:rPr>
          <w:rFonts w:asciiTheme="minorHAnsi" w:hAnsiTheme="minorHAnsi" w:cstheme="minorHAnsi"/>
        </w:rPr>
        <w:t>did</w:t>
      </w:r>
      <w:r w:rsidR="00CF7005" w:rsidRPr="00BF17B0">
        <w:rPr>
          <w:rFonts w:asciiTheme="minorHAnsi" w:hAnsiTheme="minorHAnsi" w:cstheme="minorHAnsi"/>
        </w:rPr>
        <w:t xml:space="preserve"> not </w:t>
      </w:r>
      <w:r w:rsidR="00AD24E1" w:rsidRPr="00BF17B0">
        <w:rPr>
          <w:rFonts w:asciiTheme="minorHAnsi" w:hAnsiTheme="minorHAnsi" w:cstheme="minorHAnsi"/>
        </w:rPr>
        <w:t>specif</w:t>
      </w:r>
      <w:r w:rsidR="00CF7005" w:rsidRPr="00BF17B0">
        <w:rPr>
          <w:rFonts w:asciiTheme="minorHAnsi" w:hAnsiTheme="minorHAnsi" w:cstheme="minorHAnsi"/>
        </w:rPr>
        <w:t xml:space="preserve">y </w:t>
      </w:r>
      <w:r w:rsidR="00AD24E1" w:rsidRPr="00BF17B0">
        <w:rPr>
          <w:rFonts w:asciiTheme="minorHAnsi" w:hAnsiTheme="minorHAnsi" w:cstheme="minorHAnsi"/>
        </w:rPr>
        <w:t xml:space="preserve">quantitative objectives, the DFAT and </w:t>
      </w:r>
      <w:r w:rsidR="00CF7005" w:rsidRPr="00BF17B0">
        <w:rPr>
          <w:rFonts w:asciiTheme="minorHAnsi" w:hAnsiTheme="minorHAnsi" w:cstheme="minorHAnsi"/>
        </w:rPr>
        <w:t xml:space="preserve">World Bank </w:t>
      </w:r>
      <w:r w:rsidR="00AD24E1" w:rsidRPr="00BF17B0">
        <w:rPr>
          <w:rFonts w:asciiTheme="minorHAnsi" w:hAnsiTheme="minorHAnsi" w:cstheme="minorHAnsi"/>
        </w:rPr>
        <w:t xml:space="preserve">managers who established the </w:t>
      </w:r>
      <w:r w:rsidR="006D1856" w:rsidRPr="00BF17B0">
        <w:rPr>
          <w:rFonts w:asciiTheme="minorHAnsi" w:hAnsiTheme="minorHAnsi" w:cstheme="minorHAnsi"/>
        </w:rPr>
        <w:t>PTF</w:t>
      </w:r>
      <w:r w:rsidR="00AD24E1" w:rsidRPr="00BF17B0">
        <w:rPr>
          <w:rFonts w:asciiTheme="minorHAnsi" w:hAnsiTheme="minorHAnsi" w:cstheme="minorHAnsi"/>
        </w:rPr>
        <w:t xml:space="preserve"> confirmed that </w:t>
      </w:r>
      <w:r w:rsidR="003D1547" w:rsidRPr="00BF17B0">
        <w:rPr>
          <w:rFonts w:asciiTheme="minorHAnsi" w:hAnsiTheme="minorHAnsi" w:cstheme="minorHAnsi"/>
        </w:rPr>
        <w:t xml:space="preserve">their intention </w:t>
      </w:r>
      <w:r w:rsidR="00AD24E1" w:rsidRPr="00BF17B0">
        <w:rPr>
          <w:rFonts w:asciiTheme="minorHAnsi" w:hAnsiTheme="minorHAnsi" w:cstheme="minorHAnsi"/>
        </w:rPr>
        <w:t>was to achieve a qualitative change in the DFAT-</w:t>
      </w:r>
      <w:r w:rsidR="00CF7005" w:rsidRPr="00BF17B0">
        <w:rPr>
          <w:rFonts w:asciiTheme="minorHAnsi" w:hAnsiTheme="minorHAnsi" w:cstheme="minorHAnsi"/>
        </w:rPr>
        <w:t xml:space="preserve">World Bank </w:t>
      </w:r>
      <w:r w:rsidR="00AD24E1" w:rsidRPr="00BF17B0">
        <w:rPr>
          <w:rFonts w:asciiTheme="minorHAnsi" w:hAnsiTheme="minorHAnsi" w:cstheme="minorHAnsi"/>
        </w:rPr>
        <w:t>relationship</w:t>
      </w:r>
      <w:r w:rsidR="00EB211F" w:rsidRPr="00BF17B0">
        <w:rPr>
          <w:rFonts w:asciiTheme="minorHAnsi" w:hAnsiTheme="minorHAnsi" w:cstheme="minorHAnsi"/>
        </w:rPr>
        <w:t xml:space="preserve">. </w:t>
      </w:r>
    </w:p>
    <w:p w14:paraId="223C07BD" w14:textId="1728B4E8" w:rsidR="00B833B3" w:rsidRPr="00BF17B0" w:rsidRDefault="00CD0F5D" w:rsidP="00B04DB0">
      <w:pPr>
        <w:rPr>
          <w:rFonts w:asciiTheme="minorHAnsi" w:hAnsiTheme="minorHAnsi" w:cstheme="minorHAnsi"/>
        </w:rPr>
      </w:pPr>
      <w:r w:rsidRPr="00BF17B0">
        <w:rPr>
          <w:rFonts w:asciiTheme="minorHAnsi" w:hAnsiTheme="minorHAnsi" w:cstheme="minorHAnsi"/>
        </w:rPr>
        <w:t xml:space="preserve">All DFAT and </w:t>
      </w:r>
      <w:r w:rsidR="00CF7005" w:rsidRPr="00BF17B0">
        <w:rPr>
          <w:rFonts w:asciiTheme="minorHAnsi" w:hAnsiTheme="minorHAnsi" w:cstheme="minorHAnsi"/>
        </w:rPr>
        <w:t xml:space="preserve">World Bank </w:t>
      </w:r>
      <w:r w:rsidRPr="00BF17B0">
        <w:rPr>
          <w:rFonts w:asciiTheme="minorHAnsi" w:hAnsiTheme="minorHAnsi" w:cstheme="minorHAnsi"/>
        </w:rPr>
        <w:t xml:space="preserve">staff </w:t>
      </w:r>
      <w:r w:rsidR="00CF7005" w:rsidRPr="00BF17B0">
        <w:rPr>
          <w:rFonts w:asciiTheme="minorHAnsi" w:hAnsiTheme="minorHAnsi" w:cstheme="minorHAnsi"/>
        </w:rPr>
        <w:t xml:space="preserve">who were interviewed for this </w:t>
      </w:r>
      <w:r w:rsidR="00C90A76" w:rsidRPr="00BF17B0">
        <w:rPr>
          <w:rFonts w:asciiTheme="minorHAnsi" w:hAnsiTheme="minorHAnsi" w:cstheme="minorHAnsi"/>
        </w:rPr>
        <w:t>report</w:t>
      </w:r>
      <w:r w:rsidR="00CF7005" w:rsidRPr="00BF17B0">
        <w:rPr>
          <w:rFonts w:asciiTheme="minorHAnsi" w:hAnsiTheme="minorHAnsi" w:cstheme="minorHAnsi"/>
        </w:rPr>
        <w:t xml:space="preserve"> </w:t>
      </w:r>
      <w:r w:rsidRPr="00BF17B0">
        <w:rPr>
          <w:rFonts w:asciiTheme="minorHAnsi" w:hAnsiTheme="minorHAnsi" w:cstheme="minorHAnsi"/>
        </w:rPr>
        <w:t xml:space="preserve">confirmed that the </w:t>
      </w:r>
      <w:r w:rsidR="006D1856" w:rsidRPr="00BF17B0">
        <w:rPr>
          <w:rFonts w:asciiTheme="minorHAnsi" w:hAnsiTheme="minorHAnsi" w:cstheme="minorHAnsi"/>
        </w:rPr>
        <w:t>PH-PTF</w:t>
      </w:r>
      <w:r w:rsidRPr="00BF17B0">
        <w:rPr>
          <w:rFonts w:asciiTheme="minorHAnsi" w:hAnsiTheme="minorHAnsi" w:cstheme="minorHAnsi"/>
        </w:rPr>
        <w:t xml:space="preserve"> facilitated effective collaboration between the two </w:t>
      </w:r>
      <w:r w:rsidR="00886787" w:rsidRPr="00BF17B0">
        <w:rPr>
          <w:rFonts w:asciiTheme="minorHAnsi" w:hAnsiTheme="minorHAnsi" w:cstheme="minorHAnsi"/>
        </w:rPr>
        <w:t>organizations</w:t>
      </w:r>
      <w:r w:rsidR="00EB211F" w:rsidRPr="00BF17B0">
        <w:rPr>
          <w:rFonts w:asciiTheme="minorHAnsi" w:hAnsiTheme="minorHAnsi" w:cstheme="minorHAnsi"/>
        </w:rPr>
        <w:t xml:space="preserve">. </w:t>
      </w:r>
      <w:r w:rsidR="00CF7005" w:rsidRPr="00BF17B0">
        <w:rPr>
          <w:rFonts w:asciiTheme="minorHAnsi" w:hAnsiTheme="minorHAnsi" w:cstheme="minorHAnsi"/>
        </w:rPr>
        <w:t xml:space="preserve">World Bank </w:t>
      </w:r>
      <w:r w:rsidR="00B833B3" w:rsidRPr="00BF17B0">
        <w:rPr>
          <w:rFonts w:asciiTheme="minorHAnsi" w:hAnsiTheme="minorHAnsi" w:cstheme="minorHAnsi"/>
        </w:rPr>
        <w:t xml:space="preserve">and DFAT </w:t>
      </w:r>
      <w:r w:rsidR="00CF7005" w:rsidRPr="00BF17B0">
        <w:rPr>
          <w:rFonts w:asciiTheme="minorHAnsi" w:hAnsiTheme="minorHAnsi" w:cstheme="minorHAnsi"/>
        </w:rPr>
        <w:t xml:space="preserve">teams </w:t>
      </w:r>
      <w:r w:rsidR="0085231F" w:rsidRPr="00BF17B0">
        <w:rPr>
          <w:rFonts w:asciiTheme="minorHAnsi" w:hAnsiTheme="minorHAnsi" w:cstheme="minorHAnsi"/>
        </w:rPr>
        <w:t xml:space="preserve">were able </w:t>
      </w:r>
      <w:r w:rsidRPr="00BF17B0">
        <w:rPr>
          <w:rFonts w:asciiTheme="minorHAnsi" w:hAnsiTheme="minorHAnsi" w:cstheme="minorHAnsi"/>
        </w:rPr>
        <w:t xml:space="preserve">to work together on a wide range of topics within the agreed </w:t>
      </w:r>
      <w:r w:rsidR="00CF7005" w:rsidRPr="00BF17B0">
        <w:rPr>
          <w:rFonts w:asciiTheme="minorHAnsi" w:hAnsiTheme="minorHAnsi" w:cstheme="minorHAnsi"/>
        </w:rPr>
        <w:t>f</w:t>
      </w:r>
      <w:r w:rsidRPr="00BF17B0">
        <w:rPr>
          <w:rFonts w:asciiTheme="minorHAnsi" w:hAnsiTheme="minorHAnsi" w:cstheme="minorHAnsi"/>
        </w:rPr>
        <w:t xml:space="preserve">ocus </w:t>
      </w:r>
      <w:r w:rsidR="00CF7005" w:rsidRPr="00BF17B0">
        <w:rPr>
          <w:rFonts w:asciiTheme="minorHAnsi" w:hAnsiTheme="minorHAnsi" w:cstheme="minorHAnsi"/>
        </w:rPr>
        <w:t>areas</w:t>
      </w:r>
      <w:r w:rsidR="00EB211F" w:rsidRPr="00BF17B0">
        <w:rPr>
          <w:rFonts w:asciiTheme="minorHAnsi" w:hAnsiTheme="minorHAnsi" w:cstheme="minorHAnsi"/>
        </w:rPr>
        <w:t xml:space="preserve">. </w:t>
      </w:r>
      <w:r w:rsidR="00EA64C0" w:rsidRPr="00BF17B0">
        <w:rPr>
          <w:rFonts w:asciiTheme="minorHAnsi" w:hAnsiTheme="minorHAnsi" w:cstheme="minorHAnsi"/>
        </w:rPr>
        <w:t>C</w:t>
      </w:r>
      <w:r w:rsidR="00AD24E1" w:rsidRPr="00BF17B0">
        <w:rPr>
          <w:rFonts w:asciiTheme="minorHAnsi" w:hAnsiTheme="minorHAnsi" w:cstheme="minorHAnsi"/>
        </w:rPr>
        <w:t xml:space="preserve">ollaboration between the partners </w:t>
      </w:r>
      <w:r w:rsidR="0085231F" w:rsidRPr="00BF17B0">
        <w:rPr>
          <w:rFonts w:asciiTheme="minorHAnsi" w:hAnsiTheme="minorHAnsi" w:cstheme="minorHAnsi"/>
        </w:rPr>
        <w:t xml:space="preserve">became </w:t>
      </w:r>
      <w:r w:rsidR="008F332D" w:rsidRPr="00BF17B0">
        <w:rPr>
          <w:rFonts w:asciiTheme="minorHAnsi" w:hAnsiTheme="minorHAnsi" w:cstheme="minorHAnsi"/>
        </w:rPr>
        <w:t xml:space="preserve">more extensive and effective </w:t>
      </w:r>
      <w:r w:rsidR="00AD24E1" w:rsidRPr="00BF17B0">
        <w:rPr>
          <w:rFonts w:asciiTheme="minorHAnsi" w:hAnsiTheme="minorHAnsi" w:cstheme="minorHAnsi"/>
        </w:rPr>
        <w:t xml:space="preserve">than it would </w:t>
      </w:r>
      <w:r w:rsidR="00AF694A" w:rsidRPr="00BF17B0">
        <w:rPr>
          <w:rFonts w:asciiTheme="minorHAnsi" w:hAnsiTheme="minorHAnsi" w:cstheme="minorHAnsi"/>
        </w:rPr>
        <w:t xml:space="preserve">have been </w:t>
      </w:r>
      <w:r w:rsidR="00443EF3" w:rsidRPr="00BF17B0">
        <w:rPr>
          <w:rFonts w:asciiTheme="minorHAnsi" w:hAnsiTheme="minorHAnsi" w:cstheme="minorHAnsi"/>
        </w:rPr>
        <w:t xml:space="preserve">had </w:t>
      </w:r>
      <w:r w:rsidR="00FA2017" w:rsidRPr="00BF17B0">
        <w:rPr>
          <w:rFonts w:asciiTheme="minorHAnsi" w:hAnsiTheme="minorHAnsi" w:cstheme="minorHAnsi"/>
        </w:rPr>
        <w:t xml:space="preserve">there </w:t>
      </w:r>
      <w:r w:rsidR="00443EF3" w:rsidRPr="00BF17B0">
        <w:rPr>
          <w:rFonts w:asciiTheme="minorHAnsi" w:hAnsiTheme="minorHAnsi" w:cstheme="minorHAnsi"/>
        </w:rPr>
        <w:t xml:space="preserve">been </w:t>
      </w:r>
      <w:r w:rsidR="00FA2017" w:rsidRPr="00BF17B0">
        <w:rPr>
          <w:rFonts w:asciiTheme="minorHAnsi" w:hAnsiTheme="minorHAnsi" w:cstheme="minorHAnsi"/>
        </w:rPr>
        <w:t>no</w:t>
      </w:r>
      <w:r w:rsidR="0085231F" w:rsidRPr="00BF17B0">
        <w:rPr>
          <w:rFonts w:asciiTheme="minorHAnsi" w:hAnsiTheme="minorHAnsi" w:cstheme="minorHAnsi"/>
        </w:rPr>
        <w:t xml:space="preserve"> </w:t>
      </w:r>
      <w:r w:rsidR="00AD24E1" w:rsidRPr="00BF17B0">
        <w:rPr>
          <w:rFonts w:asciiTheme="minorHAnsi" w:hAnsiTheme="minorHAnsi" w:cstheme="minorHAnsi"/>
        </w:rPr>
        <w:t xml:space="preserve">programmatic trust fund, partly because meetings of the Steering Committee provided a framework for </w:t>
      </w:r>
      <w:r w:rsidR="007F1206" w:rsidRPr="00BF17B0">
        <w:rPr>
          <w:rFonts w:asciiTheme="minorHAnsi" w:hAnsiTheme="minorHAnsi" w:cstheme="minorHAnsi"/>
        </w:rPr>
        <w:t>strategic discussions</w:t>
      </w:r>
      <w:r w:rsidR="00463CEC" w:rsidRPr="00BF17B0">
        <w:rPr>
          <w:rFonts w:asciiTheme="minorHAnsi" w:hAnsiTheme="minorHAnsi" w:cstheme="minorHAnsi"/>
        </w:rPr>
        <w:t xml:space="preserve"> of the portfolio</w:t>
      </w:r>
      <w:r w:rsidR="007F1206" w:rsidRPr="00BF17B0">
        <w:rPr>
          <w:rFonts w:asciiTheme="minorHAnsi" w:hAnsiTheme="minorHAnsi" w:cstheme="minorHAnsi"/>
        </w:rPr>
        <w:t xml:space="preserve"> and </w:t>
      </w:r>
      <w:r w:rsidR="00AD24E1" w:rsidRPr="00BF17B0">
        <w:rPr>
          <w:rFonts w:asciiTheme="minorHAnsi" w:hAnsiTheme="minorHAnsi" w:cstheme="minorHAnsi"/>
        </w:rPr>
        <w:t>regular consultation</w:t>
      </w:r>
      <w:r w:rsidR="007F1206" w:rsidRPr="00BF17B0">
        <w:rPr>
          <w:rFonts w:asciiTheme="minorHAnsi" w:hAnsiTheme="minorHAnsi" w:cstheme="minorHAnsi"/>
        </w:rPr>
        <w:t>s</w:t>
      </w:r>
      <w:r w:rsidR="00AD24E1" w:rsidRPr="00BF17B0">
        <w:rPr>
          <w:rFonts w:asciiTheme="minorHAnsi" w:hAnsiTheme="minorHAnsi" w:cstheme="minorHAnsi"/>
        </w:rPr>
        <w:t xml:space="preserve"> </w:t>
      </w:r>
      <w:r w:rsidR="007F1206" w:rsidRPr="00BF17B0">
        <w:rPr>
          <w:rFonts w:asciiTheme="minorHAnsi" w:hAnsiTheme="minorHAnsi" w:cstheme="minorHAnsi"/>
        </w:rPr>
        <w:t xml:space="preserve">between </w:t>
      </w:r>
      <w:r w:rsidR="00063409" w:rsidRPr="00BF17B0">
        <w:rPr>
          <w:rFonts w:asciiTheme="minorHAnsi" w:hAnsiTheme="minorHAnsi" w:cstheme="minorHAnsi"/>
        </w:rPr>
        <w:t>the World Bank</w:t>
      </w:r>
      <w:r w:rsidR="008F332D" w:rsidRPr="00BF17B0">
        <w:rPr>
          <w:rFonts w:asciiTheme="minorHAnsi" w:hAnsiTheme="minorHAnsi" w:cstheme="minorHAnsi"/>
        </w:rPr>
        <w:t xml:space="preserve"> </w:t>
      </w:r>
      <w:r w:rsidR="007F1206" w:rsidRPr="00BF17B0">
        <w:rPr>
          <w:rFonts w:asciiTheme="minorHAnsi" w:hAnsiTheme="minorHAnsi" w:cstheme="minorHAnsi"/>
        </w:rPr>
        <w:t>and DFAT</w:t>
      </w:r>
      <w:r w:rsidR="00463CEC" w:rsidRPr="00BF17B0">
        <w:rPr>
          <w:rFonts w:asciiTheme="minorHAnsi" w:hAnsiTheme="minorHAnsi" w:cstheme="minorHAnsi"/>
        </w:rPr>
        <w:t xml:space="preserve">. </w:t>
      </w:r>
      <w:r w:rsidR="00A81F77" w:rsidRPr="00BF17B0">
        <w:rPr>
          <w:rFonts w:asciiTheme="minorHAnsi" w:hAnsiTheme="minorHAnsi" w:cstheme="minorHAnsi"/>
        </w:rPr>
        <w:t xml:space="preserve">Another reason </w:t>
      </w:r>
      <w:r w:rsidR="0085231F" w:rsidRPr="00BF17B0">
        <w:rPr>
          <w:rFonts w:asciiTheme="minorHAnsi" w:hAnsiTheme="minorHAnsi" w:cstheme="minorHAnsi"/>
        </w:rPr>
        <w:t xml:space="preserve">was </w:t>
      </w:r>
      <w:r w:rsidR="00A81F77" w:rsidRPr="00BF17B0">
        <w:rPr>
          <w:rFonts w:asciiTheme="minorHAnsi" w:hAnsiTheme="minorHAnsi" w:cstheme="minorHAnsi"/>
        </w:rPr>
        <w:t xml:space="preserve">that </w:t>
      </w:r>
      <w:r w:rsidR="00C46EEF" w:rsidRPr="00BF17B0">
        <w:rPr>
          <w:rFonts w:asciiTheme="minorHAnsi" w:hAnsiTheme="minorHAnsi" w:cstheme="minorHAnsi"/>
        </w:rPr>
        <w:t xml:space="preserve">the </w:t>
      </w:r>
      <w:r w:rsidR="00AD24E1" w:rsidRPr="00BF17B0">
        <w:rPr>
          <w:rFonts w:asciiTheme="minorHAnsi" w:hAnsiTheme="minorHAnsi" w:cstheme="minorHAnsi"/>
        </w:rPr>
        <w:t>grant</w:t>
      </w:r>
      <w:r w:rsidR="00C46EEF" w:rsidRPr="00BF17B0">
        <w:rPr>
          <w:rFonts w:asciiTheme="minorHAnsi" w:hAnsiTheme="minorHAnsi" w:cstheme="minorHAnsi"/>
        </w:rPr>
        <w:t>-</w:t>
      </w:r>
      <w:r w:rsidR="00AD24E1" w:rsidRPr="00BF17B0">
        <w:rPr>
          <w:rFonts w:asciiTheme="minorHAnsi" w:hAnsiTheme="minorHAnsi" w:cstheme="minorHAnsi"/>
        </w:rPr>
        <w:t xml:space="preserve">funded activities provided avenues for collaboration </w:t>
      </w:r>
      <w:r w:rsidR="00C46EEF" w:rsidRPr="00BF17B0">
        <w:rPr>
          <w:rFonts w:asciiTheme="minorHAnsi" w:hAnsiTheme="minorHAnsi" w:cstheme="minorHAnsi"/>
        </w:rPr>
        <w:t xml:space="preserve">between </w:t>
      </w:r>
      <w:r w:rsidR="00063409" w:rsidRPr="00BF17B0">
        <w:rPr>
          <w:rFonts w:asciiTheme="minorHAnsi" w:hAnsiTheme="minorHAnsi" w:cstheme="minorHAnsi"/>
        </w:rPr>
        <w:t>the World Bank</w:t>
      </w:r>
      <w:r w:rsidR="00AD24E1" w:rsidRPr="00BF17B0">
        <w:rPr>
          <w:rFonts w:asciiTheme="minorHAnsi" w:hAnsiTheme="minorHAnsi" w:cstheme="minorHAnsi"/>
        </w:rPr>
        <w:t>, DFAT</w:t>
      </w:r>
      <w:r w:rsidR="00C46EEF" w:rsidRPr="00BF17B0">
        <w:rPr>
          <w:rFonts w:asciiTheme="minorHAnsi" w:hAnsiTheme="minorHAnsi" w:cstheme="minorHAnsi"/>
        </w:rPr>
        <w:t>,</w:t>
      </w:r>
      <w:r w:rsidR="00AD24E1" w:rsidRPr="00BF17B0">
        <w:rPr>
          <w:rFonts w:asciiTheme="minorHAnsi" w:hAnsiTheme="minorHAnsi" w:cstheme="minorHAnsi"/>
        </w:rPr>
        <w:t xml:space="preserve"> and </w:t>
      </w:r>
      <w:r w:rsidR="00B631B3" w:rsidRPr="00BF17B0">
        <w:rPr>
          <w:rFonts w:asciiTheme="minorHAnsi" w:hAnsiTheme="minorHAnsi" w:cstheme="minorHAnsi"/>
        </w:rPr>
        <w:t xml:space="preserve">the </w:t>
      </w:r>
      <w:r w:rsidR="00407909">
        <w:rPr>
          <w:rFonts w:asciiTheme="minorHAnsi" w:hAnsiTheme="minorHAnsi" w:cstheme="minorHAnsi"/>
        </w:rPr>
        <w:t>GoP</w:t>
      </w:r>
      <w:r w:rsidR="00AD24E1" w:rsidRPr="00BF17B0">
        <w:rPr>
          <w:rFonts w:asciiTheme="minorHAnsi" w:hAnsiTheme="minorHAnsi" w:cstheme="minorHAnsi"/>
        </w:rPr>
        <w:t>.</w:t>
      </w:r>
    </w:p>
    <w:p w14:paraId="7401A7E9" w14:textId="5582004D" w:rsidR="007F1206" w:rsidRPr="00BF17B0" w:rsidRDefault="00050AF7" w:rsidP="007534AF">
      <w:pPr>
        <w:rPr>
          <w:rFonts w:asciiTheme="minorHAnsi" w:hAnsiTheme="minorHAnsi" w:cstheme="minorHAnsi"/>
        </w:rPr>
      </w:pPr>
      <w:r w:rsidRPr="00BF17B0">
        <w:rPr>
          <w:rFonts w:asciiTheme="minorHAnsi" w:hAnsiTheme="minorHAnsi" w:cstheme="minorHAnsi"/>
        </w:rPr>
        <w:t xml:space="preserve">The environment in the Philippines </w:t>
      </w:r>
      <w:r w:rsidR="007A1164" w:rsidRPr="00BF17B0">
        <w:rPr>
          <w:rFonts w:asciiTheme="minorHAnsi" w:hAnsiTheme="minorHAnsi" w:cstheme="minorHAnsi"/>
        </w:rPr>
        <w:t xml:space="preserve">evolved </w:t>
      </w:r>
      <w:r w:rsidR="00315C61" w:rsidRPr="00BF17B0">
        <w:rPr>
          <w:rFonts w:asciiTheme="minorHAnsi" w:hAnsiTheme="minorHAnsi" w:cstheme="minorHAnsi"/>
        </w:rPr>
        <w:t xml:space="preserve">substantially </w:t>
      </w:r>
      <w:r w:rsidRPr="00BF17B0">
        <w:rPr>
          <w:rFonts w:asciiTheme="minorHAnsi" w:hAnsiTheme="minorHAnsi" w:cstheme="minorHAnsi"/>
        </w:rPr>
        <w:t xml:space="preserve">in the </w:t>
      </w:r>
      <w:r w:rsidR="00315C61" w:rsidRPr="00BF17B0">
        <w:rPr>
          <w:rFonts w:asciiTheme="minorHAnsi" w:hAnsiTheme="minorHAnsi" w:cstheme="minorHAnsi"/>
        </w:rPr>
        <w:t>l</w:t>
      </w:r>
      <w:r w:rsidRPr="00BF17B0">
        <w:rPr>
          <w:rFonts w:asciiTheme="minorHAnsi" w:hAnsiTheme="minorHAnsi" w:cstheme="minorHAnsi"/>
        </w:rPr>
        <w:t>ast</w:t>
      </w:r>
      <w:r w:rsidR="007A1164" w:rsidRPr="00BF17B0">
        <w:rPr>
          <w:rFonts w:asciiTheme="minorHAnsi" w:hAnsiTheme="minorHAnsi" w:cstheme="minorHAnsi"/>
        </w:rPr>
        <w:t xml:space="preserve"> </w:t>
      </w:r>
      <w:r w:rsidR="00750A48" w:rsidRPr="00BF17B0">
        <w:rPr>
          <w:rFonts w:asciiTheme="minorHAnsi" w:hAnsiTheme="minorHAnsi" w:cstheme="minorHAnsi"/>
        </w:rPr>
        <w:t>10</w:t>
      </w:r>
      <w:r w:rsidR="00C46EEF" w:rsidRPr="00BF17B0">
        <w:rPr>
          <w:rFonts w:asciiTheme="minorHAnsi" w:hAnsiTheme="minorHAnsi" w:cstheme="minorHAnsi"/>
        </w:rPr>
        <w:t xml:space="preserve"> </w:t>
      </w:r>
      <w:r w:rsidRPr="00BF17B0">
        <w:rPr>
          <w:rFonts w:asciiTheme="minorHAnsi" w:hAnsiTheme="minorHAnsi" w:cstheme="minorHAnsi"/>
        </w:rPr>
        <w:t>years</w:t>
      </w:r>
      <w:r w:rsidR="00E67238" w:rsidRPr="00BF17B0">
        <w:rPr>
          <w:rFonts w:asciiTheme="minorHAnsi" w:hAnsiTheme="minorHAnsi" w:cstheme="minorHAnsi"/>
        </w:rPr>
        <w:t xml:space="preserve"> (</w:t>
      </w:r>
      <w:r w:rsidR="00216CDB" w:rsidRPr="00BF17B0">
        <w:rPr>
          <w:rFonts w:asciiTheme="minorHAnsi" w:hAnsiTheme="minorHAnsi" w:cstheme="minorHAnsi"/>
        </w:rPr>
        <w:fldChar w:fldCharType="begin"/>
      </w:r>
      <w:r w:rsidR="00216CDB" w:rsidRPr="00BF17B0">
        <w:rPr>
          <w:rFonts w:asciiTheme="minorHAnsi" w:hAnsiTheme="minorHAnsi" w:cstheme="minorHAnsi"/>
        </w:rPr>
        <w:instrText xml:space="preserve"> REF _Ref532843778 \h </w:instrText>
      </w:r>
      <w:r w:rsidR="00BF17B0">
        <w:rPr>
          <w:rFonts w:asciiTheme="minorHAnsi" w:hAnsiTheme="minorHAnsi" w:cstheme="minorHAnsi"/>
        </w:rPr>
        <w:instrText xml:space="preserve"> \* MERGEFORMAT </w:instrText>
      </w:r>
      <w:r w:rsidR="00216CDB" w:rsidRPr="00BF17B0">
        <w:rPr>
          <w:rFonts w:asciiTheme="minorHAnsi" w:hAnsiTheme="minorHAnsi" w:cstheme="minorHAnsi"/>
        </w:rPr>
      </w:r>
      <w:r w:rsidR="00216CDB" w:rsidRPr="00BF17B0">
        <w:rPr>
          <w:rFonts w:asciiTheme="minorHAnsi" w:hAnsiTheme="minorHAnsi" w:cstheme="minorHAnsi"/>
        </w:rPr>
        <w:fldChar w:fldCharType="separate"/>
      </w:r>
      <w:r w:rsidR="00F338BE" w:rsidRPr="00BF17B0">
        <w:rPr>
          <w:rFonts w:asciiTheme="minorHAnsi" w:hAnsiTheme="minorHAnsi" w:cstheme="minorHAnsi"/>
        </w:rPr>
        <w:t xml:space="preserve">Figure </w:t>
      </w:r>
      <w:r w:rsidR="00F338BE">
        <w:rPr>
          <w:rFonts w:asciiTheme="minorHAnsi" w:hAnsiTheme="minorHAnsi" w:cstheme="minorHAnsi"/>
          <w:noProof/>
        </w:rPr>
        <w:t>2</w:t>
      </w:r>
      <w:r w:rsidR="00F338BE" w:rsidRPr="00BF17B0">
        <w:rPr>
          <w:rFonts w:asciiTheme="minorHAnsi" w:hAnsiTheme="minorHAnsi" w:cstheme="minorHAnsi"/>
          <w:noProof/>
        </w:rPr>
        <w:noBreakHyphen/>
      </w:r>
      <w:r w:rsidR="00F338BE">
        <w:rPr>
          <w:rFonts w:asciiTheme="minorHAnsi" w:hAnsiTheme="minorHAnsi" w:cstheme="minorHAnsi"/>
          <w:noProof/>
        </w:rPr>
        <w:t>1</w:t>
      </w:r>
      <w:r w:rsidR="00216CDB" w:rsidRPr="00BF17B0">
        <w:rPr>
          <w:rFonts w:asciiTheme="minorHAnsi" w:hAnsiTheme="minorHAnsi" w:cstheme="minorHAnsi"/>
        </w:rPr>
        <w:fldChar w:fldCharType="end"/>
      </w:r>
      <w:r w:rsidR="00FF3590" w:rsidRPr="00BF17B0">
        <w:rPr>
          <w:rFonts w:asciiTheme="minorHAnsi" w:hAnsiTheme="minorHAnsi" w:cstheme="minorHAnsi"/>
        </w:rPr>
        <w:t>)</w:t>
      </w:r>
      <w:r w:rsidRPr="00BF17B0">
        <w:rPr>
          <w:rFonts w:asciiTheme="minorHAnsi" w:hAnsiTheme="minorHAnsi" w:cstheme="minorHAnsi"/>
        </w:rPr>
        <w:t xml:space="preserve">, and one of the strengths of the </w:t>
      </w:r>
      <w:r w:rsidR="006D1856" w:rsidRPr="00BF17B0">
        <w:rPr>
          <w:rFonts w:asciiTheme="minorHAnsi" w:hAnsiTheme="minorHAnsi" w:cstheme="minorHAnsi"/>
        </w:rPr>
        <w:t>PH-PTF</w:t>
      </w:r>
      <w:r w:rsidRPr="00BF17B0">
        <w:rPr>
          <w:rFonts w:asciiTheme="minorHAnsi" w:hAnsiTheme="minorHAnsi" w:cstheme="minorHAnsi"/>
        </w:rPr>
        <w:t xml:space="preserve"> </w:t>
      </w:r>
      <w:r w:rsidR="0085231F" w:rsidRPr="00BF17B0">
        <w:rPr>
          <w:rFonts w:asciiTheme="minorHAnsi" w:hAnsiTheme="minorHAnsi" w:cstheme="minorHAnsi"/>
        </w:rPr>
        <w:t xml:space="preserve">was </w:t>
      </w:r>
      <w:r w:rsidRPr="00BF17B0">
        <w:rPr>
          <w:rFonts w:asciiTheme="minorHAnsi" w:hAnsiTheme="minorHAnsi" w:cstheme="minorHAnsi"/>
        </w:rPr>
        <w:t>it</w:t>
      </w:r>
      <w:r w:rsidR="008E2202" w:rsidRPr="00BF17B0">
        <w:rPr>
          <w:rFonts w:asciiTheme="minorHAnsi" w:hAnsiTheme="minorHAnsi" w:cstheme="minorHAnsi"/>
        </w:rPr>
        <w:t>s being instrumental in</w:t>
      </w:r>
      <w:r w:rsidR="00315C61" w:rsidRPr="00BF17B0">
        <w:rPr>
          <w:rFonts w:asciiTheme="minorHAnsi" w:hAnsiTheme="minorHAnsi" w:cstheme="minorHAnsi"/>
        </w:rPr>
        <w:t xml:space="preserve"> </w:t>
      </w:r>
      <w:r w:rsidR="008E2202" w:rsidRPr="00BF17B0">
        <w:rPr>
          <w:rFonts w:asciiTheme="minorHAnsi" w:hAnsiTheme="minorHAnsi" w:cstheme="minorHAnsi"/>
        </w:rPr>
        <w:t xml:space="preserve">helping </w:t>
      </w:r>
      <w:r w:rsidRPr="00BF17B0">
        <w:rPr>
          <w:rFonts w:asciiTheme="minorHAnsi" w:hAnsiTheme="minorHAnsi" w:cstheme="minorHAnsi"/>
        </w:rPr>
        <w:t xml:space="preserve">DFAT </w:t>
      </w:r>
      <w:r w:rsidR="00FA50F0" w:rsidRPr="00BF17B0">
        <w:rPr>
          <w:rFonts w:asciiTheme="minorHAnsi" w:hAnsiTheme="minorHAnsi" w:cstheme="minorHAnsi"/>
        </w:rPr>
        <w:t>and</w:t>
      </w:r>
      <w:r w:rsidR="00FA2017" w:rsidRPr="00BF17B0">
        <w:rPr>
          <w:rFonts w:asciiTheme="minorHAnsi" w:hAnsiTheme="minorHAnsi" w:cstheme="minorHAnsi"/>
        </w:rPr>
        <w:t xml:space="preserve"> the</w:t>
      </w:r>
      <w:r w:rsidR="00FA50F0" w:rsidRPr="00BF17B0">
        <w:rPr>
          <w:rFonts w:asciiTheme="minorHAnsi" w:hAnsiTheme="minorHAnsi" w:cstheme="minorHAnsi"/>
        </w:rPr>
        <w:t xml:space="preserve"> </w:t>
      </w:r>
      <w:r w:rsidR="00F81B49" w:rsidRPr="00BF17B0">
        <w:rPr>
          <w:rFonts w:asciiTheme="minorHAnsi" w:hAnsiTheme="minorHAnsi" w:cstheme="minorHAnsi"/>
        </w:rPr>
        <w:t>World Bank</w:t>
      </w:r>
      <w:r w:rsidR="00FA50F0" w:rsidRPr="00BF17B0">
        <w:rPr>
          <w:rFonts w:asciiTheme="minorHAnsi" w:hAnsiTheme="minorHAnsi" w:cstheme="minorHAnsi"/>
        </w:rPr>
        <w:t xml:space="preserve"> </w:t>
      </w:r>
      <w:r w:rsidR="00315C61" w:rsidRPr="00BF17B0">
        <w:rPr>
          <w:rFonts w:asciiTheme="minorHAnsi" w:hAnsiTheme="minorHAnsi" w:cstheme="minorHAnsi"/>
        </w:rPr>
        <w:t xml:space="preserve">navigate </w:t>
      </w:r>
      <w:r w:rsidR="002570A1" w:rsidRPr="00BF17B0">
        <w:rPr>
          <w:rFonts w:asciiTheme="minorHAnsi" w:hAnsiTheme="minorHAnsi" w:cstheme="minorHAnsi"/>
        </w:rPr>
        <w:t xml:space="preserve">the </w:t>
      </w:r>
      <w:r w:rsidR="00315C61" w:rsidRPr="00BF17B0">
        <w:rPr>
          <w:rFonts w:asciiTheme="minorHAnsi" w:hAnsiTheme="minorHAnsi" w:cstheme="minorHAnsi"/>
        </w:rPr>
        <w:t>changing environment</w:t>
      </w:r>
      <w:r w:rsidR="007534AF" w:rsidRPr="00BF17B0">
        <w:rPr>
          <w:rFonts w:asciiTheme="minorHAnsi" w:hAnsiTheme="minorHAnsi" w:cstheme="minorHAnsi"/>
        </w:rPr>
        <w:t xml:space="preserve"> </w:t>
      </w:r>
      <w:r w:rsidR="00645FDA" w:rsidRPr="00BF17B0">
        <w:rPr>
          <w:rFonts w:asciiTheme="minorHAnsi" w:hAnsiTheme="minorHAnsi" w:cstheme="minorHAnsi"/>
        </w:rPr>
        <w:t xml:space="preserve">while </w:t>
      </w:r>
      <w:r w:rsidR="00220BBE" w:rsidRPr="00BF17B0">
        <w:rPr>
          <w:rFonts w:asciiTheme="minorHAnsi" w:hAnsiTheme="minorHAnsi" w:cstheme="minorHAnsi"/>
        </w:rPr>
        <w:t xml:space="preserve">providing support </w:t>
      </w:r>
      <w:r w:rsidR="00E67238" w:rsidRPr="00BF17B0">
        <w:rPr>
          <w:rFonts w:asciiTheme="minorHAnsi" w:hAnsiTheme="minorHAnsi" w:cstheme="minorHAnsi"/>
        </w:rPr>
        <w:t xml:space="preserve">to </w:t>
      </w:r>
      <w:r w:rsidR="00220BBE" w:rsidRPr="00BF17B0">
        <w:rPr>
          <w:rFonts w:asciiTheme="minorHAnsi" w:hAnsiTheme="minorHAnsi" w:cstheme="minorHAnsi"/>
        </w:rPr>
        <w:t xml:space="preserve">the </w:t>
      </w:r>
      <w:r w:rsidR="00332D5C" w:rsidRPr="00BF17B0">
        <w:rPr>
          <w:rFonts w:asciiTheme="minorHAnsi" w:hAnsiTheme="minorHAnsi" w:cstheme="minorHAnsi"/>
        </w:rPr>
        <w:t xml:space="preserve">Government of the </w:t>
      </w:r>
      <w:r w:rsidR="00220BBE" w:rsidRPr="00BF17B0">
        <w:rPr>
          <w:rFonts w:asciiTheme="minorHAnsi" w:hAnsiTheme="minorHAnsi" w:cstheme="minorHAnsi"/>
        </w:rPr>
        <w:t>Philippine</w:t>
      </w:r>
      <w:r w:rsidR="00332D5C" w:rsidRPr="00BF17B0">
        <w:rPr>
          <w:rFonts w:asciiTheme="minorHAnsi" w:hAnsiTheme="minorHAnsi" w:cstheme="minorHAnsi"/>
        </w:rPr>
        <w:t>s</w:t>
      </w:r>
      <w:r w:rsidR="00220BBE" w:rsidRPr="00BF17B0">
        <w:rPr>
          <w:rFonts w:asciiTheme="minorHAnsi" w:hAnsiTheme="minorHAnsi" w:cstheme="minorHAnsi"/>
        </w:rPr>
        <w:t xml:space="preserve">. </w:t>
      </w:r>
      <w:r w:rsidR="002570A1" w:rsidRPr="00BF17B0">
        <w:rPr>
          <w:rFonts w:asciiTheme="minorHAnsi" w:hAnsiTheme="minorHAnsi" w:cstheme="minorHAnsi"/>
        </w:rPr>
        <w:t xml:space="preserve">World Bank </w:t>
      </w:r>
      <w:r w:rsidR="007F1206" w:rsidRPr="00BF17B0">
        <w:rPr>
          <w:rFonts w:asciiTheme="minorHAnsi" w:hAnsiTheme="minorHAnsi" w:cstheme="minorHAnsi"/>
        </w:rPr>
        <w:t>teams</w:t>
      </w:r>
      <w:r w:rsidR="00D16892" w:rsidRPr="00BF17B0">
        <w:rPr>
          <w:rFonts w:asciiTheme="minorHAnsi" w:hAnsiTheme="minorHAnsi" w:cstheme="minorHAnsi"/>
        </w:rPr>
        <w:t xml:space="preserve"> </w:t>
      </w:r>
      <w:r w:rsidR="00EC57C9" w:rsidRPr="00BF17B0">
        <w:rPr>
          <w:rFonts w:asciiTheme="minorHAnsi" w:hAnsiTheme="minorHAnsi" w:cstheme="minorHAnsi"/>
        </w:rPr>
        <w:t xml:space="preserve">were </w:t>
      </w:r>
      <w:r w:rsidR="00D16892" w:rsidRPr="00BF17B0">
        <w:rPr>
          <w:rFonts w:asciiTheme="minorHAnsi" w:hAnsiTheme="minorHAnsi" w:cstheme="minorHAnsi"/>
        </w:rPr>
        <w:t xml:space="preserve">also </w:t>
      </w:r>
      <w:r w:rsidR="00EC57C9" w:rsidRPr="00BF17B0">
        <w:rPr>
          <w:rFonts w:asciiTheme="minorHAnsi" w:hAnsiTheme="minorHAnsi" w:cstheme="minorHAnsi"/>
        </w:rPr>
        <w:t xml:space="preserve">able </w:t>
      </w:r>
      <w:r w:rsidR="007F1206" w:rsidRPr="00BF17B0">
        <w:rPr>
          <w:rFonts w:asciiTheme="minorHAnsi" w:hAnsiTheme="minorHAnsi" w:cstheme="minorHAnsi"/>
        </w:rPr>
        <w:t>to mobilize additional resources for co</w:t>
      </w:r>
      <w:r w:rsidR="00E8300B" w:rsidRPr="00BF17B0">
        <w:rPr>
          <w:rFonts w:asciiTheme="minorHAnsi" w:hAnsiTheme="minorHAnsi" w:cstheme="minorHAnsi"/>
        </w:rPr>
        <w:t>-f</w:t>
      </w:r>
      <w:r w:rsidR="007F1206" w:rsidRPr="00BF17B0">
        <w:rPr>
          <w:rFonts w:asciiTheme="minorHAnsi" w:hAnsiTheme="minorHAnsi" w:cstheme="minorHAnsi"/>
        </w:rPr>
        <w:t>inancing and technical assistance</w:t>
      </w:r>
      <w:r w:rsidR="002570A1" w:rsidRPr="00BF17B0">
        <w:rPr>
          <w:rFonts w:asciiTheme="minorHAnsi" w:hAnsiTheme="minorHAnsi" w:cstheme="minorHAnsi"/>
        </w:rPr>
        <w:t xml:space="preserve"> </w:t>
      </w:r>
      <w:r w:rsidR="007F1206" w:rsidRPr="00BF17B0">
        <w:rPr>
          <w:rFonts w:asciiTheme="minorHAnsi" w:hAnsiTheme="minorHAnsi" w:cstheme="minorHAnsi"/>
        </w:rPr>
        <w:t xml:space="preserve">to supplement </w:t>
      </w:r>
      <w:r w:rsidR="002570A1" w:rsidRPr="00BF17B0">
        <w:rPr>
          <w:rFonts w:asciiTheme="minorHAnsi" w:hAnsiTheme="minorHAnsi" w:cstheme="minorHAnsi"/>
        </w:rPr>
        <w:t xml:space="preserve">World Bank’s </w:t>
      </w:r>
      <w:r w:rsidR="007F1206" w:rsidRPr="00BF17B0">
        <w:rPr>
          <w:rFonts w:asciiTheme="minorHAnsi" w:hAnsiTheme="minorHAnsi" w:cstheme="minorHAnsi"/>
        </w:rPr>
        <w:t xml:space="preserve">administrative budgets and other funding sources. </w:t>
      </w:r>
    </w:p>
    <w:p w14:paraId="7E939611" w14:textId="77777777" w:rsidR="007434BD" w:rsidRPr="00BF17B0" w:rsidRDefault="00050AF7" w:rsidP="00D43E42">
      <w:pPr>
        <w:rPr>
          <w:rFonts w:asciiTheme="minorHAnsi" w:hAnsiTheme="minorHAnsi" w:cstheme="minorHAnsi"/>
        </w:rPr>
      </w:pPr>
      <w:r w:rsidRPr="00BF17B0">
        <w:rPr>
          <w:rFonts w:asciiTheme="minorHAnsi" w:hAnsiTheme="minorHAnsi" w:cstheme="minorHAnsi"/>
        </w:rPr>
        <w:t xml:space="preserve">DFAT confirmed that </w:t>
      </w:r>
      <w:r w:rsidR="00063409" w:rsidRPr="00BF17B0">
        <w:rPr>
          <w:rFonts w:asciiTheme="minorHAnsi" w:hAnsiTheme="minorHAnsi" w:cstheme="minorHAnsi"/>
        </w:rPr>
        <w:t>the World Bank</w:t>
      </w:r>
      <w:r w:rsidR="00B27B8E" w:rsidRPr="00BF17B0">
        <w:rPr>
          <w:rFonts w:asciiTheme="minorHAnsi" w:hAnsiTheme="minorHAnsi" w:cstheme="minorHAnsi"/>
        </w:rPr>
        <w:t xml:space="preserve"> was </w:t>
      </w:r>
      <w:r w:rsidRPr="00BF17B0">
        <w:rPr>
          <w:rFonts w:asciiTheme="minorHAnsi" w:hAnsiTheme="minorHAnsi" w:cstheme="minorHAnsi"/>
        </w:rPr>
        <w:t xml:space="preserve">able to </w:t>
      </w:r>
      <w:r w:rsidR="00B27B8E" w:rsidRPr="00BF17B0">
        <w:rPr>
          <w:rFonts w:asciiTheme="minorHAnsi" w:hAnsiTheme="minorHAnsi" w:cstheme="minorHAnsi"/>
        </w:rPr>
        <w:t xml:space="preserve">provide </w:t>
      </w:r>
      <w:r w:rsidRPr="00BF17B0">
        <w:rPr>
          <w:rFonts w:asciiTheme="minorHAnsi" w:hAnsiTheme="minorHAnsi" w:cstheme="minorHAnsi"/>
        </w:rPr>
        <w:t>high quality international expertise to address policy issues</w:t>
      </w:r>
      <w:r w:rsidR="00FA50F0" w:rsidRPr="00BF17B0">
        <w:rPr>
          <w:rFonts w:asciiTheme="minorHAnsi" w:hAnsiTheme="minorHAnsi" w:cstheme="minorHAnsi"/>
        </w:rPr>
        <w:t>.</w:t>
      </w:r>
      <w:r w:rsidRPr="00BF17B0">
        <w:rPr>
          <w:rFonts w:asciiTheme="minorHAnsi" w:hAnsiTheme="minorHAnsi" w:cstheme="minorHAnsi"/>
        </w:rPr>
        <w:t xml:space="preserve"> </w:t>
      </w:r>
      <w:r w:rsidR="00FA50F0" w:rsidRPr="00BF17B0">
        <w:rPr>
          <w:rFonts w:asciiTheme="minorHAnsi" w:hAnsiTheme="minorHAnsi" w:cstheme="minorHAnsi"/>
        </w:rPr>
        <w:t>R</w:t>
      </w:r>
      <w:r w:rsidRPr="00BF17B0">
        <w:rPr>
          <w:rFonts w:asciiTheme="minorHAnsi" w:hAnsiTheme="minorHAnsi" w:cstheme="minorHAnsi"/>
        </w:rPr>
        <w:t xml:space="preserve">equests from </w:t>
      </w:r>
      <w:r w:rsidR="00332D5C" w:rsidRPr="00BF17B0">
        <w:rPr>
          <w:rFonts w:asciiTheme="minorHAnsi" w:hAnsiTheme="minorHAnsi" w:cstheme="minorHAnsi"/>
        </w:rPr>
        <w:t>g</w:t>
      </w:r>
      <w:r w:rsidRPr="00BF17B0">
        <w:rPr>
          <w:rFonts w:asciiTheme="minorHAnsi" w:hAnsiTheme="minorHAnsi" w:cstheme="minorHAnsi"/>
        </w:rPr>
        <w:t xml:space="preserve">overnment </w:t>
      </w:r>
      <w:r w:rsidR="00366B1A" w:rsidRPr="00BF17B0">
        <w:rPr>
          <w:rFonts w:asciiTheme="minorHAnsi" w:hAnsiTheme="minorHAnsi" w:cstheme="minorHAnsi"/>
        </w:rPr>
        <w:t xml:space="preserve">for </w:t>
      </w:r>
      <w:r w:rsidR="00B27B8E" w:rsidRPr="00BF17B0">
        <w:rPr>
          <w:rFonts w:asciiTheme="minorHAnsi" w:hAnsiTheme="minorHAnsi" w:cstheme="minorHAnsi"/>
        </w:rPr>
        <w:t xml:space="preserve">World Bank </w:t>
      </w:r>
      <w:r w:rsidRPr="00BF17B0">
        <w:rPr>
          <w:rFonts w:asciiTheme="minorHAnsi" w:hAnsiTheme="minorHAnsi" w:cstheme="minorHAnsi"/>
        </w:rPr>
        <w:t xml:space="preserve">specialists </w:t>
      </w:r>
      <w:r w:rsidR="00366B1A" w:rsidRPr="00BF17B0">
        <w:rPr>
          <w:rFonts w:asciiTheme="minorHAnsi" w:hAnsiTheme="minorHAnsi" w:cstheme="minorHAnsi"/>
        </w:rPr>
        <w:t xml:space="preserve">on </w:t>
      </w:r>
      <w:r w:rsidR="00B27B8E" w:rsidRPr="00BF17B0">
        <w:rPr>
          <w:rFonts w:asciiTheme="minorHAnsi" w:hAnsiTheme="minorHAnsi" w:cstheme="minorHAnsi"/>
        </w:rPr>
        <w:t xml:space="preserve">specific </w:t>
      </w:r>
      <w:r w:rsidRPr="00BF17B0">
        <w:rPr>
          <w:rFonts w:asciiTheme="minorHAnsi" w:hAnsiTheme="minorHAnsi" w:cstheme="minorHAnsi"/>
        </w:rPr>
        <w:t>topics, often at very short notice, attest</w:t>
      </w:r>
      <w:r w:rsidR="00971C2B" w:rsidRPr="00BF17B0">
        <w:rPr>
          <w:rFonts w:asciiTheme="minorHAnsi" w:hAnsiTheme="minorHAnsi" w:cstheme="minorHAnsi"/>
        </w:rPr>
        <w:t>ed</w:t>
      </w:r>
      <w:r w:rsidR="00365A71" w:rsidRPr="00BF17B0">
        <w:rPr>
          <w:rFonts w:asciiTheme="minorHAnsi" w:hAnsiTheme="minorHAnsi" w:cstheme="minorHAnsi"/>
        </w:rPr>
        <w:t xml:space="preserve"> </w:t>
      </w:r>
      <w:r w:rsidRPr="00BF17B0">
        <w:rPr>
          <w:rFonts w:asciiTheme="minorHAnsi" w:hAnsiTheme="minorHAnsi" w:cstheme="minorHAnsi"/>
        </w:rPr>
        <w:t xml:space="preserve">to the </w:t>
      </w:r>
      <w:r w:rsidR="00332D5C" w:rsidRPr="00BF17B0">
        <w:rPr>
          <w:rFonts w:asciiTheme="minorHAnsi" w:hAnsiTheme="minorHAnsi" w:cstheme="minorHAnsi"/>
        </w:rPr>
        <w:t>g</w:t>
      </w:r>
      <w:r w:rsidRPr="00BF17B0">
        <w:rPr>
          <w:rFonts w:asciiTheme="minorHAnsi" w:hAnsiTheme="minorHAnsi" w:cstheme="minorHAnsi"/>
        </w:rPr>
        <w:t>overnment’s appreciation of this facility</w:t>
      </w:r>
      <w:r w:rsidR="00EB211F" w:rsidRPr="00BF17B0">
        <w:rPr>
          <w:rFonts w:asciiTheme="minorHAnsi" w:hAnsiTheme="minorHAnsi" w:cstheme="minorHAnsi"/>
        </w:rPr>
        <w:t xml:space="preserve">. </w:t>
      </w:r>
      <w:r w:rsidR="00865D8C" w:rsidRPr="00BF17B0">
        <w:rPr>
          <w:rFonts w:asciiTheme="minorHAnsi" w:hAnsiTheme="minorHAnsi" w:cstheme="minorHAnsi"/>
        </w:rPr>
        <w:t>Moreover, w</w:t>
      </w:r>
      <w:r w:rsidR="006013EA" w:rsidRPr="00BF17B0">
        <w:rPr>
          <w:rFonts w:asciiTheme="minorHAnsi" w:hAnsiTheme="minorHAnsi" w:cstheme="minorHAnsi"/>
        </w:rPr>
        <w:t xml:space="preserve">orking with </w:t>
      </w:r>
      <w:r w:rsidR="0037634D" w:rsidRPr="00BF17B0">
        <w:rPr>
          <w:rFonts w:asciiTheme="minorHAnsi" w:hAnsiTheme="minorHAnsi" w:cstheme="minorHAnsi"/>
        </w:rPr>
        <w:t xml:space="preserve">World Bank </w:t>
      </w:r>
      <w:r w:rsidR="006013EA" w:rsidRPr="00BF17B0">
        <w:rPr>
          <w:rFonts w:asciiTheme="minorHAnsi" w:hAnsiTheme="minorHAnsi" w:cstheme="minorHAnsi"/>
        </w:rPr>
        <w:t xml:space="preserve">task teams, Australia </w:t>
      </w:r>
      <w:r w:rsidR="00865D8C" w:rsidRPr="00BF17B0">
        <w:rPr>
          <w:rFonts w:asciiTheme="minorHAnsi" w:hAnsiTheme="minorHAnsi" w:cstheme="minorHAnsi"/>
        </w:rPr>
        <w:t xml:space="preserve">was </w:t>
      </w:r>
      <w:r w:rsidR="006013EA" w:rsidRPr="00BF17B0">
        <w:rPr>
          <w:rFonts w:asciiTheme="minorHAnsi" w:hAnsiTheme="minorHAnsi" w:cstheme="minorHAnsi"/>
        </w:rPr>
        <w:t>able to provide input</w:t>
      </w:r>
      <w:r w:rsidR="00E35C68" w:rsidRPr="00BF17B0">
        <w:rPr>
          <w:rFonts w:asciiTheme="minorHAnsi" w:hAnsiTheme="minorHAnsi" w:cstheme="minorHAnsi"/>
        </w:rPr>
        <w:t xml:space="preserve"> </w:t>
      </w:r>
      <w:r w:rsidR="006013EA" w:rsidRPr="00BF17B0">
        <w:rPr>
          <w:rFonts w:asciiTheme="minorHAnsi" w:hAnsiTheme="minorHAnsi" w:cstheme="minorHAnsi"/>
        </w:rPr>
        <w:t xml:space="preserve">in key policy </w:t>
      </w:r>
      <w:r w:rsidR="00FA2017" w:rsidRPr="00BF17B0">
        <w:rPr>
          <w:rFonts w:asciiTheme="minorHAnsi" w:hAnsiTheme="minorHAnsi" w:cstheme="minorHAnsi"/>
        </w:rPr>
        <w:t xml:space="preserve">areas </w:t>
      </w:r>
      <w:r w:rsidR="00833B01" w:rsidRPr="00BF17B0">
        <w:rPr>
          <w:rFonts w:asciiTheme="minorHAnsi" w:hAnsiTheme="minorHAnsi" w:cstheme="minorHAnsi"/>
        </w:rPr>
        <w:t>through</w:t>
      </w:r>
      <w:r w:rsidR="006013EA" w:rsidRPr="00BF17B0">
        <w:rPr>
          <w:rFonts w:asciiTheme="minorHAnsi" w:hAnsiTheme="minorHAnsi" w:cstheme="minorHAnsi"/>
        </w:rPr>
        <w:t xml:space="preserve"> activities supported by</w:t>
      </w:r>
      <w:r w:rsidR="00804FD7" w:rsidRPr="00BF17B0">
        <w:rPr>
          <w:rFonts w:asciiTheme="minorHAnsi" w:hAnsiTheme="minorHAnsi" w:cstheme="minorHAnsi"/>
        </w:rPr>
        <w:t xml:space="preserve"> the</w:t>
      </w:r>
      <w:r w:rsidR="006013EA" w:rsidRPr="00BF17B0">
        <w:rPr>
          <w:rFonts w:asciiTheme="minorHAnsi" w:hAnsiTheme="minorHAnsi" w:cstheme="minorHAnsi"/>
        </w:rPr>
        <w:t xml:space="preserve"> </w:t>
      </w:r>
      <w:r w:rsidR="006D1856" w:rsidRPr="00BF17B0">
        <w:rPr>
          <w:rFonts w:asciiTheme="minorHAnsi" w:hAnsiTheme="minorHAnsi" w:cstheme="minorHAnsi"/>
        </w:rPr>
        <w:t>PH-PTF</w:t>
      </w:r>
      <w:r w:rsidR="00EB211F" w:rsidRPr="00BF17B0">
        <w:rPr>
          <w:rFonts w:asciiTheme="minorHAnsi" w:hAnsiTheme="minorHAnsi" w:cstheme="minorHAnsi"/>
        </w:rPr>
        <w:t xml:space="preserve">. </w:t>
      </w:r>
      <w:r w:rsidRPr="00BF17B0">
        <w:rPr>
          <w:rFonts w:asciiTheme="minorHAnsi" w:hAnsiTheme="minorHAnsi" w:cstheme="minorHAnsi"/>
        </w:rPr>
        <w:t>DFAT was</w:t>
      </w:r>
      <w:r w:rsidR="006013EA" w:rsidRPr="00BF17B0">
        <w:rPr>
          <w:rFonts w:asciiTheme="minorHAnsi" w:hAnsiTheme="minorHAnsi" w:cstheme="minorHAnsi"/>
        </w:rPr>
        <w:t xml:space="preserve"> also</w:t>
      </w:r>
      <w:r w:rsidR="00FA50F0" w:rsidRPr="00BF17B0">
        <w:rPr>
          <w:rFonts w:asciiTheme="minorHAnsi" w:hAnsiTheme="minorHAnsi" w:cstheme="minorHAnsi"/>
        </w:rPr>
        <w:t xml:space="preserve"> </w:t>
      </w:r>
      <w:r w:rsidR="00325B2D" w:rsidRPr="00BF17B0">
        <w:rPr>
          <w:rFonts w:asciiTheme="minorHAnsi" w:hAnsiTheme="minorHAnsi" w:cstheme="minorHAnsi"/>
        </w:rPr>
        <w:t>occasionally</w:t>
      </w:r>
      <w:r w:rsidRPr="00BF17B0">
        <w:rPr>
          <w:rFonts w:asciiTheme="minorHAnsi" w:hAnsiTheme="minorHAnsi" w:cstheme="minorHAnsi"/>
        </w:rPr>
        <w:t xml:space="preserve"> able to assist the </w:t>
      </w:r>
      <w:r w:rsidR="00C900AF" w:rsidRPr="00BF17B0">
        <w:rPr>
          <w:rFonts w:asciiTheme="minorHAnsi" w:hAnsiTheme="minorHAnsi" w:cstheme="minorHAnsi"/>
        </w:rPr>
        <w:t xml:space="preserve">World Bank </w:t>
      </w:r>
      <w:r w:rsidRPr="00BF17B0">
        <w:rPr>
          <w:rFonts w:asciiTheme="minorHAnsi" w:hAnsiTheme="minorHAnsi" w:cstheme="minorHAnsi"/>
        </w:rPr>
        <w:t xml:space="preserve">in identifying the best available specialists </w:t>
      </w:r>
      <w:r w:rsidR="00C900AF" w:rsidRPr="00BF17B0">
        <w:rPr>
          <w:rFonts w:asciiTheme="minorHAnsi" w:hAnsiTheme="minorHAnsi" w:cstheme="minorHAnsi"/>
        </w:rPr>
        <w:t xml:space="preserve">from its </w:t>
      </w:r>
      <w:r w:rsidRPr="00BF17B0">
        <w:rPr>
          <w:rFonts w:asciiTheme="minorHAnsi" w:hAnsiTheme="minorHAnsi" w:cstheme="minorHAnsi"/>
        </w:rPr>
        <w:t>own network</w:t>
      </w:r>
      <w:r w:rsidR="00EB211F" w:rsidRPr="00BF17B0">
        <w:rPr>
          <w:rFonts w:asciiTheme="minorHAnsi" w:hAnsiTheme="minorHAnsi" w:cstheme="minorHAnsi"/>
        </w:rPr>
        <w:t xml:space="preserve">. </w:t>
      </w:r>
    </w:p>
    <w:p w14:paraId="7EF11743" w14:textId="77777777" w:rsidR="00E60EB9" w:rsidRPr="00BF17B0" w:rsidRDefault="00E60EB9" w:rsidP="00E60EB9">
      <w:pPr>
        <w:rPr>
          <w:rFonts w:asciiTheme="minorHAnsi" w:hAnsiTheme="minorHAnsi" w:cstheme="minorHAnsi"/>
        </w:rPr>
      </w:pPr>
      <w:r w:rsidRPr="00BF17B0">
        <w:rPr>
          <w:rFonts w:asciiTheme="minorHAnsi" w:hAnsiTheme="minorHAnsi" w:cstheme="minorHAnsi"/>
        </w:rPr>
        <w:t>The output</w:t>
      </w:r>
      <w:r w:rsidR="00454F52" w:rsidRPr="00BF17B0">
        <w:rPr>
          <w:rFonts w:asciiTheme="minorHAnsi" w:hAnsiTheme="minorHAnsi" w:cstheme="minorHAnsi"/>
        </w:rPr>
        <w:t>s</w:t>
      </w:r>
      <w:r w:rsidR="00C900AF" w:rsidRPr="00BF17B0">
        <w:rPr>
          <w:rFonts w:asciiTheme="minorHAnsi" w:hAnsiTheme="minorHAnsi" w:cstheme="minorHAnsi"/>
        </w:rPr>
        <w:t xml:space="preserve"> </w:t>
      </w:r>
      <w:r w:rsidRPr="00BF17B0">
        <w:rPr>
          <w:rFonts w:asciiTheme="minorHAnsi" w:hAnsiTheme="minorHAnsi" w:cstheme="minorHAnsi"/>
        </w:rPr>
        <w:t xml:space="preserve">delivered by both </w:t>
      </w:r>
      <w:r w:rsidR="00C900AF" w:rsidRPr="00BF17B0">
        <w:rPr>
          <w:rFonts w:asciiTheme="minorHAnsi" w:hAnsiTheme="minorHAnsi" w:cstheme="minorHAnsi"/>
        </w:rPr>
        <w:t xml:space="preserve">recipient-executed </w:t>
      </w:r>
      <w:r w:rsidRPr="00BF17B0">
        <w:rPr>
          <w:rFonts w:asciiTheme="minorHAnsi" w:hAnsiTheme="minorHAnsi" w:cstheme="minorHAnsi"/>
        </w:rPr>
        <w:t xml:space="preserve">and </w:t>
      </w:r>
      <w:r w:rsidR="00C900AF" w:rsidRPr="00BF17B0">
        <w:rPr>
          <w:rFonts w:asciiTheme="minorHAnsi" w:hAnsiTheme="minorHAnsi" w:cstheme="minorHAnsi"/>
        </w:rPr>
        <w:t xml:space="preserve">Bank-executed </w:t>
      </w:r>
      <w:r w:rsidRPr="00BF17B0">
        <w:rPr>
          <w:rFonts w:asciiTheme="minorHAnsi" w:hAnsiTheme="minorHAnsi" w:cstheme="minorHAnsi"/>
        </w:rPr>
        <w:t xml:space="preserve">grants </w:t>
      </w:r>
      <w:r w:rsidR="00F973CE" w:rsidRPr="00BF17B0">
        <w:rPr>
          <w:rFonts w:asciiTheme="minorHAnsi" w:hAnsiTheme="minorHAnsi" w:cstheme="minorHAnsi"/>
        </w:rPr>
        <w:t>we</w:t>
      </w:r>
      <w:r w:rsidR="00F81B49" w:rsidRPr="00BF17B0">
        <w:rPr>
          <w:rFonts w:asciiTheme="minorHAnsi" w:hAnsiTheme="minorHAnsi" w:cstheme="minorHAnsi"/>
        </w:rPr>
        <w:t>re</w:t>
      </w:r>
      <w:r w:rsidR="00C900AF" w:rsidRPr="00BF17B0">
        <w:rPr>
          <w:rFonts w:asciiTheme="minorHAnsi" w:hAnsiTheme="minorHAnsi" w:cstheme="minorHAnsi"/>
        </w:rPr>
        <w:t xml:space="preserve"> on </w:t>
      </w:r>
      <w:r w:rsidRPr="00BF17B0">
        <w:rPr>
          <w:rFonts w:asciiTheme="minorHAnsi" w:hAnsiTheme="minorHAnsi" w:cstheme="minorHAnsi"/>
        </w:rPr>
        <w:t>track, of high quality, innovative</w:t>
      </w:r>
      <w:r w:rsidR="00A02687" w:rsidRPr="00BF17B0">
        <w:rPr>
          <w:rFonts w:asciiTheme="minorHAnsi" w:hAnsiTheme="minorHAnsi" w:cstheme="minorHAnsi"/>
        </w:rPr>
        <w:t>,</w:t>
      </w:r>
      <w:r w:rsidRPr="00BF17B0">
        <w:rPr>
          <w:rFonts w:asciiTheme="minorHAnsi" w:hAnsiTheme="minorHAnsi" w:cstheme="minorHAnsi"/>
        </w:rPr>
        <w:t xml:space="preserve"> and contribute</w:t>
      </w:r>
      <w:r w:rsidR="00FA2017" w:rsidRPr="00BF17B0">
        <w:rPr>
          <w:rFonts w:asciiTheme="minorHAnsi" w:hAnsiTheme="minorHAnsi" w:cstheme="minorHAnsi"/>
        </w:rPr>
        <w:t>d</w:t>
      </w:r>
      <w:r w:rsidRPr="00BF17B0">
        <w:rPr>
          <w:rFonts w:asciiTheme="minorHAnsi" w:hAnsiTheme="minorHAnsi" w:cstheme="minorHAnsi"/>
        </w:rPr>
        <w:t xml:space="preserve"> to the achievement of</w:t>
      </w:r>
      <w:r w:rsidR="00804FD7" w:rsidRPr="00BF17B0">
        <w:rPr>
          <w:rFonts w:asciiTheme="minorHAnsi" w:hAnsiTheme="minorHAnsi" w:cstheme="minorHAnsi"/>
        </w:rPr>
        <w:t xml:space="preserve"> the</w:t>
      </w:r>
      <w:r w:rsidRPr="00BF17B0">
        <w:rPr>
          <w:rFonts w:asciiTheme="minorHAnsi" w:hAnsiTheme="minorHAnsi" w:cstheme="minorHAnsi"/>
        </w:rPr>
        <w:t xml:space="preserve"> </w:t>
      </w:r>
      <w:r w:rsidR="006D1856" w:rsidRPr="00BF17B0">
        <w:rPr>
          <w:rFonts w:asciiTheme="minorHAnsi" w:hAnsiTheme="minorHAnsi" w:cstheme="minorHAnsi"/>
        </w:rPr>
        <w:t>PH-PTF</w:t>
      </w:r>
      <w:r w:rsidR="00804FD7" w:rsidRPr="00BF17B0">
        <w:rPr>
          <w:rFonts w:asciiTheme="minorHAnsi" w:hAnsiTheme="minorHAnsi" w:cstheme="minorHAnsi"/>
        </w:rPr>
        <w:t>’s</w:t>
      </w:r>
      <w:r w:rsidRPr="00BF17B0">
        <w:rPr>
          <w:rFonts w:asciiTheme="minorHAnsi" w:hAnsiTheme="minorHAnsi" w:cstheme="minorHAnsi"/>
        </w:rPr>
        <w:t xml:space="preserve"> intended outcomes</w:t>
      </w:r>
      <w:r w:rsidR="00EB211F" w:rsidRPr="00BF17B0">
        <w:rPr>
          <w:rFonts w:asciiTheme="minorHAnsi" w:hAnsiTheme="minorHAnsi" w:cstheme="minorHAnsi"/>
        </w:rPr>
        <w:t xml:space="preserve">. </w:t>
      </w:r>
    </w:p>
    <w:p w14:paraId="021666BF" w14:textId="77777777" w:rsidR="00F91818" w:rsidRPr="00BF17B0" w:rsidRDefault="00AD24E1" w:rsidP="00F91818">
      <w:pPr>
        <w:rPr>
          <w:rFonts w:asciiTheme="minorHAnsi" w:hAnsiTheme="minorHAnsi" w:cstheme="minorHAnsi"/>
        </w:rPr>
      </w:pPr>
      <w:r w:rsidRPr="00BF17B0">
        <w:rPr>
          <w:rFonts w:asciiTheme="minorHAnsi" w:hAnsiTheme="minorHAnsi" w:cstheme="minorHAnsi"/>
        </w:rPr>
        <w:t xml:space="preserve">Some grants under the </w:t>
      </w:r>
      <w:r w:rsidR="006D1856" w:rsidRPr="00BF17B0">
        <w:rPr>
          <w:rFonts w:asciiTheme="minorHAnsi" w:hAnsiTheme="minorHAnsi" w:cstheme="minorHAnsi"/>
        </w:rPr>
        <w:t>PH-PTF</w:t>
      </w:r>
      <w:r w:rsidR="00901E30" w:rsidRPr="00BF17B0">
        <w:rPr>
          <w:rFonts w:asciiTheme="minorHAnsi" w:hAnsiTheme="minorHAnsi" w:cstheme="minorHAnsi"/>
        </w:rPr>
        <w:t>,</w:t>
      </w:r>
      <w:r w:rsidR="00F83483" w:rsidRPr="00BF17B0">
        <w:rPr>
          <w:rFonts w:asciiTheme="minorHAnsi" w:hAnsiTheme="minorHAnsi" w:cstheme="minorHAnsi"/>
        </w:rPr>
        <w:t xml:space="preserve"> such as th</w:t>
      </w:r>
      <w:r w:rsidR="009E1FA5" w:rsidRPr="00BF17B0">
        <w:rPr>
          <w:rFonts w:asciiTheme="minorHAnsi" w:hAnsiTheme="minorHAnsi" w:cstheme="minorHAnsi"/>
        </w:rPr>
        <w:t xml:space="preserve">ose </w:t>
      </w:r>
      <w:r w:rsidR="00C45DB5" w:rsidRPr="00BF17B0">
        <w:rPr>
          <w:rFonts w:asciiTheme="minorHAnsi" w:hAnsiTheme="minorHAnsi" w:cstheme="minorHAnsi"/>
        </w:rPr>
        <w:t>that</w:t>
      </w:r>
      <w:r w:rsidR="009E1FA5" w:rsidRPr="00BF17B0">
        <w:rPr>
          <w:rFonts w:asciiTheme="minorHAnsi" w:hAnsiTheme="minorHAnsi" w:cstheme="minorHAnsi"/>
        </w:rPr>
        <w:t xml:space="preserve"> co</w:t>
      </w:r>
      <w:r w:rsidR="00C45DB5" w:rsidRPr="00BF17B0">
        <w:rPr>
          <w:rFonts w:asciiTheme="minorHAnsi" w:hAnsiTheme="minorHAnsi" w:cstheme="minorHAnsi"/>
        </w:rPr>
        <w:t>-</w:t>
      </w:r>
      <w:r w:rsidR="009E1FA5" w:rsidRPr="00BF17B0">
        <w:rPr>
          <w:rFonts w:asciiTheme="minorHAnsi" w:hAnsiTheme="minorHAnsi" w:cstheme="minorHAnsi"/>
        </w:rPr>
        <w:t xml:space="preserve">financed </w:t>
      </w:r>
      <w:r w:rsidR="00C45DB5" w:rsidRPr="00BF17B0">
        <w:rPr>
          <w:rFonts w:asciiTheme="minorHAnsi" w:hAnsiTheme="minorHAnsi" w:cstheme="minorHAnsi"/>
        </w:rPr>
        <w:t>World Bank</w:t>
      </w:r>
      <w:r w:rsidR="009E1FA5" w:rsidRPr="00BF17B0">
        <w:rPr>
          <w:rFonts w:asciiTheme="minorHAnsi" w:hAnsiTheme="minorHAnsi" w:cstheme="minorHAnsi"/>
        </w:rPr>
        <w:t xml:space="preserve"> investment operations </w:t>
      </w:r>
      <w:r w:rsidR="00901E30" w:rsidRPr="00BF17B0">
        <w:rPr>
          <w:rFonts w:asciiTheme="minorHAnsi" w:hAnsiTheme="minorHAnsi" w:cstheme="minorHAnsi"/>
        </w:rPr>
        <w:t>(</w:t>
      </w:r>
      <w:r w:rsidRPr="00BF17B0">
        <w:rPr>
          <w:rFonts w:asciiTheme="minorHAnsi" w:hAnsiTheme="minorHAnsi" w:cstheme="minorHAnsi"/>
        </w:rPr>
        <w:t xml:space="preserve">Mindanao Rural Development Project Phase </w:t>
      </w:r>
      <w:r w:rsidR="0061597D" w:rsidRPr="00BF17B0">
        <w:rPr>
          <w:rFonts w:asciiTheme="minorHAnsi" w:hAnsiTheme="minorHAnsi" w:cstheme="minorHAnsi"/>
        </w:rPr>
        <w:t>II</w:t>
      </w:r>
      <w:r w:rsidR="00901E30" w:rsidRPr="00BF17B0">
        <w:rPr>
          <w:rFonts w:asciiTheme="minorHAnsi" w:hAnsiTheme="minorHAnsi" w:cstheme="minorHAnsi"/>
        </w:rPr>
        <w:t xml:space="preserve"> </w:t>
      </w:r>
      <w:r w:rsidR="00C02444" w:rsidRPr="00BF17B0">
        <w:rPr>
          <w:rFonts w:asciiTheme="minorHAnsi" w:hAnsiTheme="minorHAnsi" w:cstheme="minorHAnsi"/>
        </w:rPr>
        <w:t xml:space="preserve">and </w:t>
      </w:r>
      <w:r w:rsidR="00FA50F0" w:rsidRPr="00BF17B0">
        <w:rPr>
          <w:rFonts w:asciiTheme="minorHAnsi" w:hAnsiTheme="minorHAnsi" w:cstheme="minorHAnsi"/>
        </w:rPr>
        <w:t xml:space="preserve">KALAHI-CIDSS </w:t>
      </w:r>
      <w:r w:rsidR="00023DF7" w:rsidRPr="00BF17B0">
        <w:rPr>
          <w:rFonts w:asciiTheme="minorHAnsi" w:hAnsiTheme="minorHAnsi" w:cstheme="minorHAnsi"/>
        </w:rPr>
        <w:t>Project</w:t>
      </w:r>
      <w:r w:rsidR="00901E30" w:rsidRPr="00BF17B0">
        <w:rPr>
          <w:rFonts w:asciiTheme="minorHAnsi" w:hAnsiTheme="minorHAnsi" w:cstheme="minorHAnsi"/>
        </w:rPr>
        <w:t xml:space="preserve">) </w:t>
      </w:r>
      <w:r w:rsidR="009E1FA5" w:rsidRPr="00BF17B0">
        <w:rPr>
          <w:rFonts w:asciiTheme="minorHAnsi" w:hAnsiTheme="minorHAnsi" w:cstheme="minorHAnsi"/>
        </w:rPr>
        <w:t xml:space="preserve">and the </w:t>
      </w:r>
      <w:r w:rsidR="00FA50F0" w:rsidRPr="00BF17B0">
        <w:rPr>
          <w:rFonts w:asciiTheme="minorHAnsi" w:hAnsiTheme="minorHAnsi" w:cstheme="minorHAnsi"/>
        </w:rPr>
        <w:t xml:space="preserve">analytical and </w:t>
      </w:r>
      <w:r w:rsidR="009E1FA5" w:rsidRPr="00BF17B0">
        <w:rPr>
          <w:rFonts w:asciiTheme="minorHAnsi" w:hAnsiTheme="minorHAnsi" w:cstheme="minorHAnsi"/>
        </w:rPr>
        <w:t xml:space="preserve">technical assistance support </w:t>
      </w:r>
      <w:r w:rsidR="00F81B49" w:rsidRPr="00BF17B0">
        <w:rPr>
          <w:rFonts w:asciiTheme="minorHAnsi" w:hAnsiTheme="minorHAnsi" w:cstheme="minorHAnsi"/>
        </w:rPr>
        <w:t xml:space="preserve">for </w:t>
      </w:r>
      <w:r w:rsidR="009E1FA5" w:rsidRPr="00BF17B0">
        <w:rPr>
          <w:rFonts w:asciiTheme="minorHAnsi" w:hAnsiTheme="minorHAnsi" w:cstheme="minorHAnsi"/>
        </w:rPr>
        <w:t xml:space="preserve">the Social Welfare Development Reform </w:t>
      </w:r>
      <w:r w:rsidR="00F81B49" w:rsidRPr="00BF17B0">
        <w:rPr>
          <w:rFonts w:asciiTheme="minorHAnsi" w:hAnsiTheme="minorHAnsi" w:cstheme="minorHAnsi"/>
        </w:rPr>
        <w:t>Project</w:t>
      </w:r>
      <w:r w:rsidR="00701B49" w:rsidRPr="00BF17B0">
        <w:rPr>
          <w:rFonts w:asciiTheme="minorHAnsi" w:hAnsiTheme="minorHAnsi" w:cstheme="minorHAnsi"/>
        </w:rPr>
        <w:t xml:space="preserve">, </w:t>
      </w:r>
      <w:r w:rsidRPr="00BF17B0">
        <w:rPr>
          <w:rFonts w:asciiTheme="minorHAnsi" w:hAnsiTheme="minorHAnsi" w:cstheme="minorHAnsi"/>
        </w:rPr>
        <w:t>resulted in substantial improvement</w:t>
      </w:r>
      <w:r w:rsidR="00701B49" w:rsidRPr="00BF17B0">
        <w:rPr>
          <w:rFonts w:asciiTheme="minorHAnsi" w:hAnsiTheme="minorHAnsi" w:cstheme="minorHAnsi"/>
        </w:rPr>
        <w:t xml:space="preserve"> </w:t>
      </w:r>
      <w:r w:rsidR="000B64AF" w:rsidRPr="00BF17B0">
        <w:rPr>
          <w:rFonts w:asciiTheme="minorHAnsi" w:hAnsiTheme="minorHAnsi" w:cstheme="minorHAnsi"/>
        </w:rPr>
        <w:t xml:space="preserve">in the quality of life of </w:t>
      </w:r>
      <w:r w:rsidRPr="00BF17B0">
        <w:rPr>
          <w:rFonts w:asciiTheme="minorHAnsi" w:hAnsiTheme="minorHAnsi" w:cstheme="minorHAnsi"/>
        </w:rPr>
        <w:t>beneficiaries</w:t>
      </w:r>
      <w:r w:rsidR="00EB211F" w:rsidRPr="00BF17B0">
        <w:rPr>
          <w:rFonts w:asciiTheme="minorHAnsi" w:hAnsiTheme="minorHAnsi" w:cstheme="minorHAnsi"/>
        </w:rPr>
        <w:t xml:space="preserve">. </w:t>
      </w:r>
      <w:r w:rsidR="000563CC" w:rsidRPr="00BF17B0">
        <w:rPr>
          <w:rFonts w:asciiTheme="minorHAnsi" w:hAnsiTheme="minorHAnsi" w:cstheme="minorHAnsi"/>
        </w:rPr>
        <w:t>They represent</w:t>
      </w:r>
      <w:r w:rsidR="009C79EB" w:rsidRPr="00BF17B0">
        <w:rPr>
          <w:rFonts w:asciiTheme="minorHAnsi" w:hAnsiTheme="minorHAnsi" w:cstheme="minorHAnsi"/>
        </w:rPr>
        <w:t>ed</w:t>
      </w:r>
      <w:r w:rsidRPr="00BF17B0">
        <w:rPr>
          <w:rFonts w:asciiTheme="minorHAnsi" w:hAnsiTheme="minorHAnsi" w:cstheme="minorHAnsi"/>
        </w:rPr>
        <w:t xml:space="preserve"> some of the largest grants</w:t>
      </w:r>
      <w:r w:rsidR="006013EA" w:rsidRPr="00BF17B0">
        <w:rPr>
          <w:rFonts w:asciiTheme="minorHAnsi" w:hAnsiTheme="minorHAnsi" w:cstheme="minorHAnsi"/>
        </w:rPr>
        <w:t xml:space="preserve"> </w:t>
      </w:r>
      <w:r w:rsidR="0021143D" w:rsidRPr="00BF17B0">
        <w:rPr>
          <w:rFonts w:asciiTheme="minorHAnsi" w:hAnsiTheme="minorHAnsi" w:cstheme="minorHAnsi"/>
        </w:rPr>
        <w:t xml:space="preserve">that </w:t>
      </w:r>
      <w:r w:rsidR="006013EA" w:rsidRPr="00BF17B0">
        <w:rPr>
          <w:rFonts w:asciiTheme="minorHAnsi" w:hAnsiTheme="minorHAnsi" w:cstheme="minorHAnsi"/>
        </w:rPr>
        <w:t>co</w:t>
      </w:r>
      <w:r w:rsidR="00E8300B" w:rsidRPr="00BF17B0">
        <w:rPr>
          <w:rFonts w:asciiTheme="minorHAnsi" w:hAnsiTheme="minorHAnsi" w:cstheme="minorHAnsi"/>
        </w:rPr>
        <w:t>-</w:t>
      </w:r>
      <w:r w:rsidR="006013EA" w:rsidRPr="00BF17B0">
        <w:rPr>
          <w:rFonts w:asciiTheme="minorHAnsi" w:hAnsiTheme="minorHAnsi" w:cstheme="minorHAnsi"/>
        </w:rPr>
        <w:t xml:space="preserve">financed </w:t>
      </w:r>
      <w:r w:rsidR="0021143D" w:rsidRPr="00BF17B0">
        <w:rPr>
          <w:rFonts w:asciiTheme="minorHAnsi" w:hAnsiTheme="minorHAnsi" w:cstheme="minorHAnsi"/>
        </w:rPr>
        <w:t xml:space="preserve">World Bank </w:t>
      </w:r>
      <w:r w:rsidR="006013EA" w:rsidRPr="00BF17B0">
        <w:rPr>
          <w:rFonts w:asciiTheme="minorHAnsi" w:hAnsiTheme="minorHAnsi" w:cstheme="minorHAnsi"/>
        </w:rPr>
        <w:t>investment operations</w:t>
      </w:r>
      <w:r w:rsidR="0021143D" w:rsidRPr="00BF17B0">
        <w:rPr>
          <w:rFonts w:asciiTheme="minorHAnsi" w:hAnsiTheme="minorHAnsi" w:cstheme="minorHAnsi"/>
        </w:rPr>
        <w:t xml:space="preserve">, with </w:t>
      </w:r>
      <w:r w:rsidR="00D03DAE" w:rsidRPr="00BF17B0">
        <w:rPr>
          <w:rFonts w:asciiTheme="minorHAnsi" w:hAnsiTheme="minorHAnsi" w:cstheme="minorHAnsi"/>
        </w:rPr>
        <w:t xml:space="preserve">very satisfactory </w:t>
      </w:r>
      <w:r w:rsidRPr="00BF17B0">
        <w:rPr>
          <w:rFonts w:asciiTheme="minorHAnsi" w:hAnsiTheme="minorHAnsi" w:cstheme="minorHAnsi"/>
        </w:rPr>
        <w:t>outcomes</w:t>
      </w:r>
      <w:r w:rsidR="00D03DAE" w:rsidRPr="00BF17B0">
        <w:rPr>
          <w:rFonts w:asciiTheme="minorHAnsi" w:hAnsiTheme="minorHAnsi" w:cstheme="minorHAnsi"/>
        </w:rPr>
        <w:t xml:space="preserve"> as </w:t>
      </w:r>
      <w:r w:rsidRPr="00BF17B0">
        <w:rPr>
          <w:rFonts w:asciiTheme="minorHAnsi" w:hAnsiTheme="minorHAnsi" w:cstheme="minorHAnsi"/>
        </w:rPr>
        <w:t>confirmed by rigorous impact eva</w:t>
      </w:r>
      <w:r w:rsidR="006013EA" w:rsidRPr="00BF17B0">
        <w:rPr>
          <w:rFonts w:asciiTheme="minorHAnsi" w:hAnsiTheme="minorHAnsi" w:cstheme="minorHAnsi"/>
        </w:rPr>
        <w:t>luations</w:t>
      </w:r>
      <w:r w:rsidR="009E1FA5" w:rsidRPr="00BF17B0">
        <w:rPr>
          <w:rFonts w:asciiTheme="minorHAnsi" w:hAnsiTheme="minorHAnsi" w:cstheme="minorHAnsi"/>
        </w:rPr>
        <w:t xml:space="preserve"> of the </w:t>
      </w:r>
      <w:r w:rsidR="00901E30" w:rsidRPr="00BF17B0">
        <w:rPr>
          <w:rFonts w:asciiTheme="minorHAnsi" w:hAnsiTheme="minorHAnsi" w:cstheme="minorHAnsi"/>
        </w:rPr>
        <w:t>World Bank</w:t>
      </w:r>
      <w:r w:rsidR="009E1FA5" w:rsidRPr="00BF17B0">
        <w:rPr>
          <w:rFonts w:asciiTheme="minorHAnsi" w:hAnsiTheme="minorHAnsi" w:cstheme="minorHAnsi"/>
        </w:rPr>
        <w:t xml:space="preserve"> projects that they co</w:t>
      </w:r>
      <w:r w:rsidR="00901E30" w:rsidRPr="00BF17B0">
        <w:rPr>
          <w:rFonts w:asciiTheme="minorHAnsi" w:hAnsiTheme="minorHAnsi" w:cstheme="minorHAnsi"/>
        </w:rPr>
        <w:t>-</w:t>
      </w:r>
      <w:r w:rsidR="009E1FA5" w:rsidRPr="00BF17B0">
        <w:rPr>
          <w:rFonts w:asciiTheme="minorHAnsi" w:hAnsiTheme="minorHAnsi" w:cstheme="minorHAnsi"/>
        </w:rPr>
        <w:t>financed</w:t>
      </w:r>
      <w:r w:rsidR="00D03DAE" w:rsidRPr="00BF17B0">
        <w:rPr>
          <w:rFonts w:asciiTheme="minorHAnsi" w:hAnsiTheme="minorHAnsi" w:cstheme="minorHAnsi"/>
        </w:rPr>
        <w:t>.</w:t>
      </w:r>
    </w:p>
    <w:p w14:paraId="3070552D" w14:textId="77777777" w:rsidR="009C79EB" w:rsidRPr="00BF17B0" w:rsidRDefault="009C79EB" w:rsidP="009C79EB">
      <w:pPr>
        <w:rPr>
          <w:rFonts w:asciiTheme="minorHAnsi" w:hAnsiTheme="minorHAnsi" w:cstheme="minorHAnsi"/>
        </w:rPr>
      </w:pPr>
    </w:p>
    <w:p w14:paraId="60806422" w14:textId="77777777" w:rsidR="00D40D7C" w:rsidRPr="00BF17B0" w:rsidRDefault="00D40D7C" w:rsidP="00022047">
      <w:pPr>
        <w:pStyle w:val="Heading3"/>
      </w:pPr>
      <w:r w:rsidRPr="00BF17B0">
        <w:t>Conditional Cash Transfer Program</w:t>
      </w:r>
      <w:r w:rsidR="00A53818" w:rsidRPr="00BF17B0">
        <w:t xml:space="preserve"> </w:t>
      </w:r>
    </w:p>
    <w:p w14:paraId="388E5374" w14:textId="6C3C7F96" w:rsidR="00EC57FF" w:rsidRPr="00BF17B0" w:rsidRDefault="00A53818" w:rsidP="00A53818">
      <w:pPr>
        <w:rPr>
          <w:rFonts w:asciiTheme="minorHAnsi" w:hAnsiTheme="minorHAnsi" w:cstheme="minorHAnsi"/>
        </w:rPr>
      </w:pPr>
      <w:r w:rsidRPr="00BF17B0">
        <w:rPr>
          <w:rFonts w:asciiTheme="minorHAnsi" w:hAnsiTheme="minorHAnsi" w:cstheme="minorHAnsi"/>
        </w:rPr>
        <w:t xml:space="preserve">The </w:t>
      </w:r>
      <w:r w:rsidR="00032B55" w:rsidRPr="00BF17B0">
        <w:rPr>
          <w:rFonts w:asciiTheme="minorHAnsi" w:hAnsiTheme="minorHAnsi" w:cstheme="minorHAnsi"/>
        </w:rPr>
        <w:t>PH-</w:t>
      </w:r>
      <w:r w:rsidRPr="00BF17B0">
        <w:rPr>
          <w:rFonts w:asciiTheme="minorHAnsi" w:hAnsiTheme="minorHAnsi" w:cstheme="minorHAnsi"/>
        </w:rPr>
        <w:t>PTF supported two large grants that complemented a World Bank loan for conditional cash transfers called Pantawid Pamilyang Pilipino Program</w:t>
      </w:r>
      <w:r w:rsidR="00EC57FF" w:rsidRPr="00BF17B0">
        <w:rPr>
          <w:rFonts w:asciiTheme="minorHAnsi" w:hAnsiTheme="minorHAnsi" w:cstheme="minorHAnsi"/>
        </w:rPr>
        <w:t xml:space="preserve"> (</w:t>
      </w:r>
      <w:r w:rsidR="00DE4748" w:rsidRPr="00BF17B0">
        <w:rPr>
          <w:rFonts w:asciiTheme="minorHAnsi" w:hAnsiTheme="minorHAnsi" w:cstheme="minorHAnsi"/>
        </w:rPr>
        <w:fldChar w:fldCharType="begin"/>
      </w:r>
      <w:r w:rsidR="00DE4748" w:rsidRPr="00BF17B0">
        <w:rPr>
          <w:rFonts w:asciiTheme="minorHAnsi" w:hAnsiTheme="minorHAnsi" w:cstheme="minorHAnsi"/>
        </w:rPr>
        <w:instrText xml:space="preserve"> REF _Ref532847323 \h </w:instrText>
      </w:r>
      <w:r w:rsidR="00BF17B0">
        <w:rPr>
          <w:rFonts w:asciiTheme="minorHAnsi" w:hAnsiTheme="minorHAnsi" w:cstheme="minorHAnsi"/>
        </w:rPr>
        <w:instrText xml:space="preserve"> \* MERGEFORMAT </w:instrText>
      </w:r>
      <w:r w:rsidR="00DE4748" w:rsidRPr="00BF17B0">
        <w:rPr>
          <w:rFonts w:asciiTheme="minorHAnsi" w:hAnsiTheme="minorHAnsi" w:cstheme="minorHAnsi"/>
        </w:rPr>
      </w:r>
      <w:r w:rsidR="00DE4748" w:rsidRPr="00BF17B0">
        <w:rPr>
          <w:rFonts w:asciiTheme="minorHAnsi" w:hAnsiTheme="minorHAnsi" w:cstheme="minorHAnsi"/>
        </w:rPr>
        <w:fldChar w:fldCharType="separate"/>
      </w:r>
      <w:r w:rsidR="00F338BE" w:rsidRPr="00F338BE">
        <w:rPr>
          <w:rFonts w:asciiTheme="minorHAnsi" w:hAnsiTheme="minorHAnsi" w:cstheme="minorHAnsi"/>
        </w:rPr>
        <w:t xml:space="preserve">Box </w:t>
      </w:r>
      <w:r w:rsidR="00F338BE" w:rsidRPr="00F338BE">
        <w:rPr>
          <w:rFonts w:asciiTheme="minorHAnsi" w:hAnsiTheme="minorHAnsi" w:cstheme="minorHAnsi"/>
          <w:noProof/>
        </w:rPr>
        <w:t>3</w:t>
      </w:r>
      <w:r w:rsidR="00F338BE" w:rsidRPr="00F338BE">
        <w:rPr>
          <w:rFonts w:asciiTheme="minorHAnsi" w:hAnsiTheme="minorHAnsi" w:cstheme="minorHAnsi"/>
          <w:noProof/>
        </w:rPr>
        <w:noBreakHyphen/>
        <w:t>1</w:t>
      </w:r>
      <w:r w:rsidR="00DE4748" w:rsidRPr="00BF17B0">
        <w:rPr>
          <w:rFonts w:asciiTheme="minorHAnsi" w:hAnsiTheme="minorHAnsi" w:cstheme="minorHAnsi"/>
        </w:rPr>
        <w:fldChar w:fldCharType="end"/>
      </w:r>
      <w:r w:rsidR="00131F00" w:rsidRPr="00BF17B0">
        <w:rPr>
          <w:rFonts w:asciiTheme="minorHAnsi" w:hAnsiTheme="minorHAnsi" w:cstheme="minorHAnsi"/>
        </w:rPr>
        <w:t>)</w:t>
      </w:r>
      <w:r w:rsidR="00EC57FF" w:rsidRPr="00BF17B0">
        <w:rPr>
          <w:rFonts w:asciiTheme="minorHAnsi" w:hAnsiTheme="minorHAnsi" w:cstheme="minorHAnsi"/>
        </w:rPr>
        <w:t>.</w:t>
      </w:r>
      <w:r w:rsidRPr="00BF17B0">
        <w:rPr>
          <w:rFonts w:asciiTheme="minorHAnsi" w:hAnsiTheme="minorHAnsi" w:cstheme="minorHAnsi"/>
        </w:rPr>
        <w:t xml:space="preserve"> </w:t>
      </w:r>
    </w:p>
    <w:p w14:paraId="47246095" w14:textId="77777777" w:rsidR="00A53818" w:rsidRPr="00BF17B0" w:rsidRDefault="00A53818" w:rsidP="00A53818">
      <w:pPr>
        <w:rPr>
          <w:rFonts w:asciiTheme="minorHAnsi" w:hAnsiTheme="minorHAnsi" w:cstheme="minorHAnsi"/>
        </w:rPr>
      </w:pPr>
      <w:r w:rsidRPr="00BF17B0">
        <w:rPr>
          <w:rFonts w:asciiTheme="minorHAnsi" w:hAnsiTheme="minorHAnsi" w:cstheme="minorHAnsi"/>
        </w:rPr>
        <w:t xml:space="preserve">The first grant aimed to enhance the capacity of the Department of Social Welfare and Development (DSWD) to implement the CCT while supporting it in the critical phase of expansion and consolidation. </w:t>
      </w:r>
    </w:p>
    <w:p w14:paraId="599A0CFE" w14:textId="77777777" w:rsidR="00D571EF" w:rsidRPr="00BF17B0" w:rsidRDefault="00A53818" w:rsidP="00D571EF">
      <w:pPr>
        <w:rPr>
          <w:rFonts w:asciiTheme="minorHAnsi" w:hAnsiTheme="minorHAnsi" w:cstheme="minorHAnsi"/>
        </w:rPr>
      </w:pPr>
      <w:r w:rsidRPr="00BF17B0">
        <w:rPr>
          <w:rFonts w:asciiTheme="minorHAnsi" w:hAnsiTheme="minorHAnsi" w:cstheme="minorHAnsi"/>
        </w:rPr>
        <w:t xml:space="preserve">The second grant </w:t>
      </w:r>
      <w:r w:rsidR="0024541E" w:rsidRPr="00BF17B0">
        <w:rPr>
          <w:rFonts w:asciiTheme="minorHAnsi" w:hAnsiTheme="minorHAnsi" w:cstheme="minorHAnsi"/>
        </w:rPr>
        <w:t xml:space="preserve">sought </w:t>
      </w:r>
      <w:r w:rsidRPr="00BF17B0">
        <w:rPr>
          <w:rFonts w:asciiTheme="minorHAnsi" w:hAnsiTheme="minorHAnsi" w:cstheme="minorHAnsi"/>
        </w:rPr>
        <w:t xml:space="preserve">to provide technical assistance to DSWD through transfer of global knowledge and experience. During the expansion of the program in the second phase, the </w:t>
      </w:r>
      <w:r w:rsidR="00FA2017" w:rsidRPr="00BF17B0">
        <w:rPr>
          <w:rFonts w:asciiTheme="minorHAnsi" w:hAnsiTheme="minorHAnsi" w:cstheme="minorHAnsi"/>
        </w:rPr>
        <w:t>PH-</w:t>
      </w:r>
      <w:r w:rsidRPr="00BF17B0">
        <w:rPr>
          <w:rFonts w:asciiTheme="minorHAnsi" w:hAnsiTheme="minorHAnsi" w:cstheme="minorHAnsi"/>
        </w:rPr>
        <w:t>PTF supported DSWD in improving the design and implementation of the program</w:t>
      </w:r>
      <w:r w:rsidR="004426C3" w:rsidRPr="00BF17B0">
        <w:rPr>
          <w:rFonts w:asciiTheme="minorHAnsi" w:hAnsiTheme="minorHAnsi" w:cstheme="minorHAnsi"/>
        </w:rPr>
        <w:t xml:space="preserve">, and </w:t>
      </w:r>
      <w:r w:rsidRPr="00BF17B0">
        <w:rPr>
          <w:rFonts w:asciiTheme="minorHAnsi" w:hAnsiTheme="minorHAnsi" w:cstheme="minorHAnsi"/>
        </w:rPr>
        <w:t>in upgrading the national household targeting system</w:t>
      </w:r>
      <w:r w:rsidR="00B60B6D" w:rsidRPr="00BF17B0">
        <w:rPr>
          <w:rFonts w:asciiTheme="minorHAnsi" w:hAnsiTheme="minorHAnsi" w:cstheme="minorHAnsi"/>
        </w:rPr>
        <w:t xml:space="preserve">. Called </w:t>
      </w:r>
      <w:r w:rsidRPr="00BF17B0">
        <w:rPr>
          <w:rFonts w:asciiTheme="minorHAnsi" w:hAnsiTheme="minorHAnsi" w:cstheme="minorHAnsi"/>
        </w:rPr>
        <w:t>Listahanan</w:t>
      </w:r>
      <w:r w:rsidR="00B60B6D" w:rsidRPr="00BF17B0">
        <w:rPr>
          <w:rFonts w:asciiTheme="minorHAnsi" w:hAnsiTheme="minorHAnsi" w:cstheme="minorHAnsi"/>
        </w:rPr>
        <w:t xml:space="preserve">, the system </w:t>
      </w:r>
      <w:r w:rsidRPr="00BF17B0">
        <w:rPr>
          <w:rFonts w:asciiTheme="minorHAnsi" w:hAnsiTheme="minorHAnsi" w:cstheme="minorHAnsi"/>
        </w:rPr>
        <w:t xml:space="preserve">provided a rigorous foundation for </w:t>
      </w:r>
      <w:r w:rsidR="00B60B6D" w:rsidRPr="00BF17B0">
        <w:rPr>
          <w:rFonts w:asciiTheme="minorHAnsi" w:hAnsiTheme="minorHAnsi" w:cstheme="minorHAnsi"/>
        </w:rPr>
        <w:t xml:space="preserve">the government’s </w:t>
      </w:r>
      <w:r w:rsidRPr="00BF17B0">
        <w:rPr>
          <w:rFonts w:asciiTheme="minorHAnsi" w:hAnsiTheme="minorHAnsi" w:cstheme="minorHAnsi"/>
        </w:rPr>
        <w:t xml:space="preserve">poverty-targeting programs. The grant also supported several discrete analytical work to inform the policy dialogue, not only </w:t>
      </w:r>
      <w:r w:rsidR="00D571EF" w:rsidRPr="00BF17B0">
        <w:rPr>
          <w:rFonts w:asciiTheme="minorHAnsi" w:hAnsiTheme="minorHAnsi" w:cstheme="minorHAnsi"/>
        </w:rPr>
        <w:t xml:space="preserve">on the social safety net programs, but also in other areas of social protection. </w:t>
      </w:r>
    </w:p>
    <w:p w14:paraId="05F15673" w14:textId="77777777" w:rsidR="00D571EF" w:rsidRPr="00BF17B0" w:rsidRDefault="00D571EF" w:rsidP="00D571EF">
      <w:pPr>
        <w:rPr>
          <w:rFonts w:asciiTheme="minorHAnsi" w:hAnsiTheme="minorHAnsi" w:cstheme="minorHAnsi"/>
        </w:rPr>
      </w:pPr>
      <w:r w:rsidRPr="00BF17B0">
        <w:rPr>
          <w:rFonts w:asciiTheme="minorHAnsi" w:hAnsiTheme="minorHAnsi" w:cstheme="minorHAnsi"/>
          <w:noProof/>
          <w:lang w:val="en-AU" w:eastAsia="en-AU"/>
        </w:rPr>
        <mc:AlternateContent>
          <mc:Choice Requires="wps">
            <w:drawing>
              <wp:inline distT="0" distB="0" distL="0" distR="0" wp14:anchorId="518CD85B" wp14:editId="2354EA7C">
                <wp:extent cx="5514975" cy="4677833"/>
                <wp:effectExtent l="0" t="0" r="28575" b="279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4677833"/>
                        </a:xfrm>
                        <a:prstGeom prst="rect">
                          <a:avLst/>
                        </a:prstGeom>
                        <a:solidFill>
                          <a:srgbClr val="FFFFFF"/>
                        </a:solidFill>
                        <a:ln w="9525">
                          <a:solidFill>
                            <a:srgbClr val="000000"/>
                          </a:solidFill>
                          <a:miter lim="800000"/>
                          <a:headEnd/>
                          <a:tailEnd/>
                        </a:ln>
                      </wps:spPr>
                      <wps:txbx>
                        <w:txbxContent>
                          <w:p w14:paraId="4E5FF05E" w14:textId="76B5444C" w:rsidR="00F338BE" w:rsidRPr="007B7CCC" w:rsidRDefault="00F338BE" w:rsidP="007B7CCC">
                            <w:pPr>
                              <w:pStyle w:val="Caption"/>
                            </w:pPr>
                            <w:bookmarkStart w:id="153" w:name="_Ref532847323"/>
                            <w:bookmarkStart w:id="154" w:name="_Toc532885888"/>
                            <w:r w:rsidRPr="007B7CCC">
                              <w:t xml:space="preserve">Box </w:t>
                            </w:r>
                            <w:r w:rsidRPr="007B7CCC">
                              <w:fldChar w:fldCharType="begin"/>
                            </w:r>
                            <w:r w:rsidRPr="007B7CCC">
                              <w:instrText xml:space="preserve"> STYLEREF 1 \s </w:instrText>
                            </w:r>
                            <w:r w:rsidRPr="007B7CCC">
                              <w:fldChar w:fldCharType="separate"/>
                            </w:r>
                            <w:r>
                              <w:rPr>
                                <w:noProof/>
                              </w:rPr>
                              <w:t>3</w:t>
                            </w:r>
                            <w:r w:rsidRPr="007B7CCC">
                              <w:fldChar w:fldCharType="end"/>
                            </w:r>
                            <w:r w:rsidRPr="007B7CCC">
                              <w:noBreakHyphen/>
                            </w:r>
                            <w:r w:rsidRPr="007B7CCC">
                              <w:fldChar w:fldCharType="begin"/>
                            </w:r>
                            <w:r w:rsidRPr="007B7CCC">
                              <w:instrText xml:space="preserve"> SEQ Box \* ARABIC \s 1 </w:instrText>
                            </w:r>
                            <w:r w:rsidRPr="007B7CCC">
                              <w:fldChar w:fldCharType="separate"/>
                            </w:r>
                            <w:r>
                              <w:rPr>
                                <w:noProof/>
                              </w:rPr>
                              <w:t>1</w:t>
                            </w:r>
                            <w:r w:rsidRPr="007B7CCC">
                              <w:fldChar w:fldCharType="end"/>
                            </w:r>
                            <w:bookmarkEnd w:id="153"/>
                            <w:r w:rsidRPr="007B7CCC">
                              <w:t>: Technical Assistance Grants</w:t>
                            </w:r>
                            <w:r w:rsidRPr="007B7CCC">
                              <w:br/>
                              <w:t>for the Conditional Cash Transfer Program</w:t>
                            </w:r>
                            <w:bookmarkEnd w:id="154"/>
                          </w:p>
                          <w:p w14:paraId="51951C04" w14:textId="77777777" w:rsidR="00F338BE" w:rsidRPr="00BF17B0" w:rsidRDefault="00F338BE" w:rsidP="00D571EF">
                            <w:pPr>
                              <w:pStyle w:val="PlainText"/>
                              <w:rPr>
                                <w:rFonts w:asciiTheme="minorHAnsi" w:hAnsiTheme="minorHAnsi" w:cstheme="minorHAnsi"/>
                              </w:rPr>
                            </w:pPr>
                            <w:r w:rsidRPr="00BF17B0">
                              <w:rPr>
                                <w:rFonts w:asciiTheme="minorHAnsi" w:hAnsiTheme="minorHAnsi" w:cstheme="minorHAnsi"/>
                              </w:rPr>
                              <w:t>The grant financed activities that contributed to the improvement of social safety nets in the Philippines. It helped enhance the capacity of the Department of Social Welfare and Development, as evidenced by the successful implementation and expansion of the Pantawid Pamilyang Pilipino Program (4Ps) and the poverty targeting system called Listahanan or the National Household Targeting System for Poverty Reduction.</w:t>
                            </w:r>
                          </w:p>
                          <w:p w14:paraId="6060A56F" w14:textId="77777777" w:rsidR="00F338BE" w:rsidRPr="00BF17B0" w:rsidRDefault="00F338BE" w:rsidP="00D571EF">
                            <w:pPr>
                              <w:pStyle w:val="PlainText"/>
                              <w:rPr>
                                <w:rFonts w:asciiTheme="minorHAnsi" w:hAnsiTheme="minorHAnsi" w:cstheme="minorHAnsi"/>
                              </w:rPr>
                            </w:pPr>
                            <w:r w:rsidRPr="00BF17B0">
                              <w:rPr>
                                <w:rFonts w:asciiTheme="minorHAnsi" w:hAnsiTheme="minorHAnsi" w:cstheme="minorHAnsi"/>
                              </w:rPr>
                              <w:t>Through a series of rapid expansions, the 4Ps evolved into one of the core social protection programs in the Philippines, covering 4 million poor households. It resulted in substantial improvements in school attendance and maternal health, and made a major contribution to women empowerment.</w:t>
                            </w:r>
                          </w:p>
                          <w:p w14:paraId="76B7874F" w14:textId="77777777" w:rsidR="00F338BE" w:rsidRPr="00BF17B0" w:rsidRDefault="00F338BE" w:rsidP="00D571EF">
                            <w:pPr>
                              <w:pStyle w:val="PlainText"/>
                              <w:rPr>
                                <w:rFonts w:asciiTheme="minorHAnsi" w:hAnsiTheme="minorHAnsi" w:cstheme="minorHAnsi"/>
                              </w:rPr>
                            </w:pPr>
                            <w:r w:rsidRPr="00BF17B0">
                              <w:rPr>
                                <w:rFonts w:asciiTheme="minorHAnsi" w:hAnsiTheme="minorHAnsi" w:cstheme="minorHAnsi"/>
                              </w:rPr>
                              <w:t xml:space="preserve">Meanwhile, Listahanan became the Philippines’ first nationwide household targeting system that was developed using an objective, accurate, transparent and non-political methodology that meets international standards. </w:t>
                            </w:r>
                          </w:p>
                          <w:p w14:paraId="79CEE8CB" w14:textId="77777777" w:rsidR="00F338BE" w:rsidRPr="00BF17B0" w:rsidRDefault="00F338BE" w:rsidP="00D571EF">
                            <w:pPr>
                              <w:pStyle w:val="PlainText"/>
                              <w:rPr>
                                <w:rFonts w:asciiTheme="minorHAnsi" w:hAnsiTheme="minorHAnsi" w:cstheme="minorHAnsi"/>
                              </w:rPr>
                            </w:pPr>
                            <w:r w:rsidRPr="00BF17B0">
                              <w:rPr>
                                <w:rFonts w:asciiTheme="minorHAnsi" w:hAnsiTheme="minorHAnsi" w:cstheme="minorHAnsi"/>
                              </w:rPr>
                              <w:t xml:space="preserve">The database is shared with other institutions that use it for targeting in their own programs. Government agencies use Listahanan to identify the beneficiaries of major social transfer programs such as health insurance and social pension. It is also used in local governments, programs run by civil society organizations, as well as programs financed by international agencies such as the UNICEF cash transfer program for families affected by Typhoon Haiyan. </w:t>
                            </w:r>
                          </w:p>
                          <w:p w14:paraId="11C5A0C5" w14:textId="77777777" w:rsidR="00F338BE" w:rsidRPr="00BF17B0" w:rsidRDefault="00F338BE" w:rsidP="00D571EF">
                            <w:pPr>
                              <w:pStyle w:val="PlainText"/>
                              <w:rPr>
                                <w:rFonts w:asciiTheme="minorHAnsi" w:hAnsiTheme="minorHAnsi" w:cstheme="minorHAnsi"/>
                              </w:rPr>
                            </w:pPr>
                            <w:r w:rsidRPr="00BF17B0">
                              <w:rPr>
                                <w:rFonts w:asciiTheme="minorHAnsi" w:hAnsiTheme="minorHAnsi" w:cstheme="minorHAnsi"/>
                              </w:rPr>
                              <w:t>The CCT program became one of the largest such program in the world, with its success recognized globally.</w:t>
                            </w:r>
                          </w:p>
                        </w:txbxContent>
                      </wps:txbx>
                      <wps:bodyPr rot="0" vert="horz" wrap="square" lIns="91440" tIns="45720" rIns="91440" bIns="45720" anchor="t" anchorCtr="0">
                        <a:noAutofit/>
                      </wps:bodyPr>
                    </wps:wsp>
                  </a:graphicData>
                </a:graphic>
              </wp:inline>
            </w:drawing>
          </mc:Choice>
          <mc:Fallback>
            <w:pict>
              <v:shapetype w14:anchorId="518CD85B" id="_x0000_t202" coordsize="21600,21600" o:spt="202" path="m,l,21600r21600,l21600,xe">
                <v:stroke joinstyle="miter"/>
                <v:path gradientshapeok="t" o:connecttype="rect"/>
              </v:shapetype>
              <v:shape id="Text Box 2" o:spid="_x0000_s1026" type="#_x0000_t202" style="width:434.25pt;height:36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D4IwIAAEUEAAAOAAAAZHJzL2Uyb0RvYy54bWysU9uO2yAQfa/Uf0C8N851k1hxVttsU1Xa&#10;XqTdfgDGOEYFhgKJnX59B+xN09tLVR4QwwyHmXNmNredVuQknJdgCjoZjSkRhkMlzaGgn5/2r1aU&#10;+MBMxRQYUdCz8PR2+/LFprW5mEIDqhKOIIjxeWsL2oRg8yzzvBGa+RFYYdBZg9MsoOkOWeVYi+ha&#10;ZdPx+CZrwVXWARfe4+1976TbhF/XgoePde1FIKqgmFtIu0t7Gfdsu2H5wTHbSD6kwf4hC82kwU8v&#10;UPcsMHJ08jcoLbkDD3UYcdAZ1LXkItWA1UzGv1Tz2DArUi1IjrcXmvz/g+UfTp8ckVVBZ5QYplGi&#10;J9EF8ho6Mo3stNbnGPRoMSx0eI0qp0q9fQD+xRMDu4aZg7hzDtpGsAqzm8SX2dXTHsdHkLJ9DxV+&#10;w44BElBXOx2pQzIIoqNK54syMRWOl4vFZL5eLijh6JvfLJer2Sz9wfLn59b58FaAJvFQUIfSJ3h2&#10;evAhpsPy55D4mwclq71UKhnuUO6UIyeGbbJPa0D/KUwZ0hZ0vZguegb+CjFO608QWgbsdyV1QVeX&#10;IJZH3t6YKnVjYFL1Z0xZmYHIyF3PYujKbhCmhOqMlDro+xrnEA8NuG+UtNjTBfVfj8wJStQ7g7Ks&#10;J/N5HIJkzBfLKRru2lNee5jhCFXQQEl/3IU0OJEwA3coXy0TsVHnPpMhV+zVxPcwV3EYru0U9WP6&#10;t98BAAD//wMAUEsDBBQABgAIAAAAIQBOv2a23AAAAAUBAAAPAAAAZHJzL2Rvd25yZXYueG1sTI9B&#10;S8QwEIXvgv8hjOBF3FRX21qbLiIoetNV9DrbzLbFZFKTbLf+e6MXvQw83uO9b+rVbI2YyIfBsYKz&#10;RQaCuHV64E7B68vdaQkiRGSNxjEp+KIAq+bwoMZKuz0/07SOnUglHCpU0Mc4VlKGtieLYeFG4uRt&#10;nbcYk/Sd1B73qdwaeZ5lubQ4cFrocaTbntqP9c4qKC8epvfwuHx6a/OtuYonxXT/6ZU6PppvrkFE&#10;muNfGH7wEzo0iWnjdqyDMArSI/H3Jq/My0sQGwXFMi9ANrX8T998AwAA//8DAFBLAQItABQABgAI&#10;AAAAIQC2gziS/gAAAOEBAAATAAAAAAAAAAAAAAAAAAAAAABbQ29udGVudF9UeXBlc10ueG1sUEsB&#10;Ai0AFAAGAAgAAAAhADj9If/WAAAAlAEAAAsAAAAAAAAAAAAAAAAALwEAAF9yZWxzLy5yZWxzUEsB&#10;Ai0AFAAGAAgAAAAhACGMAPgjAgAARQQAAA4AAAAAAAAAAAAAAAAALgIAAGRycy9lMm9Eb2MueG1s&#10;UEsBAi0AFAAGAAgAAAAhAE6/ZrbcAAAABQEAAA8AAAAAAAAAAAAAAAAAfQQAAGRycy9kb3ducmV2&#10;LnhtbFBLBQYAAAAABAAEAPMAAACGBQAAAAA=&#10;">
                <v:textbox>
                  <w:txbxContent>
                    <w:p w14:paraId="4E5FF05E" w14:textId="76B5444C" w:rsidR="00F338BE" w:rsidRPr="007B7CCC" w:rsidRDefault="00F338BE" w:rsidP="007B7CCC">
                      <w:pPr>
                        <w:pStyle w:val="Caption"/>
                      </w:pPr>
                      <w:bookmarkStart w:id="155" w:name="_Ref532847323"/>
                      <w:bookmarkStart w:id="156" w:name="_Toc532885888"/>
                      <w:r w:rsidRPr="007B7CCC">
                        <w:t xml:space="preserve">Box </w:t>
                      </w:r>
                      <w:r w:rsidRPr="007B7CCC">
                        <w:fldChar w:fldCharType="begin"/>
                      </w:r>
                      <w:r w:rsidRPr="007B7CCC">
                        <w:instrText xml:space="preserve"> STYLEREF 1 \s </w:instrText>
                      </w:r>
                      <w:r w:rsidRPr="007B7CCC">
                        <w:fldChar w:fldCharType="separate"/>
                      </w:r>
                      <w:r>
                        <w:rPr>
                          <w:noProof/>
                        </w:rPr>
                        <w:t>3</w:t>
                      </w:r>
                      <w:r w:rsidRPr="007B7CCC">
                        <w:fldChar w:fldCharType="end"/>
                      </w:r>
                      <w:r w:rsidRPr="007B7CCC">
                        <w:noBreakHyphen/>
                      </w:r>
                      <w:r w:rsidRPr="007B7CCC">
                        <w:fldChar w:fldCharType="begin"/>
                      </w:r>
                      <w:r w:rsidRPr="007B7CCC">
                        <w:instrText xml:space="preserve"> SEQ Box \* ARABIC \s 1 </w:instrText>
                      </w:r>
                      <w:r w:rsidRPr="007B7CCC">
                        <w:fldChar w:fldCharType="separate"/>
                      </w:r>
                      <w:r>
                        <w:rPr>
                          <w:noProof/>
                        </w:rPr>
                        <w:t>1</w:t>
                      </w:r>
                      <w:r w:rsidRPr="007B7CCC">
                        <w:fldChar w:fldCharType="end"/>
                      </w:r>
                      <w:bookmarkEnd w:id="155"/>
                      <w:r w:rsidRPr="007B7CCC">
                        <w:t>: Technical Assistance Grants</w:t>
                      </w:r>
                      <w:r w:rsidRPr="007B7CCC">
                        <w:br/>
                        <w:t>for the Conditional Cash Transfer Program</w:t>
                      </w:r>
                      <w:bookmarkEnd w:id="156"/>
                    </w:p>
                    <w:p w14:paraId="51951C04" w14:textId="77777777" w:rsidR="00F338BE" w:rsidRPr="00BF17B0" w:rsidRDefault="00F338BE" w:rsidP="00D571EF">
                      <w:pPr>
                        <w:pStyle w:val="PlainText"/>
                        <w:rPr>
                          <w:rFonts w:asciiTheme="minorHAnsi" w:hAnsiTheme="minorHAnsi" w:cstheme="minorHAnsi"/>
                        </w:rPr>
                      </w:pPr>
                      <w:r w:rsidRPr="00BF17B0">
                        <w:rPr>
                          <w:rFonts w:asciiTheme="minorHAnsi" w:hAnsiTheme="minorHAnsi" w:cstheme="minorHAnsi"/>
                        </w:rPr>
                        <w:t>The grant financed activities that contributed to the improvement of social safety nets in the Philippines. It helped enhance the capacity of the Department of Social Welfare and Development, as evidenced by the successful implementation and expansion of the Pantawid Pamilyang Pilipino Program (4Ps) and the poverty targeting system called Listahanan or the National Household Targeting System for Poverty Reduction.</w:t>
                      </w:r>
                    </w:p>
                    <w:p w14:paraId="6060A56F" w14:textId="77777777" w:rsidR="00F338BE" w:rsidRPr="00BF17B0" w:rsidRDefault="00F338BE" w:rsidP="00D571EF">
                      <w:pPr>
                        <w:pStyle w:val="PlainText"/>
                        <w:rPr>
                          <w:rFonts w:asciiTheme="minorHAnsi" w:hAnsiTheme="minorHAnsi" w:cstheme="minorHAnsi"/>
                        </w:rPr>
                      </w:pPr>
                      <w:r w:rsidRPr="00BF17B0">
                        <w:rPr>
                          <w:rFonts w:asciiTheme="minorHAnsi" w:hAnsiTheme="minorHAnsi" w:cstheme="minorHAnsi"/>
                        </w:rPr>
                        <w:t>Through a series of rapid expansions, the 4Ps evolved into one of the core social protection programs in the Philippines, covering 4 million poor households. It resulted in substantial improvements in school attendance and maternal health, and made a major contribution to women empowerment.</w:t>
                      </w:r>
                    </w:p>
                    <w:p w14:paraId="76B7874F" w14:textId="77777777" w:rsidR="00F338BE" w:rsidRPr="00BF17B0" w:rsidRDefault="00F338BE" w:rsidP="00D571EF">
                      <w:pPr>
                        <w:pStyle w:val="PlainText"/>
                        <w:rPr>
                          <w:rFonts w:asciiTheme="minorHAnsi" w:hAnsiTheme="minorHAnsi" w:cstheme="minorHAnsi"/>
                        </w:rPr>
                      </w:pPr>
                      <w:r w:rsidRPr="00BF17B0">
                        <w:rPr>
                          <w:rFonts w:asciiTheme="minorHAnsi" w:hAnsiTheme="minorHAnsi" w:cstheme="minorHAnsi"/>
                        </w:rPr>
                        <w:t xml:space="preserve">Meanwhile, Listahanan became the Philippines’ first nationwide household targeting system that was developed using an objective, accurate, transparent and non-political methodology that meets international standards. </w:t>
                      </w:r>
                    </w:p>
                    <w:p w14:paraId="79CEE8CB" w14:textId="77777777" w:rsidR="00F338BE" w:rsidRPr="00BF17B0" w:rsidRDefault="00F338BE" w:rsidP="00D571EF">
                      <w:pPr>
                        <w:pStyle w:val="PlainText"/>
                        <w:rPr>
                          <w:rFonts w:asciiTheme="minorHAnsi" w:hAnsiTheme="minorHAnsi" w:cstheme="minorHAnsi"/>
                        </w:rPr>
                      </w:pPr>
                      <w:r w:rsidRPr="00BF17B0">
                        <w:rPr>
                          <w:rFonts w:asciiTheme="minorHAnsi" w:hAnsiTheme="minorHAnsi" w:cstheme="minorHAnsi"/>
                        </w:rPr>
                        <w:t xml:space="preserve">The database is shared with other institutions that use it for targeting in their own programs. Government agencies use Listahanan to identify the beneficiaries of major social transfer programs such as health insurance and social pension. It is also used in local governments, programs run by civil society organizations, as well as programs financed by international agencies such as the UNICEF cash transfer program for families affected by Typhoon Haiyan. </w:t>
                      </w:r>
                    </w:p>
                    <w:p w14:paraId="11C5A0C5" w14:textId="77777777" w:rsidR="00F338BE" w:rsidRPr="00BF17B0" w:rsidRDefault="00F338BE" w:rsidP="00D571EF">
                      <w:pPr>
                        <w:pStyle w:val="PlainText"/>
                        <w:rPr>
                          <w:rFonts w:asciiTheme="minorHAnsi" w:hAnsiTheme="minorHAnsi" w:cstheme="minorHAnsi"/>
                        </w:rPr>
                      </w:pPr>
                      <w:r w:rsidRPr="00BF17B0">
                        <w:rPr>
                          <w:rFonts w:asciiTheme="minorHAnsi" w:hAnsiTheme="minorHAnsi" w:cstheme="minorHAnsi"/>
                        </w:rPr>
                        <w:t>The CCT program became one of the largest such program in the world, with its success recognized globally.</w:t>
                      </w:r>
                    </w:p>
                  </w:txbxContent>
                </v:textbox>
                <w10:anchorlock/>
              </v:shape>
            </w:pict>
          </mc:Fallback>
        </mc:AlternateContent>
      </w:r>
    </w:p>
    <w:p w14:paraId="168E3C04" w14:textId="77777777" w:rsidR="00D40D7C" w:rsidRPr="00BF17B0" w:rsidRDefault="00D40D7C">
      <w:pPr>
        <w:rPr>
          <w:rFonts w:asciiTheme="minorHAnsi" w:hAnsiTheme="minorHAnsi" w:cstheme="minorHAnsi"/>
        </w:rPr>
      </w:pPr>
    </w:p>
    <w:p w14:paraId="69A12ECE" w14:textId="33CA06C1" w:rsidR="005F1E46" w:rsidRPr="00BF17B0" w:rsidRDefault="005F1E46" w:rsidP="00022047">
      <w:pPr>
        <w:pStyle w:val="Heading3"/>
      </w:pPr>
      <w:r w:rsidRPr="00BF17B0">
        <w:t>KALAHI – C</w:t>
      </w:r>
      <w:r w:rsidR="00255702" w:rsidRPr="00BF17B0">
        <w:t>IDSS Grant</w:t>
      </w:r>
    </w:p>
    <w:p w14:paraId="678D8E5E" w14:textId="7F924405" w:rsidR="00094797" w:rsidRDefault="006F0F4F" w:rsidP="00022047">
      <w:pPr>
        <w:rPr>
          <w:rFonts w:asciiTheme="minorHAnsi" w:hAnsiTheme="minorHAnsi" w:cstheme="minorHAnsi"/>
        </w:rPr>
      </w:pPr>
      <w:r w:rsidRPr="00BF17B0">
        <w:rPr>
          <w:rFonts w:asciiTheme="minorHAnsi" w:hAnsiTheme="minorHAnsi" w:cstheme="minorHAnsi"/>
        </w:rPr>
        <w:t xml:space="preserve">Kapit-Bisig Laban Sa Kahirapan - Comprehensive and Integrated Delivery of Social Services Project (KALAHI-CIDSS) </w:t>
      </w:r>
      <w:r w:rsidR="009D4C50" w:rsidRPr="00BF17B0">
        <w:rPr>
          <w:rFonts w:asciiTheme="minorHAnsi" w:hAnsiTheme="minorHAnsi" w:cstheme="minorHAnsi"/>
        </w:rPr>
        <w:t>sought</w:t>
      </w:r>
      <w:r w:rsidR="005F1E46" w:rsidRPr="00BF17B0">
        <w:rPr>
          <w:rFonts w:asciiTheme="minorHAnsi" w:hAnsiTheme="minorHAnsi" w:cstheme="minorHAnsi"/>
        </w:rPr>
        <w:t xml:space="preserve"> to empower poor communities in targeted poor municipalities to achieve improved access to sustainable public services. </w:t>
      </w:r>
      <w:r w:rsidRPr="00BF17B0">
        <w:rPr>
          <w:rFonts w:asciiTheme="minorHAnsi" w:hAnsiTheme="minorHAnsi" w:cstheme="minorHAnsi"/>
        </w:rPr>
        <w:t xml:space="preserve">The </w:t>
      </w:r>
      <w:r w:rsidR="00255702" w:rsidRPr="00BF17B0">
        <w:rPr>
          <w:rFonts w:asciiTheme="minorHAnsi" w:hAnsiTheme="minorHAnsi" w:cstheme="minorHAnsi"/>
        </w:rPr>
        <w:t xml:space="preserve">PH-PTF </w:t>
      </w:r>
      <w:r w:rsidRPr="00BF17B0">
        <w:rPr>
          <w:rFonts w:asciiTheme="minorHAnsi" w:hAnsiTheme="minorHAnsi" w:cstheme="minorHAnsi"/>
        </w:rPr>
        <w:t>grant</w:t>
      </w:r>
      <w:r w:rsidR="00255702" w:rsidRPr="00BF17B0">
        <w:rPr>
          <w:rFonts w:asciiTheme="minorHAnsi" w:hAnsiTheme="minorHAnsi" w:cstheme="minorHAnsi"/>
        </w:rPr>
        <w:t xml:space="preserve"> </w:t>
      </w:r>
      <w:r w:rsidRPr="00BF17B0">
        <w:rPr>
          <w:rFonts w:asciiTheme="minorHAnsi" w:hAnsiTheme="minorHAnsi" w:cstheme="minorHAnsi"/>
        </w:rPr>
        <w:t xml:space="preserve">complemented an active Bank loan </w:t>
      </w:r>
      <w:r w:rsidR="006C1C4D" w:rsidRPr="00BF17B0">
        <w:rPr>
          <w:rFonts w:asciiTheme="minorHAnsi" w:hAnsiTheme="minorHAnsi" w:cstheme="minorHAnsi"/>
        </w:rPr>
        <w:t xml:space="preserve">that </w:t>
      </w:r>
      <w:r w:rsidR="00255702" w:rsidRPr="00BF17B0">
        <w:rPr>
          <w:rFonts w:asciiTheme="minorHAnsi" w:hAnsiTheme="minorHAnsi" w:cstheme="minorHAnsi"/>
        </w:rPr>
        <w:t xml:space="preserve">was supporting </w:t>
      </w:r>
      <w:r w:rsidRPr="00BF17B0">
        <w:rPr>
          <w:rFonts w:asciiTheme="minorHAnsi" w:hAnsiTheme="minorHAnsi" w:cstheme="minorHAnsi"/>
        </w:rPr>
        <w:t>the project</w:t>
      </w:r>
      <w:r w:rsidR="00255702" w:rsidRPr="00BF17B0">
        <w:rPr>
          <w:rFonts w:asciiTheme="minorHAnsi" w:hAnsiTheme="minorHAnsi" w:cstheme="minorHAnsi"/>
        </w:rPr>
        <w:t xml:space="preserve"> of the Department of Social Welfare and Development</w:t>
      </w:r>
      <w:r w:rsidRPr="00BF17B0">
        <w:rPr>
          <w:rFonts w:asciiTheme="minorHAnsi" w:hAnsiTheme="minorHAnsi" w:cstheme="minorHAnsi"/>
        </w:rPr>
        <w:t xml:space="preserve">. </w:t>
      </w:r>
      <w:r w:rsidR="00255702" w:rsidRPr="00BF17B0">
        <w:rPr>
          <w:rFonts w:asciiTheme="minorHAnsi" w:hAnsiTheme="minorHAnsi" w:cstheme="minorHAnsi"/>
        </w:rPr>
        <w:t>The grant</w:t>
      </w:r>
      <w:r w:rsidR="005F1E46" w:rsidRPr="00BF17B0">
        <w:rPr>
          <w:rFonts w:asciiTheme="minorHAnsi" w:hAnsiTheme="minorHAnsi" w:cstheme="minorHAnsi"/>
        </w:rPr>
        <w:t xml:space="preserve"> aim</w:t>
      </w:r>
      <w:r w:rsidR="00032B55" w:rsidRPr="00BF17B0">
        <w:rPr>
          <w:rFonts w:asciiTheme="minorHAnsi" w:hAnsiTheme="minorHAnsi" w:cstheme="minorHAnsi"/>
        </w:rPr>
        <w:t>ed</w:t>
      </w:r>
      <w:r w:rsidR="00B95E8A" w:rsidRPr="00BF17B0">
        <w:rPr>
          <w:rFonts w:asciiTheme="minorHAnsi" w:hAnsiTheme="minorHAnsi" w:cstheme="minorHAnsi"/>
        </w:rPr>
        <w:t xml:space="preserve"> </w:t>
      </w:r>
      <w:r w:rsidR="005F1E46" w:rsidRPr="00BF17B0">
        <w:rPr>
          <w:rFonts w:asciiTheme="minorHAnsi" w:hAnsiTheme="minorHAnsi" w:cstheme="minorHAnsi"/>
        </w:rPr>
        <w:t>to improve access of targeted poor communities to early childhood learning by supporting the construction and rehabilitation of 400 day care centers, school buildings, and classrooms</w:t>
      </w:r>
      <w:r w:rsidRPr="00BF17B0">
        <w:rPr>
          <w:rFonts w:asciiTheme="minorHAnsi" w:hAnsiTheme="minorHAnsi" w:cstheme="minorHAnsi"/>
        </w:rPr>
        <w:t xml:space="preserve"> (</w:t>
      </w:r>
      <w:r w:rsidR="00A23B77" w:rsidRPr="00BF17B0">
        <w:rPr>
          <w:rFonts w:asciiTheme="minorHAnsi" w:hAnsiTheme="minorHAnsi" w:cstheme="minorHAnsi"/>
        </w:rPr>
        <w:fldChar w:fldCharType="begin"/>
      </w:r>
      <w:r w:rsidR="00A23B77" w:rsidRPr="00BF17B0">
        <w:rPr>
          <w:rFonts w:asciiTheme="minorHAnsi" w:hAnsiTheme="minorHAnsi" w:cstheme="minorHAnsi"/>
        </w:rPr>
        <w:instrText xml:space="preserve"> REF _Ref530391655 \h  \* MERGEFORMAT </w:instrText>
      </w:r>
      <w:r w:rsidR="00A23B77" w:rsidRPr="00BF17B0">
        <w:rPr>
          <w:rFonts w:asciiTheme="minorHAnsi" w:hAnsiTheme="minorHAnsi" w:cstheme="minorHAnsi"/>
        </w:rPr>
      </w:r>
      <w:r w:rsidR="00A23B77" w:rsidRPr="00BF17B0">
        <w:rPr>
          <w:rFonts w:asciiTheme="minorHAnsi" w:hAnsiTheme="minorHAnsi" w:cstheme="minorHAnsi"/>
        </w:rPr>
        <w:fldChar w:fldCharType="separate"/>
      </w:r>
      <w:r w:rsidR="00F338BE" w:rsidRPr="00F338BE">
        <w:rPr>
          <w:rFonts w:asciiTheme="minorHAnsi" w:hAnsiTheme="minorHAnsi" w:cstheme="minorHAnsi"/>
        </w:rPr>
        <w:t xml:space="preserve">Box </w:t>
      </w:r>
      <w:r w:rsidR="00F338BE" w:rsidRPr="00F338BE">
        <w:rPr>
          <w:rFonts w:asciiTheme="minorHAnsi" w:hAnsiTheme="minorHAnsi" w:cstheme="minorHAnsi"/>
          <w:noProof/>
        </w:rPr>
        <w:t>3</w:t>
      </w:r>
      <w:r w:rsidR="00F338BE" w:rsidRPr="00F338BE">
        <w:rPr>
          <w:rFonts w:asciiTheme="minorHAnsi" w:hAnsiTheme="minorHAnsi" w:cstheme="minorHAnsi"/>
          <w:noProof/>
        </w:rPr>
        <w:noBreakHyphen/>
        <w:t>2</w:t>
      </w:r>
      <w:r w:rsidR="00A23B77" w:rsidRPr="00BF17B0">
        <w:rPr>
          <w:rFonts w:asciiTheme="minorHAnsi" w:hAnsiTheme="minorHAnsi" w:cstheme="minorHAnsi"/>
        </w:rPr>
        <w:fldChar w:fldCharType="end"/>
      </w:r>
      <w:r w:rsidRPr="00BF17B0">
        <w:rPr>
          <w:rFonts w:asciiTheme="minorHAnsi" w:hAnsiTheme="minorHAnsi" w:cstheme="minorHAnsi"/>
        </w:rPr>
        <w:t>).</w:t>
      </w:r>
    </w:p>
    <w:p w14:paraId="0F006B1B" w14:textId="1DDBEB28" w:rsidR="009C7FE7" w:rsidRPr="00BF17B0" w:rsidRDefault="009C7FE7" w:rsidP="00022047">
      <w:pPr>
        <w:rPr>
          <w:rFonts w:asciiTheme="minorHAnsi" w:hAnsiTheme="minorHAnsi" w:cstheme="minorHAnsi"/>
        </w:rPr>
      </w:pPr>
      <w:r w:rsidRPr="00BF17B0">
        <w:rPr>
          <w:rFonts w:asciiTheme="minorHAnsi" w:hAnsiTheme="minorHAnsi" w:cstheme="minorHAnsi"/>
        </w:rPr>
        <w:t>The</w:t>
      </w:r>
      <w:r w:rsidRPr="00BF17B0">
        <w:rPr>
          <w:rFonts w:asciiTheme="minorHAnsi" w:hAnsiTheme="minorHAnsi" w:cstheme="minorHAnsi"/>
          <w:b/>
        </w:rPr>
        <w:t xml:space="preserve"> </w:t>
      </w:r>
      <w:r w:rsidRPr="00BF17B0">
        <w:rPr>
          <w:rFonts w:asciiTheme="minorHAnsi" w:hAnsiTheme="minorHAnsi" w:cstheme="minorHAnsi"/>
        </w:rPr>
        <w:t>grant was fully successful and was recognized as such by DFAT, who provided a further AU$12 million direct grant to DSWD for the construction of additional day care centers and classrooms.</w:t>
      </w:r>
    </w:p>
    <w:p w14:paraId="6B5D9A69" w14:textId="40CAC30B" w:rsidR="009C7FE7" w:rsidRDefault="000F774A" w:rsidP="009C7FE7">
      <w:pPr>
        <w:rPr>
          <w:rFonts w:asciiTheme="minorHAnsi" w:hAnsiTheme="minorHAnsi" w:cstheme="minorHAnsi"/>
        </w:rPr>
      </w:pPr>
      <w:r w:rsidRPr="00BF17B0">
        <w:rPr>
          <w:rFonts w:asciiTheme="minorHAnsi" w:hAnsiTheme="minorHAnsi" w:cstheme="minorHAnsi"/>
          <w:noProof/>
          <w:lang w:val="en-AU" w:eastAsia="en-AU"/>
        </w:rPr>
        <mc:AlternateContent>
          <mc:Choice Requires="wps">
            <w:drawing>
              <wp:anchor distT="45720" distB="45720" distL="114300" distR="114300" simplePos="0" relativeHeight="251668480" behindDoc="0" locked="0" layoutInCell="1" allowOverlap="1" wp14:anchorId="114BEDCF" wp14:editId="1CCF81BD">
                <wp:simplePos x="0" y="0"/>
                <wp:positionH relativeFrom="margin">
                  <wp:align>right</wp:align>
                </wp:positionH>
                <wp:positionV relativeFrom="paragraph">
                  <wp:posOffset>125095</wp:posOffset>
                </wp:positionV>
                <wp:extent cx="5720080" cy="3775710"/>
                <wp:effectExtent l="0" t="0" r="1397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3775710"/>
                        </a:xfrm>
                        <a:prstGeom prst="rect">
                          <a:avLst/>
                        </a:prstGeom>
                        <a:solidFill>
                          <a:srgbClr val="FFFFFF"/>
                        </a:solidFill>
                        <a:ln w="9525">
                          <a:solidFill>
                            <a:srgbClr val="000000"/>
                          </a:solidFill>
                          <a:miter lim="800000"/>
                          <a:headEnd/>
                          <a:tailEnd/>
                        </a:ln>
                      </wps:spPr>
                      <wps:txbx>
                        <w:txbxContent>
                          <w:p w14:paraId="4439E642" w14:textId="638D2802" w:rsidR="00F338BE" w:rsidRPr="000F19A7" w:rsidRDefault="00F338BE" w:rsidP="00853D95">
                            <w:pPr>
                              <w:pStyle w:val="Caption"/>
                            </w:pPr>
                            <w:bookmarkStart w:id="157" w:name="_Ref530391655"/>
                            <w:bookmarkStart w:id="158" w:name="_Ref531222550"/>
                            <w:bookmarkStart w:id="159" w:name="_Toc531222894"/>
                            <w:bookmarkStart w:id="160" w:name="_Toc532885889"/>
                            <w:r w:rsidRPr="000F19A7">
                              <w:t xml:space="preserve">Box </w:t>
                            </w:r>
                            <w:r w:rsidRPr="000F19A7">
                              <w:fldChar w:fldCharType="begin"/>
                            </w:r>
                            <w:r w:rsidRPr="000F19A7">
                              <w:instrText xml:space="preserve"> STYLEREF 1 \s </w:instrText>
                            </w:r>
                            <w:r w:rsidRPr="000F19A7">
                              <w:fldChar w:fldCharType="separate"/>
                            </w:r>
                            <w:r>
                              <w:rPr>
                                <w:noProof/>
                              </w:rPr>
                              <w:t>3</w:t>
                            </w:r>
                            <w:r w:rsidRPr="000F19A7">
                              <w:fldChar w:fldCharType="end"/>
                            </w:r>
                            <w:r w:rsidRPr="000F19A7">
                              <w:noBreakHyphen/>
                            </w:r>
                            <w:r w:rsidRPr="000F19A7">
                              <w:fldChar w:fldCharType="begin"/>
                            </w:r>
                            <w:r w:rsidRPr="000F19A7">
                              <w:instrText xml:space="preserve"> SEQ Box \* ARABIC \s 1 </w:instrText>
                            </w:r>
                            <w:r w:rsidRPr="000F19A7">
                              <w:fldChar w:fldCharType="separate"/>
                            </w:r>
                            <w:r>
                              <w:rPr>
                                <w:noProof/>
                              </w:rPr>
                              <w:t>2</w:t>
                            </w:r>
                            <w:r w:rsidRPr="000F19A7">
                              <w:fldChar w:fldCharType="end"/>
                            </w:r>
                            <w:bookmarkEnd w:id="157"/>
                            <w:r w:rsidRPr="000F19A7">
                              <w:t>: The KALAHI-CIDSS Project</w:t>
                            </w:r>
                            <w:bookmarkEnd w:id="158"/>
                            <w:bookmarkEnd w:id="159"/>
                            <w:r w:rsidRPr="000F19A7">
                              <w:t xml:space="preserve"> Grant</w:t>
                            </w:r>
                            <w:bookmarkEnd w:id="160"/>
                          </w:p>
                          <w:p w14:paraId="7C43460B" w14:textId="77777777" w:rsidR="00F338BE" w:rsidRPr="00BF17B0" w:rsidRDefault="00F338BE" w:rsidP="00853D95">
                            <w:pPr>
                              <w:pStyle w:val="PlainText"/>
                              <w:rPr>
                                <w:rFonts w:asciiTheme="minorHAnsi" w:hAnsiTheme="minorHAnsi" w:cstheme="minorHAnsi"/>
                              </w:rPr>
                            </w:pPr>
                            <w:r w:rsidRPr="00BF17B0">
                              <w:rPr>
                                <w:rFonts w:asciiTheme="minorHAnsi" w:hAnsiTheme="minorHAnsi" w:cstheme="minorHAnsi"/>
                              </w:rPr>
                              <w:t xml:space="preserve">The grant for KALAHI-CIDSS enabled the construction of 478 classrooms and 148 day centers in 390 barangays. A total of 102,213 households had improved access to better early childhood development services and facilities. Of these households, 39 percent were beneficiaries of the Philippine conditional cash transfer program. Of the individual beneficiaries, 31,858 were students, of whom 49.7 percent were female. </w:t>
                            </w:r>
                          </w:p>
                          <w:p w14:paraId="3BE30C8E" w14:textId="77777777" w:rsidR="00F338BE" w:rsidRPr="00BF17B0" w:rsidRDefault="00F338BE" w:rsidP="00853D95">
                            <w:pPr>
                              <w:pStyle w:val="PlainText"/>
                              <w:rPr>
                                <w:rFonts w:asciiTheme="minorHAnsi" w:hAnsiTheme="minorHAnsi" w:cstheme="minorHAnsi"/>
                                <w:color w:val="FF0000"/>
                              </w:rPr>
                            </w:pPr>
                            <w:r w:rsidRPr="00BF17B0">
                              <w:rPr>
                                <w:rFonts w:asciiTheme="minorHAnsi" w:hAnsiTheme="minorHAnsi" w:cstheme="minorHAnsi"/>
                              </w:rPr>
                              <w:t xml:space="preserve">The grant’s objectives were surpassed for two reasons. First, KALAHI-CIDSS, which was funded through a loan from the Bank, was ongoing and already had a database of community requests for day care centers or schools, and the requests were readily appraised. Rapid implementation was therefore possible. </w:t>
                            </w:r>
                          </w:p>
                          <w:p w14:paraId="10658778" w14:textId="77777777" w:rsidR="00F338BE" w:rsidRPr="00BF17B0" w:rsidRDefault="00F338BE" w:rsidP="00853D95">
                            <w:pPr>
                              <w:pStyle w:val="PlainText"/>
                              <w:rPr>
                                <w:rFonts w:asciiTheme="minorHAnsi" w:hAnsiTheme="minorHAnsi" w:cstheme="minorHAnsi"/>
                              </w:rPr>
                            </w:pPr>
                            <w:r w:rsidRPr="00BF17B0">
                              <w:rPr>
                                <w:rFonts w:asciiTheme="minorHAnsi" w:hAnsiTheme="minorHAnsi" w:cstheme="minorHAnsi"/>
                              </w:rPr>
                              <w:t>Second, the estimated average cost of a classroom, if constructed by the communities, was ₱1 million per unit, but the actual construction cost turned out to be only around ₱900,000. This helped the project significantly exceed its original planned outputs. The classrooms were all equipped with toilets and water supplies, and access facilities for students with disabilities. These were not standard features in the Department of Education school designs. The unit cost of these classrooms was also less than the average cost of ₱1.5 million for classrooms built by contractors. Recognizing the project’s pioneering and cost-efficient approach, the Department of Education adopted KALAHI-CIDSS’ classroom designs.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BEDCF" id="_x0000_s1027" type="#_x0000_t202" style="position:absolute;margin-left:399.2pt;margin-top:9.85pt;width:450.4pt;height:297.3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5tYJQIAAEwEAAAOAAAAZHJzL2Uyb0RvYy54bWysVNtu2zAMfR+wfxD0vjjJkiU14hRdugwD&#10;ugvQ7gNoWY6FSaInKbGzry8lp2nQbS/D/CCIInVEnkN6dd0bzQ7SeYW24JPRmDNpBVbK7gr+/WH7&#10;ZsmZD2Ar0GhlwY/S8+v161errs3lFBvUlXSMQKzPu7bgTQhtnmVeNNKAH2ErLTlrdAYCmW6XVQ46&#10;Qjc6m47H77IOXdU6FNJ7Or0dnHyd8OtaivC1rr0MTBeccgtpdWkt45qtV5DvHLSNEqc04B+yMKAs&#10;PXqGuoUAbO/Ub1BGCYce6zASaDKsayVkqoGqmYxfVHPfQCtTLUSOb880+f8HK74cvjmmqoLPOLNg&#10;SKIH2Qf2Hns2jex0rc8p6L6lsNDTMamcKvXtHYofnlncNGB38sY57BoJFWU3iTezi6sDjo8gZfcZ&#10;K3oG9gETUF87E6kjMhihk0rHszIxFUGH8wWJvSSXIN/bxWK+mCTtMsifrrfOh48SDYubgjuSPsHD&#10;4c6HmA7kTyHxNY9aVVuldTLcrtxoxw5AbbJNX6rgRZi2rCv41Xw6Hxj4K8Q4fX+CMCpQv2tlCr48&#10;B0Eeeftgq9SNAZQe9pSyticiI3cDi6Ev+6RYYjmSXGJ1JGYdDu1N40ibBt0vzjpq7YL7n3twkjP9&#10;yZI6V5PZLM5CMmaRWs7cpae89IAVBFXwwNmw3YQ0P5E3izekYq0Sv8+ZnFKmlk20n8YrzsSlnaKe&#10;fwLrRwAAAP//AwBQSwMEFAAGAAgAAAAhAHCfD2/dAAAABwEAAA8AAABkcnMvZG93bnJldi54bWxM&#10;j8FOwzAQRO9I/IO1SFwQdUqrtAlxKoQEglspCK5uvE0i7HWw3TT8PcsJjrOzmnlTbSZnxYgh9p4U&#10;zGcZCKTGm55aBW+vD9drEDFpMtp6QgXfGGFTn59VujT+RC847lIrOIRiqRV0KQ2llLHp0Ok48wMS&#10;ewcfnE4sQytN0CcOd1beZFkune6JGzo94H2Hzefu6BSsl0/jR3xebN+b/GCLdLUaH7+CUpcX090t&#10;iIRT+nuGX3xGh5qZ9v5IJgqrgIckvhYrEOwWWcZD9gry+XIBsq7kf/76BwAA//8DAFBLAQItABQA&#10;BgAIAAAAIQC2gziS/gAAAOEBAAATAAAAAAAAAAAAAAAAAAAAAABbQ29udGVudF9UeXBlc10ueG1s&#10;UEsBAi0AFAAGAAgAAAAhADj9If/WAAAAlAEAAAsAAAAAAAAAAAAAAAAALwEAAF9yZWxzLy5yZWxz&#10;UEsBAi0AFAAGAAgAAAAhAGifm1glAgAATAQAAA4AAAAAAAAAAAAAAAAALgIAAGRycy9lMm9Eb2Mu&#10;eG1sUEsBAi0AFAAGAAgAAAAhAHCfD2/dAAAABwEAAA8AAAAAAAAAAAAAAAAAfwQAAGRycy9kb3du&#10;cmV2LnhtbFBLBQYAAAAABAAEAPMAAACJBQAAAAA=&#10;">
                <v:textbox>
                  <w:txbxContent>
                    <w:p w14:paraId="4439E642" w14:textId="638D2802" w:rsidR="00F338BE" w:rsidRPr="000F19A7" w:rsidRDefault="00F338BE" w:rsidP="00853D95">
                      <w:pPr>
                        <w:pStyle w:val="Caption"/>
                      </w:pPr>
                      <w:bookmarkStart w:id="161" w:name="_Ref530391655"/>
                      <w:bookmarkStart w:id="162" w:name="_Ref531222550"/>
                      <w:bookmarkStart w:id="163" w:name="_Toc531222894"/>
                      <w:bookmarkStart w:id="164" w:name="_Toc532885889"/>
                      <w:r w:rsidRPr="000F19A7">
                        <w:t xml:space="preserve">Box </w:t>
                      </w:r>
                      <w:r w:rsidRPr="000F19A7">
                        <w:fldChar w:fldCharType="begin"/>
                      </w:r>
                      <w:r w:rsidRPr="000F19A7">
                        <w:instrText xml:space="preserve"> STYLEREF 1 \s </w:instrText>
                      </w:r>
                      <w:r w:rsidRPr="000F19A7">
                        <w:fldChar w:fldCharType="separate"/>
                      </w:r>
                      <w:r>
                        <w:rPr>
                          <w:noProof/>
                        </w:rPr>
                        <w:t>3</w:t>
                      </w:r>
                      <w:r w:rsidRPr="000F19A7">
                        <w:fldChar w:fldCharType="end"/>
                      </w:r>
                      <w:r w:rsidRPr="000F19A7">
                        <w:noBreakHyphen/>
                      </w:r>
                      <w:r w:rsidRPr="000F19A7">
                        <w:fldChar w:fldCharType="begin"/>
                      </w:r>
                      <w:r w:rsidRPr="000F19A7">
                        <w:instrText xml:space="preserve"> SEQ Box \* ARABIC \s 1 </w:instrText>
                      </w:r>
                      <w:r w:rsidRPr="000F19A7">
                        <w:fldChar w:fldCharType="separate"/>
                      </w:r>
                      <w:r>
                        <w:rPr>
                          <w:noProof/>
                        </w:rPr>
                        <w:t>2</w:t>
                      </w:r>
                      <w:r w:rsidRPr="000F19A7">
                        <w:fldChar w:fldCharType="end"/>
                      </w:r>
                      <w:bookmarkEnd w:id="161"/>
                      <w:r w:rsidRPr="000F19A7">
                        <w:t>: The KALAHI-CIDSS Project</w:t>
                      </w:r>
                      <w:bookmarkEnd w:id="162"/>
                      <w:bookmarkEnd w:id="163"/>
                      <w:r w:rsidRPr="000F19A7">
                        <w:t xml:space="preserve"> Grant</w:t>
                      </w:r>
                      <w:bookmarkEnd w:id="164"/>
                    </w:p>
                    <w:p w14:paraId="7C43460B" w14:textId="77777777" w:rsidR="00F338BE" w:rsidRPr="00BF17B0" w:rsidRDefault="00F338BE" w:rsidP="00853D95">
                      <w:pPr>
                        <w:pStyle w:val="PlainText"/>
                        <w:rPr>
                          <w:rFonts w:asciiTheme="minorHAnsi" w:hAnsiTheme="minorHAnsi" w:cstheme="minorHAnsi"/>
                        </w:rPr>
                      </w:pPr>
                      <w:r w:rsidRPr="00BF17B0">
                        <w:rPr>
                          <w:rFonts w:asciiTheme="minorHAnsi" w:hAnsiTheme="minorHAnsi" w:cstheme="minorHAnsi"/>
                        </w:rPr>
                        <w:t xml:space="preserve">The grant for KALAHI-CIDSS enabled the construction of 478 classrooms and 148 day centers in 390 barangays. A total of 102,213 households had improved access to better early childhood development services and facilities. Of these households, 39 percent were beneficiaries of the Philippine conditional cash transfer program. Of the individual beneficiaries, 31,858 were students, of whom 49.7 percent were female. </w:t>
                      </w:r>
                    </w:p>
                    <w:p w14:paraId="3BE30C8E" w14:textId="77777777" w:rsidR="00F338BE" w:rsidRPr="00BF17B0" w:rsidRDefault="00F338BE" w:rsidP="00853D95">
                      <w:pPr>
                        <w:pStyle w:val="PlainText"/>
                        <w:rPr>
                          <w:rFonts w:asciiTheme="minorHAnsi" w:hAnsiTheme="minorHAnsi" w:cstheme="minorHAnsi"/>
                          <w:color w:val="FF0000"/>
                        </w:rPr>
                      </w:pPr>
                      <w:r w:rsidRPr="00BF17B0">
                        <w:rPr>
                          <w:rFonts w:asciiTheme="minorHAnsi" w:hAnsiTheme="minorHAnsi" w:cstheme="minorHAnsi"/>
                        </w:rPr>
                        <w:t xml:space="preserve">The grant’s objectives were surpassed for two reasons. First, KALAHI-CIDSS, which was funded through a loan from the Bank, was ongoing and already had a database of community requests for day care centers or schools, and the requests were readily appraised. Rapid implementation was therefore possible. </w:t>
                      </w:r>
                    </w:p>
                    <w:p w14:paraId="10658778" w14:textId="77777777" w:rsidR="00F338BE" w:rsidRPr="00BF17B0" w:rsidRDefault="00F338BE" w:rsidP="00853D95">
                      <w:pPr>
                        <w:pStyle w:val="PlainText"/>
                        <w:rPr>
                          <w:rFonts w:asciiTheme="minorHAnsi" w:hAnsiTheme="minorHAnsi" w:cstheme="minorHAnsi"/>
                        </w:rPr>
                      </w:pPr>
                      <w:r w:rsidRPr="00BF17B0">
                        <w:rPr>
                          <w:rFonts w:asciiTheme="minorHAnsi" w:hAnsiTheme="minorHAnsi" w:cstheme="minorHAnsi"/>
                        </w:rPr>
                        <w:t>Second, the estimated average cost of a classroom, if constructed by the communities, was ₱1 million per unit, but the actual construction cost turned out to be only around ₱900,000. This helped the project significantly exceed its original planned outputs. The classrooms were all equipped with toilets and water supplies, and access facilities for students with disabilities. These were not standard features in the Department of Education school designs. The unit cost of these classrooms was also less than the average cost of ₱1.5 million for classrooms built by contractors. Recognizing the project’s pioneering and cost-efficient approach, the Department of Education adopted KALAHI-CIDSS’ classroom designs.</w:t>
                      </w:r>
                    </w:p>
                  </w:txbxContent>
                </v:textbox>
                <w10:wrap type="square" anchorx="margin"/>
              </v:shape>
            </w:pict>
          </mc:Fallback>
        </mc:AlternateContent>
      </w:r>
    </w:p>
    <w:p w14:paraId="60210496" w14:textId="3A68EB19" w:rsidR="005D6F9E" w:rsidRPr="00BF17B0" w:rsidRDefault="005D6F9E" w:rsidP="009C79EB">
      <w:pPr>
        <w:pStyle w:val="Heading3"/>
      </w:pPr>
      <w:r w:rsidRPr="00BF17B0">
        <w:t>National Community-Driven Development Program</w:t>
      </w:r>
    </w:p>
    <w:p w14:paraId="6DB9E879" w14:textId="77777777" w:rsidR="00E41632" w:rsidRPr="00BF17B0" w:rsidRDefault="005D6F9E" w:rsidP="00E41632">
      <w:pPr>
        <w:rPr>
          <w:rFonts w:asciiTheme="minorHAnsi" w:hAnsiTheme="minorHAnsi" w:cstheme="minorHAnsi"/>
        </w:rPr>
      </w:pPr>
      <w:r w:rsidRPr="00BF17B0">
        <w:rPr>
          <w:rFonts w:asciiTheme="minorHAnsi" w:hAnsiTheme="minorHAnsi" w:cstheme="minorHAnsi"/>
        </w:rPr>
        <w:t>The National Community-Driven Development Program is ongoing. It involves a significant expansion of KALAHI-CIDSS, which the PH-PTF grant supported. The technical assistance for the program supported the preparation of a disaster response operations modality (DROM)</w:t>
      </w:r>
      <w:r w:rsidR="00081FE2" w:rsidRPr="00BF17B0">
        <w:rPr>
          <w:rFonts w:asciiTheme="minorHAnsi" w:hAnsiTheme="minorHAnsi" w:cstheme="minorHAnsi"/>
        </w:rPr>
        <w:t xml:space="preserve">. The DROM </w:t>
      </w:r>
      <w:r w:rsidRPr="00BF17B0">
        <w:rPr>
          <w:rFonts w:asciiTheme="minorHAnsi" w:hAnsiTheme="minorHAnsi" w:cstheme="minorHAnsi"/>
        </w:rPr>
        <w:t>was ready when Typhoon Haiyan hit the Philippines and therefore allowed community-driven disaster response to be activated immediately.</w:t>
      </w:r>
    </w:p>
    <w:p w14:paraId="10185F13" w14:textId="77777777" w:rsidR="00985759" w:rsidRPr="00BF17B0" w:rsidRDefault="00985759" w:rsidP="00985759">
      <w:pPr>
        <w:rPr>
          <w:rFonts w:asciiTheme="minorHAnsi" w:hAnsiTheme="minorHAnsi" w:cstheme="minorHAnsi"/>
        </w:rPr>
      </w:pPr>
    </w:p>
    <w:p w14:paraId="12040BC9" w14:textId="77777777" w:rsidR="000D3232" w:rsidRPr="00BF17B0" w:rsidRDefault="000D3232" w:rsidP="009C79EB">
      <w:pPr>
        <w:pStyle w:val="Heading3"/>
      </w:pPr>
      <w:r w:rsidRPr="00BF17B0">
        <w:t>Mindanao Rural Development Project</w:t>
      </w:r>
    </w:p>
    <w:p w14:paraId="4044D41E" w14:textId="77777777" w:rsidR="00BE58FA" w:rsidRPr="00BF17B0" w:rsidRDefault="00232D19" w:rsidP="000D3232">
      <w:pPr>
        <w:rPr>
          <w:rFonts w:asciiTheme="minorHAnsi" w:hAnsiTheme="minorHAnsi" w:cstheme="minorHAnsi"/>
        </w:rPr>
      </w:pPr>
      <w:r w:rsidRPr="00BF17B0">
        <w:rPr>
          <w:rFonts w:asciiTheme="minorHAnsi" w:hAnsiTheme="minorHAnsi" w:cstheme="minorHAnsi"/>
        </w:rPr>
        <w:t xml:space="preserve">The grant for the Mindanao Rural Development Project Phase II complemented a World Bank loan aimed at improving the livelihood of poor rural households, indigenous peoples, and the agriculture sector in Mindanao. The loan supported over 1.9 million beneficiaries, 49 percent of whom were women and 32 percent indigenous peoples. The </w:t>
      </w:r>
      <w:r w:rsidR="00032B55" w:rsidRPr="00BF17B0">
        <w:rPr>
          <w:rFonts w:asciiTheme="minorHAnsi" w:hAnsiTheme="minorHAnsi" w:cstheme="minorHAnsi"/>
        </w:rPr>
        <w:t>PH-</w:t>
      </w:r>
      <w:r w:rsidR="00A53818" w:rsidRPr="00BF17B0">
        <w:rPr>
          <w:rFonts w:asciiTheme="minorHAnsi" w:hAnsiTheme="minorHAnsi" w:cstheme="minorHAnsi"/>
        </w:rPr>
        <w:t>PTF</w:t>
      </w:r>
      <w:r w:rsidRPr="00BF17B0">
        <w:rPr>
          <w:rFonts w:asciiTheme="minorHAnsi" w:hAnsiTheme="minorHAnsi" w:cstheme="minorHAnsi"/>
        </w:rPr>
        <w:t xml:space="preserve"> grant provided the needed technical assistance and helped in the subsequent expansion of the project to </w:t>
      </w:r>
      <w:r w:rsidR="00985759" w:rsidRPr="00BF17B0">
        <w:rPr>
          <w:rFonts w:asciiTheme="minorHAnsi" w:hAnsiTheme="minorHAnsi" w:cstheme="minorHAnsi"/>
        </w:rPr>
        <w:t>the</w:t>
      </w:r>
      <w:r w:rsidRPr="00BF17B0">
        <w:rPr>
          <w:rFonts w:asciiTheme="minorHAnsi" w:hAnsiTheme="minorHAnsi" w:cstheme="minorHAnsi"/>
        </w:rPr>
        <w:t xml:space="preserve"> national Philippine Rural Development Project.</w:t>
      </w:r>
    </w:p>
    <w:p w14:paraId="2B8A6249" w14:textId="77777777" w:rsidR="00E41632" w:rsidRPr="00BF17B0" w:rsidRDefault="00E41632" w:rsidP="00E41632">
      <w:pPr>
        <w:rPr>
          <w:rFonts w:asciiTheme="minorHAnsi" w:hAnsiTheme="minorHAnsi" w:cstheme="minorHAnsi"/>
        </w:rPr>
      </w:pPr>
    </w:p>
    <w:p w14:paraId="6E4C822D" w14:textId="77777777" w:rsidR="00BE58FA" w:rsidRPr="00BF17B0" w:rsidRDefault="00BE58FA" w:rsidP="009C79EB">
      <w:pPr>
        <w:pStyle w:val="Heading3"/>
      </w:pPr>
      <w:r w:rsidRPr="00BF17B0">
        <w:t>Open Government</w:t>
      </w:r>
    </w:p>
    <w:p w14:paraId="082AE260" w14:textId="15F529A9" w:rsidR="00BE58FA" w:rsidRPr="00BF17B0" w:rsidRDefault="00232D19" w:rsidP="001C23C5">
      <w:pPr>
        <w:rPr>
          <w:rFonts w:asciiTheme="minorHAnsi" w:hAnsiTheme="minorHAnsi" w:cstheme="minorHAnsi"/>
        </w:rPr>
      </w:pPr>
      <w:r w:rsidRPr="00BF17B0">
        <w:rPr>
          <w:rFonts w:asciiTheme="minorHAnsi" w:hAnsiTheme="minorHAnsi" w:cstheme="minorHAnsi"/>
        </w:rPr>
        <w:t>The PH-PTF helped provide a rapid response to new policy environments</w:t>
      </w:r>
      <w:r w:rsidR="00B95E8A" w:rsidRPr="00BF17B0">
        <w:rPr>
          <w:rFonts w:asciiTheme="minorHAnsi" w:hAnsiTheme="minorHAnsi" w:cstheme="minorHAnsi"/>
        </w:rPr>
        <w:t>, particularly in the area of Governance,</w:t>
      </w:r>
      <w:r w:rsidRPr="00BF17B0">
        <w:rPr>
          <w:rFonts w:asciiTheme="minorHAnsi" w:hAnsiTheme="minorHAnsi" w:cstheme="minorHAnsi"/>
        </w:rPr>
        <w:t xml:space="preserve"> when there were changes in administrations in the Philippines </w:t>
      </w:r>
      <w:r w:rsidR="00A23B77" w:rsidRPr="00BF17B0">
        <w:rPr>
          <w:rFonts w:asciiTheme="minorHAnsi" w:hAnsiTheme="minorHAnsi" w:cstheme="minorHAnsi"/>
        </w:rPr>
        <w:t>(</w:t>
      </w:r>
      <w:r w:rsidR="00A23B77" w:rsidRPr="00BF17B0">
        <w:rPr>
          <w:rFonts w:asciiTheme="minorHAnsi" w:hAnsiTheme="minorHAnsi" w:cstheme="minorHAnsi"/>
        </w:rPr>
        <w:fldChar w:fldCharType="begin"/>
      </w:r>
      <w:r w:rsidR="00A23B77" w:rsidRPr="00BF17B0">
        <w:rPr>
          <w:rFonts w:asciiTheme="minorHAnsi" w:hAnsiTheme="minorHAnsi" w:cstheme="minorHAnsi"/>
        </w:rPr>
        <w:instrText xml:space="preserve"> REF _Ref532319518 \h  \* MERGEFORMAT </w:instrText>
      </w:r>
      <w:r w:rsidR="00A23B77" w:rsidRPr="00BF17B0">
        <w:rPr>
          <w:rFonts w:asciiTheme="minorHAnsi" w:hAnsiTheme="minorHAnsi" w:cstheme="minorHAnsi"/>
        </w:rPr>
      </w:r>
      <w:r w:rsidR="00A23B77" w:rsidRPr="00BF17B0">
        <w:rPr>
          <w:rFonts w:asciiTheme="minorHAnsi" w:hAnsiTheme="minorHAnsi" w:cstheme="minorHAnsi"/>
        </w:rPr>
        <w:fldChar w:fldCharType="separate"/>
      </w:r>
      <w:r w:rsidR="00F338BE" w:rsidRPr="00F338BE">
        <w:rPr>
          <w:rFonts w:asciiTheme="minorHAnsi" w:hAnsiTheme="minorHAnsi" w:cstheme="minorHAnsi"/>
        </w:rPr>
        <w:t xml:space="preserve">Box </w:t>
      </w:r>
      <w:r w:rsidR="00F338BE" w:rsidRPr="00F338BE">
        <w:rPr>
          <w:rFonts w:asciiTheme="minorHAnsi" w:hAnsiTheme="minorHAnsi" w:cstheme="minorHAnsi"/>
          <w:noProof/>
        </w:rPr>
        <w:t>3</w:t>
      </w:r>
      <w:r w:rsidR="00F338BE" w:rsidRPr="00F338BE">
        <w:rPr>
          <w:rFonts w:asciiTheme="minorHAnsi" w:hAnsiTheme="minorHAnsi" w:cstheme="minorHAnsi"/>
          <w:noProof/>
        </w:rPr>
        <w:noBreakHyphen/>
        <w:t>3</w:t>
      </w:r>
      <w:r w:rsidR="00A23B77" w:rsidRPr="00BF17B0">
        <w:rPr>
          <w:rFonts w:asciiTheme="minorHAnsi" w:hAnsiTheme="minorHAnsi" w:cstheme="minorHAnsi"/>
        </w:rPr>
        <w:fldChar w:fldCharType="end"/>
      </w:r>
      <w:r w:rsidR="00A23B77" w:rsidRPr="00BF17B0">
        <w:rPr>
          <w:rFonts w:asciiTheme="minorHAnsi" w:hAnsiTheme="minorHAnsi" w:cstheme="minorHAnsi"/>
        </w:rPr>
        <w:t>).</w:t>
      </w:r>
    </w:p>
    <w:p w14:paraId="29DD3CD1" w14:textId="53A2D577" w:rsidR="00CB3913" w:rsidRPr="00BF17B0" w:rsidRDefault="000F774A" w:rsidP="00CB3913">
      <w:pPr>
        <w:rPr>
          <w:rFonts w:asciiTheme="minorHAnsi" w:hAnsiTheme="minorHAnsi" w:cstheme="minorHAnsi"/>
        </w:rPr>
      </w:pPr>
      <w:r w:rsidRPr="00BF17B0">
        <w:rPr>
          <w:rFonts w:asciiTheme="minorHAnsi" w:hAnsiTheme="minorHAnsi" w:cstheme="minorHAnsi"/>
          <w:noProof/>
          <w:lang w:val="en-AU" w:eastAsia="en-AU"/>
        </w:rPr>
        <mc:AlternateContent>
          <mc:Choice Requires="wps">
            <w:drawing>
              <wp:anchor distT="45720" distB="45720" distL="114300" distR="114300" simplePos="0" relativeHeight="251663360" behindDoc="0" locked="0" layoutInCell="1" allowOverlap="0" wp14:anchorId="3D4C27E9" wp14:editId="7AC69209">
                <wp:simplePos x="0" y="0"/>
                <wp:positionH relativeFrom="margin">
                  <wp:align>left</wp:align>
                </wp:positionH>
                <wp:positionV relativeFrom="margin">
                  <wp:posOffset>1054735</wp:posOffset>
                </wp:positionV>
                <wp:extent cx="5514975" cy="3322955"/>
                <wp:effectExtent l="0" t="0" r="28575"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322955"/>
                        </a:xfrm>
                        <a:prstGeom prst="rect">
                          <a:avLst/>
                        </a:prstGeom>
                        <a:solidFill>
                          <a:srgbClr val="FFFFFF"/>
                        </a:solidFill>
                        <a:ln w="9525">
                          <a:solidFill>
                            <a:srgbClr val="000000"/>
                          </a:solidFill>
                          <a:miter lim="800000"/>
                          <a:headEnd/>
                          <a:tailEnd/>
                        </a:ln>
                      </wps:spPr>
                      <wps:txbx>
                        <w:txbxContent>
                          <w:p w14:paraId="132A7B47" w14:textId="16010BFF" w:rsidR="00F338BE" w:rsidRPr="00D93C10" w:rsidRDefault="00F338BE" w:rsidP="00D93C10">
                            <w:pPr>
                              <w:pStyle w:val="Caption"/>
                            </w:pPr>
                            <w:bookmarkStart w:id="165" w:name="_Ref532319518"/>
                            <w:bookmarkStart w:id="166" w:name="_Ref531222345"/>
                            <w:bookmarkStart w:id="167" w:name="_Toc531222892"/>
                            <w:bookmarkStart w:id="168" w:name="_Toc532885890"/>
                            <w:bookmarkStart w:id="169" w:name="_Ref530386761"/>
                            <w:r w:rsidRPr="00D93C10">
                              <w:t xml:space="preserve">Box </w:t>
                            </w:r>
                            <w:r w:rsidRPr="00D93C10">
                              <w:fldChar w:fldCharType="begin"/>
                            </w:r>
                            <w:r w:rsidRPr="00D93C10">
                              <w:instrText xml:space="preserve"> STYLEREF 1 \s </w:instrText>
                            </w:r>
                            <w:r w:rsidRPr="00D93C10">
                              <w:fldChar w:fldCharType="separate"/>
                            </w:r>
                            <w:r>
                              <w:rPr>
                                <w:noProof/>
                              </w:rPr>
                              <w:t>3</w:t>
                            </w:r>
                            <w:r w:rsidRPr="00D93C10">
                              <w:fldChar w:fldCharType="end"/>
                            </w:r>
                            <w:r w:rsidRPr="00D93C10">
                              <w:noBreakHyphen/>
                            </w:r>
                            <w:r w:rsidRPr="00D93C10">
                              <w:fldChar w:fldCharType="begin"/>
                            </w:r>
                            <w:r w:rsidRPr="00D93C10">
                              <w:instrText xml:space="preserve"> SEQ Box \* ARABIC \s 1 </w:instrText>
                            </w:r>
                            <w:r w:rsidRPr="00D93C10">
                              <w:fldChar w:fldCharType="separate"/>
                            </w:r>
                            <w:r>
                              <w:rPr>
                                <w:noProof/>
                              </w:rPr>
                              <w:t>3</w:t>
                            </w:r>
                            <w:r w:rsidRPr="00D93C10">
                              <w:fldChar w:fldCharType="end"/>
                            </w:r>
                            <w:bookmarkEnd w:id="165"/>
                            <w:r w:rsidRPr="00D93C10">
                              <w:t>: The Open Government Phase II Grant</w:t>
                            </w:r>
                            <w:bookmarkEnd w:id="166"/>
                            <w:bookmarkEnd w:id="167"/>
                            <w:bookmarkEnd w:id="168"/>
                          </w:p>
                          <w:p w14:paraId="5FC8007F" w14:textId="77777777" w:rsidR="00F338BE" w:rsidRPr="00BF17B0" w:rsidRDefault="00F338BE" w:rsidP="00E41632">
                            <w:pPr>
                              <w:pStyle w:val="PlainText"/>
                              <w:rPr>
                                <w:rFonts w:asciiTheme="minorHAnsi" w:hAnsiTheme="minorHAnsi" w:cstheme="minorHAnsi"/>
                              </w:rPr>
                            </w:pPr>
                            <w:r w:rsidRPr="00BF17B0">
                              <w:rPr>
                                <w:rFonts w:asciiTheme="minorHAnsi" w:hAnsiTheme="minorHAnsi" w:cstheme="minorHAnsi"/>
                              </w:rPr>
                              <w:t xml:space="preserve">In recognition of the country’s Open Government efforts, the Global Initiative for Financial Transparency named the Philippines’ participatory budgeting program as one of five best practices in fiscal transparency (2015). The Open Budget Index by the International Budget Partnership, on the other hand, ranked the country third in Asia for budget transparency and second for public participation in 2015. The 2016 Public Expenditure and Financial Accountability assessment also rated the transparency of public finances in the Philippines as strong. </w:t>
                            </w:r>
                          </w:p>
                          <w:p w14:paraId="16C800B3" w14:textId="77777777" w:rsidR="00F338BE" w:rsidRPr="00BF17B0" w:rsidRDefault="00F338BE" w:rsidP="00FF207D">
                            <w:pPr>
                              <w:rPr>
                                <w:rFonts w:asciiTheme="minorHAnsi" w:hAnsiTheme="minorHAnsi" w:cstheme="minorHAnsi"/>
                                <w:color w:val="FF0000"/>
                                <w:sz w:val="22"/>
                              </w:rPr>
                            </w:pPr>
                            <w:r w:rsidRPr="00BF17B0">
                              <w:rPr>
                                <w:rFonts w:asciiTheme="minorHAnsi" w:hAnsiTheme="minorHAnsi" w:cstheme="minorHAnsi"/>
                                <w:sz w:val="22"/>
                              </w:rPr>
                              <w:t>After a marked decline in ratings between 1998 and 2010, the Philippines improved its ratings on several good governance indicators in succeeding years. The country improved in five of six Worldwide Governance Indicators between 2011 and 2015, surpassing other lower-middle income and Asian countries on regulatory quality and government effectiveness. The Philippines achieved similar gains in Transparency International’s Corruption Perceptions Index, where the country improved its ranking from 138</w:t>
                            </w:r>
                            <w:r w:rsidRPr="00BF17B0">
                              <w:rPr>
                                <w:rFonts w:asciiTheme="minorHAnsi" w:hAnsiTheme="minorHAnsi" w:cstheme="minorHAnsi"/>
                                <w:sz w:val="22"/>
                                <w:vertAlign w:val="superscript"/>
                              </w:rPr>
                              <w:t>th</w:t>
                            </w:r>
                            <w:r w:rsidRPr="00BF17B0">
                              <w:rPr>
                                <w:rFonts w:asciiTheme="minorHAnsi" w:hAnsiTheme="minorHAnsi" w:cstheme="minorHAnsi"/>
                                <w:sz w:val="22"/>
                              </w:rPr>
                              <w:t xml:space="preserve"> place out of 178 in 2010 to 95</w:t>
                            </w:r>
                            <w:r w:rsidRPr="00BF17B0">
                              <w:rPr>
                                <w:rFonts w:asciiTheme="minorHAnsi" w:hAnsiTheme="minorHAnsi" w:cstheme="minorHAnsi"/>
                                <w:sz w:val="22"/>
                                <w:vertAlign w:val="superscript"/>
                              </w:rPr>
                              <w:t>th</w:t>
                            </w:r>
                            <w:r w:rsidRPr="00BF17B0">
                              <w:rPr>
                                <w:rFonts w:asciiTheme="minorHAnsi" w:hAnsiTheme="minorHAnsi" w:cstheme="minorHAnsi"/>
                                <w:sz w:val="22"/>
                              </w:rPr>
                              <w:t xml:space="preserve"> place in 2015.</w:t>
                            </w:r>
                            <w:bookmarkEnd w:id="16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C27E9" id="_x0000_s1028" type="#_x0000_t202" style="position:absolute;margin-left:0;margin-top:83.05pt;width:434.25pt;height:261.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m/JgIAAEwEAAAOAAAAZHJzL2Uyb0RvYy54bWysVNtu2zAMfR+wfxD0vjhx47Ux4hRdugwD&#10;ugvQ7gNkWY6FSaImKbG7ry8lu1l2exnmB0EUqSPyHNLr60ErchTOSzAVXczmlAjDoZFmX9EvD7tX&#10;V5T4wEzDFBhR0Ufh6fXm5Yt1b0uRQweqEY4giPFlbyvahWDLLPO8E5r5GVhh0NmC0yyg6fZZ41iP&#10;6Fpl+Xz+OuvBNdYBF97j6e3opJuE37aCh09t60UgqqKYW0irS2sd12yzZuXeMdtJPqXB/iELzaTB&#10;R09QtywwcnDyNygtuQMPbZhx0Bm0reQi1YDVLOa/VHPfMStSLUiOtyea/P+D5R+Pnx2RTUVzSgzT&#10;KNGDGAJ5AwPJIzu99SUG3VsMCwMeo8qpUm/vgH/1xMC2Y2YvbpyDvhOswewW8WZ2dnXE8RGk7j9A&#10;g8+wQ4AENLROR+qQDILoqNLjSZmYCsfDolgsV5cFJRx9Fxd5viqK9AYrn69b58M7AZrETUUdSp/g&#10;2fHOh5gOK59D4mselGx2UqlkuH29VY4cGbbJLn0T+k9hypC+oqsiL0YG/goxT9+fILQM2O9K6ope&#10;nYJYGXl7a5rUjYFJNe4xZWUmIiN3I4thqIdJsUmfGppHZNbB2N44jrjpwH2npMfWrqj/dmBOUKLe&#10;G1RntVgu4ywkY1lc5mi4c0997mGGI1RFAyXjdhvS/ETeDNygiq1M/Ea5x0ymlLFlE+3TeMWZOLdT&#10;1I+fwOYJAAD//wMAUEsDBBQABgAIAAAAIQBf8uLB3gAAAAgBAAAPAAAAZHJzL2Rvd25yZXYueG1s&#10;TI/BTsMwEETvSPyDtUhcEHUKxbghToWQQHCDtoKrG2+TCHsdbDcNf485wXF2VjNvqtXkLBsxxN6T&#10;gvmsAIbUeNNTq2C7ebyUwGLSZLT1hAq+McKqPj2pdGn8kd5wXKeW5RCKpVbQpTSUnMemQ6fjzA9I&#10;2dv74HTKMrTcBH3M4c7yq6IQ3OmeckOnB3zosPlcH5wCuXgeP+LL9et7I/Z2mS5ux6evoNT52XR/&#10;ByzhlP6e4Rc/o0OdmXb+QCYyqyAPSfkqxBxYtqWQN8B2CoRcLoDXFf8/oP4BAAD//wMAUEsBAi0A&#10;FAAGAAgAAAAhALaDOJL+AAAA4QEAABMAAAAAAAAAAAAAAAAAAAAAAFtDb250ZW50X1R5cGVzXS54&#10;bWxQSwECLQAUAAYACAAAACEAOP0h/9YAAACUAQAACwAAAAAAAAAAAAAAAAAvAQAAX3JlbHMvLnJl&#10;bHNQSwECLQAUAAYACAAAACEAZnYJvyYCAABMBAAADgAAAAAAAAAAAAAAAAAuAgAAZHJzL2Uyb0Rv&#10;Yy54bWxQSwECLQAUAAYACAAAACEAX/Liwd4AAAAIAQAADwAAAAAAAAAAAAAAAACABAAAZHJzL2Rv&#10;d25yZXYueG1sUEsFBgAAAAAEAAQA8wAAAIsFAAAAAA==&#10;" o:allowoverlap="f">
                <v:textbox>
                  <w:txbxContent>
                    <w:p w14:paraId="132A7B47" w14:textId="16010BFF" w:rsidR="00F338BE" w:rsidRPr="00D93C10" w:rsidRDefault="00F338BE" w:rsidP="00D93C10">
                      <w:pPr>
                        <w:pStyle w:val="Caption"/>
                      </w:pPr>
                      <w:bookmarkStart w:id="170" w:name="_Ref532319518"/>
                      <w:bookmarkStart w:id="171" w:name="_Ref531222345"/>
                      <w:bookmarkStart w:id="172" w:name="_Toc531222892"/>
                      <w:bookmarkStart w:id="173" w:name="_Toc532885890"/>
                      <w:bookmarkStart w:id="174" w:name="_Ref530386761"/>
                      <w:r w:rsidRPr="00D93C10">
                        <w:t xml:space="preserve">Box </w:t>
                      </w:r>
                      <w:r w:rsidRPr="00D93C10">
                        <w:fldChar w:fldCharType="begin"/>
                      </w:r>
                      <w:r w:rsidRPr="00D93C10">
                        <w:instrText xml:space="preserve"> STYLEREF 1 \s </w:instrText>
                      </w:r>
                      <w:r w:rsidRPr="00D93C10">
                        <w:fldChar w:fldCharType="separate"/>
                      </w:r>
                      <w:r>
                        <w:rPr>
                          <w:noProof/>
                        </w:rPr>
                        <w:t>3</w:t>
                      </w:r>
                      <w:r w:rsidRPr="00D93C10">
                        <w:fldChar w:fldCharType="end"/>
                      </w:r>
                      <w:r w:rsidRPr="00D93C10">
                        <w:noBreakHyphen/>
                      </w:r>
                      <w:r w:rsidRPr="00D93C10">
                        <w:fldChar w:fldCharType="begin"/>
                      </w:r>
                      <w:r w:rsidRPr="00D93C10">
                        <w:instrText xml:space="preserve"> SEQ Box \* ARABIC \s 1 </w:instrText>
                      </w:r>
                      <w:r w:rsidRPr="00D93C10">
                        <w:fldChar w:fldCharType="separate"/>
                      </w:r>
                      <w:r>
                        <w:rPr>
                          <w:noProof/>
                        </w:rPr>
                        <w:t>3</w:t>
                      </w:r>
                      <w:r w:rsidRPr="00D93C10">
                        <w:fldChar w:fldCharType="end"/>
                      </w:r>
                      <w:bookmarkEnd w:id="170"/>
                      <w:r w:rsidRPr="00D93C10">
                        <w:t>: The Open Government Phase II Grant</w:t>
                      </w:r>
                      <w:bookmarkEnd w:id="171"/>
                      <w:bookmarkEnd w:id="172"/>
                      <w:bookmarkEnd w:id="173"/>
                    </w:p>
                    <w:p w14:paraId="5FC8007F" w14:textId="77777777" w:rsidR="00F338BE" w:rsidRPr="00BF17B0" w:rsidRDefault="00F338BE" w:rsidP="00E41632">
                      <w:pPr>
                        <w:pStyle w:val="PlainText"/>
                        <w:rPr>
                          <w:rFonts w:asciiTheme="minorHAnsi" w:hAnsiTheme="minorHAnsi" w:cstheme="minorHAnsi"/>
                        </w:rPr>
                      </w:pPr>
                      <w:r w:rsidRPr="00BF17B0">
                        <w:rPr>
                          <w:rFonts w:asciiTheme="minorHAnsi" w:hAnsiTheme="minorHAnsi" w:cstheme="minorHAnsi"/>
                        </w:rPr>
                        <w:t xml:space="preserve">In recognition of the country’s Open Government efforts, the Global Initiative for Financial Transparency named the Philippines’ participatory budgeting program as one of five best practices in fiscal transparency (2015). The Open Budget Index by the International Budget Partnership, on the other hand, ranked the country third in Asia for budget transparency and second for public participation in 2015. The 2016 Public Expenditure and Financial Accountability assessment also rated the transparency of public finances in the Philippines as strong. </w:t>
                      </w:r>
                    </w:p>
                    <w:p w14:paraId="16C800B3" w14:textId="77777777" w:rsidR="00F338BE" w:rsidRPr="00BF17B0" w:rsidRDefault="00F338BE" w:rsidP="00FF207D">
                      <w:pPr>
                        <w:rPr>
                          <w:rFonts w:asciiTheme="minorHAnsi" w:hAnsiTheme="minorHAnsi" w:cstheme="minorHAnsi"/>
                          <w:color w:val="FF0000"/>
                          <w:sz w:val="22"/>
                        </w:rPr>
                      </w:pPr>
                      <w:r w:rsidRPr="00BF17B0">
                        <w:rPr>
                          <w:rFonts w:asciiTheme="minorHAnsi" w:hAnsiTheme="minorHAnsi" w:cstheme="minorHAnsi"/>
                          <w:sz w:val="22"/>
                        </w:rPr>
                        <w:t>After a marked decline in ratings between 1998 and 2010, the Philippines improved its ratings on several good governance indicators in succeeding years. The country improved in five of six Worldwide Governance Indicators between 2011 and 2015, surpassing other lower-middle income and Asian countries on regulatory quality and government effectiveness. The Philippines achieved similar gains in Transparency International’s Corruption Perceptions Index, where the country improved its ranking from 138</w:t>
                      </w:r>
                      <w:r w:rsidRPr="00BF17B0">
                        <w:rPr>
                          <w:rFonts w:asciiTheme="minorHAnsi" w:hAnsiTheme="minorHAnsi" w:cstheme="minorHAnsi"/>
                          <w:sz w:val="22"/>
                          <w:vertAlign w:val="superscript"/>
                        </w:rPr>
                        <w:t>th</w:t>
                      </w:r>
                      <w:r w:rsidRPr="00BF17B0">
                        <w:rPr>
                          <w:rFonts w:asciiTheme="minorHAnsi" w:hAnsiTheme="minorHAnsi" w:cstheme="minorHAnsi"/>
                          <w:sz w:val="22"/>
                        </w:rPr>
                        <w:t xml:space="preserve"> place out of 178 in 2010 to 95</w:t>
                      </w:r>
                      <w:r w:rsidRPr="00BF17B0">
                        <w:rPr>
                          <w:rFonts w:asciiTheme="minorHAnsi" w:hAnsiTheme="minorHAnsi" w:cstheme="minorHAnsi"/>
                          <w:sz w:val="22"/>
                          <w:vertAlign w:val="superscript"/>
                        </w:rPr>
                        <w:t>th</w:t>
                      </w:r>
                      <w:r w:rsidRPr="00BF17B0">
                        <w:rPr>
                          <w:rFonts w:asciiTheme="minorHAnsi" w:hAnsiTheme="minorHAnsi" w:cstheme="minorHAnsi"/>
                          <w:sz w:val="22"/>
                        </w:rPr>
                        <w:t xml:space="preserve"> place in 2015.</w:t>
                      </w:r>
                      <w:bookmarkEnd w:id="174"/>
                    </w:p>
                  </w:txbxContent>
                </v:textbox>
                <w10:wrap type="square" anchorx="margin" anchory="margin"/>
              </v:shape>
            </w:pict>
          </mc:Fallback>
        </mc:AlternateContent>
      </w:r>
      <w:r w:rsidR="001C23C5" w:rsidRPr="00BF17B0">
        <w:rPr>
          <w:rFonts w:asciiTheme="minorHAnsi" w:hAnsiTheme="minorHAnsi" w:cstheme="minorHAnsi"/>
        </w:rPr>
        <w:t xml:space="preserve">The </w:t>
      </w:r>
      <w:r w:rsidR="00697749" w:rsidRPr="00BF17B0">
        <w:rPr>
          <w:rFonts w:asciiTheme="minorHAnsi" w:hAnsiTheme="minorHAnsi" w:cstheme="minorHAnsi"/>
        </w:rPr>
        <w:t xml:space="preserve">Open Government </w:t>
      </w:r>
      <w:r w:rsidR="001C23C5" w:rsidRPr="00BF17B0">
        <w:rPr>
          <w:rFonts w:asciiTheme="minorHAnsi" w:hAnsiTheme="minorHAnsi" w:cstheme="minorHAnsi"/>
        </w:rPr>
        <w:t xml:space="preserve">grant was part of a </w:t>
      </w:r>
      <w:r w:rsidR="00032B55" w:rsidRPr="00BF17B0">
        <w:rPr>
          <w:rFonts w:asciiTheme="minorHAnsi" w:hAnsiTheme="minorHAnsi" w:cstheme="minorHAnsi"/>
        </w:rPr>
        <w:t xml:space="preserve">PAAA </w:t>
      </w:r>
      <w:r w:rsidR="001C23C5" w:rsidRPr="00BF17B0">
        <w:rPr>
          <w:rFonts w:asciiTheme="minorHAnsi" w:hAnsiTheme="minorHAnsi" w:cstheme="minorHAnsi"/>
        </w:rPr>
        <w:t xml:space="preserve">on public sector governance. The </w:t>
      </w:r>
      <w:r w:rsidR="00D13004" w:rsidRPr="00BF17B0">
        <w:rPr>
          <w:rFonts w:asciiTheme="minorHAnsi" w:hAnsiTheme="minorHAnsi" w:cstheme="minorHAnsi"/>
        </w:rPr>
        <w:t xml:space="preserve">PAAA’s </w:t>
      </w:r>
      <w:r w:rsidR="001C23C5" w:rsidRPr="00BF17B0">
        <w:rPr>
          <w:rFonts w:asciiTheme="minorHAnsi" w:hAnsiTheme="minorHAnsi" w:cstheme="minorHAnsi"/>
        </w:rPr>
        <w:t xml:space="preserve">overriding objective was to help enable a more responsive, open, capable, and accountable government under the Aquino administration’s Social Contract platform. </w:t>
      </w:r>
      <w:r w:rsidR="00370D71" w:rsidRPr="00BF17B0">
        <w:rPr>
          <w:rFonts w:asciiTheme="minorHAnsi" w:hAnsiTheme="minorHAnsi" w:cstheme="minorHAnsi"/>
        </w:rPr>
        <w:t xml:space="preserve">Its </w:t>
      </w:r>
      <w:r w:rsidR="00D40D7C" w:rsidRPr="00BF17B0">
        <w:rPr>
          <w:rFonts w:asciiTheme="minorHAnsi" w:hAnsiTheme="minorHAnsi" w:cstheme="minorHAnsi"/>
        </w:rPr>
        <w:t xml:space="preserve">overall achievements are well documented in </w:t>
      </w:r>
      <w:r w:rsidR="009E5A78" w:rsidRPr="00BF17B0">
        <w:rPr>
          <w:rFonts w:asciiTheme="minorHAnsi" w:hAnsiTheme="minorHAnsi" w:cstheme="minorHAnsi"/>
        </w:rPr>
        <w:t xml:space="preserve">the </w:t>
      </w:r>
      <w:r w:rsidR="00D40D7C" w:rsidRPr="00BF17B0">
        <w:rPr>
          <w:rFonts w:asciiTheme="minorHAnsi" w:hAnsiTheme="minorHAnsi" w:cstheme="minorHAnsi"/>
        </w:rPr>
        <w:t xml:space="preserve">public report </w:t>
      </w:r>
      <w:r w:rsidR="00D40D7C" w:rsidRPr="00BF17B0">
        <w:rPr>
          <w:rFonts w:asciiTheme="minorHAnsi" w:hAnsiTheme="minorHAnsi" w:cstheme="minorHAnsi"/>
          <w:i/>
        </w:rPr>
        <w:t>Pork to Performance</w:t>
      </w:r>
      <w:r w:rsidR="00D40D7C" w:rsidRPr="00BF17B0">
        <w:rPr>
          <w:rFonts w:asciiTheme="minorHAnsi" w:hAnsiTheme="minorHAnsi" w:cstheme="minorHAnsi"/>
        </w:rPr>
        <w:t xml:space="preserve"> (Custer et al. 2016). </w:t>
      </w:r>
    </w:p>
    <w:p w14:paraId="7F51DE49" w14:textId="77777777" w:rsidR="000F774A" w:rsidRDefault="000F774A" w:rsidP="00697749">
      <w:pPr>
        <w:rPr>
          <w:rFonts w:asciiTheme="minorHAnsi" w:hAnsiTheme="minorHAnsi" w:cstheme="minorHAnsi"/>
        </w:rPr>
      </w:pPr>
    </w:p>
    <w:p w14:paraId="2772EC61" w14:textId="2EDD6AAB" w:rsidR="001C23C5" w:rsidRPr="00BF17B0" w:rsidRDefault="0081759B" w:rsidP="00697749">
      <w:pPr>
        <w:rPr>
          <w:rFonts w:asciiTheme="minorHAnsi" w:hAnsiTheme="minorHAnsi" w:cstheme="minorHAnsi"/>
        </w:rPr>
      </w:pPr>
      <w:r w:rsidRPr="00BF17B0">
        <w:rPr>
          <w:rFonts w:asciiTheme="minorHAnsi" w:hAnsiTheme="minorHAnsi" w:cstheme="minorHAnsi"/>
        </w:rPr>
        <w:t xml:space="preserve">The objective of Open Government Phase II was to enhance the transparency and accountability of national programs by developing Open Government platforms that encouraged citizen monitoring and feedback and by strengthening the legislative and regulatory framework for open government. It supported the Aquino administration’s Open Data platform and focused on five flagship programs, namely: Bottom Up Budgeting; Reconstruction following Typhoon Haiyan and the Bohol Earthquake; basic education </w:t>
      </w:r>
      <w:r w:rsidR="001C23C5" w:rsidRPr="00BF17B0">
        <w:rPr>
          <w:rFonts w:asciiTheme="minorHAnsi" w:hAnsiTheme="minorHAnsi" w:cstheme="minorHAnsi"/>
        </w:rPr>
        <w:t>facilities in the Autonomous Region in Muslim Mindanao; national financing of rural roads; and the sin tax. The main Open Data website (data.gov.ph) continues to provide useful government data.</w:t>
      </w:r>
    </w:p>
    <w:p w14:paraId="7EE2FF87" w14:textId="77777777" w:rsidR="004F32AA" w:rsidRPr="00BF17B0" w:rsidRDefault="0011281F" w:rsidP="000D3232">
      <w:pPr>
        <w:rPr>
          <w:rFonts w:asciiTheme="minorHAnsi" w:hAnsiTheme="minorHAnsi" w:cstheme="minorHAnsi"/>
        </w:rPr>
      </w:pPr>
      <w:r w:rsidRPr="00BF17B0">
        <w:rPr>
          <w:rFonts w:asciiTheme="minorHAnsi" w:hAnsiTheme="minorHAnsi" w:cstheme="minorHAnsi"/>
        </w:rPr>
        <w:t xml:space="preserve">Almost all the grants had innovative components. The Open Government programs introduced open data platforms; the Basic Education Public Expenditure Tracking Survey (PETS) and the Quantitative Service Delivery Survey (QSDS) identified issues in the educational system that </w:t>
      </w:r>
      <w:r w:rsidR="00382BE6" w:rsidRPr="00BF17B0">
        <w:rPr>
          <w:rFonts w:asciiTheme="minorHAnsi" w:hAnsiTheme="minorHAnsi" w:cstheme="minorHAnsi"/>
        </w:rPr>
        <w:t>informed</w:t>
      </w:r>
      <w:r w:rsidRPr="00BF17B0">
        <w:rPr>
          <w:rFonts w:asciiTheme="minorHAnsi" w:hAnsiTheme="minorHAnsi" w:cstheme="minorHAnsi"/>
        </w:rPr>
        <w:t xml:space="preserve"> the </w:t>
      </w:r>
      <w:r w:rsidR="00382BE6" w:rsidRPr="00BF17B0">
        <w:rPr>
          <w:rFonts w:asciiTheme="minorHAnsi" w:hAnsiTheme="minorHAnsi" w:cstheme="minorHAnsi"/>
        </w:rPr>
        <w:t xml:space="preserve">decision of the </w:t>
      </w:r>
      <w:r w:rsidRPr="00BF17B0">
        <w:rPr>
          <w:rFonts w:asciiTheme="minorHAnsi" w:hAnsiTheme="minorHAnsi" w:cstheme="minorHAnsi"/>
        </w:rPr>
        <w:t>Department of Education</w:t>
      </w:r>
      <w:r w:rsidR="00382BE6" w:rsidRPr="00BF17B0">
        <w:rPr>
          <w:rFonts w:asciiTheme="minorHAnsi" w:hAnsiTheme="minorHAnsi" w:cstheme="minorHAnsi"/>
        </w:rPr>
        <w:t xml:space="preserve"> to</w:t>
      </w:r>
      <w:r w:rsidRPr="00BF17B0">
        <w:rPr>
          <w:rFonts w:asciiTheme="minorHAnsi" w:hAnsiTheme="minorHAnsi" w:cstheme="minorHAnsi"/>
        </w:rPr>
        <w:t xml:space="preserve"> </w:t>
      </w:r>
      <w:r w:rsidR="00FB7F00" w:rsidRPr="00BF17B0">
        <w:rPr>
          <w:rFonts w:asciiTheme="minorHAnsi" w:hAnsiTheme="minorHAnsi" w:cstheme="minorHAnsi"/>
        </w:rPr>
        <w:t xml:space="preserve">invest in improving </w:t>
      </w:r>
      <w:r w:rsidR="00020262" w:rsidRPr="00BF17B0">
        <w:rPr>
          <w:rFonts w:asciiTheme="minorHAnsi" w:hAnsiTheme="minorHAnsi" w:cstheme="minorHAnsi"/>
        </w:rPr>
        <w:t>teacher competencies</w:t>
      </w:r>
      <w:r w:rsidRPr="00BF17B0">
        <w:rPr>
          <w:rFonts w:asciiTheme="minorHAnsi" w:hAnsiTheme="minorHAnsi" w:cstheme="minorHAnsi"/>
        </w:rPr>
        <w:t xml:space="preserve">; and the grant for climate budgeting </w:t>
      </w:r>
      <w:r w:rsidR="00193B9E" w:rsidRPr="00BF17B0">
        <w:rPr>
          <w:rFonts w:asciiTheme="minorHAnsi" w:hAnsiTheme="minorHAnsi" w:cstheme="minorHAnsi"/>
        </w:rPr>
        <w:t xml:space="preserve">put </w:t>
      </w:r>
      <w:r w:rsidR="00E352B6" w:rsidRPr="00BF17B0">
        <w:rPr>
          <w:rFonts w:asciiTheme="minorHAnsi" w:hAnsiTheme="minorHAnsi" w:cstheme="minorHAnsi"/>
        </w:rPr>
        <w:t xml:space="preserve">the Philippines </w:t>
      </w:r>
      <w:r w:rsidR="00193B9E" w:rsidRPr="00BF17B0">
        <w:rPr>
          <w:rFonts w:asciiTheme="minorHAnsi" w:hAnsiTheme="minorHAnsi" w:cstheme="minorHAnsi"/>
        </w:rPr>
        <w:t xml:space="preserve">at the forefront of </w:t>
      </w:r>
      <w:r w:rsidR="00E352B6" w:rsidRPr="00BF17B0">
        <w:rPr>
          <w:rFonts w:asciiTheme="minorHAnsi" w:hAnsiTheme="minorHAnsi" w:cstheme="minorHAnsi"/>
        </w:rPr>
        <w:t xml:space="preserve">international discussion of </w:t>
      </w:r>
      <w:r w:rsidRPr="00BF17B0">
        <w:rPr>
          <w:rFonts w:asciiTheme="minorHAnsi" w:hAnsiTheme="minorHAnsi" w:cstheme="minorHAnsi"/>
        </w:rPr>
        <w:t xml:space="preserve">climate budget monitoring. </w:t>
      </w:r>
    </w:p>
    <w:p w14:paraId="6571EA62" w14:textId="77777777" w:rsidR="00E503D2" w:rsidRPr="00BF17B0" w:rsidRDefault="00E503D2" w:rsidP="000D3232">
      <w:pPr>
        <w:rPr>
          <w:rFonts w:asciiTheme="minorHAnsi" w:hAnsiTheme="minorHAnsi" w:cstheme="minorHAnsi"/>
        </w:rPr>
      </w:pPr>
      <w:r w:rsidRPr="00BF17B0">
        <w:rPr>
          <w:rFonts w:asciiTheme="minorHAnsi" w:hAnsiTheme="minorHAnsi" w:cstheme="minorHAnsi"/>
        </w:rPr>
        <w:t xml:space="preserve">Many of the grants in the Macroeconomics and Fiscal Management (MFM) area had significant impact on government policy. The Game Changers </w:t>
      </w:r>
      <w:r w:rsidR="005C2BAA" w:rsidRPr="00BF17B0">
        <w:rPr>
          <w:rFonts w:asciiTheme="minorHAnsi" w:hAnsiTheme="minorHAnsi" w:cstheme="minorHAnsi"/>
        </w:rPr>
        <w:t xml:space="preserve">MFM </w:t>
      </w:r>
      <w:r w:rsidR="00351D73" w:rsidRPr="00BF17B0">
        <w:rPr>
          <w:rFonts w:asciiTheme="minorHAnsi" w:hAnsiTheme="minorHAnsi" w:cstheme="minorHAnsi"/>
        </w:rPr>
        <w:t>P</w:t>
      </w:r>
      <w:r w:rsidRPr="00BF17B0">
        <w:rPr>
          <w:rFonts w:asciiTheme="minorHAnsi" w:hAnsiTheme="minorHAnsi" w:cstheme="minorHAnsi"/>
        </w:rPr>
        <w:t xml:space="preserve">rogram </w:t>
      </w:r>
      <w:r w:rsidR="00BA1025" w:rsidRPr="00BF17B0">
        <w:rPr>
          <w:rFonts w:asciiTheme="minorHAnsi" w:hAnsiTheme="minorHAnsi" w:cstheme="minorHAnsi"/>
        </w:rPr>
        <w:t>is</w:t>
      </w:r>
      <w:r w:rsidRPr="00BF17B0">
        <w:rPr>
          <w:rFonts w:asciiTheme="minorHAnsi" w:hAnsiTheme="minorHAnsi" w:cstheme="minorHAnsi"/>
        </w:rPr>
        <w:t xml:space="preserve"> an example.</w:t>
      </w:r>
      <w:r w:rsidR="00840077" w:rsidRPr="00BF17B0">
        <w:rPr>
          <w:rFonts w:asciiTheme="minorHAnsi" w:hAnsiTheme="minorHAnsi" w:cstheme="minorHAnsi"/>
        </w:rPr>
        <w:t xml:space="preserve"> </w:t>
      </w:r>
      <w:r w:rsidR="00622ECA" w:rsidRPr="00BF17B0">
        <w:rPr>
          <w:rFonts w:asciiTheme="minorHAnsi" w:hAnsiTheme="minorHAnsi" w:cstheme="minorHAnsi"/>
        </w:rPr>
        <w:t xml:space="preserve">It </w:t>
      </w:r>
      <w:r w:rsidR="00840077" w:rsidRPr="00BF17B0">
        <w:rPr>
          <w:rFonts w:asciiTheme="minorHAnsi" w:hAnsiTheme="minorHAnsi" w:cstheme="minorHAnsi"/>
        </w:rPr>
        <w:t>support</w:t>
      </w:r>
      <w:r w:rsidR="00622ECA" w:rsidRPr="00BF17B0">
        <w:rPr>
          <w:rFonts w:asciiTheme="minorHAnsi" w:hAnsiTheme="minorHAnsi" w:cstheme="minorHAnsi"/>
        </w:rPr>
        <w:t>ed</w:t>
      </w:r>
      <w:r w:rsidR="00840077" w:rsidRPr="00BF17B0">
        <w:rPr>
          <w:rFonts w:asciiTheme="minorHAnsi" w:hAnsiTheme="minorHAnsi" w:cstheme="minorHAnsi"/>
        </w:rPr>
        <w:t xml:space="preserve"> the new </w:t>
      </w:r>
      <w:r w:rsidR="00E352B6" w:rsidRPr="00BF17B0">
        <w:rPr>
          <w:rFonts w:asciiTheme="minorHAnsi" w:hAnsiTheme="minorHAnsi" w:cstheme="minorHAnsi"/>
        </w:rPr>
        <w:t xml:space="preserve">administration in identifying </w:t>
      </w:r>
      <w:r w:rsidR="00840077" w:rsidRPr="00BF17B0">
        <w:rPr>
          <w:rFonts w:asciiTheme="minorHAnsi" w:hAnsiTheme="minorHAnsi" w:cstheme="minorHAnsi"/>
        </w:rPr>
        <w:t xml:space="preserve">and </w:t>
      </w:r>
      <w:r w:rsidR="00E352B6" w:rsidRPr="00BF17B0">
        <w:rPr>
          <w:rFonts w:asciiTheme="minorHAnsi" w:hAnsiTheme="minorHAnsi" w:cstheme="minorHAnsi"/>
        </w:rPr>
        <w:t xml:space="preserve">implementing </w:t>
      </w:r>
      <w:r w:rsidR="00840077" w:rsidRPr="00BF17B0">
        <w:rPr>
          <w:rFonts w:asciiTheme="minorHAnsi" w:hAnsiTheme="minorHAnsi" w:cstheme="minorHAnsi"/>
        </w:rPr>
        <w:t>critical reforms</w:t>
      </w:r>
      <w:r w:rsidR="00622ECA" w:rsidRPr="00BF17B0">
        <w:rPr>
          <w:rFonts w:asciiTheme="minorHAnsi" w:hAnsiTheme="minorHAnsi" w:cstheme="minorHAnsi"/>
        </w:rPr>
        <w:t xml:space="preserve"> that </w:t>
      </w:r>
      <w:r w:rsidR="00840077" w:rsidRPr="00BF17B0">
        <w:rPr>
          <w:rFonts w:asciiTheme="minorHAnsi" w:hAnsiTheme="minorHAnsi" w:cstheme="minorHAnsi"/>
        </w:rPr>
        <w:t>aim</w:t>
      </w:r>
      <w:r w:rsidR="00622ECA" w:rsidRPr="00BF17B0">
        <w:rPr>
          <w:rFonts w:asciiTheme="minorHAnsi" w:hAnsiTheme="minorHAnsi" w:cstheme="minorHAnsi"/>
        </w:rPr>
        <w:t>ed</w:t>
      </w:r>
      <w:r w:rsidR="00840077" w:rsidRPr="00BF17B0">
        <w:rPr>
          <w:rFonts w:asciiTheme="minorHAnsi" w:hAnsiTheme="minorHAnsi" w:cstheme="minorHAnsi"/>
        </w:rPr>
        <w:t xml:space="preserve"> to increase jobs and reduce poverty over time.</w:t>
      </w:r>
    </w:p>
    <w:p w14:paraId="5E3993AE" w14:textId="77777777" w:rsidR="00E41632" w:rsidRPr="00BF17B0" w:rsidRDefault="00E41632" w:rsidP="00E41632">
      <w:pPr>
        <w:rPr>
          <w:rFonts w:asciiTheme="minorHAnsi" w:hAnsiTheme="minorHAnsi" w:cstheme="minorHAnsi"/>
        </w:rPr>
      </w:pPr>
    </w:p>
    <w:p w14:paraId="61E3717F" w14:textId="77777777" w:rsidR="00555EE3" w:rsidRPr="00BF17B0" w:rsidRDefault="00555EE3" w:rsidP="00BF07C4">
      <w:pPr>
        <w:pStyle w:val="Heading2"/>
        <w:rPr>
          <w:rFonts w:asciiTheme="minorHAnsi" w:hAnsiTheme="minorHAnsi" w:cstheme="minorHAnsi"/>
        </w:rPr>
      </w:pPr>
      <w:bookmarkStart w:id="175" w:name="_Toc532994292"/>
      <w:r w:rsidRPr="00BF17B0">
        <w:rPr>
          <w:rFonts w:asciiTheme="minorHAnsi" w:hAnsiTheme="minorHAnsi" w:cstheme="minorHAnsi"/>
        </w:rPr>
        <w:t>Efficiency</w:t>
      </w:r>
      <w:bookmarkEnd w:id="175"/>
    </w:p>
    <w:p w14:paraId="6D85F591" w14:textId="1828E5C8" w:rsidR="00EE431B" w:rsidRPr="00BF17B0" w:rsidRDefault="00E429A5" w:rsidP="004F32AA">
      <w:pPr>
        <w:rPr>
          <w:rFonts w:asciiTheme="minorHAnsi" w:hAnsiTheme="minorHAnsi" w:cstheme="minorHAnsi"/>
        </w:rPr>
      </w:pPr>
      <w:r w:rsidRPr="00BF17B0">
        <w:rPr>
          <w:rFonts w:asciiTheme="minorHAnsi" w:hAnsiTheme="minorHAnsi" w:cstheme="minorHAnsi"/>
        </w:rPr>
        <w:t>The efficiency of PH-PTF was assessed around four dimensions: (</w:t>
      </w:r>
      <w:r w:rsidR="0002606D" w:rsidRPr="00BF17B0">
        <w:rPr>
          <w:rFonts w:asciiTheme="minorHAnsi" w:hAnsiTheme="minorHAnsi" w:cstheme="minorHAnsi"/>
        </w:rPr>
        <w:t>i</w:t>
      </w:r>
      <w:r w:rsidRPr="00BF17B0">
        <w:rPr>
          <w:rFonts w:asciiTheme="minorHAnsi" w:hAnsiTheme="minorHAnsi" w:cstheme="minorHAnsi"/>
        </w:rPr>
        <w:t>)</w:t>
      </w:r>
      <w:r w:rsidR="00642042">
        <w:rPr>
          <w:rFonts w:asciiTheme="minorHAnsi" w:hAnsiTheme="minorHAnsi" w:cstheme="minorHAnsi"/>
        </w:rPr>
        <w:t xml:space="preserve"> trust fund modality</w:t>
      </w:r>
      <w:r w:rsidRPr="00BF17B0">
        <w:rPr>
          <w:rFonts w:asciiTheme="minorHAnsi" w:hAnsiTheme="minorHAnsi" w:cstheme="minorHAnsi"/>
        </w:rPr>
        <w:t>;</w:t>
      </w:r>
      <w:r w:rsidR="00355A3C" w:rsidRPr="00BF17B0">
        <w:rPr>
          <w:rFonts w:asciiTheme="minorHAnsi" w:hAnsiTheme="minorHAnsi" w:cstheme="minorHAnsi"/>
        </w:rPr>
        <w:t xml:space="preserve"> (</w:t>
      </w:r>
      <w:r w:rsidR="0002606D" w:rsidRPr="00BF17B0">
        <w:rPr>
          <w:rFonts w:asciiTheme="minorHAnsi" w:hAnsiTheme="minorHAnsi" w:cstheme="minorHAnsi"/>
        </w:rPr>
        <w:t>ii</w:t>
      </w:r>
      <w:r w:rsidRPr="00BF17B0">
        <w:rPr>
          <w:rFonts w:asciiTheme="minorHAnsi" w:hAnsiTheme="minorHAnsi" w:cstheme="minorHAnsi"/>
        </w:rPr>
        <w:t>) resource allocation processes; (</w:t>
      </w:r>
      <w:r w:rsidR="0002606D" w:rsidRPr="00BF17B0">
        <w:rPr>
          <w:rFonts w:asciiTheme="minorHAnsi" w:hAnsiTheme="minorHAnsi" w:cstheme="minorHAnsi"/>
        </w:rPr>
        <w:t>iii</w:t>
      </w:r>
      <w:r w:rsidRPr="00BF17B0">
        <w:rPr>
          <w:rFonts w:asciiTheme="minorHAnsi" w:hAnsiTheme="minorHAnsi" w:cstheme="minorHAnsi"/>
        </w:rPr>
        <w:t>) cost recovery arrangements; and (</w:t>
      </w:r>
      <w:r w:rsidR="0002606D" w:rsidRPr="00BF17B0">
        <w:rPr>
          <w:rFonts w:asciiTheme="minorHAnsi" w:hAnsiTheme="minorHAnsi" w:cstheme="minorHAnsi"/>
        </w:rPr>
        <w:t>iv</w:t>
      </w:r>
      <w:r w:rsidRPr="00BF17B0">
        <w:rPr>
          <w:rFonts w:asciiTheme="minorHAnsi" w:hAnsiTheme="minorHAnsi" w:cstheme="minorHAnsi"/>
        </w:rPr>
        <w:t>) ability to leverage resources.</w:t>
      </w:r>
      <w:r w:rsidR="00032B55" w:rsidRPr="00BF17B0">
        <w:rPr>
          <w:rFonts w:asciiTheme="minorHAnsi" w:hAnsiTheme="minorHAnsi" w:cstheme="minorHAnsi"/>
        </w:rPr>
        <w:t xml:space="preserve"> </w:t>
      </w:r>
    </w:p>
    <w:p w14:paraId="472AB31D" w14:textId="77777777" w:rsidR="00E41632" w:rsidRPr="00BF17B0" w:rsidRDefault="00E41632" w:rsidP="0002606D">
      <w:pPr>
        <w:rPr>
          <w:rFonts w:asciiTheme="minorHAnsi" w:hAnsiTheme="minorHAnsi" w:cstheme="minorHAnsi"/>
        </w:rPr>
      </w:pPr>
    </w:p>
    <w:p w14:paraId="4C2627B1" w14:textId="77777777" w:rsidR="002F4671" w:rsidRPr="00BF17B0" w:rsidRDefault="00C77FDE" w:rsidP="0002606D">
      <w:pPr>
        <w:pStyle w:val="Heading3"/>
      </w:pPr>
      <w:r w:rsidRPr="00BF17B0">
        <w:t xml:space="preserve">Trust Fund </w:t>
      </w:r>
      <w:r w:rsidR="00992490" w:rsidRPr="00BF17B0">
        <w:t>Modality</w:t>
      </w:r>
    </w:p>
    <w:p w14:paraId="6ECD8811" w14:textId="77777777" w:rsidR="00A23406" w:rsidRPr="00BF17B0" w:rsidRDefault="008263B5" w:rsidP="00DD228A">
      <w:pPr>
        <w:rPr>
          <w:rFonts w:asciiTheme="minorHAnsi" w:hAnsiTheme="minorHAnsi" w:cstheme="minorHAnsi"/>
        </w:rPr>
      </w:pPr>
      <w:r w:rsidRPr="00BF17B0">
        <w:rPr>
          <w:rFonts w:asciiTheme="minorHAnsi" w:hAnsiTheme="minorHAnsi" w:cstheme="minorHAnsi"/>
        </w:rPr>
        <w:t xml:space="preserve">The Midterm Review considered </w:t>
      </w:r>
      <w:r w:rsidR="0034571B" w:rsidRPr="00BF17B0">
        <w:rPr>
          <w:rFonts w:asciiTheme="minorHAnsi" w:hAnsiTheme="minorHAnsi" w:cstheme="minorHAnsi"/>
        </w:rPr>
        <w:t xml:space="preserve">the alternative options </w:t>
      </w:r>
      <w:r w:rsidR="005B196D" w:rsidRPr="00BF17B0">
        <w:rPr>
          <w:rFonts w:asciiTheme="minorHAnsi" w:hAnsiTheme="minorHAnsi" w:cstheme="minorHAnsi"/>
        </w:rPr>
        <w:t>that</w:t>
      </w:r>
      <w:r w:rsidRPr="00BF17B0">
        <w:rPr>
          <w:rFonts w:asciiTheme="minorHAnsi" w:hAnsiTheme="minorHAnsi" w:cstheme="minorHAnsi"/>
        </w:rPr>
        <w:t xml:space="preserve"> could be used in the World Bank</w:t>
      </w:r>
      <w:r w:rsidR="007003EC" w:rsidRPr="00BF17B0">
        <w:rPr>
          <w:rFonts w:asciiTheme="minorHAnsi" w:hAnsiTheme="minorHAnsi" w:cstheme="minorHAnsi"/>
        </w:rPr>
        <w:t>-</w:t>
      </w:r>
      <w:r w:rsidRPr="00BF17B0">
        <w:rPr>
          <w:rFonts w:asciiTheme="minorHAnsi" w:hAnsiTheme="minorHAnsi" w:cstheme="minorHAnsi"/>
        </w:rPr>
        <w:t>DFAT partnership</w:t>
      </w:r>
      <w:r w:rsidR="005B196D" w:rsidRPr="00BF17B0">
        <w:rPr>
          <w:rFonts w:asciiTheme="minorHAnsi" w:hAnsiTheme="minorHAnsi" w:cstheme="minorHAnsi"/>
        </w:rPr>
        <w:t xml:space="preserve">: </w:t>
      </w:r>
      <w:r w:rsidR="00032B55" w:rsidRPr="00BF17B0">
        <w:rPr>
          <w:rFonts w:asciiTheme="minorHAnsi" w:hAnsiTheme="minorHAnsi" w:cstheme="minorHAnsi"/>
        </w:rPr>
        <w:t>DFAT</w:t>
      </w:r>
      <w:r w:rsidR="002D71DE" w:rsidRPr="00BF17B0">
        <w:rPr>
          <w:rFonts w:asciiTheme="minorHAnsi" w:hAnsiTheme="minorHAnsi" w:cstheme="minorHAnsi"/>
        </w:rPr>
        <w:t>-</w:t>
      </w:r>
      <w:r w:rsidR="00032B55" w:rsidRPr="00BF17B0">
        <w:rPr>
          <w:rFonts w:asciiTheme="minorHAnsi" w:hAnsiTheme="minorHAnsi" w:cstheme="minorHAnsi"/>
        </w:rPr>
        <w:t xml:space="preserve">administered managing contractors, parallel financing, free standing trust funds, and externally-financed outputs </w:t>
      </w:r>
      <w:r w:rsidRPr="00BF17B0">
        <w:rPr>
          <w:rFonts w:asciiTheme="minorHAnsi" w:hAnsiTheme="minorHAnsi" w:cstheme="minorHAnsi"/>
        </w:rPr>
        <w:t xml:space="preserve">(Allen and Lipsey 2012, Section 1.1.1). </w:t>
      </w:r>
      <w:r w:rsidR="00DD228A" w:rsidRPr="00BF17B0">
        <w:rPr>
          <w:rFonts w:asciiTheme="minorHAnsi" w:hAnsiTheme="minorHAnsi" w:cstheme="minorHAnsi"/>
        </w:rPr>
        <w:t xml:space="preserve">The review concluded that the </w:t>
      </w:r>
      <w:r w:rsidR="00A23406" w:rsidRPr="00BF17B0">
        <w:rPr>
          <w:rFonts w:asciiTheme="minorHAnsi" w:hAnsiTheme="minorHAnsi" w:cstheme="minorHAnsi"/>
        </w:rPr>
        <w:t xml:space="preserve">programmatic trust fund structure </w:t>
      </w:r>
      <w:r w:rsidR="0034571B" w:rsidRPr="00BF17B0">
        <w:rPr>
          <w:rFonts w:asciiTheme="minorHAnsi" w:hAnsiTheme="minorHAnsi" w:cstheme="minorHAnsi"/>
        </w:rPr>
        <w:t>“is a much more cost- and time-effective mode for AusAID to</w:t>
      </w:r>
      <w:r w:rsidR="008254CC" w:rsidRPr="00BF17B0">
        <w:rPr>
          <w:rFonts w:asciiTheme="minorHAnsi" w:hAnsiTheme="minorHAnsi" w:cstheme="minorHAnsi"/>
        </w:rPr>
        <w:t xml:space="preserve"> fund activities with the Bank</w:t>
      </w:r>
      <w:r w:rsidR="0034571B" w:rsidRPr="00BF17B0">
        <w:rPr>
          <w:rFonts w:asciiTheme="minorHAnsi" w:hAnsiTheme="minorHAnsi" w:cstheme="minorHAnsi"/>
        </w:rPr>
        <w:t>” (</w:t>
      </w:r>
      <w:r w:rsidR="00D52DD8" w:rsidRPr="00BF17B0">
        <w:rPr>
          <w:rFonts w:asciiTheme="minorHAnsi" w:hAnsiTheme="minorHAnsi" w:cstheme="minorHAnsi"/>
        </w:rPr>
        <w:t xml:space="preserve">Allen and Lipsey 2012, </w:t>
      </w:r>
      <w:r w:rsidR="0034571B" w:rsidRPr="00BF17B0">
        <w:rPr>
          <w:rFonts w:asciiTheme="minorHAnsi" w:hAnsiTheme="minorHAnsi" w:cstheme="minorHAnsi"/>
        </w:rPr>
        <w:t>Section 4.1.3)</w:t>
      </w:r>
      <w:r w:rsidR="00EB211F" w:rsidRPr="00BF17B0">
        <w:rPr>
          <w:rFonts w:asciiTheme="minorHAnsi" w:hAnsiTheme="minorHAnsi" w:cstheme="minorHAnsi"/>
        </w:rPr>
        <w:t xml:space="preserve">. </w:t>
      </w:r>
      <w:r w:rsidR="00071BCD" w:rsidRPr="00BF17B0">
        <w:rPr>
          <w:rFonts w:asciiTheme="minorHAnsi" w:hAnsiTheme="minorHAnsi" w:cstheme="minorHAnsi"/>
        </w:rPr>
        <w:t xml:space="preserve">This current </w:t>
      </w:r>
      <w:r w:rsidR="000D493C" w:rsidRPr="00BF17B0">
        <w:rPr>
          <w:rFonts w:asciiTheme="minorHAnsi" w:hAnsiTheme="minorHAnsi" w:cstheme="minorHAnsi"/>
        </w:rPr>
        <w:t xml:space="preserve">report </w:t>
      </w:r>
      <w:r w:rsidR="000E3CB3" w:rsidRPr="00BF17B0">
        <w:rPr>
          <w:rFonts w:asciiTheme="minorHAnsi" w:hAnsiTheme="minorHAnsi" w:cstheme="minorHAnsi"/>
        </w:rPr>
        <w:t>concurs with the Mid</w:t>
      </w:r>
      <w:r w:rsidR="00EA3516" w:rsidRPr="00BF17B0">
        <w:rPr>
          <w:rFonts w:asciiTheme="minorHAnsi" w:hAnsiTheme="minorHAnsi" w:cstheme="minorHAnsi"/>
        </w:rPr>
        <w:t>t</w:t>
      </w:r>
      <w:r w:rsidR="000E3CB3" w:rsidRPr="00BF17B0">
        <w:rPr>
          <w:rFonts w:asciiTheme="minorHAnsi" w:hAnsiTheme="minorHAnsi" w:cstheme="minorHAnsi"/>
        </w:rPr>
        <w:t xml:space="preserve">erm Review’s </w:t>
      </w:r>
      <w:r w:rsidR="00343501" w:rsidRPr="00BF17B0">
        <w:rPr>
          <w:rFonts w:asciiTheme="minorHAnsi" w:hAnsiTheme="minorHAnsi" w:cstheme="minorHAnsi"/>
        </w:rPr>
        <w:t xml:space="preserve">conclusion. </w:t>
      </w:r>
    </w:p>
    <w:p w14:paraId="5DE9DB0D" w14:textId="77777777" w:rsidR="00032B55" w:rsidRPr="00BF17B0" w:rsidRDefault="00CC108D" w:rsidP="00343501">
      <w:pPr>
        <w:rPr>
          <w:rFonts w:asciiTheme="minorHAnsi" w:hAnsiTheme="minorHAnsi" w:cstheme="minorHAnsi"/>
        </w:rPr>
      </w:pPr>
      <w:r w:rsidRPr="00BF17B0">
        <w:rPr>
          <w:rFonts w:asciiTheme="minorHAnsi" w:hAnsiTheme="minorHAnsi" w:cstheme="minorHAnsi"/>
        </w:rPr>
        <w:t>The closest alternative to a</w:t>
      </w:r>
      <w:r w:rsidR="00A23406" w:rsidRPr="00BF17B0">
        <w:rPr>
          <w:rFonts w:asciiTheme="minorHAnsi" w:hAnsiTheme="minorHAnsi" w:cstheme="minorHAnsi"/>
        </w:rPr>
        <w:t xml:space="preserve"> programmatic</w:t>
      </w:r>
      <w:r w:rsidRPr="00BF17B0">
        <w:rPr>
          <w:rFonts w:asciiTheme="minorHAnsi" w:hAnsiTheme="minorHAnsi" w:cstheme="minorHAnsi"/>
        </w:rPr>
        <w:t xml:space="preserve"> </w:t>
      </w:r>
      <w:r w:rsidR="008263B5" w:rsidRPr="00BF17B0">
        <w:rPr>
          <w:rFonts w:asciiTheme="minorHAnsi" w:hAnsiTheme="minorHAnsi" w:cstheme="minorHAnsi"/>
        </w:rPr>
        <w:t>trust fund</w:t>
      </w:r>
      <w:r w:rsidRPr="00BF17B0">
        <w:rPr>
          <w:rFonts w:asciiTheme="minorHAnsi" w:hAnsiTheme="minorHAnsi" w:cstheme="minorHAnsi"/>
        </w:rPr>
        <w:t xml:space="preserve"> would </w:t>
      </w:r>
      <w:r w:rsidR="009E1FA5" w:rsidRPr="00BF17B0">
        <w:rPr>
          <w:rFonts w:asciiTheme="minorHAnsi" w:hAnsiTheme="minorHAnsi" w:cstheme="minorHAnsi"/>
        </w:rPr>
        <w:t xml:space="preserve">have </w:t>
      </w:r>
      <w:r w:rsidR="008263B5" w:rsidRPr="00BF17B0">
        <w:rPr>
          <w:rFonts w:asciiTheme="minorHAnsi" w:hAnsiTheme="minorHAnsi" w:cstheme="minorHAnsi"/>
        </w:rPr>
        <w:t>be</w:t>
      </w:r>
      <w:r w:rsidR="009E1FA5" w:rsidRPr="00BF17B0">
        <w:rPr>
          <w:rFonts w:asciiTheme="minorHAnsi" w:hAnsiTheme="minorHAnsi" w:cstheme="minorHAnsi"/>
        </w:rPr>
        <w:t>en</w:t>
      </w:r>
      <w:r w:rsidR="008263B5" w:rsidRPr="00BF17B0">
        <w:rPr>
          <w:rFonts w:asciiTheme="minorHAnsi" w:hAnsiTheme="minorHAnsi" w:cstheme="minorHAnsi"/>
        </w:rPr>
        <w:t xml:space="preserve"> </w:t>
      </w:r>
      <w:r w:rsidRPr="00BF17B0">
        <w:rPr>
          <w:rFonts w:asciiTheme="minorHAnsi" w:hAnsiTheme="minorHAnsi" w:cstheme="minorHAnsi"/>
        </w:rPr>
        <w:t>the use of</w:t>
      </w:r>
      <w:r w:rsidR="00A23406" w:rsidRPr="00BF17B0">
        <w:rPr>
          <w:rFonts w:asciiTheme="minorHAnsi" w:hAnsiTheme="minorHAnsi" w:cstheme="minorHAnsi"/>
        </w:rPr>
        <w:t xml:space="preserve"> a set of discrete</w:t>
      </w:r>
      <w:r w:rsidRPr="00BF17B0">
        <w:rPr>
          <w:rFonts w:asciiTheme="minorHAnsi" w:hAnsiTheme="minorHAnsi" w:cstheme="minorHAnsi"/>
        </w:rPr>
        <w:t xml:space="preserve"> </w:t>
      </w:r>
      <w:r w:rsidR="00FB0160" w:rsidRPr="00BF17B0">
        <w:rPr>
          <w:rFonts w:asciiTheme="minorHAnsi" w:hAnsiTheme="minorHAnsi" w:cstheme="minorHAnsi"/>
        </w:rPr>
        <w:t>free-standing</w:t>
      </w:r>
      <w:r w:rsidRPr="00BF17B0">
        <w:rPr>
          <w:rFonts w:asciiTheme="minorHAnsi" w:hAnsiTheme="minorHAnsi" w:cstheme="minorHAnsi"/>
        </w:rPr>
        <w:t xml:space="preserve"> trust funds </w:t>
      </w:r>
      <w:r w:rsidR="00A23406" w:rsidRPr="00BF17B0">
        <w:rPr>
          <w:rFonts w:asciiTheme="minorHAnsi" w:hAnsiTheme="minorHAnsi" w:cstheme="minorHAnsi"/>
        </w:rPr>
        <w:t xml:space="preserve">for each of the activities funded by </w:t>
      </w:r>
      <w:r w:rsidR="00804FD7" w:rsidRPr="00BF17B0">
        <w:rPr>
          <w:rFonts w:asciiTheme="minorHAnsi" w:hAnsiTheme="minorHAnsi" w:cstheme="minorHAnsi"/>
        </w:rPr>
        <w:t xml:space="preserve">the </w:t>
      </w:r>
      <w:r w:rsidR="00A53818" w:rsidRPr="00BF17B0">
        <w:rPr>
          <w:rFonts w:asciiTheme="minorHAnsi" w:hAnsiTheme="minorHAnsi" w:cstheme="minorHAnsi"/>
        </w:rPr>
        <w:t>PTF</w:t>
      </w:r>
      <w:r w:rsidR="00332D5C" w:rsidRPr="00BF17B0">
        <w:rPr>
          <w:rFonts w:asciiTheme="minorHAnsi" w:hAnsiTheme="minorHAnsi" w:cstheme="minorHAnsi"/>
        </w:rPr>
        <w:t xml:space="preserve">. This </w:t>
      </w:r>
      <w:r w:rsidR="00244D34" w:rsidRPr="00BF17B0">
        <w:rPr>
          <w:rFonts w:asciiTheme="minorHAnsi" w:hAnsiTheme="minorHAnsi" w:cstheme="minorHAnsi"/>
        </w:rPr>
        <w:t xml:space="preserve">arrangement </w:t>
      </w:r>
      <w:r w:rsidR="00332D5C" w:rsidRPr="00BF17B0">
        <w:rPr>
          <w:rFonts w:asciiTheme="minorHAnsi" w:hAnsiTheme="minorHAnsi" w:cstheme="minorHAnsi"/>
        </w:rPr>
        <w:t>w</w:t>
      </w:r>
      <w:r w:rsidRPr="00BF17B0">
        <w:rPr>
          <w:rFonts w:asciiTheme="minorHAnsi" w:hAnsiTheme="minorHAnsi" w:cstheme="minorHAnsi"/>
        </w:rPr>
        <w:t xml:space="preserve">ould have involved numerous </w:t>
      </w:r>
      <w:r w:rsidR="00332D5C" w:rsidRPr="00BF17B0">
        <w:rPr>
          <w:rFonts w:asciiTheme="minorHAnsi" w:hAnsiTheme="minorHAnsi" w:cstheme="minorHAnsi"/>
        </w:rPr>
        <w:t>a</w:t>
      </w:r>
      <w:r w:rsidRPr="00BF17B0">
        <w:rPr>
          <w:rFonts w:asciiTheme="minorHAnsi" w:hAnsiTheme="minorHAnsi" w:cstheme="minorHAnsi"/>
        </w:rPr>
        <w:t xml:space="preserve">dministration </w:t>
      </w:r>
      <w:r w:rsidR="00332D5C" w:rsidRPr="00BF17B0">
        <w:rPr>
          <w:rFonts w:asciiTheme="minorHAnsi" w:hAnsiTheme="minorHAnsi" w:cstheme="minorHAnsi"/>
        </w:rPr>
        <w:t>a</w:t>
      </w:r>
      <w:r w:rsidRPr="00BF17B0">
        <w:rPr>
          <w:rFonts w:asciiTheme="minorHAnsi" w:hAnsiTheme="minorHAnsi" w:cstheme="minorHAnsi"/>
        </w:rPr>
        <w:t>rrangements</w:t>
      </w:r>
      <w:r w:rsidR="00180D29" w:rsidRPr="00BF17B0">
        <w:rPr>
          <w:rFonts w:asciiTheme="minorHAnsi" w:hAnsiTheme="minorHAnsi" w:cstheme="minorHAnsi"/>
        </w:rPr>
        <w:t xml:space="preserve"> and related administration fees and</w:t>
      </w:r>
      <w:r w:rsidRPr="00BF17B0">
        <w:rPr>
          <w:rFonts w:asciiTheme="minorHAnsi" w:hAnsiTheme="minorHAnsi" w:cstheme="minorHAnsi"/>
        </w:rPr>
        <w:t xml:space="preserve"> multiple governance structures</w:t>
      </w:r>
      <w:r w:rsidR="00EB211F" w:rsidRPr="00BF17B0">
        <w:rPr>
          <w:rFonts w:asciiTheme="minorHAnsi" w:hAnsiTheme="minorHAnsi" w:cstheme="minorHAnsi"/>
        </w:rPr>
        <w:t xml:space="preserve">. </w:t>
      </w:r>
    </w:p>
    <w:p w14:paraId="6F856AB2" w14:textId="77777777" w:rsidR="003458CA" w:rsidRPr="00BF17B0" w:rsidRDefault="003458CA" w:rsidP="003458CA">
      <w:pPr>
        <w:rPr>
          <w:rFonts w:asciiTheme="minorHAnsi" w:hAnsiTheme="minorHAnsi" w:cstheme="minorHAnsi"/>
        </w:rPr>
      </w:pPr>
      <w:r w:rsidRPr="00BF17B0">
        <w:rPr>
          <w:rFonts w:asciiTheme="minorHAnsi" w:hAnsiTheme="minorHAnsi" w:cstheme="minorHAnsi"/>
        </w:rPr>
        <w:t>The experience with PH-PTF demonstrated the strength of the programmatic trust fund structure, which allowed the Steering Committee to flexibly and rapidly allocate funds to new activities or transfer resources between activities, subject to the approval of the Steering Committee. The ability of the PH-PTF to support a wide range of recipients using the most appropriate execution modality further added to its flexibility and responsiveness.</w:t>
      </w:r>
    </w:p>
    <w:p w14:paraId="6C5B1ADC" w14:textId="77777777" w:rsidR="003458CA" w:rsidRPr="00BF17B0" w:rsidRDefault="003458CA" w:rsidP="003458CA">
      <w:pPr>
        <w:rPr>
          <w:rFonts w:asciiTheme="minorHAnsi" w:hAnsiTheme="minorHAnsi" w:cstheme="minorHAnsi"/>
        </w:rPr>
      </w:pPr>
      <w:r w:rsidRPr="00BF17B0">
        <w:rPr>
          <w:rFonts w:asciiTheme="minorHAnsi" w:hAnsiTheme="minorHAnsi" w:cstheme="minorHAnsi"/>
        </w:rPr>
        <w:t>The programmatic trust fund model was used by DFAT and the World Bank in other Southeast Asian countries, such as Cambodia, Vietnam, and Myanmar, confirming that both parties saw it as an effective instrument for working together.</w:t>
      </w:r>
    </w:p>
    <w:p w14:paraId="7E224ED9" w14:textId="77777777" w:rsidR="00D33AD8" w:rsidRPr="00BF17B0" w:rsidRDefault="00D33AD8" w:rsidP="00D33AD8">
      <w:pPr>
        <w:rPr>
          <w:rFonts w:asciiTheme="minorHAnsi" w:hAnsiTheme="minorHAnsi" w:cstheme="minorHAnsi"/>
          <w:lang w:eastAsia="en-GB"/>
        </w:rPr>
      </w:pPr>
      <w:r w:rsidRPr="00BF17B0">
        <w:rPr>
          <w:rFonts w:asciiTheme="minorHAnsi" w:hAnsiTheme="minorHAnsi" w:cstheme="minorHAnsi"/>
          <w:lang w:eastAsia="en-GB"/>
        </w:rPr>
        <w:t>The Midterm Review suggested that the PH-PTF core funding should not “include funding for recipient-executed projects that involve bulky hardware expenditures such as KALAHI-CIDSS” (</w:t>
      </w:r>
      <w:r w:rsidRPr="00BF17B0">
        <w:rPr>
          <w:rFonts w:asciiTheme="minorHAnsi" w:hAnsiTheme="minorHAnsi" w:cstheme="minorHAnsi"/>
        </w:rPr>
        <w:t>Allen and Lipsey 2012</w:t>
      </w:r>
      <w:r w:rsidRPr="00BF17B0">
        <w:rPr>
          <w:rFonts w:asciiTheme="minorHAnsi" w:hAnsiTheme="minorHAnsi" w:cstheme="minorHAnsi"/>
          <w:lang w:eastAsia="en-GB"/>
        </w:rPr>
        <w:t xml:space="preserve">, Section 5.2.2.1). This recommendation was adopted by the Steering Committee and no further recipient-executed grants were supported. While disbursements from recipient-executed grants were very low at the time of the Midterm Review, they subsequently increased, although the final disbursement percentages were still lower than for Bank-executed grants. </w:t>
      </w:r>
    </w:p>
    <w:p w14:paraId="0537CE73" w14:textId="77777777" w:rsidR="00E41632" w:rsidRPr="00BF17B0" w:rsidRDefault="00D33AD8" w:rsidP="00E41632">
      <w:pPr>
        <w:rPr>
          <w:rFonts w:asciiTheme="minorHAnsi" w:hAnsiTheme="minorHAnsi" w:cstheme="minorHAnsi"/>
          <w:lang w:eastAsia="en-GB"/>
        </w:rPr>
      </w:pPr>
      <w:r w:rsidRPr="00BF17B0">
        <w:rPr>
          <w:rFonts w:asciiTheme="minorHAnsi" w:hAnsiTheme="minorHAnsi" w:cstheme="minorHAnsi"/>
          <w:lang w:eastAsia="en-GB"/>
        </w:rPr>
        <w:t>It should be noted however that all major recipient-executed grants are likely to meet their intended outputs. As already noted, the grant for KALAHI –</w:t>
      </w:r>
      <w:r w:rsidRPr="00BF17B0">
        <w:rPr>
          <w:rFonts w:asciiTheme="minorHAnsi" w:hAnsiTheme="minorHAnsi" w:cstheme="minorHAnsi"/>
        </w:rPr>
        <w:t xml:space="preserve"> CIDSS </w:t>
      </w:r>
      <w:r w:rsidRPr="00BF17B0">
        <w:rPr>
          <w:rFonts w:asciiTheme="minorHAnsi" w:hAnsiTheme="minorHAnsi" w:cstheme="minorHAnsi"/>
          <w:lang w:eastAsia="en-GB"/>
        </w:rPr>
        <w:t>resulted in major innovations in classroom design, while the grant for the Mindanao Rural Development Project Phase II provided an essential complement to the loan for rural development activities in Mindanao. The ongoing grant for a feasibility study for a dam in the Upper Marikina River catchment area points to an infrastructure that will improve flood control in Metro Manila. The same grant made an important contribution to capacity building within the Department of Public Works and Highways.</w:t>
      </w:r>
    </w:p>
    <w:p w14:paraId="48F7CFBE" w14:textId="77777777" w:rsidR="00C068C4" w:rsidRPr="00BF17B0" w:rsidRDefault="00C068C4" w:rsidP="00C068C4">
      <w:pPr>
        <w:rPr>
          <w:rFonts w:asciiTheme="minorHAnsi" w:hAnsiTheme="minorHAnsi" w:cstheme="minorHAnsi"/>
          <w:lang w:eastAsia="en-GB"/>
        </w:rPr>
      </w:pPr>
    </w:p>
    <w:p w14:paraId="65E98E2D" w14:textId="77777777" w:rsidR="002A76B4" w:rsidRPr="00BF17B0" w:rsidRDefault="002A76B4" w:rsidP="003F212C">
      <w:pPr>
        <w:pStyle w:val="Heading3"/>
      </w:pPr>
      <w:r w:rsidRPr="00BF17B0">
        <w:t xml:space="preserve">Resource Allocation Processes </w:t>
      </w:r>
    </w:p>
    <w:p w14:paraId="4C00529A" w14:textId="3BD053EE" w:rsidR="00E1484D" w:rsidRPr="00BF17B0" w:rsidRDefault="00FC3062">
      <w:pPr>
        <w:rPr>
          <w:rFonts w:asciiTheme="minorHAnsi" w:hAnsiTheme="minorHAnsi" w:cstheme="minorHAnsi"/>
        </w:rPr>
      </w:pPr>
      <w:bookmarkStart w:id="176" w:name="_Toc530386714"/>
      <w:bookmarkStart w:id="177" w:name="_Toc530386715"/>
      <w:bookmarkStart w:id="178" w:name="_Toc530386716"/>
      <w:bookmarkStart w:id="179" w:name="_Toc530386718"/>
      <w:bookmarkEnd w:id="176"/>
      <w:bookmarkEnd w:id="177"/>
      <w:bookmarkEnd w:id="178"/>
      <w:bookmarkEnd w:id="179"/>
      <w:r w:rsidRPr="00BF17B0">
        <w:rPr>
          <w:rFonts w:asciiTheme="minorHAnsi" w:hAnsiTheme="minorHAnsi" w:cstheme="minorHAnsi"/>
        </w:rPr>
        <w:t xml:space="preserve">The main approach </w:t>
      </w:r>
      <w:r w:rsidR="00D75FBA" w:rsidRPr="00BF17B0">
        <w:rPr>
          <w:rFonts w:asciiTheme="minorHAnsi" w:hAnsiTheme="minorHAnsi" w:cstheme="minorHAnsi"/>
        </w:rPr>
        <w:t xml:space="preserve">in </w:t>
      </w:r>
      <w:r w:rsidRPr="00BF17B0">
        <w:rPr>
          <w:rFonts w:asciiTheme="minorHAnsi" w:hAnsiTheme="minorHAnsi" w:cstheme="minorHAnsi"/>
        </w:rPr>
        <w:t>select</w:t>
      </w:r>
      <w:r w:rsidR="00D75FBA" w:rsidRPr="00BF17B0">
        <w:rPr>
          <w:rFonts w:asciiTheme="minorHAnsi" w:hAnsiTheme="minorHAnsi" w:cstheme="minorHAnsi"/>
        </w:rPr>
        <w:t>ing</w:t>
      </w:r>
      <w:r w:rsidRPr="00BF17B0">
        <w:rPr>
          <w:rFonts w:asciiTheme="minorHAnsi" w:hAnsiTheme="minorHAnsi" w:cstheme="minorHAnsi"/>
        </w:rPr>
        <w:t xml:space="preserve"> activities to</w:t>
      </w:r>
      <w:r w:rsidR="00FB0160" w:rsidRPr="00BF17B0">
        <w:rPr>
          <w:rFonts w:asciiTheme="minorHAnsi" w:hAnsiTheme="minorHAnsi" w:cstheme="minorHAnsi"/>
        </w:rPr>
        <w:t xml:space="preserve"> be</w:t>
      </w:r>
      <w:r w:rsidRPr="00BF17B0">
        <w:rPr>
          <w:rFonts w:asciiTheme="minorHAnsi" w:hAnsiTheme="minorHAnsi" w:cstheme="minorHAnsi"/>
        </w:rPr>
        <w:t xml:space="preserve"> support</w:t>
      </w:r>
      <w:r w:rsidR="00FB0160" w:rsidRPr="00BF17B0">
        <w:rPr>
          <w:rFonts w:asciiTheme="minorHAnsi" w:hAnsiTheme="minorHAnsi" w:cstheme="minorHAnsi"/>
        </w:rPr>
        <w:t>ed</w:t>
      </w:r>
      <w:r w:rsidRPr="00BF17B0">
        <w:rPr>
          <w:rFonts w:asciiTheme="minorHAnsi" w:hAnsiTheme="minorHAnsi" w:cstheme="minorHAnsi"/>
        </w:rPr>
        <w:t xml:space="preserve"> </w:t>
      </w:r>
      <w:r w:rsidR="00D75FBA" w:rsidRPr="00BF17B0">
        <w:rPr>
          <w:rFonts w:asciiTheme="minorHAnsi" w:hAnsiTheme="minorHAnsi" w:cstheme="minorHAnsi"/>
        </w:rPr>
        <w:t xml:space="preserve">by </w:t>
      </w:r>
      <w:r w:rsidRPr="00BF17B0">
        <w:rPr>
          <w:rFonts w:asciiTheme="minorHAnsi" w:hAnsiTheme="minorHAnsi" w:cstheme="minorHAnsi"/>
        </w:rPr>
        <w:t xml:space="preserve">the </w:t>
      </w:r>
      <w:r w:rsidR="00A53818" w:rsidRPr="00BF17B0">
        <w:rPr>
          <w:rFonts w:asciiTheme="minorHAnsi" w:hAnsiTheme="minorHAnsi" w:cstheme="minorHAnsi"/>
        </w:rPr>
        <w:t>PTF</w:t>
      </w:r>
      <w:r w:rsidRPr="00BF17B0">
        <w:rPr>
          <w:rFonts w:asciiTheme="minorHAnsi" w:hAnsiTheme="minorHAnsi" w:cstheme="minorHAnsi"/>
        </w:rPr>
        <w:t xml:space="preserve"> </w:t>
      </w:r>
      <w:r w:rsidR="003C25BD" w:rsidRPr="00BF17B0">
        <w:rPr>
          <w:rFonts w:asciiTheme="minorHAnsi" w:hAnsiTheme="minorHAnsi" w:cstheme="minorHAnsi"/>
        </w:rPr>
        <w:t xml:space="preserve">was </w:t>
      </w:r>
      <w:r w:rsidR="00D75FBA" w:rsidRPr="00BF17B0">
        <w:rPr>
          <w:rFonts w:asciiTheme="minorHAnsi" w:hAnsiTheme="minorHAnsi" w:cstheme="minorHAnsi"/>
        </w:rPr>
        <w:t xml:space="preserve">the </w:t>
      </w:r>
      <w:r w:rsidRPr="00BF17B0">
        <w:rPr>
          <w:rFonts w:asciiTheme="minorHAnsi" w:hAnsiTheme="minorHAnsi" w:cstheme="minorHAnsi"/>
        </w:rPr>
        <w:t xml:space="preserve">competitive </w:t>
      </w:r>
      <w:r w:rsidR="00FB0160" w:rsidRPr="00BF17B0">
        <w:rPr>
          <w:rFonts w:asciiTheme="minorHAnsi" w:hAnsiTheme="minorHAnsi" w:cstheme="minorHAnsi"/>
        </w:rPr>
        <w:t>call</w:t>
      </w:r>
      <w:r w:rsidR="00D75FBA" w:rsidRPr="00BF17B0">
        <w:rPr>
          <w:rFonts w:asciiTheme="minorHAnsi" w:hAnsiTheme="minorHAnsi" w:cstheme="minorHAnsi"/>
        </w:rPr>
        <w:t xml:space="preserve"> </w:t>
      </w:r>
      <w:r w:rsidR="00FB0160" w:rsidRPr="00BF17B0">
        <w:rPr>
          <w:rFonts w:asciiTheme="minorHAnsi" w:hAnsiTheme="minorHAnsi" w:cstheme="minorHAnsi"/>
        </w:rPr>
        <w:t>for proposals</w:t>
      </w:r>
      <w:r w:rsidR="00EB211F" w:rsidRPr="00BF17B0">
        <w:rPr>
          <w:rFonts w:asciiTheme="minorHAnsi" w:hAnsiTheme="minorHAnsi" w:cstheme="minorHAnsi"/>
        </w:rPr>
        <w:t xml:space="preserve">. </w:t>
      </w:r>
      <w:r w:rsidRPr="00BF17B0">
        <w:rPr>
          <w:rFonts w:asciiTheme="minorHAnsi" w:hAnsiTheme="minorHAnsi" w:cstheme="minorHAnsi"/>
        </w:rPr>
        <w:t xml:space="preserve">Bank </w:t>
      </w:r>
      <w:r w:rsidR="00D75FBA" w:rsidRPr="00BF17B0">
        <w:rPr>
          <w:rFonts w:asciiTheme="minorHAnsi" w:hAnsiTheme="minorHAnsi" w:cstheme="minorHAnsi"/>
        </w:rPr>
        <w:t>t</w:t>
      </w:r>
      <w:r w:rsidRPr="00BF17B0">
        <w:rPr>
          <w:rFonts w:asciiTheme="minorHAnsi" w:hAnsiTheme="minorHAnsi" w:cstheme="minorHAnsi"/>
        </w:rPr>
        <w:t xml:space="preserve">ask </w:t>
      </w:r>
      <w:r w:rsidR="00D75FBA" w:rsidRPr="00BF17B0">
        <w:rPr>
          <w:rFonts w:asciiTheme="minorHAnsi" w:hAnsiTheme="minorHAnsi" w:cstheme="minorHAnsi"/>
        </w:rPr>
        <w:t>t</w:t>
      </w:r>
      <w:r w:rsidRPr="00BF17B0">
        <w:rPr>
          <w:rFonts w:asciiTheme="minorHAnsi" w:hAnsiTheme="minorHAnsi" w:cstheme="minorHAnsi"/>
        </w:rPr>
        <w:t xml:space="preserve">eam </w:t>
      </w:r>
      <w:r w:rsidR="00D75FBA" w:rsidRPr="00BF17B0">
        <w:rPr>
          <w:rFonts w:asciiTheme="minorHAnsi" w:hAnsiTheme="minorHAnsi" w:cstheme="minorHAnsi"/>
        </w:rPr>
        <w:t>l</w:t>
      </w:r>
      <w:r w:rsidRPr="00BF17B0">
        <w:rPr>
          <w:rFonts w:asciiTheme="minorHAnsi" w:hAnsiTheme="minorHAnsi" w:cstheme="minorHAnsi"/>
        </w:rPr>
        <w:t xml:space="preserve">eaders </w:t>
      </w:r>
      <w:r w:rsidR="003C25BD" w:rsidRPr="00BF17B0">
        <w:rPr>
          <w:rFonts w:asciiTheme="minorHAnsi" w:hAnsiTheme="minorHAnsi" w:cstheme="minorHAnsi"/>
        </w:rPr>
        <w:t>we</w:t>
      </w:r>
      <w:r w:rsidRPr="00BF17B0">
        <w:rPr>
          <w:rFonts w:asciiTheme="minorHAnsi" w:hAnsiTheme="minorHAnsi" w:cstheme="minorHAnsi"/>
        </w:rPr>
        <w:t xml:space="preserve">re invited to submit proposals that </w:t>
      </w:r>
      <w:r w:rsidR="003C25BD" w:rsidRPr="00BF17B0">
        <w:rPr>
          <w:rFonts w:asciiTheme="minorHAnsi" w:hAnsiTheme="minorHAnsi" w:cstheme="minorHAnsi"/>
        </w:rPr>
        <w:t>we</w:t>
      </w:r>
      <w:r w:rsidRPr="00BF17B0">
        <w:rPr>
          <w:rFonts w:asciiTheme="minorHAnsi" w:hAnsiTheme="minorHAnsi" w:cstheme="minorHAnsi"/>
        </w:rPr>
        <w:t>re consistent with defined criteria</w:t>
      </w:r>
      <w:r w:rsidR="00EB211F" w:rsidRPr="00BF17B0">
        <w:rPr>
          <w:rFonts w:asciiTheme="minorHAnsi" w:hAnsiTheme="minorHAnsi" w:cstheme="minorHAnsi"/>
        </w:rPr>
        <w:t xml:space="preserve">. </w:t>
      </w:r>
      <w:r w:rsidRPr="00BF17B0">
        <w:rPr>
          <w:rFonts w:asciiTheme="minorHAnsi" w:hAnsiTheme="minorHAnsi" w:cstheme="minorHAnsi"/>
        </w:rPr>
        <w:t xml:space="preserve">They </w:t>
      </w:r>
      <w:r w:rsidR="003C25BD" w:rsidRPr="00BF17B0">
        <w:rPr>
          <w:rFonts w:asciiTheme="minorHAnsi" w:hAnsiTheme="minorHAnsi" w:cstheme="minorHAnsi"/>
        </w:rPr>
        <w:t>we</w:t>
      </w:r>
      <w:r w:rsidRPr="00BF17B0">
        <w:rPr>
          <w:rFonts w:asciiTheme="minorHAnsi" w:hAnsiTheme="minorHAnsi" w:cstheme="minorHAnsi"/>
        </w:rPr>
        <w:t xml:space="preserve">re encouraged to discuss </w:t>
      </w:r>
      <w:r w:rsidR="00D75FBA" w:rsidRPr="00BF17B0">
        <w:rPr>
          <w:rFonts w:asciiTheme="minorHAnsi" w:hAnsiTheme="minorHAnsi" w:cstheme="minorHAnsi"/>
        </w:rPr>
        <w:t>the proposals</w:t>
      </w:r>
      <w:r w:rsidRPr="00BF17B0">
        <w:rPr>
          <w:rFonts w:asciiTheme="minorHAnsi" w:hAnsiTheme="minorHAnsi" w:cstheme="minorHAnsi"/>
        </w:rPr>
        <w:t xml:space="preserve"> with DFAT counterparts while the proposals </w:t>
      </w:r>
      <w:r w:rsidR="003C25BD" w:rsidRPr="00BF17B0">
        <w:rPr>
          <w:rFonts w:asciiTheme="minorHAnsi" w:hAnsiTheme="minorHAnsi" w:cstheme="minorHAnsi"/>
        </w:rPr>
        <w:t>we</w:t>
      </w:r>
      <w:r w:rsidRPr="00BF17B0">
        <w:rPr>
          <w:rFonts w:asciiTheme="minorHAnsi" w:hAnsiTheme="minorHAnsi" w:cstheme="minorHAnsi"/>
        </w:rPr>
        <w:t xml:space="preserve">re </w:t>
      </w:r>
      <w:r w:rsidR="00D14104" w:rsidRPr="00BF17B0">
        <w:rPr>
          <w:rFonts w:asciiTheme="minorHAnsi" w:hAnsiTheme="minorHAnsi" w:cstheme="minorHAnsi"/>
        </w:rPr>
        <w:t>being prepared</w:t>
      </w:r>
      <w:r w:rsidR="00EB211F" w:rsidRPr="00BF17B0">
        <w:rPr>
          <w:rFonts w:asciiTheme="minorHAnsi" w:hAnsiTheme="minorHAnsi" w:cstheme="minorHAnsi"/>
        </w:rPr>
        <w:t xml:space="preserve">. </w:t>
      </w:r>
      <w:r w:rsidRPr="00BF17B0">
        <w:rPr>
          <w:rFonts w:asciiTheme="minorHAnsi" w:hAnsiTheme="minorHAnsi" w:cstheme="minorHAnsi"/>
        </w:rPr>
        <w:t xml:space="preserve">The proposals </w:t>
      </w:r>
      <w:r w:rsidR="003C25BD" w:rsidRPr="00BF17B0">
        <w:rPr>
          <w:rFonts w:asciiTheme="minorHAnsi" w:hAnsiTheme="minorHAnsi" w:cstheme="minorHAnsi"/>
        </w:rPr>
        <w:t>we</w:t>
      </w:r>
      <w:r w:rsidRPr="00BF17B0">
        <w:rPr>
          <w:rFonts w:asciiTheme="minorHAnsi" w:hAnsiTheme="minorHAnsi" w:cstheme="minorHAnsi"/>
        </w:rPr>
        <w:t>re then</w:t>
      </w:r>
      <w:r w:rsidR="00FB0160" w:rsidRPr="00BF17B0">
        <w:rPr>
          <w:rFonts w:asciiTheme="minorHAnsi" w:hAnsiTheme="minorHAnsi" w:cstheme="minorHAnsi"/>
        </w:rPr>
        <w:t xml:space="preserve"> submitted to </w:t>
      </w:r>
      <w:r w:rsidRPr="00BF17B0">
        <w:rPr>
          <w:rFonts w:asciiTheme="minorHAnsi" w:hAnsiTheme="minorHAnsi" w:cstheme="minorHAnsi"/>
        </w:rPr>
        <w:t>the Steering Committee</w:t>
      </w:r>
      <w:r w:rsidR="00FB0160" w:rsidRPr="00BF17B0">
        <w:rPr>
          <w:rFonts w:asciiTheme="minorHAnsi" w:hAnsiTheme="minorHAnsi" w:cstheme="minorHAnsi"/>
        </w:rPr>
        <w:t xml:space="preserve"> for review and approval</w:t>
      </w:r>
      <w:r w:rsidR="00EB211F" w:rsidRPr="00BF17B0">
        <w:rPr>
          <w:rFonts w:asciiTheme="minorHAnsi" w:hAnsiTheme="minorHAnsi" w:cstheme="minorHAnsi"/>
        </w:rPr>
        <w:t xml:space="preserve">. </w:t>
      </w:r>
      <w:r w:rsidR="00E1484D" w:rsidRPr="00BF17B0">
        <w:rPr>
          <w:rFonts w:asciiTheme="minorHAnsi" w:hAnsiTheme="minorHAnsi" w:cstheme="minorHAnsi"/>
        </w:rPr>
        <w:t xml:space="preserve">Bank staff </w:t>
      </w:r>
      <w:r w:rsidR="00C33C74">
        <w:rPr>
          <w:rFonts w:asciiTheme="minorHAnsi" w:hAnsiTheme="minorHAnsi" w:cstheme="minorHAnsi"/>
        </w:rPr>
        <w:t>we</w:t>
      </w:r>
      <w:r w:rsidR="00C95701" w:rsidRPr="00BF17B0">
        <w:rPr>
          <w:rFonts w:asciiTheme="minorHAnsi" w:hAnsiTheme="minorHAnsi" w:cstheme="minorHAnsi"/>
        </w:rPr>
        <w:t xml:space="preserve">re familiar with this approach </w:t>
      </w:r>
      <w:r w:rsidR="006724EE" w:rsidRPr="00BF17B0">
        <w:rPr>
          <w:rFonts w:asciiTheme="minorHAnsi" w:hAnsiTheme="minorHAnsi" w:cstheme="minorHAnsi"/>
        </w:rPr>
        <w:t xml:space="preserve">because </w:t>
      </w:r>
      <w:r w:rsidR="00E1484D" w:rsidRPr="00BF17B0">
        <w:rPr>
          <w:rFonts w:asciiTheme="minorHAnsi" w:hAnsiTheme="minorHAnsi" w:cstheme="minorHAnsi"/>
        </w:rPr>
        <w:t xml:space="preserve">other </w:t>
      </w:r>
      <w:r w:rsidR="006724EE" w:rsidRPr="00BF17B0">
        <w:rPr>
          <w:rFonts w:asciiTheme="minorHAnsi" w:hAnsiTheme="minorHAnsi" w:cstheme="minorHAnsi"/>
        </w:rPr>
        <w:t>t</w:t>
      </w:r>
      <w:r w:rsidR="00E1484D" w:rsidRPr="00BF17B0">
        <w:rPr>
          <w:rFonts w:asciiTheme="minorHAnsi" w:hAnsiTheme="minorHAnsi" w:cstheme="minorHAnsi"/>
        </w:rPr>
        <w:t xml:space="preserve">rust </w:t>
      </w:r>
      <w:r w:rsidR="006724EE" w:rsidRPr="00BF17B0">
        <w:rPr>
          <w:rFonts w:asciiTheme="minorHAnsi" w:hAnsiTheme="minorHAnsi" w:cstheme="minorHAnsi"/>
        </w:rPr>
        <w:t>f</w:t>
      </w:r>
      <w:r w:rsidR="00E1484D" w:rsidRPr="00BF17B0">
        <w:rPr>
          <w:rFonts w:asciiTheme="minorHAnsi" w:hAnsiTheme="minorHAnsi" w:cstheme="minorHAnsi"/>
        </w:rPr>
        <w:t>und programs</w:t>
      </w:r>
      <w:r w:rsidR="003C25BD" w:rsidRPr="00BF17B0">
        <w:rPr>
          <w:rFonts w:asciiTheme="minorHAnsi" w:hAnsiTheme="minorHAnsi" w:cstheme="minorHAnsi"/>
        </w:rPr>
        <w:t xml:space="preserve"> also used it, with many </w:t>
      </w:r>
      <w:r w:rsidR="006C6B2A" w:rsidRPr="00BF17B0">
        <w:rPr>
          <w:rFonts w:asciiTheme="minorHAnsi" w:hAnsiTheme="minorHAnsi" w:cstheme="minorHAnsi"/>
        </w:rPr>
        <w:t xml:space="preserve">staff </w:t>
      </w:r>
      <w:r w:rsidR="003C25BD" w:rsidRPr="00BF17B0">
        <w:rPr>
          <w:rFonts w:asciiTheme="minorHAnsi" w:hAnsiTheme="minorHAnsi" w:cstheme="minorHAnsi"/>
        </w:rPr>
        <w:t>describing t</w:t>
      </w:r>
      <w:r w:rsidR="00EB5C5B" w:rsidRPr="00BF17B0">
        <w:rPr>
          <w:rFonts w:asciiTheme="minorHAnsi" w:hAnsiTheme="minorHAnsi" w:cstheme="minorHAnsi"/>
        </w:rPr>
        <w:t>he approach</w:t>
      </w:r>
      <w:r w:rsidR="003C25BD" w:rsidRPr="00BF17B0">
        <w:rPr>
          <w:rFonts w:asciiTheme="minorHAnsi" w:hAnsiTheme="minorHAnsi" w:cstheme="minorHAnsi"/>
        </w:rPr>
        <w:t xml:space="preserve"> as </w:t>
      </w:r>
      <w:r w:rsidR="00E1484D" w:rsidRPr="00BF17B0">
        <w:rPr>
          <w:rFonts w:asciiTheme="minorHAnsi" w:hAnsiTheme="minorHAnsi" w:cstheme="minorHAnsi"/>
        </w:rPr>
        <w:t>transparent and not burdensome.</w:t>
      </w:r>
    </w:p>
    <w:p w14:paraId="436DBA42" w14:textId="77777777" w:rsidR="004C754F" w:rsidRPr="00BF17B0" w:rsidRDefault="00E1484D" w:rsidP="00EC6BAB">
      <w:pPr>
        <w:rPr>
          <w:rFonts w:asciiTheme="minorHAnsi" w:hAnsiTheme="minorHAnsi" w:cstheme="minorHAnsi"/>
        </w:rPr>
      </w:pPr>
      <w:r w:rsidRPr="00BF17B0">
        <w:rPr>
          <w:rFonts w:asciiTheme="minorHAnsi" w:hAnsiTheme="minorHAnsi" w:cstheme="minorHAnsi"/>
        </w:rPr>
        <w:t xml:space="preserve">On some occasions it was necessary for the Steering Committee to use a more rapid approach </w:t>
      </w:r>
      <w:r w:rsidR="0082390D" w:rsidRPr="00BF17B0">
        <w:rPr>
          <w:rFonts w:asciiTheme="minorHAnsi" w:hAnsiTheme="minorHAnsi" w:cstheme="minorHAnsi"/>
        </w:rPr>
        <w:t xml:space="preserve">for </w:t>
      </w:r>
      <w:r w:rsidRPr="00BF17B0">
        <w:rPr>
          <w:rFonts w:asciiTheme="minorHAnsi" w:hAnsiTheme="minorHAnsi" w:cstheme="minorHAnsi"/>
        </w:rPr>
        <w:t>approval, usually when resources</w:t>
      </w:r>
      <w:r w:rsidR="00AE004E" w:rsidRPr="00BF17B0">
        <w:rPr>
          <w:rFonts w:asciiTheme="minorHAnsi" w:hAnsiTheme="minorHAnsi" w:cstheme="minorHAnsi"/>
        </w:rPr>
        <w:t xml:space="preserve"> </w:t>
      </w:r>
      <w:r w:rsidRPr="00BF17B0">
        <w:rPr>
          <w:rFonts w:asciiTheme="minorHAnsi" w:hAnsiTheme="minorHAnsi" w:cstheme="minorHAnsi"/>
        </w:rPr>
        <w:t>were allocated to co</w:t>
      </w:r>
      <w:r w:rsidR="000714A2" w:rsidRPr="00BF17B0">
        <w:rPr>
          <w:rFonts w:asciiTheme="minorHAnsi" w:hAnsiTheme="minorHAnsi" w:cstheme="minorHAnsi"/>
        </w:rPr>
        <w:t>-</w:t>
      </w:r>
      <w:r w:rsidRPr="00BF17B0">
        <w:rPr>
          <w:rFonts w:asciiTheme="minorHAnsi" w:hAnsiTheme="minorHAnsi" w:cstheme="minorHAnsi"/>
        </w:rPr>
        <w:t xml:space="preserve">finance </w:t>
      </w:r>
      <w:r w:rsidR="0082390D" w:rsidRPr="00BF17B0">
        <w:rPr>
          <w:rFonts w:asciiTheme="minorHAnsi" w:hAnsiTheme="minorHAnsi" w:cstheme="minorHAnsi"/>
        </w:rPr>
        <w:t xml:space="preserve">World Bank </w:t>
      </w:r>
      <w:r w:rsidRPr="00BF17B0">
        <w:rPr>
          <w:rFonts w:asciiTheme="minorHAnsi" w:hAnsiTheme="minorHAnsi" w:cstheme="minorHAnsi"/>
        </w:rPr>
        <w:t xml:space="preserve">investment operations, such as </w:t>
      </w:r>
      <w:r w:rsidR="0082390D" w:rsidRPr="00BF17B0">
        <w:rPr>
          <w:rFonts w:asciiTheme="minorHAnsi" w:hAnsiTheme="minorHAnsi" w:cstheme="minorHAnsi"/>
        </w:rPr>
        <w:t>in</w:t>
      </w:r>
      <w:r w:rsidR="005F2127" w:rsidRPr="00BF17B0">
        <w:rPr>
          <w:rFonts w:asciiTheme="minorHAnsi" w:hAnsiTheme="minorHAnsi" w:cstheme="minorHAnsi"/>
        </w:rPr>
        <w:t xml:space="preserve"> the</w:t>
      </w:r>
      <w:r w:rsidR="0082390D" w:rsidRPr="00BF17B0">
        <w:rPr>
          <w:rFonts w:asciiTheme="minorHAnsi" w:hAnsiTheme="minorHAnsi" w:cstheme="minorHAnsi"/>
        </w:rPr>
        <w:t xml:space="preserve"> </w:t>
      </w:r>
      <w:r w:rsidRPr="00BF17B0">
        <w:rPr>
          <w:rFonts w:asciiTheme="minorHAnsi" w:hAnsiTheme="minorHAnsi" w:cstheme="minorHAnsi"/>
        </w:rPr>
        <w:t>KALAHI</w:t>
      </w:r>
      <w:r w:rsidR="009D26C0" w:rsidRPr="00BF17B0">
        <w:rPr>
          <w:rFonts w:asciiTheme="minorHAnsi" w:hAnsiTheme="minorHAnsi" w:cstheme="minorHAnsi"/>
        </w:rPr>
        <w:t xml:space="preserve"> </w:t>
      </w:r>
      <w:r w:rsidR="0082390D" w:rsidRPr="00BF17B0">
        <w:rPr>
          <w:rFonts w:asciiTheme="minorHAnsi" w:hAnsiTheme="minorHAnsi" w:cstheme="minorHAnsi"/>
        </w:rPr>
        <w:t>-</w:t>
      </w:r>
      <w:r w:rsidR="009D26C0" w:rsidRPr="00BF17B0">
        <w:rPr>
          <w:rFonts w:asciiTheme="minorHAnsi" w:hAnsiTheme="minorHAnsi" w:cstheme="minorHAnsi"/>
        </w:rPr>
        <w:t xml:space="preserve"> </w:t>
      </w:r>
      <w:r w:rsidR="00DA526A" w:rsidRPr="00BF17B0">
        <w:rPr>
          <w:rFonts w:asciiTheme="minorHAnsi" w:hAnsiTheme="minorHAnsi" w:cstheme="minorHAnsi"/>
        </w:rPr>
        <w:t xml:space="preserve">CIDSS </w:t>
      </w:r>
      <w:r w:rsidRPr="00BF17B0">
        <w:rPr>
          <w:rFonts w:asciiTheme="minorHAnsi" w:hAnsiTheme="minorHAnsi" w:cstheme="minorHAnsi"/>
        </w:rPr>
        <w:t xml:space="preserve">and </w:t>
      </w:r>
      <w:r w:rsidR="009D26C0" w:rsidRPr="00BF17B0">
        <w:rPr>
          <w:rFonts w:asciiTheme="minorHAnsi" w:hAnsiTheme="minorHAnsi" w:cstheme="minorHAnsi"/>
        </w:rPr>
        <w:t xml:space="preserve">the </w:t>
      </w:r>
      <w:r w:rsidR="003C25BD" w:rsidRPr="00BF17B0">
        <w:rPr>
          <w:rFonts w:asciiTheme="minorHAnsi" w:hAnsiTheme="minorHAnsi" w:cstheme="minorHAnsi"/>
        </w:rPr>
        <w:t xml:space="preserve">Mindanao Rural Development Project </w:t>
      </w:r>
      <w:r w:rsidR="0061597D" w:rsidRPr="00BF17B0">
        <w:rPr>
          <w:rFonts w:asciiTheme="minorHAnsi" w:hAnsiTheme="minorHAnsi" w:cstheme="minorHAnsi"/>
        </w:rPr>
        <w:t>Phase II</w:t>
      </w:r>
      <w:r w:rsidR="00EB211F" w:rsidRPr="00BF17B0">
        <w:rPr>
          <w:rFonts w:asciiTheme="minorHAnsi" w:hAnsiTheme="minorHAnsi" w:cstheme="minorHAnsi"/>
        </w:rPr>
        <w:t xml:space="preserve">. </w:t>
      </w:r>
    </w:p>
    <w:p w14:paraId="638F476C" w14:textId="0F4A4EE2" w:rsidR="00AE004E" w:rsidRPr="00BF17B0" w:rsidRDefault="00E1484D">
      <w:pPr>
        <w:rPr>
          <w:rFonts w:asciiTheme="minorHAnsi" w:hAnsiTheme="minorHAnsi" w:cstheme="minorHAnsi"/>
        </w:rPr>
      </w:pPr>
      <w:r w:rsidRPr="00BF17B0">
        <w:rPr>
          <w:rFonts w:asciiTheme="minorHAnsi" w:hAnsiTheme="minorHAnsi" w:cstheme="minorHAnsi"/>
          <w:szCs w:val="24"/>
        </w:rPr>
        <w:t>In February 2013, the Steering Committee adopted a slightly modified approach to funding allocation</w:t>
      </w:r>
      <w:r w:rsidR="00EB211F" w:rsidRPr="00BF17B0">
        <w:rPr>
          <w:rFonts w:asciiTheme="minorHAnsi" w:hAnsiTheme="minorHAnsi" w:cstheme="minorHAnsi"/>
          <w:szCs w:val="24"/>
        </w:rPr>
        <w:t xml:space="preserve">. </w:t>
      </w:r>
      <w:r w:rsidRPr="00BF17B0">
        <w:rPr>
          <w:rFonts w:asciiTheme="minorHAnsi" w:hAnsiTheme="minorHAnsi" w:cstheme="minorHAnsi"/>
          <w:szCs w:val="24"/>
        </w:rPr>
        <w:t>Teams were invited to prepare multi-year proposals for</w:t>
      </w:r>
      <w:r w:rsidR="00D33AD8" w:rsidRPr="00BF17B0">
        <w:rPr>
          <w:rFonts w:asciiTheme="minorHAnsi" w:hAnsiTheme="minorHAnsi" w:cstheme="minorHAnsi"/>
          <w:szCs w:val="24"/>
        </w:rPr>
        <w:t xml:space="preserve"> a set of</w:t>
      </w:r>
      <w:r w:rsidRPr="00BF17B0">
        <w:rPr>
          <w:rFonts w:asciiTheme="minorHAnsi" w:hAnsiTheme="minorHAnsi" w:cstheme="minorHAnsi"/>
          <w:szCs w:val="24"/>
        </w:rPr>
        <w:t xml:space="preserve"> </w:t>
      </w:r>
      <w:r w:rsidR="00D33AD8" w:rsidRPr="00BF17B0">
        <w:rPr>
          <w:rFonts w:asciiTheme="minorHAnsi" w:eastAsia="Times New Roman" w:hAnsiTheme="minorHAnsi" w:cstheme="minorHAnsi"/>
          <w:szCs w:val="24"/>
          <w:lang w:val="en-AU"/>
        </w:rPr>
        <w:t>activities under a coherent engagement plan</w:t>
      </w:r>
      <w:r w:rsidR="00D33AD8" w:rsidRPr="00BF17B0">
        <w:rPr>
          <w:rFonts w:asciiTheme="minorHAnsi" w:hAnsiTheme="minorHAnsi" w:cstheme="minorHAnsi"/>
          <w:szCs w:val="24"/>
        </w:rPr>
        <w:t xml:space="preserve"> in areas of shared interest between the World Bank, DFAT, and the </w:t>
      </w:r>
      <w:r w:rsidR="00407909">
        <w:rPr>
          <w:rFonts w:asciiTheme="minorHAnsi" w:hAnsiTheme="minorHAnsi" w:cstheme="minorHAnsi"/>
          <w:szCs w:val="24"/>
        </w:rPr>
        <w:t>GoP</w:t>
      </w:r>
      <w:r w:rsidR="006D366B" w:rsidRPr="00BF17B0">
        <w:rPr>
          <w:rFonts w:asciiTheme="minorHAnsi" w:hAnsiTheme="minorHAnsi" w:cstheme="minorHAnsi"/>
          <w:szCs w:val="24"/>
        </w:rPr>
        <w:t xml:space="preserve">. </w:t>
      </w:r>
      <w:r w:rsidR="00D33AD8" w:rsidRPr="00BF17B0">
        <w:rPr>
          <w:rFonts w:asciiTheme="minorHAnsi" w:eastAsia="Times New Roman" w:hAnsiTheme="minorHAnsi" w:cstheme="minorHAnsi"/>
          <w:szCs w:val="24"/>
          <w:lang w:val="en-AU"/>
        </w:rPr>
        <w:t xml:space="preserve">The Steering Committee also wanted to strengthen results and performance monitoring by linking funding decisions to internal </w:t>
      </w:r>
      <w:r w:rsidR="006D366B" w:rsidRPr="00BF17B0">
        <w:rPr>
          <w:rFonts w:asciiTheme="minorHAnsi" w:eastAsia="Times New Roman" w:hAnsiTheme="minorHAnsi" w:cstheme="minorHAnsi"/>
          <w:szCs w:val="24"/>
          <w:lang w:val="en-AU"/>
        </w:rPr>
        <w:t>World Bank</w:t>
      </w:r>
      <w:r w:rsidR="00D33AD8" w:rsidRPr="00BF17B0">
        <w:rPr>
          <w:rFonts w:asciiTheme="minorHAnsi" w:eastAsia="Times New Roman" w:hAnsiTheme="minorHAnsi" w:cstheme="minorHAnsi"/>
          <w:szCs w:val="24"/>
          <w:lang w:val="en-AU"/>
        </w:rPr>
        <w:t xml:space="preserve"> review mechanisms for PAAAs. </w:t>
      </w:r>
      <w:r w:rsidRPr="00BF17B0">
        <w:rPr>
          <w:rFonts w:asciiTheme="minorHAnsi" w:hAnsiTheme="minorHAnsi" w:cstheme="minorHAnsi"/>
        </w:rPr>
        <w:t xml:space="preserve">The multi-year proposals were approved by the Steering Committee on the understanding that funding would be approved </w:t>
      </w:r>
      <w:r w:rsidR="00B623A4" w:rsidRPr="00BF17B0">
        <w:rPr>
          <w:rFonts w:asciiTheme="minorHAnsi" w:hAnsiTheme="minorHAnsi" w:cstheme="minorHAnsi"/>
        </w:rPr>
        <w:t xml:space="preserve">annually </w:t>
      </w:r>
      <w:r w:rsidRPr="00BF17B0">
        <w:rPr>
          <w:rFonts w:asciiTheme="minorHAnsi" w:hAnsiTheme="minorHAnsi" w:cstheme="minorHAnsi"/>
        </w:rPr>
        <w:t>based on progress achieved and available resources</w:t>
      </w:r>
      <w:r w:rsidR="00EB211F" w:rsidRPr="00BF17B0">
        <w:rPr>
          <w:rFonts w:asciiTheme="minorHAnsi" w:hAnsiTheme="minorHAnsi" w:cstheme="minorHAnsi"/>
        </w:rPr>
        <w:t xml:space="preserve">. </w:t>
      </w:r>
    </w:p>
    <w:p w14:paraId="0AB3E516" w14:textId="77777777" w:rsidR="00A73E89" w:rsidRPr="00BF17B0" w:rsidRDefault="00E1484D">
      <w:pPr>
        <w:rPr>
          <w:rFonts w:asciiTheme="minorHAnsi" w:hAnsiTheme="minorHAnsi" w:cstheme="minorHAnsi"/>
        </w:rPr>
      </w:pPr>
      <w:r w:rsidRPr="00BF17B0">
        <w:rPr>
          <w:rFonts w:asciiTheme="minorHAnsi" w:hAnsiTheme="minorHAnsi" w:cstheme="minorHAnsi"/>
        </w:rPr>
        <w:t xml:space="preserve">A number of the grants approved under this arrangement were </w:t>
      </w:r>
      <w:r w:rsidR="00D33AD8" w:rsidRPr="00BF17B0">
        <w:rPr>
          <w:rFonts w:asciiTheme="minorHAnsi" w:hAnsiTheme="minorHAnsi" w:cstheme="minorHAnsi"/>
        </w:rPr>
        <w:t xml:space="preserve">subsequently </w:t>
      </w:r>
      <w:r w:rsidRPr="00BF17B0">
        <w:rPr>
          <w:rFonts w:asciiTheme="minorHAnsi" w:hAnsiTheme="minorHAnsi" w:cstheme="minorHAnsi"/>
        </w:rPr>
        <w:t xml:space="preserve">affected </w:t>
      </w:r>
      <w:r w:rsidR="00AB3C42" w:rsidRPr="00BF17B0">
        <w:rPr>
          <w:rFonts w:asciiTheme="minorHAnsi" w:hAnsiTheme="minorHAnsi" w:cstheme="minorHAnsi"/>
        </w:rPr>
        <w:t xml:space="preserve">by the </w:t>
      </w:r>
      <w:r w:rsidRPr="00BF17B0">
        <w:rPr>
          <w:rFonts w:asciiTheme="minorHAnsi" w:hAnsiTheme="minorHAnsi" w:cstheme="minorHAnsi"/>
        </w:rPr>
        <w:t>shift in DFAT priorities and</w:t>
      </w:r>
      <w:r w:rsidR="00AE004E" w:rsidRPr="00BF17B0">
        <w:rPr>
          <w:rFonts w:asciiTheme="minorHAnsi" w:hAnsiTheme="minorHAnsi" w:cstheme="minorHAnsi"/>
        </w:rPr>
        <w:t xml:space="preserve"> available resources</w:t>
      </w:r>
      <w:r w:rsidR="00EB211F" w:rsidRPr="00BF17B0">
        <w:rPr>
          <w:rFonts w:asciiTheme="minorHAnsi" w:hAnsiTheme="minorHAnsi" w:cstheme="minorHAnsi"/>
        </w:rPr>
        <w:t xml:space="preserve">. </w:t>
      </w:r>
      <w:r w:rsidR="00AB3C42" w:rsidRPr="00BF17B0">
        <w:rPr>
          <w:rFonts w:asciiTheme="minorHAnsi" w:hAnsiTheme="minorHAnsi" w:cstheme="minorHAnsi"/>
        </w:rPr>
        <w:t xml:space="preserve">Task team leaders </w:t>
      </w:r>
      <w:r w:rsidR="005E2E02" w:rsidRPr="00BF17B0">
        <w:rPr>
          <w:rFonts w:asciiTheme="minorHAnsi" w:hAnsiTheme="minorHAnsi" w:cstheme="minorHAnsi"/>
        </w:rPr>
        <w:t xml:space="preserve">planned </w:t>
      </w:r>
      <w:r w:rsidRPr="00BF17B0">
        <w:rPr>
          <w:rFonts w:asciiTheme="minorHAnsi" w:hAnsiTheme="minorHAnsi" w:cstheme="minorHAnsi"/>
        </w:rPr>
        <w:t xml:space="preserve">and worked with government counterparts </w:t>
      </w:r>
      <w:r w:rsidR="00AE004E" w:rsidRPr="00BF17B0">
        <w:rPr>
          <w:rFonts w:asciiTheme="minorHAnsi" w:hAnsiTheme="minorHAnsi" w:cstheme="minorHAnsi"/>
        </w:rPr>
        <w:t xml:space="preserve">on a </w:t>
      </w:r>
      <w:r w:rsidR="00C16AB4" w:rsidRPr="00BF17B0">
        <w:rPr>
          <w:rFonts w:asciiTheme="minorHAnsi" w:hAnsiTheme="minorHAnsi" w:cstheme="minorHAnsi"/>
        </w:rPr>
        <w:t>medium</w:t>
      </w:r>
      <w:r w:rsidR="005E2E02" w:rsidRPr="00BF17B0">
        <w:rPr>
          <w:rFonts w:asciiTheme="minorHAnsi" w:hAnsiTheme="minorHAnsi" w:cstheme="minorHAnsi"/>
        </w:rPr>
        <w:t>-</w:t>
      </w:r>
      <w:r w:rsidR="00AE004E" w:rsidRPr="00BF17B0">
        <w:rPr>
          <w:rFonts w:asciiTheme="minorHAnsi" w:hAnsiTheme="minorHAnsi" w:cstheme="minorHAnsi"/>
        </w:rPr>
        <w:t xml:space="preserve">term program, with the expectation that </w:t>
      </w:r>
      <w:r w:rsidR="00C16AB4" w:rsidRPr="00BF17B0">
        <w:rPr>
          <w:rFonts w:asciiTheme="minorHAnsi" w:hAnsiTheme="minorHAnsi" w:cstheme="minorHAnsi"/>
        </w:rPr>
        <w:t>multi-</w:t>
      </w:r>
      <w:r w:rsidR="00AE004E" w:rsidRPr="00BF17B0">
        <w:rPr>
          <w:rFonts w:asciiTheme="minorHAnsi" w:hAnsiTheme="minorHAnsi" w:cstheme="minorHAnsi"/>
        </w:rPr>
        <w:t>year</w:t>
      </w:r>
      <w:r w:rsidRPr="00BF17B0">
        <w:rPr>
          <w:rFonts w:asciiTheme="minorHAnsi" w:hAnsiTheme="minorHAnsi" w:cstheme="minorHAnsi"/>
        </w:rPr>
        <w:t xml:space="preserve"> funding would be forthcoming</w:t>
      </w:r>
      <w:r w:rsidR="00EB211F" w:rsidRPr="00BF17B0">
        <w:rPr>
          <w:rFonts w:asciiTheme="minorHAnsi" w:hAnsiTheme="minorHAnsi" w:cstheme="minorHAnsi"/>
        </w:rPr>
        <w:t xml:space="preserve">. </w:t>
      </w:r>
      <w:r w:rsidR="00AE004E" w:rsidRPr="00BF17B0">
        <w:rPr>
          <w:rFonts w:asciiTheme="minorHAnsi" w:hAnsiTheme="minorHAnsi" w:cstheme="minorHAnsi"/>
        </w:rPr>
        <w:t xml:space="preserve">When funding for </w:t>
      </w:r>
      <w:r w:rsidR="00906F86" w:rsidRPr="00BF17B0">
        <w:rPr>
          <w:rFonts w:asciiTheme="minorHAnsi" w:hAnsiTheme="minorHAnsi" w:cstheme="minorHAnsi"/>
        </w:rPr>
        <w:t xml:space="preserve">specific </w:t>
      </w:r>
      <w:r w:rsidR="00AE004E" w:rsidRPr="00BF17B0">
        <w:rPr>
          <w:rFonts w:asciiTheme="minorHAnsi" w:hAnsiTheme="minorHAnsi" w:cstheme="minorHAnsi"/>
        </w:rPr>
        <w:t xml:space="preserve">PAAAs </w:t>
      </w:r>
      <w:r w:rsidR="00511BA4" w:rsidRPr="00BF17B0">
        <w:rPr>
          <w:rFonts w:asciiTheme="minorHAnsi" w:hAnsiTheme="minorHAnsi" w:cstheme="minorHAnsi"/>
        </w:rPr>
        <w:t>was</w:t>
      </w:r>
      <w:r w:rsidR="00AE004E" w:rsidRPr="00BF17B0">
        <w:rPr>
          <w:rFonts w:asciiTheme="minorHAnsi" w:hAnsiTheme="minorHAnsi" w:cstheme="minorHAnsi"/>
        </w:rPr>
        <w:t xml:space="preserve"> cut</w:t>
      </w:r>
      <w:r w:rsidR="00B8251B" w:rsidRPr="00BF17B0">
        <w:rPr>
          <w:rFonts w:asciiTheme="minorHAnsi" w:hAnsiTheme="minorHAnsi" w:cstheme="minorHAnsi"/>
        </w:rPr>
        <w:t>, planned activities were either delayed or aborted as task teams faced</w:t>
      </w:r>
      <w:r w:rsidR="00C16AB4" w:rsidRPr="00BF17B0">
        <w:rPr>
          <w:rFonts w:asciiTheme="minorHAnsi" w:hAnsiTheme="minorHAnsi" w:cstheme="minorHAnsi"/>
        </w:rPr>
        <w:t xml:space="preserve"> the difficult task of</w:t>
      </w:r>
      <w:r w:rsidR="00AE004E" w:rsidRPr="00BF17B0">
        <w:rPr>
          <w:rFonts w:asciiTheme="minorHAnsi" w:hAnsiTheme="minorHAnsi" w:cstheme="minorHAnsi"/>
        </w:rPr>
        <w:t xml:space="preserve"> explain</w:t>
      </w:r>
      <w:r w:rsidR="00C16AB4" w:rsidRPr="00BF17B0">
        <w:rPr>
          <w:rFonts w:asciiTheme="minorHAnsi" w:hAnsiTheme="minorHAnsi" w:cstheme="minorHAnsi"/>
        </w:rPr>
        <w:t>ing</w:t>
      </w:r>
      <w:r w:rsidR="00AE004E" w:rsidRPr="00BF17B0">
        <w:rPr>
          <w:rFonts w:asciiTheme="minorHAnsi" w:hAnsiTheme="minorHAnsi" w:cstheme="minorHAnsi"/>
        </w:rPr>
        <w:t xml:space="preserve"> </w:t>
      </w:r>
      <w:r w:rsidR="00B8251B" w:rsidRPr="00BF17B0">
        <w:rPr>
          <w:rFonts w:asciiTheme="minorHAnsi" w:hAnsiTheme="minorHAnsi" w:cstheme="minorHAnsi"/>
        </w:rPr>
        <w:t xml:space="preserve">the situation to </w:t>
      </w:r>
      <w:r w:rsidR="00332D5C" w:rsidRPr="00BF17B0">
        <w:rPr>
          <w:rFonts w:asciiTheme="minorHAnsi" w:hAnsiTheme="minorHAnsi" w:cstheme="minorHAnsi"/>
        </w:rPr>
        <w:t>government</w:t>
      </w:r>
      <w:r w:rsidR="00AE004E" w:rsidRPr="00BF17B0">
        <w:rPr>
          <w:rFonts w:asciiTheme="minorHAnsi" w:hAnsiTheme="minorHAnsi" w:cstheme="minorHAnsi"/>
        </w:rPr>
        <w:t xml:space="preserve"> counterparts</w:t>
      </w:r>
      <w:r w:rsidR="00EB211F" w:rsidRPr="00BF17B0">
        <w:rPr>
          <w:rFonts w:asciiTheme="minorHAnsi" w:hAnsiTheme="minorHAnsi" w:cstheme="minorHAnsi"/>
        </w:rPr>
        <w:t xml:space="preserve">. </w:t>
      </w:r>
      <w:r w:rsidR="00D33AD8" w:rsidRPr="00BF17B0">
        <w:rPr>
          <w:rFonts w:asciiTheme="minorHAnsi" w:hAnsiTheme="minorHAnsi" w:cstheme="minorHAnsi"/>
        </w:rPr>
        <w:t>During this period, t</w:t>
      </w:r>
      <w:r w:rsidR="00A73E89" w:rsidRPr="00BF17B0">
        <w:rPr>
          <w:rFonts w:asciiTheme="minorHAnsi" w:hAnsiTheme="minorHAnsi" w:cstheme="minorHAnsi"/>
        </w:rPr>
        <w:t xml:space="preserve">he allocation to the Sustainable Flood Management </w:t>
      </w:r>
      <w:r w:rsidR="001155D8" w:rsidRPr="00BF17B0">
        <w:rPr>
          <w:rFonts w:asciiTheme="minorHAnsi" w:hAnsiTheme="minorHAnsi" w:cstheme="minorHAnsi"/>
        </w:rPr>
        <w:t>P</w:t>
      </w:r>
      <w:r w:rsidR="00A73E89" w:rsidRPr="00BF17B0">
        <w:rPr>
          <w:rFonts w:asciiTheme="minorHAnsi" w:hAnsiTheme="minorHAnsi" w:cstheme="minorHAnsi"/>
        </w:rPr>
        <w:t>roject</w:t>
      </w:r>
      <w:r w:rsidR="002A25D4" w:rsidRPr="00BF17B0">
        <w:rPr>
          <w:rFonts w:asciiTheme="minorHAnsi" w:hAnsiTheme="minorHAnsi" w:cstheme="minorHAnsi"/>
        </w:rPr>
        <w:t xml:space="preserve"> </w:t>
      </w:r>
      <w:r w:rsidR="00FB0160" w:rsidRPr="00BF17B0">
        <w:rPr>
          <w:rFonts w:asciiTheme="minorHAnsi" w:hAnsiTheme="minorHAnsi" w:cstheme="minorHAnsi"/>
        </w:rPr>
        <w:t xml:space="preserve">was </w:t>
      </w:r>
      <w:r w:rsidR="00D33AD8" w:rsidRPr="00BF17B0">
        <w:rPr>
          <w:rFonts w:asciiTheme="minorHAnsi" w:hAnsiTheme="minorHAnsi" w:cstheme="minorHAnsi"/>
        </w:rPr>
        <w:t xml:space="preserve">likewise </w:t>
      </w:r>
      <w:r w:rsidR="00FB0160" w:rsidRPr="00BF17B0">
        <w:rPr>
          <w:rFonts w:asciiTheme="minorHAnsi" w:hAnsiTheme="minorHAnsi" w:cstheme="minorHAnsi"/>
        </w:rPr>
        <w:t xml:space="preserve">reduced by $4 million </w:t>
      </w:r>
      <w:r w:rsidR="00C16AB4" w:rsidRPr="00BF17B0">
        <w:rPr>
          <w:rFonts w:asciiTheme="minorHAnsi" w:hAnsiTheme="minorHAnsi" w:cstheme="minorHAnsi"/>
        </w:rPr>
        <w:t xml:space="preserve">due to </w:t>
      </w:r>
      <w:r w:rsidR="00D66231" w:rsidRPr="00BF17B0">
        <w:rPr>
          <w:rFonts w:asciiTheme="minorHAnsi" w:hAnsiTheme="minorHAnsi" w:cstheme="minorHAnsi"/>
        </w:rPr>
        <w:t xml:space="preserve">slow </w:t>
      </w:r>
      <w:r w:rsidR="00E7259D" w:rsidRPr="00BF17B0">
        <w:rPr>
          <w:rFonts w:asciiTheme="minorHAnsi" w:hAnsiTheme="minorHAnsi" w:cstheme="minorHAnsi"/>
        </w:rPr>
        <w:t xml:space="preserve">progress of </w:t>
      </w:r>
      <w:r w:rsidR="00C16AB4" w:rsidRPr="00BF17B0">
        <w:rPr>
          <w:rFonts w:asciiTheme="minorHAnsi" w:hAnsiTheme="minorHAnsi" w:cstheme="minorHAnsi"/>
        </w:rPr>
        <w:t xml:space="preserve">implementation and </w:t>
      </w:r>
      <w:r w:rsidR="00E246C9" w:rsidRPr="00BF17B0">
        <w:rPr>
          <w:rFonts w:asciiTheme="minorHAnsi" w:hAnsiTheme="minorHAnsi" w:cstheme="minorHAnsi"/>
        </w:rPr>
        <w:t xml:space="preserve">the use of other funding sources to finance some of the </w:t>
      </w:r>
      <w:r w:rsidR="00A73E89" w:rsidRPr="00BF17B0">
        <w:rPr>
          <w:rFonts w:asciiTheme="minorHAnsi" w:hAnsiTheme="minorHAnsi" w:cstheme="minorHAnsi"/>
        </w:rPr>
        <w:t>proposed activities</w:t>
      </w:r>
      <w:r w:rsidR="00EB211F" w:rsidRPr="00BF17B0">
        <w:rPr>
          <w:rFonts w:asciiTheme="minorHAnsi" w:hAnsiTheme="minorHAnsi" w:cstheme="minorHAnsi"/>
        </w:rPr>
        <w:t xml:space="preserve">. </w:t>
      </w:r>
    </w:p>
    <w:p w14:paraId="32683138" w14:textId="77777777" w:rsidR="00E41632" w:rsidRPr="00BF17B0" w:rsidRDefault="00E41632" w:rsidP="00E41632">
      <w:pPr>
        <w:rPr>
          <w:rFonts w:asciiTheme="minorHAnsi" w:hAnsiTheme="minorHAnsi" w:cstheme="minorHAnsi"/>
        </w:rPr>
      </w:pPr>
    </w:p>
    <w:p w14:paraId="6234FBF8" w14:textId="77777777" w:rsidR="00587AF4" w:rsidRPr="00BF17B0" w:rsidRDefault="00587AF4" w:rsidP="009C79EB">
      <w:pPr>
        <w:pStyle w:val="Heading3"/>
      </w:pPr>
      <w:bookmarkStart w:id="180" w:name="_Hlk532194341"/>
      <w:r w:rsidRPr="00BF17B0">
        <w:t>Cost Recovery</w:t>
      </w:r>
      <w:r w:rsidR="00DA526A" w:rsidRPr="00BF17B0">
        <w:t xml:space="preserve"> Arrangements</w:t>
      </w:r>
    </w:p>
    <w:bookmarkEnd w:id="180"/>
    <w:p w14:paraId="330F6807" w14:textId="7116B041" w:rsidR="003845EE" w:rsidRDefault="00E328A8" w:rsidP="006F3DDC">
      <w:pPr>
        <w:rPr>
          <w:rFonts w:asciiTheme="minorHAnsi" w:hAnsiTheme="minorHAnsi" w:cstheme="minorHAnsi"/>
        </w:rPr>
      </w:pPr>
      <w:r w:rsidRPr="00BF17B0">
        <w:rPr>
          <w:rFonts w:asciiTheme="minorHAnsi" w:hAnsiTheme="minorHAnsi" w:cstheme="minorHAnsi"/>
        </w:rPr>
        <w:t xml:space="preserve">The </w:t>
      </w:r>
      <w:r w:rsidR="00D33AD8" w:rsidRPr="00BF17B0">
        <w:rPr>
          <w:rFonts w:asciiTheme="minorHAnsi" w:hAnsiTheme="minorHAnsi" w:cstheme="minorHAnsi"/>
        </w:rPr>
        <w:t>PH-</w:t>
      </w:r>
      <w:r w:rsidR="00C26EF9" w:rsidRPr="00BF17B0">
        <w:rPr>
          <w:rFonts w:asciiTheme="minorHAnsi" w:hAnsiTheme="minorHAnsi" w:cstheme="minorHAnsi"/>
        </w:rPr>
        <w:t xml:space="preserve">PTF’s </w:t>
      </w:r>
      <w:r w:rsidRPr="00BF17B0">
        <w:rPr>
          <w:rFonts w:asciiTheme="minorHAnsi" w:hAnsiTheme="minorHAnsi" w:cstheme="minorHAnsi"/>
        </w:rPr>
        <w:t xml:space="preserve">assessment of administration fees </w:t>
      </w:r>
      <w:r w:rsidR="00A06093" w:rsidRPr="00BF17B0">
        <w:rPr>
          <w:rFonts w:asciiTheme="minorHAnsi" w:hAnsiTheme="minorHAnsi" w:cstheme="minorHAnsi"/>
        </w:rPr>
        <w:t xml:space="preserve">was </w:t>
      </w:r>
      <w:r w:rsidRPr="00BF17B0">
        <w:rPr>
          <w:rFonts w:asciiTheme="minorHAnsi" w:hAnsiTheme="minorHAnsi" w:cstheme="minorHAnsi"/>
        </w:rPr>
        <w:t>consistent with World Bank policies on trust fund fees and cost recovery</w:t>
      </w:r>
      <w:r w:rsidR="00DA526A" w:rsidRPr="00BF17B0">
        <w:rPr>
          <w:rFonts w:asciiTheme="minorHAnsi" w:hAnsiTheme="minorHAnsi" w:cstheme="minorHAnsi"/>
        </w:rPr>
        <w:t xml:space="preserve"> prevailing during its establishment</w:t>
      </w:r>
      <w:r w:rsidRPr="00BF17B0">
        <w:rPr>
          <w:rFonts w:asciiTheme="minorHAnsi" w:hAnsiTheme="minorHAnsi" w:cstheme="minorHAnsi"/>
        </w:rPr>
        <w:t xml:space="preserve">. </w:t>
      </w:r>
      <w:r w:rsidR="0045197F" w:rsidRPr="00BF17B0">
        <w:rPr>
          <w:rFonts w:asciiTheme="minorHAnsi" w:hAnsiTheme="minorHAnsi" w:cstheme="minorHAnsi"/>
        </w:rPr>
        <w:t>However, d</w:t>
      </w:r>
      <w:r w:rsidR="00D33AD8" w:rsidRPr="00BF17B0">
        <w:rPr>
          <w:rFonts w:asciiTheme="minorHAnsi" w:hAnsiTheme="minorHAnsi" w:cstheme="minorHAnsi"/>
        </w:rPr>
        <w:t>espite the extension of the trust fund closing date in 201</w:t>
      </w:r>
      <w:r w:rsidR="0045197F" w:rsidRPr="00BF17B0">
        <w:rPr>
          <w:rFonts w:asciiTheme="minorHAnsi" w:hAnsiTheme="minorHAnsi" w:cstheme="minorHAnsi"/>
        </w:rPr>
        <w:t>2</w:t>
      </w:r>
      <w:r w:rsidR="00D33AD8" w:rsidRPr="00BF17B0">
        <w:rPr>
          <w:rFonts w:asciiTheme="minorHAnsi" w:hAnsiTheme="minorHAnsi" w:cstheme="minorHAnsi"/>
        </w:rPr>
        <w:t xml:space="preserve"> and 2015, the administration agreement was not extended to reflect an adjustment in the administration fees. A grant was recently established for the assessment of the partnership. </w:t>
      </w:r>
      <w:r w:rsidR="00587AF4" w:rsidRPr="00BF17B0">
        <w:rPr>
          <w:rFonts w:asciiTheme="minorHAnsi" w:hAnsiTheme="minorHAnsi" w:cstheme="minorHAnsi"/>
        </w:rPr>
        <w:t xml:space="preserve">The total approved </w:t>
      </w:r>
      <w:r w:rsidR="00C16AB4" w:rsidRPr="00BF17B0">
        <w:rPr>
          <w:rFonts w:asciiTheme="minorHAnsi" w:hAnsiTheme="minorHAnsi" w:cstheme="minorHAnsi"/>
        </w:rPr>
        <w:t xml:space="preserve">amount </w:t>
      </w:r>
      <w:r w:rsidR="00587AF4" w:rsidRPr="00BF17B0">
        <w:rPr>
          <w:rFonts w:asciiTheme="minorHAnsi" w:hAnsiTheme="minorHAnsi" w:cstheme="minorHAnsi"/>
        </w:rPr>
        <w:t xml:space="preserve">for Bank costs </w:t>
      </w:r>
      <w:r w:rsidR="00921E96" w:rsidRPr="00BF17B0">
        <w:rPr>
          <w:rFonts w:asciiTheme="minorHAnsi" w:hAnsiTheme="minorHAnsi" w:cstheme="minorHAnsi"/>
        </w:rPr>
        <w:t xml:space="preserve">in </w:t>
      </w:r>
      <w:r w:rsidR="00587AF4" w:rsidRPr="00BF17B0">
        <w:rPr>
          <w:rFonts w:asciiTheme="minorHAnsi" w:hAnsiTheme="minorHAnsi" w:cstheme="minorHAnsi"/>
        </w:rPr>
        <w:t>administ</w:t>
      </w:r>
      <w:r w:rsidR="00921E96" w:rsidRPr="00BF17B0">
        <w:rPr>
          <w:rFonts w:asciiTheme="minorHAnsi" w:hAnsiTheme="minorHAnsi" w:cstheme="minorHAnsi"/>
        </w:rPr>
        <w:t>ering</w:t>
      </w:r>
      <w:r w:rsidR="00903B7E" w:rsidRPr="00BF17B0">
        <w:rPr>
          <w:rFonts w:asciiTheme="minorHAnsi" w:hAnsiTheme="minorHAnsi" w:cstheme="minorHAnsi"/>
        </w:rPr>
        <w:t xml:space="preserve"> the </w:t>
      </w:r>
      <w:r w:rsidR="00D33AD8" w:rsidRPr="00BF17B0">
        <w:rPr>
          <w:rFonts w:asciiTheme="minorHAnsi" w:hAnsiTheme="minorHAnsi" w:cstheme="minorHAnsi"/>
        </w:rPr>
        <w:t>PH-</w:t>
      </w:r>
      <w:r w:rsidR="00903B7E" w:rsidRPr="00BF17B0">
        <w:rPr>
          <w:rFonts w:asciiTheme="minorHAnsi" w:hAnsiTheme="minorHAnsi" w:cstheme="minorHAnsi"/>
        </w:rPr>
        <w:t>PTF</w:t>
      </w:r>
      <w:r w:rsidR="00587AF4" w:rsidRPr="00BF17B0">
        <w:rPr>
          <w:rFonts w:asciiTheme="minorHAnsi" w:hAnsiTheme="minorHAnsi" w:cstheme="minorHAnsi"/>
        </w:rPr>
        <w:t xml:space="preserve">, </w:t>
      </w:r>
      <w:r w:rsidR="00903B7E" w:rsidRPr="00BF17B0">
        <w:rPr>
          <w:rFonts w:asciiTheme="minorHAnsi" w:hAnsiTheme="minorHAnsi" w:cstheme="minorHAnsi"/>
        </w:rPr>
        <w:t xml:space="preserve">managing, </w:t>
      </w:r>
      <w:r w:rsidR="00587AF4" w:rsidRPr="00BF17B0">
        <w:rPr>
          <w:rFonts w:asciiTheme="minorHAnsi" w:hAnsiTheme="minorHAnsi" w:cstheme="minorHAnsi"/>
        </w:rPr>
        <w:t>monitoring and evaluati</w:t>
      </w:r>
      <w:r w:rsidR="00903B7E" w:rsidRPr="00BF17B0">
        <w:rPr>
          <w:rFonts w:asciiTheme="minorHAnsi" w:hAnsiTheme="minorHAnsi" w:cstheme="minorHAnsi"/>
        </w:rPr>
        <w:t xml:space="preserve">ng it </w:t>
      </w:r>
      <w:r w:rsidR="00587AF4" w:rsidRPr="00BF17B0">
        <w:rPr>
          <w:rFonts w:asciiTheme="minorHAnsi" w:hAnsiTheme="minorHAnsi" w:cstheme="minorHAnsi"/>
        </w:rPr>
        <w:t>amounted to less than 1.7</w:t>
      </w:r>
      <w:r w:rsidR="00687594" w:rsidRPr="00BF17B0">
        <w:rPr>
          <w:rFonts w:asciiTheme="minorHAnsi" w:hAnsiTheme="minorHAnsi" w:cstheme="minorHAnsi"/>
        </w:rPr>
        <w:t xml:space="preserve"> percent </w:t>
      </w:r>
      <w:r w:rsidR="00587AF4" w:rsidRPr="00BF17B0">
        <w:rPr>
          <w:rFonts w:asciiTheme="minorHAnsi" w:hAnsiTheme="minorHAnsi" w:cstheme="minorHAnsi"/>
        </w:rPr>
        <w:t>of contributions</w:t>
      </w:r>
      <w:r w:rsidR="00EB211F" w:rsidRPr="00BF17B0">
        <w:rPr>
          <w:rFonts w:asciiTheme="minorHAnsi" w:hAnsiTheme="minorHAnsi" w:cstheme="minorHAnsi"/>
        </w:rPr>
        <w:t xml:space="preserve">. </w:t>
      </w:r>
    </w:p>
    <w:p w14:paraId="25B35600" w14:textId="1F55A108" w:rsidR="00587AF4" w:rsidRPr="00BF17B0" w:rsidRDefault="001A39F3" w:rsidP="006F3DDC">
      <w:pPr>
        <w:rPr>
          <w:rFonts w:asciiTheme="minorHAnsi" w:hAnsiTheme="minorHAnsi" w:cstheme="minorHAnsi"/>
        </w:rPr>
      </w:pPr>
      <w:r w:rsidRPr="00BF17B0">
        <w:rPr>
          <w:rFonts w:asciiTheme="minorHAnsi" w:hAnsiTheme="minorHAnsi" w:cstheme="minorHAnsi"/>
        </w:rPr>
        <w:t>A</w:t>
      </w:r>
      <w:r w:rsidR="004C3468" w:rsidRPr="00BF17B0">
        <w:rPr>
          <w:rFonts w:asciiTheme="minorHAnsi" w:hAnsiTheme="minorHAnsi" w:cstheme="minorHAnsi"/>
        </w:rPr>
        <w:t xml:space="preserve"> </w:t>
      </w:r>
      <w:r w:rsidRPr="00BF17B0">
        <w:rPr>
          <w:rFonts w:asciiTheme="minorHAnsi" w:hAnsiTheme="minorHAnsi" w:cstheme="minorHAnsi"/>
        </w:rPr>
        <w:t xml:space="preserve">recent </w:t>
      </w:r>
      <w:r w:rsidR="00545661" w:rsidRPr="00BF17B0">
        <w:rPr>
          <w:rFonts w:asciiTheme="minorHAnsi" w:hAnsiTheme="minorHAnsi" w:cstheme="minorHAnsi"/>
        </w:rPr>
        <w:t>report</w:t>
      </w:r>
      <w:r w:rsidR="004C3468" w:rsidRPr="00BF17B0">
        <w:rPr>
          <w:rFonts w:asciiTheme="minorHAnsi" w:hAnsiTheme="minorHAnsi" w:cstheme="minorHAnsi"/>
        </w:rPr>
        <w:t xml:space="preserve"> o</w:t>
      </w:r>
      <w:r w:rsidR="00545661" w:rsidRPr="00BF17B0">
        <w:rPr>
          <w:rFonts w:asciiTheme="minorHAnsi" w:hAnsiTheme="minorHAnsi" w:cstheme="minorHAnsi"/>
        </w:rPr>
        <w:t>n</w:t>
      </w:r>
      <w:r w:rsidR="004C3468" w:rsidRPr="00BF17B0">
        <w:rPr>
          <w:rFonts w:asciiTheme="minorHAnsi" w:hAnsiTheme="minorHAnsi" w:cstheme="minorHAnsi"/>
        </w:rPr>
        <w:t xml:space="preserve"> </w:t>
      </w:r>
      <w:r w:rsidR="00687594" w:rsidRPr="00BF17B0">
        <w:rPr>
          <w:rFonts w:asciiTheme="minorHAnsi" w:hAnsiTheme="minorHAnsi" w:cstheme="minorHAnsi"/>
        </w:rPr>
        <w:t>World Bank</w:t>
      </w:r>
      <w:r w:rsidR="00587AF4" w:rsidRPr="00BF17B0">
        <w:rPr>
          <w:rFonts w:asciiTheme="minorHAnsi" w:hAnsiTheme="minorHAnsi" w:cstheme="minorHAnsi"/>
        </w:rPr>
        <w:t xml:space="preserve"> trust fund management costs indicates that the costs of managing a fund with less than $50</w:t>
      </w:r>
      <w:r w:rsidR="00687594" w:rsidRPr="00BF17B0">
        <w:rPr>
          <w:rFonts w:asciiTheme="minorHAnsi" w:hAnsiTheme="minorHAnsi" w:cstheme="minorHAnsi"/>
        </w:rPr>
        <w:t xml:space="preserve"> million</w:t>
      </w:r>
      <w:r w:rsidR="00587AF4" w:rsidRPr="00BF17B0">
        <w:rPr>
          <w:rFonts w:asciiTheme="minorHAnsi" w:hAnsiTheme="minorHAnsi" w:cstheme="minorHAnsi"/>
        </w:rPr>
        <w:t xml:space="preserve"> in contributions, 65 sub-grants, recipient</w:t>
      </w:r>
      <w:r w:rsidR="006F55F4" w:rsidRPr="00BF17B0">
        <w:rPr>
          <w:rFonts w:asciiTheme="minorHAnsi" w:hAnsiTheme="minorHAnsi" w:cstheme="minorHAnsi"/>
        </w:rPr>
        <w:t>-</w:t>
      </w:r>
      <w:r w:rsidR="00587AF4" w:rsidRPr="00BF17B0">
        <w:rPr>
          <w:rFonts w:asciiTheme="minorHAnsi" w:hAnsiTheme="minorHAnsi" w:cstheme="minorHAnsi"/>
        </w:rPr>
        <w:t xml:space="preserve">executed and </w:t>
      </w:r>
      <w:r w:rsidR="00687594" w:rsidRPr="00BF17B0">
        <w:rPr>
          <w:rFonts w:asciiTheme="minorHAnsi" w:hAnsiTheme="minorHAnsi" w:cstheme="minorHAnsi"/>
        </w:rPr>
        <w:t>B</w:t>
      </w:r>
      <w:r w:rsidR="00587AF4" w:rsidRPr="00BF17B0">
        <w:rPr>
          <w:rFonts w:asciiTheme="minorHAnsi" w:hAnsiTheme="minorHAnsi" w:cstheme="minorHAnsi"/>
        </w:rPr>
        <w:t>ank</w:t>
      </w:r>
      <w:r w:rsidR="00687594" w:rsidRPr="00BF17B0">
        <w:rPr>
          <w:rFonts w:asciiTheme="minorHAnsi" w:hAnsiTheme="minorHAnsi" w:cstheme="minorHAnsi"/>
        </w:rPr>
        <w:t>-</w:t>
      </w:r>
      <w:r w:rsidR="00587AF4" w:rsidRPr="00BF17B0">
        <w:rPr>
          <w:rFonts w:asciiTheme="minorHAnsi" w:hAnsiTheme="minorHAnsi" w:cstheme="minorHAnsi"/>
        </w:rPr>
        <w:t>executed grants</w:t>
      </w:r>
      <w:r w:rsidR="00687594" w:rsidRPr="00BF17B0">
        <w:rPr>
          <w:rFonts w:asciiTheme="minorHAnsi" w:hAnsiTheme="minorHAnsi" w:cstheme="minorHAnsi"/>
        </w:rPr>
        <w:t>,</w:t>
      </w:r>
      <w:r w:rsidR="00587AF4" w:rsidRPr="00BF17B0">
        <w:rPr>
          <w:rFonts w:asciiTheme="minorHAnsi" w:hAnsiTheme="minorHAnsi" w:cstheme="minorHAnsi"/>
        </w:rPr>
        <w:t xml:space="preserve"> and a </w:t>
      </w:r>
      <w:r w:rsidR="00687594" w:rsidRPr="00BF17B0">
        <w:rPr>
          <w:rFonts w:asciiTheme="minorHAnsi" w:hAnsiTheme="minorHAnsi" w:cstheme="minorHAnsi"/>
        </w:rPr>
        <w:t>10-</w:t>
      </w:r>
      <w:r w:rsidR="00587AF4" w:rsidRPr="00BF17B0">
        <w:rPr>
          <w:rFonts w:asciiTheme="minorHAnsi" w:hAnsiTheme="minorHAnsi" w:cstheme="minorHAnsi"/>
        </w:rPr>
        <w:t>year life are likely to exceed 5</w:t>
      </w:r>
      <w:r w:rsidR="00687594" w:rsidRPr="00BF17B0">
        <w:rPr>
          <w:rFonts w:asciiTheme="minorHAnsi" w:hAnsiTheme="minorHAnsi" w:cstheme="minorHAnsi"/>
        </w:rPr>
        <w:t xml:space="preserve"> percent </w:t>
      </w:r>
      <w:r w:rsidR="00587AF4" w:rsidRPr="00BF17B0">
        <w:rPr>
          <w:rFonts w:asciiTheme="minorHAnsi" w:hAnsiTheme="minorHAnsi" w:cstheme="minorHAnsi"/>
        </w:rPr>
        <w:t>of contributions</w:t>
      </w:r>
      <w:r w:rsidR="00EB211F" w:rsidRPr="00BF17B0">
        <w:rPr>
          <w:rFonts w:asciiTheme="minorHAnsi" w:hAnsiTheme="minorHAnsi" w:cstheme="minorHAnsi"/>
        </w:rPr>
        <w:t xml:space="preserve">. </w:t>
      </w:r>
      <w:r w:rsidR="007777CE" w:rsidRPr="00BF17B0">
        <w:rPr>
          <w:rFonts w:asciiTheme="minorHAnsi" w:hAnsiTheme="minorHAnsi" w:cstheme="minorHAnsi"/>
        </w:rPr>
        <w:t xml:space="preserve">This </w:t>
      </w:r>
      <w:r w:rsidR="00545661" w:rsidRPr="00BF17B0">
        <w:rPr>
          <w:rFonts w:asciiTheme="minorHAnsi" w:hAnsiTheme="minorHAnsi" w:cstheme="minorHAnsi"/>
        </w:rPr>
        <w:t>report</w:t>
      </w:r>
      <w:r w:rsidR="007777CE" w:rsidRPr="00BF17B0">
        <w:rPr>
          <w:rFonts w:asciiTheme="minorHAnsi" w:hAnsiTheme="minorHAnsi" w:cstheme="minorHAnsi"/>
        </w:rPr>
        <w:t xml:space="preserve"> led to</w:t>
      </w:r>
      <w:r w:rsidR="00687594" w:rsidRPr="00BF17B0">
        <w:rPr>
          <w:rFonts w:asciiTheme="minorHAnsi" w:hAnsiTheme="minorHAnsi" w:cstheme="minorHAnsi"/>
        </w:rPr>
        <w:t xml:space="preserve"> the </w:t>
      </w:r>
      <w:r w:rsidR="007777CE" w:rsidRPr="00BF17B0">
        <w:rPr>
          <w:rFonts w:asciiTheme="minorHAnsi" w:hAnsiTheme="minorHAnsi" w:cstheme="minorHAnsi"/>
        </w:rPr>
        <w:t>introduction of a new standardi</w:t>
      </w:r>
      <w:r w:rsidR="00687594" w:rsidRPr="00BF17B0">
        <w:rPr>
          <w:rFonts w:asciiTheme="minorHAnsi" w:hAnsiTheme="minorHAnsi" w:cstheme="minorHAnsi"/>
        </w:rPr>
        <w:t>z</w:t>
      </w:r>
      <w:r w:rsidR="007777CE" w:rsidRPr="00BF17B0">
        <w:rPr>
          <w:rFonts w:asciiTheme="minorHAnsi" w:hAnsiTheme="minorHAnsi" w:cstheme="minorHAnsi"/>
        </w:rPr>
        <w:t xml:space="preserve">ed cost recovery framework for IBRD/IDA </w:t>
      </w:r>
      <w:r w:rsidR="00687594" w:rsidRPr="00BF17B0">
        <w:rPr>
          <w:rFonts w:asciiTheme="minorHAnsi" w:hAnsiTheme="minorHAnsi" w:cstheme="minorHAnsi"/>
        </w:rPr>
        <w:t>t</w:t>
      </w:r>
      <w:r w:rsidR="007777CE" w:rsidRPr="00BF17B0">
        <w:rPr>
          <w:rFonts w:asciiTheme="minorHAnsi" w:hAnsiTheme="minorHAnsi" w:cstheme="minorHAnsi"/>
        </w:rPr>
        <w:t xml:space="preserve">rust </w:t>
      </w:r>
      <w:r w:rsidR="00687594" w:rsidRPr="00BF17B0">
        <w:rPr>
          <w:rFonts w:asciiTheme="minorHAnsi" w:hAnsiTheme="minorHAnsi" w:cstheme="minorHAnsi"/>
        </w:rPr>
        <w:t>f</w:t>
      </w:r>
      <w:r w:rsidR="007777CE" w:rsidRPr="00BF17B0">
        <w:rPr>
          <w:rFonts w:asciiTheme="minorHAnsi" w:hAnsiTheme="minorHAnsi" w:cstheme="minorHAnsi"/>
        </w:rPr>
        <w:t>unds</w:t>
      </w:r>
      <w:r w:rsidR="00545661" w:rsidRPr="00BF17B0">
        <w:rPr>
          <w:rFonts w:asciiTheme="minorHAnsi" w:hAnsiTheme="minorHAnsi" w:cstheme="minorHAnsi"/>
        </w:rPr>
        <w:t xml:space="preserve"> (Bhatnagar</w:t>
      </w:r>
      <w:r w:rsidR="00C9296C" w:rsidRPr="00BF17B0">
        <w:rPr>
          <w:rFonts w:asciiTheme="minorHAnsi" w:hAnsiTheme="minorHAnsi" w:cstheme="minorHAnsi"/>
        </w:rPr>
        <w:t xml:space="preserve"> 2018, p.152)</w:t>
      </w:r>
      <w:r w:rsidR="007777CE" w:rsidRPr="00BF17B0">
        <w:rPr>
          <w:rFonts w:asciiTheme="minorHAnsi" w:hAnsiTheme="minorHAnsi" w:cstheme="minorHAnsi"/>
        </w:rPr>
        <w:t>.</w:t>
      </w:r>
    </w:p>
    <w:p w14:paraId="6BF70FF8" w14:textId="77777777" w:rsidR="00587AF4" w:rsidRPr="00BF17B0" w:rsidRDefault="00BC6731">
      <w:pPr>
        <w:rPr>
          <w:rFonts w:asciiTheme="minorHAnsi" w:hAnsiTheme="minorHAnsi" w:cstheme="minorHAnsi"/>
        </w:rPr>
      </w:pPr>
      <w:r w:rsidRPr="00BF17B0">
        <w:rPr>
          <w:rFonts w:asciiTheme="minorHAnsi" w:hAnsiTheme="minorHAnsi" w:cstheme="minorHAnsi"/>
        </w:rPr>
        <w:t>T</w:t>
      </w:r>
      <w:r w:rsidR="007777CE" w:rsidRPr="00BF17B0">
        <w:rPr>
          <w:rFonts w:asciiTheme="minorHAnsi" w:hAnsiTheme="minorHAnsi" w:cstheme="minorHAnsi"/>
        </w:rPr>
        <w:t xml:space="preserve">he overall costs of managing the </w:t>
      </w:r>
      <w:r w:rsidR="001A39F3" w:rsidRPr="00BF17B0">
        <w:rPr>
          <w:rFonts w:asciiTheme="minorHAnsi" w:hAnsiTheme="minorHAnsi" w:cstheme="minorHAnsi"/>
        </w:rPr>
        <w:t>PH-</w:t>
      </w:r>
      <w:r w:rsidR="00A53818" w:rsidRPr="00BF17B0">
        <w:rPr>
          <w:rFonts w:asciiTheme="minorHAnsi" w:hAnsiTheme="minorHAnsi" w:cstheme="minorHAnsi"/>
        </w:rPr>
        <w:t>PTF</w:t>
      </w:r>
      <w:r w:rsidR="007777CE" w:rsidRPr="00BF17B0">
        <w:rPr>
          <w:rFonts w:asciiTheme="minorHAnsi" w:hAnsiTheme="minorHAnsi" w:cstheme="minorHAnsi"/>
        </w:rPr>
        <w:t xml:space="preserve"> have not been monitored</w:t>
      </w:r>
      <w:r w:rsidR="001A39F3" w:rsidRPr="00BF17B0">
        <w:rPr>
          <w:rFonts w:asciiTheme="minorHAnsi" w:hAnsiTheme="minorHAnsi" w:cstheme="minorHAnsi"/>
        </w:rPr>
        <w:t xml:space="preserve">, although </w:t>
      </w:r>
      <w:r w:rsidR="007777CE" w:rsidRPr="00BF17B0">
        <w:rPr>
          <w:rFonts w:asciiTheme="minorHAnsi" w:hAnsiTheme="minorHAnsi" w:cstheme="minorHAnsi"/>
        </w:rPr>
        <w:t xml:space="preserve">Bank staff confirmed that the cost recovery arrangements </w:t>
      </w:r>
      <w:r w:rsidR="00DD218E" w:rsidRPr="00BF17B0">
        <w:rPr>
          <w:rFonts w:asciiTheme="minorHAnsi" w:hAnsiTheme="minorHAnsi" w:cstheme="minorHAnsi"/>
        </w:rPr>
        <w:t>a</w:t>
      </w:r>
      <w:r w:rsidR="007777CE" w:rsidRPr="00BF17B0">
        <w:rPr>
          <w:rFonts w:asciiTheme="minorHAnsi" w:hAnsiTheme="minorHAnsi" w:cstheme="minorHAnsi"/>
        </w:rPr>
        <w:t>re inadequate</w:t>
      </w:r>
      <w:r w:rsidR="00EB211F" w:rsidRPr="00BF17B0">
        <w:rPr>
          <w:rFonts w:asciiTheme="minorHAnsi" w:hAnsiTheme="minorHAnsi" w:cstheme="minorHAnsi"/>
        </w:rPr>
        <w:t xml:space="preserve">. </w:t>
      </w:r>
      <w:r w:rsidR="00687594" w:rsidRPr="00BF17B0">
        <w:rPr>
          <w:rFonts w:asciiTheme="minorHAnsi" w:hAnsiTheme="minorHAnsi" w:cstheme="minorHAnsi"/>
        </w:rPr>
        <w:t>The</w:t>
      </w:r>
      <w:r w:rsidR="007777CE" w:rsidRPr="00BF17B0">
        <w:rPr>
          <w:rFonts w:asciiTheme="minorHAnsi" w:hAnsiTheme="minorHAnsi" w:cstheme="minorHAnsi"/>
        </w:rPr>
        <w:t xml:space="preserve"> costs may have</w:t>
      </w:r>
      <w:r w:rsidR="00687594" w:rsidRPr="00BF17B0">
        <w:rPr>
          <w:rFonts w:asciiTheme="minorHAnsi" w:hAnsiTheme="minorHAnsi" w:cstheme="minorHAnsi"/>
        </w:rPr>
        <w:t xml:space="preserve"> </w:t>
      </w:r>
      <w:r w:rsidR="007777CE" w:rsidRPr="00BF17B0">
        <w:rPr>
          <w:rFonts w:asciiTheme="minorHAnsi" w:hAnsiTheme="minorHAnsi" w:cstheme="minorHAnsi"/>
        </w:rPr>
        <w:t xml:space="preserve">increased </w:t>
      </w:r>
      <w:r w:rsidR="00687594" w:rsidRPr="00BF17B0">
        <w:rPr>
          <w:rFonts w:asciiTheme="minorHAnsi" w:hAnsiTheme="minorHAnsi" w:cstheme="minorHAnsi"/>
        </w:rPr>
        <w:t xml:space="preserve">slightly because of the </w:t>
      </w:r>
      <w:r w:rsidR="007777CE" w:rsidRPr="00BF17B0">
        <w:rPr>
          <w:rFonts w:asciiTheme="minorHAnsi" w:hAnsiTheme="minorHAnsi" w:cstheme="minorHAnsi"/>
        </w:rPr>
        <w:t>large number of grants that</w:t>
      </w:r>
      <w:r w:rsidR="00710D6A" w:rsidRPr="00BF17B0">
        <w:rPr>
          <w:rFonts w:asciiTheme="minorHAnsi" w:hAnsiTheme="minorHAnsi" w:cstheme="minorHAnsi"/>
        </w:rPr>
        <w:t xml:space="preserve"> were </w:t>
      </w:r>
      <w:r w:rsidR="007777CE" w:rsidRPr="00BF17B0">
        <w:rPr>
          <w:rFonts w:asciiTheme="minorHAnsi" w:hAnsiTheme="minorHAnsi" w:cstheme="minorHAnsi"/>
        </w:rPr>
        <w:t xml:space="preserve">approved, but a much more important factor </w:t>
      </w:r>
      <w:r w:rsidR="009F5AD0" w:rsidRPr="00BF17B0">
        <w:rPr>
          <w:rFonts w:asciiTheme="minorHAnsi" w:hAnsiTheme="minorHAnsi" w:cstheme="minorHAnsi"/>
        </w:rPr>
        <w:t>was</w:t>
      </w:r>
      <w:r w:rsidR="00710D6A" w:rsidRPr="00BF17B0">
        <w:rPr>
          <w:rFonts w:asciiTheme="minorHAnsi" w:hAnsiTheme="minorHAnsi" w:cstheme="minorHAnsi"/>
        </w:rPr>
        <w:t xml:space="preserve"> </w:t>
      </w:r>
      <w:r w:rsidR="007777CE" w:rsidRPr="00BF17B0">
        <w:rPr>
          <w:rFonts w:asciiTheme="minorHAnsi" w:hAnsiTheme="minorHAnsi" w:cstheme="minorHAnsi"/>
        </w:rPr>
        <w:t xml:space="preserve">the extension of the </w:t>
      </w:r>
      <w:r w:rsidR="00A53818" w:rsidRPr="00BF17B0">
        <w:rPr>
          <w:rFonts w:asciiTheme="minorHAnsi" w:hAnsiTheme="minorHAnsi" w:cstheme="minorHAnsi"/>
        </w:rPr>
        <w:t>PTF</w:t>
      </w:r>
      <w:r w:rsidR="007777CE" w:rsidRPr="00BF17B0">
        <w:rPr>
          <w:rFonts w:asciiTheme="minorHAnsi" w:hAnsiTheme="minorHAnsi" w:cstheme="minorHAnsi"/>
        </w:rPr>
        <w:t xml:space="preserve"> from </w:t>
      </w:r>
      <w:r w:rsidR="00DA526A" w:rsidRPr="00BF17B0">
        <w:rPr>
          <w:rFonts w:asciiTheme="minorHAnsi" w:hAnsiTheme="minorHAnsi" w:cstheme="minorHAnsi"/>
        </w:rPr>
        <w:t xml:space="preserve">three and a half </w:t>
      </w:r>
      <w:r w:rsidR="007777CE" w:rsidRPr="00BF17B0">
        <w:rPr>
          <w:rFonts w:asciiTheme="minorHAnsi" w:hAnsiTheme="minorHAnsi" w:cstheme="minorHAnsi"/>
        </w:rPr>
        <w:t>year</w:t>
      </w:r>
      <w:r w:rsidR="00687594" w:rsidRPr="00BF17B0">
        <w:rPr>
          <w:rFonts w:asciiTheme="minorHAnsi" w:hAnsiTheme="minorHAnsi" w:cstheme="minorHAnsi"/>
        </w:rPr>
        <w:t>s</w:t>
      </w:r>
      <w:r w:rsidR="007777CE" w:rsidRPr="00BF17B0">
        <w:rPr>
          <w:rFonts w:asciiTheme="minorHAnsi" w:hAnsiTheme="minorHAnsi" w:cstheme="minorHAnsi"/>
        </w:rPr>
        <w:t xml:space="preserve"> to </w:t>
      </w:r>
      <w:r w:rsidR="009F5AD0" w:rsidRPr="00BF17B0">
        <w:rPr>
          <w:rFonts w:asciiTheme="minorHAnsi" w:hAnsiTheme="minorHAnsi" w:cstheme="minorHAnsi"/>
        </w:rPr>
        <w:t>10</w:t>
      </w:r>
      <w:r w:rsidR="00DA526A" w:rsidRPr="00BF17B0">
        <w:rPr>
          <w:rFonts w:asciiTheme="minorHAnsi" w:hAnsiTheme="minorHAnsi" w:cstheme="minorHAnsi"/>
        </w:rPr>
        <w:t xml:space="preserve"> </w:t>
      </w:r>
      <w:r w:rsidR="00687594" w:rsidRPr="00BF17B0">
        <w:rPr>
          <w:rFonts w:asciiTheme="minorHAnsi" w:hAnsiTheme="minorHAnsi" w:cstheme="minorHAnsi"/>
        </w:rPr>
        <w:t>years</w:t>
      </w:r>
      <w:r w:rsidR="00B92B78" w:rsidRPr="00BF17B0">
        <w:rPr>
          <w:rFonts w:asciiTheme="minorHAnsi" w:hAnsiTheme="minorHAnsi" w:cstheme="minorHAnsi"/>
        </w:rPr>
        <w:t xml:space="preserve"> </w:t>
      </w:r>
      <w:r w:rsidR="007777CE" w:rsidRPr="00BF17B0">
        <w:rPr>
          <w:rFonts w:asciiTheme="minorHAnsi" w:hAnsiTheme="minorHAnsi" w:cstheme="minorHAnsi"/>
        </w:rPr>
        <w:t xml:space="preserve">without any increase in cost recovery. </w:t>
      </w:r>
      <w:r w:rsidR="00710D6A" w:rsidRPr="00BF17B0">
        <w:rPr>
          <w:rFonts w:asciiTheme="minorHAnsi" w:hAnsiTheme="minorHAnsi" w:cstheme="minorHAnsi"/>
        </w:rPr>
        <w:t>N</w:t>
      </w:r>
      <w:r w:rsidR="007777CE" w:rsidRPr="00BF17B0">
        <w:rPr>
          <w:rFonts w:asciiTheme="minorHAnsi" w:hAnsiTheme="minorHAnsi" w:cstheme="minorHAnsi"/>
        </w:rPr>
        <w:t xml:space="preserve">ew </w:t>
      </w:r>
      <w:r w:rsidR="00687594" w:rsidRPr="00BF17B0">
        <w:rPr>
          <w:rFonts w:asciiTheme="minorHAnsi" w:hAnsiTheme="minorHAnsi" w:cstheme="minorHAnsi"/>
        </w:rPr>
        <w:t>trust fund</w:t>
      </w:r>
      <w:r w:rsidR="00710D6A" w:rsidRPr="00BF17B0">
        <w:rPr>
          <w:rFonts w:asciiTheme="minorHAnsi" w:hAnsiTheme="minorHAnsi" w:cstheme="minorHAnsi"/>
        </w:rPr>
        <w:t>s</w:t>
      </w:r>
      <w:r w:rsidR="00687594" w:rsidRPr="00BF17B0">
        <w:rPr>
          <w:rFonts w:asciiTheme="minorHAnsi" w:hAnsiTheme="minorHAnsi" w:cstheme="minorHAnsi"/>
        </w:rPr>
        <w:t xml:space="preserve"> </w:t>
      </w:r>
      <w:r w:rsidR="00B92B78" w:rsidRPr="00BF17B0">
        <w:rPr>
          <w:rFonts w:asciiTheme="minorHAnsi" w:hAnsiTheme="minorHAnsi" w:cstheme="minorHAnsi"/>
        </w:rPr>
        <w:t xml:space="preserve">now </w:t>
      </w:r>
      <w:r w:rsidR="007777CE" w:rsidRPr="00BF17B0">
        <w:rPr>
          <w:rFonts w:asciiTheme="minorHAnsi" w:hAnsiTheme="minorHAnsi" w:cstheme="minorHAnsi"/>
        </w:rPr>
        <w:t xml:space="preserve">use </w:t>
      </w:r>
      <w:r w:rsidR="006F107D" w:rsidRPr="00BF17B0">
        <w:rPr>
          <w:rFonts w:asciiTheme="minorHAnsi" w:hAnsiTheme="minorHAnsi" w:cstheme="minorHAnsi"/>
        </w:rPr>
        <w:t xml:space="preserve">a </w:t>
      </w:r>
      <w:r w:rsidR="007777CE" w:rsidRPr="00BF17B0">
        <w:rPr>
          <w:rFonts w:asciiTheme="minorHAnsi" w:hAnsiTheme="minorHAnsi" w:cstheme="minorHAnsi"/>
        </w:rPr>
        <w:t>standardi</w:t>
      </w:r>
      <w:r w:rsidR="00687594" w:rsidRPr="00BF17B0">
        <w:rPr>
          <w:rFonts w:asciiTheme="minorHAnsi" w:hAnsiTheme="minorHAnsi" w:cstheme="minorHAnsi"/>
        </w:rPr>
        <w:t>z</w:t>
      </w:r>
      <w:r w:rsidR="007777CE" w:rsidRPr="00BF17B0">
        <w:rPr>
          <w:rFonts w:asciiTheme="minorHAnsi" w:hAnsiTheme="minorHAnsi" w:cstheme="minorHAnsi"/>
        </w:rPr>
        <w:t>ed</w:t>
      </w:r>
      <w:r w:rsidR="00DA526A" w:rsidRPr="00BF17B0">
        <w:rPr>
          <w:rFonts w:asciiTheme="minorHAnsi" w:hAnsiTheme="minorHAnsi" w:cstheme="minorHAnsi"/>
        </w:rPr>
        <w:t xml:space="preserve"> </w:t>
      </w:r>
      <w:r w:rsidR="007777CE" w:rsidRPr="00BF17B0">
        <w:rPr>
          <w:rFonts w:asciiTheme="minorHAnsi" w:hAnsiTheme="minorHAnsi" w:cstheme="minorHAnsi"/>
        </w:rPr>
        <w:t xml:space="preserve">approach </w:t>
      </w:r>
      <w:r w:rsidR="00DA526A" w:rsidRPr="00BF17B0">
        <w:rPr>
          <w:rFonts w:asciiTheme="minorHAnsi" w:hAnsiTheme="minorHAnsi" w:cstheme="minorHAnsi"/>
        </w:rPr>
        <w:t xml:space="preserve">to cost recovery </w:t>
      </w:r>
      <w:r w:rsidR="007777CE" w:rsidRPr="00BF17B0">
        <w:rPr>
          <w:rFonts w:asciiTheme="minorHAnsi" w:hAnsiTheme="minorHAnsi" w:cstheme="minorHAnsi"/>
        </w:rPr>
        <w:t xml:space="preserve">and therefore </w:t>
      </w:r>
      <w:r w:rsidR="001A6117" w:rsidRPr="00BF17B0">
        <w:rPr>
          <w:rFonts w:asciiTheme="minorHAnsi" w:hAnsiTheme="minorHAnsi" w:cstheme="minorHAnsi"/>
        </w:rPr>
        <w:t>will</w:t>
      </w:r>
      <w:r w:rsidR="007777CE" w:rsidRPr="00BF17B0">
        <w:rPr>
          <w:rFonts w:asciiTheme="minorHAnsi" w:hAnsiTheme="minorHAnsi" w:cstheme="minorHAnsi"/>
        </w:rPr>
        <w:t xml:space="preserve"> avoid repeating the </w:t>
      </w:r>
      <w:r w:rsidR="001A39F3" w:rsidRPr="00BF17B0">
        <w:rPr>
          <w:rFonts w:asciiTheme="minorHAnsi" w:hAnsiTheme="minorHAnsi" w:cstheme="minorHAnsi"/>
        </w:rPr>
        <w:t>PH-</w:t>
      </w:r>
      <w:r w:rsidR="00A53818" w:rsidRPr="00BF17B0">
        <w:rPr>
          <w:rFonts w:asciiTheme="minorHAnsi" w:hAnsiTheme="minorHAnsi" w:cstheme="minorHAnsi"/>
        </w:rPr>
        <w:t>PTF</w:t>
      </w:r>
      <w:r w:rsidR="007777CE" w:rsidRPr="00BF17B0">
        <w:rPr>
          <w:rFonts w:asciiTheme="minorHAnsi" w:hAnsiTheme="minorHAnsi" w:cstheme="minorHAnsi"/>
        </w:rPr>
        <w:t xml:space="preserve"> experience</w:t>
      </w:r>
      <w:r w:rsidR="00EB211F" w:rsidRPr="00BF17B0">
        <w:rPr>
          <w:rFonts w:asciiTheme="minorHAnsi" w:hAnsiTheme="minorHAnsi" w:cstheme="minorHAnsi"/>
        </w:rPr>
        <w:t xml:space="preserve">. </w:t>
      </w:r>
    </w:p>
    <w:p w14:paraId="002C925C" w14:textId="77777777" w:rsidR="00E41632" w:rsidRPr="00BF17B0" w:rsidRDefault="00E41632" w:rsidP="00EA60F7">
      <w:pPr>
        <w:rPr>
          <w:rFonts w:asciiTheme="minorHAnsi" w:hAnsiTheme="minorHAnsi" w:cstheme="minorHAnsi"/>
        </w:rPr>
      </w:pPr>
    </w:p>
    <w:p w14:paraId="48F7913D" w14:textId="77777777" w:rsidR="002131E2" w:rsidRPr="00BF17B0" w:rsidRDefault="00DA526A" w:rsidP="009C79EB">
      <w:pPr>
        <w:pStyle w:val="Heading3"/>
        <w:rPr>
          <w:rFonts w:eastAsiaTheme="minorHAnsi"/>
          <w:szCs w:val="22"/>
        </w:rPr>
      </w:pPr>
      <w:bookmarkStart w:id="181" w:name="_Toc530386724"/>
      <w:bookmarkEnd w:id="181"/>
      <w:r w:rsidRPr="00BF17B0">
        <w:t xml:space="preserve"> </w:t>
      </w:r>
      <w:r w:rsidR="004561F7" w:rsidRPr="00BF17B0">
        <w:t>Leveraging PH-PTF Resources</w:t>
      </w:r>
    </w:p>
    <w:p w14:paraId="5C8BA561" w14:textId="77777777" w:rsidR="002131E2" w:rsidRPr="00BF17B0" w:rsidRDefault="002131E2" w:rsidP="00AF1EBE">
      <w:pPr>
        <w:rPr>
          <w:rFonts w:asciiTheme="minorHAnsi" w:hAnsiTheme="minorHAnsi" w:cstheme="minorHAnsi"/>
          <w:lang w:eastAsia="en-GB"/>
        </w:rPr>
      </w:pPr>
      <w:r w:rsidRPr="00BF17B0">
        <w:rPr>
          <w:rFonts w:asciiTheme="minorHAnsi" w:hAnsiTheme="minorHAnsi" w:cstheme="minorHAnsi"/>
          <w:lang w:eastAsia="en-GB"/>
        </w:rPr>
        <w:t xml:space="preserve">PH-PTF was designed to support activities </w:t>
      </w:r>
      <w:r w:rsidR="001A39F3" w:rsidRPr="00BF17B0">
        <w:rPr>
          <w:rFonts w:asciiTheme="minorHAnsi" w:hAnsiTheme="minorHAnsi" w:cstheme="minorHAnsi"/>
          <w:lang w:eastAsia="en-GB"/>
        </w:rPr>
        <w:t xml:space="preserve">linked </w:t>
      </w:r>
      <w:r w:rsidR="001A6117" w:rsidRPr="00BF17B0">
        <w:rPr>
          <w:rFonts w:asciiTheme="minorHAnsi" w:hAnsiTheme="minorHAnsi" w:cstheme="minorHAnsi"/>
          <w:lang w:eastAsia="en-GB"/>
        </w:rPr>
        <w:t xml:space="preserve">to World Bank </w:t>
      </w:r>
      <w:r w:rsidRPr="00BF17B0">
        <w:rPr>
          <w:rFonts w:asciiTheme="minorHAnsi" w:hAnsiTheme="minorHAnsi" w:cstheme="minorHAnsi"/>
          <w:lang w:eastAsia="en-GB"/>
        </w:rPr>
        <w:t xml:space="preserve">investment and technical assistance activities to </w:t>
      </w:r>
      <w:r w:rsidR="001A39F3" w:rsidRPr="00BF17B0">
        <w:rPr>
          <w:rFonts w:asciiTheme="minorHAnsi" w:hAnsiTheme="minorHAnsi" w:cstheme="minorHAnsi"/>
          <w:lang w:eastAsia="en-GB"/>
        </w:rPr>
        <w:t xml:space="preserve">ensure stronger alignment </w:t>
      </w:r>
      <w:r w:rsidRPr="00BF17B0">
        <w:rPr>
          <w:rFonts w:asciiTheme="minorHAnsi" w:hAnsiTheme="minorHAnsi" w:cstheme="minorHAnsi"/>
          <w:lang w:eastAsia="en-GB"/>
        </w:rPr>
        <w:t>and relevance</w:t>
      </w:r>
      <w:r w:rsidR="001A39F3" w:rsidRPr="00BF17B0">
        <w:rPr>
          <w:rFonts w:asciiTheme="minorHAnsi" w:hAnsiTheme="minorHAnsi" w:cstheme="minorHAnsi"/>
          <w:lang w:eastAsia="en-GB"/>
        </w:rPr>
        <w:t xml:space="preserve"> to the country’s priorities.</w:t>
      </w:r>
      <w:r w:rsidR="004561F7" w:rsidRPr="00BF17B0">
        <w:rPr>
          <w:rFonts w:asciiTheme="minorHAnsi" w:hAnsiTheme="minorHAnsi" w:cstheme="minorHAnsi"/>
          <w:lang w:eastAsia="en-GB"/>
        </w:rPr>
        <w:t xml:space="preserve">  PH-PTF resources </w:t>
      </w:r>
      <w:r w:rsidR="003D7557" w:rsidRPr="00BF17B0">
        <w:rPr>
          <w:rFonts w:asciiTheme="minorHAnsi" w:hAnsiTheme="minorHAnsi" w:cstheme="minorHAnsi"/>
          <w:lang w:eastAsia="en-GB"/>
        </w:rPr>
        <w:t xml:space="preserve">leverage the </w:t>
      </w:r>
      <w:r w:rsidR="005A4883" w:rsidRPr="00BF17B0">
        <w:rPr>
          <w:rFonts w:asciiTheme="minorHAnsi" w:hAnsiTheme="minorHAnsi" w:cstheme="minorHAnsi"/>
          <w:lang w:eastAsia="en-GB"/>
        </w:rPr>
        <w:t xml:space="preserve">World Bank’s </w:t>
      </w:r>
      <w:r w:rsidR="001A39F3" w:rsidRPr="00BF17B0">
        <w:rPr>
          <w:rFonts w:asciiTheme="minorHAnsi" w:hAnsiTheme="minorHAnsi" w:cstheme="minorHAnsi"/>
          <w:lang w:eastAsia="en-GB"/>
        </w:rPr>
        <w:t>financing and technical expertise</w:t>
      </w:r>
      <w:r w:rsidR="004561F7" w:rsidRPr="00BF17B0">
        <w:rPr>
          <w:rFonts w:asciiTheme="minorHAnsi" w:hAnsiTheme="minorHAnsi" w:cstheme="minorHAnsi"/>
          <w:lang w:eastAsia="en-GB"/>
        </w:rPr>
        <w:t>, with</w:t>
      </w:r>
      <w:r w:rsidR="001A39F3" w:rsidRPr="00BF17B0">
        <w:rPr>
          <w:rFonts w:asciiTheme="minorHAnsi" w:hAnsiTheme="minorHAnsi" w:cstheme="minorHAnsi"/>
          <w:lang w:eastAsia="en-GB"/>
        </w:rPr>
        <w:t xml:space="preserve"> t</w:t>
      </w:r>
      <w:r w:rsidRPr="00BF17B0">
        <w:rPr>
          <w:rFonts w:asciiTheme="minorHAnsi" w:hAnsiTheme="minorHAnsi" w:cstheme="minorHAnsi"/>
          <w:lang w:eastAsia="en-GB"/>
        </w:rPr>
        <w:t xml:space="preserve">he same level of due diligence applied </w:t>
      </w:r>
      <w:r w:rsidR="004561F7" w:rsidRPr="00BF17B0">
        <w:rPr>
          <w:rFonts w:asciiTheme="minorHAnsi" w:hAnsiTheme="minorHAnsi" w:cstheme="minorHAnsi"/>
          <w:lang w:eastAsia="en-GB"/>
        </w:rPr>
        <w:t xml:space="preserve">to </w:t>
      </w:r>
      <w:r w:rsidRPr="00BF17B0">
        <w:rPr>
          <w:rFonts w:asciiTheme="minorHAnsi" w:hAnsiTheme="minorHAnsi" w:cstheme="minorHAnsi"/>
          <w:lang w:eastAsia="en-GB"/>
        </w:rPr>
        <w:t xml:space="preserve">activities supported by PH-PTF as with </w:t>
      </w:r>
      <w:r w:rsidR="003D7557" w:rsidRPr="00BF17B0">
        <w:rPr>
          <w:rFonts w:asciiTheme="minorHAnsi" w:hAnsiTheme="minorHAnsi" w:cstheme="minorHAnsi"/>
          <w:lang w:eastAsia="en-GB"/>
        </w:rPr>
        <w:t>World Bank-</w:t>
      </w:r>
      <w:r w:rsidRPr="00BF17B0">
        <w:rPr>
          <w:rFonts w:asciiTheme="minorHAnsi" w:hAnsiTheme="minorHAnsi" w:cstheme="minorHAnsi"/>
          <w:lang w:eastAsia="en-GB"/>
        </w:rPr>
        <w:t xml:space="preserve">funded operations.  </w:t>
      </w:r>
      <w:r w:rsidR="004561F7" w:rsidRPr="00BF17B0">
        <w:rPr>
          <w:rFonts w:asciiTheme="minorHAnsi" w:hAnsiTheme="minorHAnsi" w:cstheme="minorHAnsi"/>
          <w:lang w:eastAsia="en-GB"/>
        </w:rPr>
        <w:t xml:space="preserve">On the other hand, </w:t>
      </w:r>
      <w:r w:rsidR="003D7557" w:rsidRPr="00BF17B0">
        <w:rPr>
          <w:rFonts w:asciiTheme="minorHAnsi" w:hAnsiTheme="minorHAnsi" w:cstheme="minorHAnsi"/>
          <w:lang w:eastAsia="en-GB"/>
        </w:rPr>
        <w:t xml:space="preserve">World Bank </w:t>
      </w:r>
      <w:r w:rsidR="0060525D" w:rsidRPr="00BF17B0">
        <w:rPr>
          <w:rFonts w:asciiTheme="minorHAnsi" w:hAnsiTheme="minorHAnsi" w:cstheme="minorHAnsi"/>
          <w:lang w:eastAsia="en-GB"/>
        </w:rPr>
        <w:t xml:space="preserve">lending </w:t>
      </w:r>
      <w:r w:rsidR="004561F7" w:rsidRPr="00BF17B0">
        <w:rPr>
          <w:rFonts w:asciiTheme="minorHAnsi" w:hAnsiTheme="minorHAnsi" w:cstheme="minorHAnsi"/>
          <w:lang w:eastAsia="en-GB"/>
        </w:rPr>
        <w:t xml:space="preserve">and ASA </w:t>
      </w:r>
      <w:r w:rsidR="0060525D" w:rsidRPr="00BF17B0">
        <w:rPr>
          <w:rFonts w:asciiTheme="minorHAnsi" w:hAnsiTheme="minorHAnsi" w:cstheme="minorHAnsi"/>
          <w:lang w:eastAsia="en-GB"/>
        </w:rPr>
        <w:t>operations linked to PH-PTF grants benefited from access to resources for analytical work and technical assistance</w:t>
      </w:r>
      <w:r w:rsidR="00BB1D47" w:rsidRPr="00BF17B0">
        <w:rPr>
          <w:rFonts w:asciiTheme="minorHAnsi" w:hAnsiTheme="minorHAnsi" w:cstheme="minorHAnsi"/>
          <w:lang w:eastAsia="en-GB"/>
        </w:rPr>
        <w:t xml:space="preserve">, </w:t>
      </w:r>
      <w:r w:rsidR="0060525D" w:rsidRPr="00BF17B0">
        <w:rPr>
          <w:rFonts w:asciiTheme="minorHAnsi" w:hAnsiTheme="minorHAnsi" w:cstheme="minorHAnsi"/>
          <w:lang w:eastAsia="en-GB"/>
        </w:rPr>
        <w:t xml:space="preserve">which complemented </w:t>
      </w:r>
      <w:r w:rsidR="00BB1D47" w:rsidRPr="00BF17B0">
        <w:rPr>
          <w:rFonts w:asciiTheme="minorHAnsi" w:hAnsiTheme="minorHAnsi" w:cstheme="minorHAnsi"/>
          <w:lang w:eastAsia="en-GB"/>
        </w:rPr>
        <w:t>World Bank’s</w:t>
      </w:r>
      <w:r w:rsidR="0060525D" w:rsidRPr="00BF17B0">
        <w:rPr>
          <w:rFonts w:asciiTheme="minorHAnsi" w:hAnsiTheme="minorHAnsi" w:cstheme="minorHAnsi"/>
          <w:lang w:eastAsia="en-GB"/>
        </w:rPr>
        <w:t xml:space="preserve"> administrative budgets.</w:t>
      </w:r>
    </w:p>
    <w:p w14:paraId="745468C1" w14:textId="77777777" w:rsidR="00CC75E1" w:rsidRPr="00BF17B0" w:rsidRDefault="00B07C17" w:rsidP="00AF1EBE">
      <w:pPr>
        <w:rPr>
          <w:rFonts w:asciiTheme="minorHAnsi" w:hAnsiTheme="minorHAnsi" w:cstheme="minorHAnsi"/>
          <w:lang w:eastAsia="en-GB"/>
        </w:rPr>
      </w:pPr>
      <w:r w:rsidRPr="00BF17B0">
        <w:rPr>
          <w:rFonts w:asciiTheme="minorHAnsi" w:hAnsiTheme="minorHAnsi" w:cstheme="minorHAnsi"/>
          <w:lang w:eastAsia="en-GB"/>
        </w:rPr>
        <w:t xml:space="preserve">Over nine years </w:t>
      </w:r>
      <w:r w:rsidR="007F1852" w:rsidRPr="00BF17B0">
        <w:rPr>
          <w:rFonts w:asciiTheme="minorHAnsi" w:hAnsiTheme="minorHAnsi" w:cstheme="minorHAnsi"/>
          <w:lang w:eastAsia="en-GB"/>
        </w:rPr>
        <w:t xml:space="preserve">from </w:t>
      </w:r>
      <w:r w:rsidRPr="00BF17B0">
        <w:rPr>
          <w:rFonts w:asciiTheme="minorHAnsi" w:hAnsiTheme="minorHAnsi" w:cstheme="minorHAnsi"/>
          <w:lang w:eastAsia="en-GB"/>
        </w:rPr>
        <w:t>FY</w:t>
      </w:r>
      <w:r w:rsidR="00097B7F" w:rsidRPr="00BF17B0">
        <w:rPr>
          <w:rFonts w:asciiTheme="minorHAnsi" w:hAnsiTheme="minorHAnsi" w:cstheme="minorHAnsi"/>
          <w:lang w:eastAsia="en-GB"/>
        </w:rPr>
        <w:t>20</w:t>
      </w:r>
      <w:r w:rsidRPr="00BF17B0">
        <w:rPr>
          <w:rFonts w:asciiTheme="minorHAnsi" w:hAnsiTheme="minorHAnsi" w:cstheme="minorHAnsi"/>
          <w:lang w:eastAsia="en-GB"/>
        </w:rPr>
        <w:t>10</w:t>
      </w:r>
      <w:r w:rsidR="00097B7F" w:rsidRPr="00BF17B0">
        <w:rPr>
          <w:rFonts w:asciiTheme="minorHAnsi" w:hAnsiTheme="minorHAnsi" w:cstheme="minorHAnsi"/>
          <w:lang w:eastAsia="en-GB"/>
        </w:rPr>
        <w:t>-</w:t>
      </w:r>
      <w:r w:rsidRPr="00BF17B0">
        <w:rPr>
          <w:rFonts w:asciiTheme="minorHAnsi" w:hAnsiTheme="minorHAnsi" w:cstheme="minorHAnsi"/>
          <w:lang w:eastAsia="en-GB"/>
        </w:rPr>
        <w:t>18</w:t>
      </w:r>
      <w:r w:rsidR="007F1852" w:rsidRPr="00BF17B0">
        <w:rPr>
          <w:rFonts w:asciiTheme="minorHAnsi" w:hAnsiTheme="minorHAnsi" w:cstheme="minorHAnsi"/>
          <w:lang w:eastAsia="en-GB"/>
        </w:rPr>
        <w:t>,</w:t>
      </w:r>
      <w:r w:rsidRPr="00BF17B0">
        <w:rPr>
          <w:rFonts w:asciiTheme="minorHAnsi" w:hAnsiTheme="minorHAnsi" w:cstheme="minorHAnsi"/>
          <w:lang w:eastAsia="en-GB"/>
        </w:rPr>
        <w:t xml:space="preserve"> </w:t>
      </w:r>
      <w:r w:rsidR="00741F7F" w:rsidRPr="00BF17B0">
        <w:rPr>
          <w:rFonts w:asciiTheme="minorHAnsi" w:hAnsiTheme="minorHAnsi" w:cstheme="minorHAnsi"/>
          <w:lang w:eastAsia="en-GB"/>
        </w:rPr>
        <w:t>52.3</w:t>
      </w:r>
      <w:r w:rsidR="00097B7F" w:rsidRPr="00BF17B0">
        <w:rPr>
          <w:rFonts w:asciiTheme="minorHAnsi" w:hAnsiTheme="minorHAnsi" w:cstheme="minorHAnsi"/>
          <w:lang w:eastAsia="en-GB"/>
        </w:rPr>
        <w:t xml:space="preserve"> percent </w:t>
      </w:r>
      <w:r w:rsidR="00741F7F" w:rsidRPr="00BF17B0">
        <w:rPr>
          <w:rFonts w:asciiTheme="minorHAnsi" w:hAnsiTheme="minorHAnsi" w:cstheme="minorHAnsi"/>
          <w:lang w:eastAsia="en-GB"/>
        </w:rPr>
        <w:t xml:space="preserve">of PH-PTF disbursements were allocated to </w:t>
      </w:r>
      <w:r w:rsidR="00B21C86" w:rsidRPr="00BF17B0">
        <w:rPr>
          <w:rFonts w:asciiTheme="minorHAnsi" w:hAnsiTheme="minorHAnsi" w:cstheme="minorHAnsi"/>
          <w:lang w:eastAsia="en-GB"/>
        </w:rPr>
        <w:t xml:space="preserve">activities linked to </w:t>
      </w:r>
      <w:r w:rsidR="00097B7F" w:rsidRPr="00BF17B0">
        <w:rPr>
          <w:rFonts w:asciiTheme="minorHAnsi" w:hAnsiTheme="minorHAnsi" w:cstheme="minorHAnsi"/>
          <w:lang w:eastAsia="en-GB"/>
        </w:rPr>
        <w:t xml:space="preserve">World Bank </w:t>
      </w:r>
      <w:r w:rsidR="00B21C86" w:rsidRPr="00BF17B0">
        <w:rPr>
          <w:rFonts w:asciiTheme="minorHAnsi" w:hAnsiTheme="minorHAnsi" w:cstheme="minorHAnsi"/>
          <w:lang w:eastAsia="en-GB"/>
        </w:rPr>
        <w:t>investment operations</w:t>
      </w:r>
      <w:r w:rsidR="00097B7F" w:rsidRPr="00BF17B0">
        <w:rPr>
          <w:rFonts w:asciiTheme="minorHAnsi" w:hAnsiTheme="minorHAnsi" w:cstheme="minorHAnsi"/>
          <w:lang w:eastAsia="en-GB"/>
        </w:rPr>
        <w:t>,</w:t>
      </w:r>
      <w:r w:rsidR="00B21C86" w:rsidRPr="00BF17B0">
        <w:rPr>
          <w:rFonts w:asciiTheme="minorHAnsi" w:hAnsiTheme="minorHAnsi" w:cstheme="minorHAnsi"/>
          <w:lang w:eastAsia="en-GB"/>
        </w:rPr>
        <w:t xml:space="preserve"> while 47</w:t>
      </w:r>
      <w:r w:rsidR="00097B7F" w:rsidRPr="00BF17B0">
        <w:rPr>
          <w:rFonts w:asciiTheme="minorHAnsi" w:hAnsiTheme="minorHAnsi" w:cstheme="minorHAnsi"/>
          <w:lang w:eastAsia="en-GB"/>
        </w:rPr>
        <w:t xml:space="preserve"> percent </w:t>
      </w:r>
      <w:r w:rsidR="00B21C86" w:rsidRPr="00BF17B0">
        <w:rPr>
          <w:rFonts w:asciiTheme="minorHAnsi" w:hAnsiTheme="minorHAnsi" w:cstheme="minorHAnsi"/>
          <w:lang w:eastAsia="en-GB"/>
        </w:rPr>
        <w:t xml:space="preserve">were linked to </w:t>
      </w:r>
      <w:r w:rsidR="00741F7F" w:rsidRPr="00BF17B0">
        <w:rPr>
          <w:rFonts w:asciiTheme="minorHAnsi" w:hAnsiTheme="minorHAnsi" w:cstheme="minorHAnsi"/>
          <w:lang w:eastAsia="en-GB"/>
        </w:rPr>
        <w:t xml:space="preserve">advisory services and analytics tasks. </w:t>
      </w:r>
      <w:r w:rsidR="00974F30" w:rsidRPr="00BF17B0">
        <w:rPr>
          <w:rFonts w:asciiTheme="minorHAnsi" w:hAnsiTheme="minorHAnsi" w:cstheme="minorHAnsi"/>
          <w:lang w:eastAsia="en-GB"/>
        </w:rPr>
        <w:t>T</w:t>
      </w:r>
      <w:r w:rsidR="00CC75E1" w:rsidRPr="00BF17B0">
        <w:rPr>
          <w:rFonts w:asciiTheme="minorHAnsi" w:hAnsiTheme="minorHAnsi" w:cstheme="minorHAnsi"/>
          <w:lang w:eastAsia="en-GB"/>
        </w:rPr>
        <w:t xml:space="preserve">rust funds provided 76 percent ($46.6 million) of the total disbursements for </w:t>
      </w:r>
      <w:r w:rsidR="00D55FF5" w:rsidRPr="00BF17B0">
        <w:rPr>
          <w:rFonts w:asciiTheme="minorHAnsi" w:hAnsiTheme="minorHAnsi" w:cstheme="minorHAnsi"/>
          <w:lang w:eastAsia="en-GB"/>
        </w:rPr>
        <w:t xml:space="preserve">ASA tasks </w:t>
      </w:r>
      <w:r w:rsidR="00CC75E1" w:rsidRPr="00BF17B0">
        <w:rPr>
          <w:rFonts w:asciiTheme="minorHAnsi" w:hAnsiTheme="minorHAnsi" w:cstheme="minorHAnsi"/>
          <w:lang w:eastAsia="en-GB"/>
        </w:rPr>
        <w:t>in the Philippine</w:t>
      </w:r>
      <w:r w:rsidR="00974F30" w:rsidRPr="00BF17B0">
        <w:rPr>
          <w:rFonts w:asciiTheme="minorHAnsi" w:hAnsiTheme="minorHAnsi" w:cstheme="minorHAnsi"/>
          <w:lang w:eastAsia="en-GB"/>
        </w:rPr>
        <w:t xml:space="preserve"> </w:t>
      </w:r>
      <w:r w:rsidR="00D55FF5" w:rsidRPr="00BF17B0">
        <w:rPr>
          <w:rFonts w:asciiTheme="minorHAnsi" w:hAnsiTheme="minorHAnsi" w:cstheme="minorHAnsi"/>
          <w:lang w:eastAsia="en-GB"/>
        </w:rPr>
        <w:t xml:space="preserve">program </w:t>
      </w:r>
      <w:r w:rsidR="00974F30" w:rsidRPr="00BF17B0">
        <w:rPr>
          <w:rFonts w:asciiTheme="minorHAnsi" w:hAnsiTheme="minorHAnsi" w:cstheme="minorHAnsi"/>
          <w:lang w:eastAsia="en-GB"/>
        </w:rPr>
        <w:t xml:space="preserve">that were </w:t>
      </w:r>
      <w:r w:rsidR="00D55FF5" w:rsidRPr="00BF17B0">
        <w:rPr>
          <w:rFonts w:asciiTheme="minorHAnsi" w:hAnsiTheme="minorHAnsi" w:cstheme="minorHAnsi"/>
          <w:lang w:eastAsia="en-GB"/>
        </w:rPr>
        <w:t>completed during this same period</w:t>
      </w:r>
      <w:r w:rsidR="00CC75E1" w:rsidRPr="00BF17B0">
        <w:rPr>
          <w:rFonts w:asciiTheme="minorHAnsi" w:hAnsiTheme="minorHAnsi" w:cstheme="minorHAnsi"/>
          <w:lang w:eastAsia="en-GB"/>
        </w:rPr>
        <w:t xml:space="preserve">. The </w:t>
      </w:r>
      <w:r w:rsidR="006D1856" w:rsidRPr="00BF17B0">
        <w:rPr>
          <w:rFonts w:asciiTheme="minorHAnsi" w:hAnsiTheme="minorHAnsi" w:cstheme="minorHAnsi"/>
          <w:lang w:eastAsia="en-GB"/>
        </w:rPr>
        <w:t>PH-PTF</w:t>
      </w:r>
      <w:r w:rsidR="00D55FF5" w:rsidRPr="00BF17B0">
        <w:rPr>
          <w:rFonts w:asciiTheme="minorHAnsi" w:hAnsiTheme="minorHAnsi" w:cstheme="minorHAnsi"/>
          <w:lang w:eastAsia="en-GB"/>
        </w:rPr>
        <w:t xml:space="preserve"> disbursed </w:t>
      </w:r>
      <w:r w:rsidR="004561F7" w:rsidRPr="00BF17B0">
        <w:rPr>
          <w:rFonts w:asciiTheme="minorHAnsi" w:hAnsiTheme="minorHAnsi" w:cstheme="minorHAnsi"/>
          <w:lang w:eastAsia="en-GB"/>
        </w:rPr>
        <w:t xml:space="preserve">a total of </w:t>
      </w:r>
      <w:r w:rsidR="00D55FF5" w:rsidRPr="00BF17B0">
        <w:rPr>
          <w:rFonts w:asciiTheme="minorHAnsi" w:hAnsiTheme="minorHAnsi" w:cstheme="minorHAnsi"/>
          <w:lang w:eastAsia="en-GB"/>
        </w:rPr>
        <w:t>$22.4 million</w:t>
      </w:r>
      <w:r w:rsidR="004561F7" w:rsidRPr="00BF17B0">
        <w:rPr>
          <w:rFonts w:asciiTheme="minorHAnsi" w:hAnsiTheme="minorHAnsi" w:cstheme="minorHAnsi"/>
          <w:lang w:eastAsia="en-GB"/>
        </w:rPr>
        <w:t xml:space="preserve"> for ASA tasks </w:t>
      </w:r>
      <w:r w:rsidR="007B2C72" w:rsidRPr="00BF17B0">
        <w:rPr>
          <w:rFonts w:asciiTheme="minorHAnsi" w:hAnsiTheme="minorHAnsi" w:cstheme="minorHAnsi"/>
          <w:lang w:eastAsia="en-GB"/>
        </w:rPr>
        <w:t>from FY2010-18</w:t>
      </w:r>
      <w:r w:rsidR="004561F7" w:rsidRPr="00BF17B0">
        <w:rPr>
          <w:rFonts w:asciiTheme="minorHAnsi" w:hAnsiTheme="minorHAnsi" w:cstheme="minorHAnsi"/>
          <w:lang w:eastAsia="en-GB"/>
        </w:rPr>
        <w:t>, some of which are still under implementation</w:t>
      </w:r>
      <w:r w:rsidR="00CC75E1" w:rsidRPr="00BF17B0">
        <w:rPr>
          <w:rFonts w:asciiTheme="minorHAnsi" w:hAnsiTheme="minorHAnsi" w:cstheme="minorHAnsi"/>
          <w:lang w:eastAsia="en-GB"/>
        </w:rPr>
        <w:t>.</w:t>
      </w:r>
    </w:p>
    <w:p w14:paraId="6543B13E" w14:textId="53C2A780" w:rsidR="00DA526A" w:rsidRPr="00BF17B0" w:rsidRDefault="004561F7" w:rsidP="00AF1EBE">
      <w:pPr>
        <w:rPr>
          <w:rFonts w:asciiTheme="minorHAnsi" w:hAnsiTheme="minorHAnsi" w:cstheme="minorHAnsi"/>
          <w:lang w:eastAsia="en-GB"/>
        </w:rPr>
      </w:pPr>
      <w:r w:rsidRPr="00BF17B0">
        <w:rPr>
          <w:rFonts w:asciiTheme="minorHAnsi" w:hAnsiTheme="minorHAnsi" w:cstheme="minorHAnsi"/>
          <w:lang w:eastAsia="en-GB"/>
        </w:rPr>
        <w:t>T</w:t>
      </w:r>
      <w:r w:rsidR="00B07C17" w:rsidRPr="00BF17B0">
        <w:rPr>
          <w:rFonts w:asciiTheme="minorHAnsi" w:hAnsiTheme="minorHAnsi" w:cstheme="minorHAnsi"/>
          <w:lang w:eastAsia="en-GB"/>
        </w:rPr>
        <w:t xml:space="preserve">he World Bank's </w:t>
      </w:r>
      <w:r w:rsidR="00F605F0" w:rsidRPr="00BF17B0">
        <w:rPr>
          <w:rFonts w:asciiTheme="minorHAnsi" w:hAnsiTheme="minorHAnsi" w:cstheme="minorHAnsi"/>
          <w:lang w:eastAsia="en-GB"/>
        </w:rPr>
        <w:t xml:space="preserve">advisory services and analytics </w:t>
      </w:r>
      <w:r w:rsidR="00B07C17" w:rsidRPr="00BF17B0">
        <w:rPr>
          <w:rFonts w:asciiTheme="minorHAnsi" w:hAnsiTheme="minorHAnsi" w:cstheme="minorHAnsi"/>
          <w:lang w:eastAsia="en-GB"/>
        </w:rPr>
        <w:t xml:space="preserve">program in the Philippines </w:t>
      </w:r>
      <w:r w:rsidR="00C46EA3" w:rsidRPr="00BF17B0">
        <w:rPr>
          <w:rFonts w:asciiTheme="minorHAnsi" w:hAnsiTheme="minorHAnsi" w:cstheme="minorHAnsi"/>
          <w:lang w:eastAsia="en-GB"/>
        </w:rPr>
        <w:t>i</w:t>
      </w:r>
      <w:r w:rsidR="00B07C17" w:rsidRPr="00BF17B0">
        <w:rPr>
          <w:rFonts w:asciiTheme="minorHAnsi" w:hAnsiTheme="minorHAnsi" w:cstheme="minorHAnsi"/>
          <w:lang w:eastAsia="en-GB"/>
        </w:rPr>
        <w:t>s about 50</w:t>
      </w:r>
      <w:r w:rsidR="00F605F0" w:rsidRPr="00BF17B0">
        <w:rPr>
          <w:rFonts w:asciiTheme="minorHAnsi" w:hAnsiTheme="minorHAnsi" w:cstheme="minorHAnsi"/>
          <w:lang w:eastAsia="en-GB"/>
        </w:rPr>
        <w:t xml:space="preserve"> percent</w:t>
      </w:r>
      <w:r w:rsidR="00B07C17" w:rsidRPr="00BF17B0">
        <w:rPr>
          <w:rFonts w:asciiTheme="minorHAnsi" w:hAnsiTheme="minorHAnsi" w:cstheme="minorHAnsi"/>
          <w:lang w:eastAsia="en-GB"/>
        </w:rPr>
        <w:t xml:space="preserve"> larger than it would have been </w:t>
      </w:r>
      <w:r w:rsidR="00443EF3" w:rsidRPr="00BF17B0">
        <w:rPr>
          <w:rFonts w:asciiTheme="minorHAnsi" w:hAnsiTheme="minorHAnsi" w:cstheme="minorHAnsi"/>
          <w:lang w:eastAsia="en-GB"/>
        </w:rPr>
        <w:t xml:space="preserve">had there been </w:t>
      </w:r>
      <w:r w:rsidR="00FA2017" w:rsidRPr="00BF17B0">
        <w:rPr>
          <w:rFonts w:asciiTheme="minorHAnsi" w:hAnsiTheme="minorHAnsi" w:cstheme="minorHAnsi"/>
          <w:lang w:eastAsia="en-GB"/>
        </w:rPr>
        <w:t xml:space="preserve">no </w:t>
      </w:r>
      <w:r w:rsidR="0060525D" w:rsidRPr="00BF17B0">
        <w:rPr>
          <w:rFonts w:asciiTheme="minorHAnsi" w:hAnsiTheme="minorHAnsi" w:cstheme="minorHAnsi"/>
          <w:lang w:eastAsia="en-GB"/>
        </w:rPr>
        <w:t>PH-</w:t>
      </w:r>
      <w:r w:rsidR="00A53818" w:rsidRPr="00BF17B0">
        <w:rPr>
          <w:rFonts w:asciiTheme="minorHAnsi" w:hAnsiTheme="minorHAnsi" w:cstheme="minorHAnsi"/>
          <w:lang w:eastAsia="en-GB"/>
        </w:rPr>
        <w:t>PTF</w:t>
      </w:r>
      <w:r w:rsidR="00B07C17" w:rsidRPr="00BF17B0">
        <w:rPr>
          <w:rFonts w:asciiTheme="minorHAnsi" w:hAnsiTheme="minorHAnsi" w:cstheme="minorHAnsi"/>
          <w:lang w:eastAsia="en-GB"/>
        </w:rPr>
        <w:t xml:space="preserve">.  </w:t>
      </w:r>
      <w:r w:rsidR="00135679" w:rsidRPr="00BF17B0">
        <w:rPr>
          <w:rFonts w:asciiTheme="minorHAnsi" w:hAnsiTheme="minorHAnsi" w:cstheme="minorHAnsi"/>
          <w:lang w:eastAsia="en-GB"/>
        </w:rPr>
        <w:t xml:space="preserve">This is a major contribution in </w:t>
      </w:r>
      <w:r w:rsidR="00A31F64" w:rsidRPr="00BF17B0">
        <w:rPr>
          <w:rFonts w:asciiTheme="minorHAnsi" w:hAnsiTheme="minorHAnsi" w:cstheme="minorHAnsi"/>
          <w:lang w:eastAsia="en-GB"/>
        </w:rPr>
        <w:t>itself but</w:t>
      </w:r>
      <w:r w:rsidR="00135679" w:rsidRPr="00BF17B0">
        <w:rPr>
          <w:rFonts w:asciiTheme="minorHAnsi" w:hAnsiTheme="minorHAnsi" w:cstheme="minorHAnsi"/>
          <w:lang w:eastAsia="en-GB"/>
        </w:rPr>
        <w:t xml:space="preserve"> is </w:t>
      </w:r>
      <w:r w:rsidR="000C47F0" w:rsidRPr="00BF17B0">
        <w:rPr>
          <w:rFonts w:asciiTheme="minorHAnsi" w:hAnsiTheme="minorHAnsi" w:cstheme="minorHAnsi"/>
          <w:lang w:eastAsia="en-GB"/>
        </w:rPr>
        <w:t xml:space="preserve">even </w:t>
      </w:r>
      <w:r w:rsidR="00135679" w:rsidRPr="00BF17B0">
        <w:rPr>
          <w:rFonts w:asciiTheme="minorHAnsi" w:hAnsiTheme="minorHAnsi" w:cstheme="minorHAnsi"/>
          <w:lang w:eastAsia="en-GB"/>
        </w:rPr>
        <w:t>more important given the responsiveness and flexibility of the PH-PTF mechanism</w:t>
      </w:r>
      <w:r w:rsidR="000B6345" w:rsidRPr="00BF17B0">
        <w:rPr>
          <w:rFonts w:asciiTheme="minorHAnsi" w:hAnsiTheme="minorHAnsi" w:cstheme="minorHAnsi"/>
          <w:lang w:eastAsia="en-GB"/>
        </w:rPr>
        <w:t>, which contra</w:t>
      </w:r>
      <w:r w:rsidR="008E6640" w:rsidRPr="00BF17B0">
        <w:rPr>
          <w:rFonts w:asciiTheme="minorHAnsi" w:hAnsiTheme="minorHAnsi" w:cstheme="minorHAnsi"/>
          <w:lang w:eastAsia="en-GB"/>
        </w:rPr>
        <w:t>s</w:t>
      </w:r>
      <w:r w:rsidR="000B6345" w:rsidRPr="00BF17B0">
        <w:rPr>
          <w:rFonts w:asciiTheme="minorHAnsi" w:hAnsiTheme="minorHAnsi" w:cstheme="minorHAnsi"/>
          <w:lang w:eastAsia="en-GB"/>
        </w:rPr>
        <w:t xml:space="preserve">ts with most other </w:t>
      </w:r>
      <w:r w:rsidR="00F605F0" w:rsidRPr="00BF17B0">
        <w:rPr>
          <w:rFonts w:asciiTheme="minorHAnsi" w:hAnsiTheme="minorHAnsi" w:cstheme="minorHAnsi"/>
          <w:lang w:eastAsia="en-GB"/>
        </w:rPr>
        <w:t>trust fund</w:t>
      </w:r>
      <w:r w:rsidR="000B6345" w:rsidRPr="00BF17B0">
        <w:rPr>
          <w:rFonts w:asciiTheme="minorHAnsi" w:hAnsiTheme="minorHAnsi" w:cstheme="minorHAnsi"/>
          <w:lang w:eastAsia="en-GB"/>
        </w:rPr>
        <w:t xml:space="preserve"> resources </w:t>
      </w:r>
      <w:r w:rsidR="00F605F0" w:rsidRPr="00BF17B0">
        <w:rPr>
          <w:rFonts w:asciiTheme="minorHAnsi" w:hAnsiTheme="minorHAnsi" w:cstheme="minorHAnsi"/>
          <w:lang w:eastAsia="en-GB"/>
        </w:rPr>
        <w:t xml:space="preserve">that </w:t>
      </w:r>
      <w:r w:rsidR="000B6345" w:rsidRPr="00BF17B0">
        <w:rPr>
          <w:rFonts w:asciiTheme="minorHAnsi" w:hAnsiTheme="minorHAnsi" w:cstheme="minorHAnsi"/>
          <w:lang w:eastAsia="en-GB"/>
        </w:rPr>
        <w:t xml:space="preserve">are </w:t>
      </w:r>
      <w:r w:rsidR="00DE30EE" w:rsidRPr="00BF17B0">
        <w:rPr>
          <w:rFonts w:asciiTheme="minorHAnsi" w:hAnsiTheme="minorHAnsi" w:cstheme="minorHAnsi"/>
          <w:lang w:eastAsia="en-GB"/>
        </w:rPr>
        <w:t>focused</w:t>
      </w:r>
      <w:r w:rsidR="000B6345" w:rsidRPr="00BF17B0">
        <w:rPr>
          <w:rFonts w:asciiTheme="minorHAnsi" w:hAnsiTheme="minorHAnsi" w:cstheme="minorHAnsi"/>
          <w:lang w:eastAsia="en-GB"/>
        </w:rPr>
        <w:t xml:space="preserve"> on very specific </w:t>
      </w:r>
      <w:r w:rsidR="00F605F0" w:rsidRPr="00BF17B0">
        <w:rPr>
          <w:rFonts w:asciiTheme="minorHAnsi" w:hAnsiTheme="minorHAnsi" w:cstheme="minorHAnsi"/>
          <w:lang w:eastAsia="en-GB"/>
        </w:rPr>
        <w:t>areas</w:t>
      </w:r>
      <w:r w:rsidR="000B6345" w:rsidRPr="00BF17B0">
        <w:rPr>
          <w:rFonts w:asciiTheme="minorHAnsi" w:hAnsiTheme="minorHAnsi" w:cstheme="minorHAnsi"/>
          <w:lang w:eastAsia="en-GB"/>
        </w:rPr>
        <w:t>.</w:t>
      </w:r>
    </w:p>
    <w:p w14:paraId="70F37E8C" w14:textId="77777777" w:rsidR="000E7326" w:rsidRPr="00BF17B0" w:rsidRDefault="000E7326" w:rsidP="000E7326">
      <w:pPr>
        <w:rPr>
          <w:rFonts w:asciiTheme="minorHAnsi" w:hAnsiTheme="minorHAnsi" w:cstheme="minorHAnsi"/>
          <w:lang w:eastAsia="en-GB"/>
        </w:rPr>
      </w:pPr>
    </w:p>
    <w:p w14:paraId="484AB7B2" w14:textId="77777777" w:rsidR="008E6640" w:rsidRPr="00BF17B0" w:rsidRDefault="008E6640" w:rsidP="00BF07C4">
      <w:pPr>
        <w:pStyle w:val="Heading2"/>
        <w:rPr>
          <w:rFonts w:asciiTheme="minorHAnsi" w:hAnsiTheme="minorHAnsi" w:cstheme="minorHAnsi"/>
          <w:u w:val="single"/>
          <w:lang w:eastAsia="en-GB"/>
        </w:rPr>
      </w:pPr>
      <w:bookmarkStart w:id="182" w:name="_Toc530052342"/>
      <w:bookmarkStart w:id="183" w:name="_Toc530052491"/>
      <w:bookmarkStart w:id="184" w:name="_Toc530054023"/>
      <w:bookmarkStart w:id="185" w:name="_Toc530055080"/>
      <w:bookmarkStart w:id="186" w:name="_Toc530386729"/>
      <w:bookmarkStart w:id="187" w:name="_Toc530052343"/>
      <w:bookmarkStart w:id="188" w:name="_Toc530052492"/>
      <w:bookmarkStart w:id="189" w:name="_Toc530054024"/>
      <w:bookmarkStart w:id="190" w:name="_Toc530055081"/>
      <w:bookmarkStart w:id="191" w:name="_Toc530386730"/>
      <w:bookmarkStart w:id="192" w:name="_Toc530052344"/>
      <w:bookmarkStart w:id="193" w:name="_Toc530052493"/>
      <w:bookmarkStart w:id="194" w:name="_Toc530054025"/>
      <w:bookmarkStart w:id="195" w:name="_Toc530055082"/>
      <w:bookmarkStart w:id="196" w:name="_Toc530386731"/>
      <w:bookmarkStart w:id="197" w:name="_Toc53299429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BF17B0">
        <w:rPr>
          <w:rFonts w:asciiTheme="minorHAnsi" w:hAnsiTheme="minorHAnsi" w:cstheme="minorHAnsi"/>
        </w:rPr>
        <w:t>Relevance</w:t>
      </w:r>
      <w:bookmarkEnd w:id="197"/>
      <w:r w:rsidR="00CF5291" w:rsidRPr="00BF17B0">
        <w:rPr>
          <w:rFonts w:asciiTheme="minorHAnsi" w:hAnsiTheme="minorHAnsi" w:cstheme="minorHAnsi"/>
        </w:rPr>
        <w:t xml:space="preserve"> </w:t>
      </w:r>
    </w:p>
    <w:p w14:paraId="757604CC" w14:textId="0AD91CEA" w:rsidR="00E667C2" w:rsidRPr="00BF17B0" w:rsidRDefault="00D8198D" w:rsidP="004B3E58">
      <w:pPr>
        <w:rPr>
          <w:rFonts w:asciiTheme="minorHAnsi" w:hAnsiTheme="minorHAnsi" w:cstheme="minorHAnsi"/>
          <w:lang w:eastAsia="en-GB"/>
        </w:rPr>
      </w:pPr>
      <w:r w:rsidRPr="00BF17B0">
        <w:rPr>
          <w:rFonts w:asciiTheme="minorHAnsi" w:hAnsiTheme="minorHAnsi" w:cstheme="minorHAnsi"/>
          <w:lang w:eastAsia="en-GB"/>
        </w:rPr>
        <w:t xml:space="preserve">The </w:t>
      </w:r>
      <w:r w:rsidR="006D1856" w:rsidRPr="00BF17B0">
        <w:rPr>
          <w:rFonts w:asciiTheme="minorHAnsi" w:hAnsiTheme="minorHAnsi" w:cstheme="minorHAnsi"/>
          <w:lang w:eastAsia="en-GB"/>
        </w:rPr>
        <w:t>PH-PTF</w:t>
      </w:r>
      <w:r w:rsidRPr="00BF17B0">
        <w:rPr>
          <w:rFonts w:asciiTheme="minorHAnsi" w:hAnsiTheme="minorHAnsi" w:cstheme="minorHAnsi"/>
          <w:lang w:eastAsia="en-GB"/>
        </w:rPr>
        <w:t xml:space="preserve"> aimed </w:t>
      </w:r>
      <w:r w:rsidR="008E6640" w:rsidRPr="00BF17B0">
        <w:rPr>
          <w:rFonts w:asciiTheme="minorHAnsi" w:hAnsiTheme="minorHAnsi" w:cstheme="minorHAnsi"/>
          <w:lang w:eastAsia="en-GB"/>
        </w:rPr>
        <w:t xml:space="preserve">to contribute to the achievement of DFAT and </w:t>
      </w:r>
      <w:r w:rsidR="00063409" w:rsidRPr="00BF17B0">
        <w:rPr>
          <w:rFonts w:asciiTheme="minorHAnsi" w:hAnsiTheme="minorHAnsi" w:cstheme="minorHAnsi"/>
          <w:lang w:eastAsia="en-GB"/>
        </w:rPr>
        <w:t>the World Bank</w:t>
      </w:r>
      <w:r w:rsidR="00A51F99" w:rsidRPr="00BF17B0">
        <w:rPr>
          <w:rFonts w:asciiTheme="minorHAnsi" w:hAnsiTheme="minorHAnsi" w:cstheme="minorHAnsi"/>
          <w:lang w:eastAsia="en-GB"/>
        </w:rPr>
        <w:t>’s</w:t>
      </w:r>
      <w:r w:rsidR="008E6640" w:rsidRPr="00BF17B0">
        <w:rPr>
          <w:rFonts w:asciiTheme="minorHAnsi" w:hAnsiTheme="minorHAnsi" w:cstheme="minorHAnsi"/>
          <w:lang w:eastAsia="en-GB"/>
        </w:rPr>
        <w:t xml:space="preserve"> shared objectives, and to </w:t>
      </w:r>
      <w:r w:rsidR="00A51F99" w:rsidRPr="00BF17B0">
        <w:rPr>
          <w:rFonts w:asciiTheme="minorHAnsi" w:hAnsiTheme="minorHAnsi" w:cstheme="minorHAnsi"/>
          <w:lang w:eastAsia="en-GB"/>
        </w:rPr>
        <w:t xml:space="preserve">align </w:t>
      </w:r>
      <w:r w:rsidR="002E437C" w:rsidRPr="00BF17B0">
        <w:rPr>
          <w:rFonts w:asciiTheme="minorHAnsi" w:hAnsiTheme="minorHAnsi" w:cstheme="minorHAnsi"/>
          <w:lang w:eastAsia="en-GB"/>
        </w:rPr>
        <w:t xml:space="preserve">these objectives </w:t>
      </w:r>
      <w:r w:rsidR="008E6640" w:rsidRPr="00BF17B0">
        <w:rPr>
          <w:rFonts w:asciiTheme="minorHAnsi" w:hAnsiTheme="minorHAnsi" w:cstheme="minorHAnsi"/>
          <w:lang w:eastAsia="en-GB"/>
        </w:rPr>
        <w:t xml:space="preserve">with the </w:t>
      </w:r>
      <w:r w:rsidR="00407909">
        <w:rPr>
          <w:rFonts w:asciiTheme="minorHAnsi" w:hAnsiTheme="minorHAnsi" w:cstheme="minorHAnsi"/>
          <w:lang w:eastAsia="en-GB"/>
        </w:rPr>
        <w:t>GoP</w:t>
      </w:r>
      <w:r w:rsidR="00332D5C" w:rsidRPr="00BF17B0">
        <w:rPr>
          <w:rFonts w:asciiTheme="minorHAnsi" w:hAnsiTheme="minorHAnsi" w:cstheme="minorHAnsi"/>
          <w:lang w:eastAsia="en-GB"/>
        </w:rPr>
        <w:t>’s</w:t>
      </w:r>
      <w:r w:rsidR="008E6640" w:rsidRPr="00BF17B0">
        <w:rPr>
          <w:rFonts w:asciiTheme="minorHAnsi" w:hAnsiTheme="minorHAnsi" w:cstheme="minorHAnsi"/>
          <w:lang w:eastAsia="en-GB"/>
        </w:rPr>
        <w:t xml:space="preserve"> development strategy</w:t>
      </w:r>
      <w:r w:rsidR="00EB211F" w:rsidRPr="00BF17B0">
        <w:rPr>
          <w:rFonts w:asciiTheme="minorHAnsi" w:hAnsiTheme="minorHAnsi" w:cstheme="minorHAnsi"/>
          <w:lang w:eastAsia="en-GB"/>
        </w:rPr>
        <w:t>.</w:t>
      </w:r>
      <w:r w:rsidR="00244D34" w:rsidRPr="00BF17B0">
        <w:rPr>
          <w:rFonts w:asciiTheme="minorHAnsi" w:hAnsiTheme="minorHAnsi" w:cstheme="minorHAnsi"/>
        </w:rPr>
        <w:t xml:space="preserve"> The activities supported by </w:t>
      </w:r>
      <w:r w:rsidR="00515423" w:rsidRPr="00BF17B0">
        <w:rPr>
          <w:rFonts w:asciiTheme="minorHAnsi" w:hAnsiTheme="minorHAnsi" w:cstheme="minorHAnsi"/>
        </w:rPr>
        <w:t>PH-</w:t>
      </w:r>
      <w:r w:rsidR="00A53818" w:rsidRPr="00BF17B0">
        <w:rPr>
          <w:rFonts w:asciiTheme="minorHAnsi" w:hAnsiTheme="minorHAnsi" w:cstheme="minorHAnsi"/>
        </w:rPr>
        <w:t>PTF</w:t>
      </w:r>
      <w:r w:rsidR="00244D34" w:rsidRPr="00BF17B0">
        <w:rPr>
          <w:rFonts w:asciiTheme="minorHAnsi" w:hAnsiTheme="minorHAnsi" w:cstheme="minorHAnsi"/>
        </w:rPr>
        <w:t xml:space="preserve"> were selected according to the priorities articulated in the Philippines</w:t>
      </w:r>
      <w:r w:rsidR="00CF5291" w:rsidRPr="00BF17B0">
        <w:rPr>
          <w:rFonts w:asciiTheme="minorHAnsi" w:hAnsiTheme="minorHAnsi" w:cstheme="minorHAnsi"/>
        </w:rPr>
        <w:t>-Australia</w:t>
      </w:r>
      <w:r w:rsidR="00244D34" w:rsidRPr="00BF17B0">
        <w:rPr>
          <w:rFonts w:asciiTheme="minorHAnsi" w:hAnsiTheme="minorHAnsi" w:cstheme="minorHAnsi"/>
        </w:rPr>
        <w:t xml:space="preserve"> Development Cooperation Program and in the World Bank Country</w:t>
      </w:r>
      <w:r w:rsidR="00D11D5F" w:rsidRPr="00BF17B0">
        <w:rPr>
          <w:rFonts w:asciiTheme="minorHAnsi" w:hAnsiTheme="minorHAnsi" w:cstheme="minorHAnsi"/>
        </w:rPr>
        <w:t xml:space="preserve"> Partnership</w:t>
      </w:r>
      <w:r w:rsidR="00244D34" w:rsidRPr="00BF17B0">
        <w:rPr>
          <w:rFonts w:asciiTheme="minorHAnsi" w:hAnsiTheme="minorHAnsi" w:cstheme="minorHAnsi"/>
        </w:rPr>
        <w:t xml:space="preserve"> Strategy</w:t>
      </w:r>
      <w:r w:rsidR="00CF5291" w:rsidRPr="00BF17B0">
        <w:rPr>
          <w:rFonts w:asciiTheme="minorHAnsi" w:hAnsiTheme="minorHAnsi" w:cstheme="minorHAnsi"/>
        </w:rPr>
        <w:t xml:space="preserve">, </w:t>
      </w:r>
      <w:r w:rsidR="00244D34" w:rsidRPr="00BF17B0">
        <w:rPr>
          <w:rFonts w:asciiTheme="minorHAnsi" w:hAnsiTheme="minorHAnsi" w:cstheme="minorHAnsi"/>
        </w:rPr>
        <w:t xml:space="preserve">both </w:t>
      </w:r>
      <w:r w:rsidR="00A424E1" w:rsidRPr="00BF17B0">
        <w:rPr>
          <w:rFonts w:asciiTheme="minorHAnsi" w:hAnsiTheme="minorHAnsi" w:cstheme="minorHAnsi"/>
        </w:rPr>
        <w:t xml:space="preserve">of which are </w:t>
      </w:r>
      <w:r w:rsidR="00244D34" w:rsidRPr="00BF17B0">
        <w:rPr>
          <w:rFonts w:asciiTheme="minorHAnsi" w:hAnsiTheme="minorHAnsi" w:cstheme="minorHAnsi"/>
        </w:rPr>
        <w:t xml:space="preserve">anchored </w:t>
      </w:r>
      <w:r w:rsidR="00CF5291" w:rsidRPr="00BF17B0">
        <w:rPr>
          <w:rFonts w:asciiTheme="minorHAnsi" w:hAnsiTheme="minorHAnsi" w:cstheme="minorHAnsi"/>
        </w:rPr>
        <w:t xml:space="preserve">on </w:t>
      </w:r>
      <w:r w:rsidR="00244D34" w:rsidRPr="00BF17B0">
        <w:rPr>
          <w:rFonts w:asciiTheme="minorHAnsi" w:hAnsiTheme="minorHAnsi" w:cstheme="minorHAnsi"/>
        </w:rPr>
        <w:t>the Philippine Development Plan</w:t>
      </w:r>
      <w:r w:rsidR="003A1774" w:rsidRPr="00BF17B0">
        <w:rPr>
          <w:rFonts w:asciiTheme="minorHAnsi" w:hAnsiTheme="minorHAnsi" w:cstheme="minorHAnsi"/>
        </w:rPr>
        <w:t xml:space="preserve"> and prepared in close consult</w:t>
      </w:r>
      <w:r w:rsidR="00642042">
        <w:rPr>
          <w:rFonts w:asciiTheme="minorHAnsi" w:hAnsiTheme="minorHAnsi" w:cstheme="minorHAnsi"/>
        </w:rPr>
        <w:t>ation with GoP</w:t>
      </w:r>
      <w:r w:rsidR="003A1774" w:rsidRPr="00BF17B0">
        <w:rPr>
          <w:rFonts w:asciiTheme="minorHAnsi" w:hAnsiTheme="minorHAnsi" w:cstheme="minorHAnsi"/>
        </w:rPr>
        <w:t xml:space="preserve"> counterparts</w:t>
      </w:r>
      <w:r w:rsidR="009D2796" w:rsidRPr="00BF17B0">
        <w:rPr>
          <w:rFonts w:asciiTheme="minorHAnsi" w:hAnsiTheme="minorHAnsi" w:cstheme="minorHAnsi"/>
        </w:rPr>
        <w:t xml:space="preserve"> and other stakeholders. </w:t>
      </w:r>
    </w:p>
    <w:p w14:paraId="4BA2FDD8" w14:textId="0DD27417" w:rsidR="00451A54" w:rsidRPr="00BF17B0" w:rsidRDefault="00A51F99" w:rsidP="004B3E58">
      <w:pPr>
        <w:rPr>
          <w:rFonts w:asciiTheme="minorHAnsi" w:hAnsiTheme="minorHAnsi" w:cstheme="minorHAnsi"/>
          <w:noProof/>
        </w:rPr>
      </w:pPr>
      <w:r w:rsidRPr="00BF17B0">
        <w:rPr>
          <w:rFonts w:asciiTheme="minorHAnsi" w:hAnsiTheme="minorHAnsi" w:cstheme="minorHAnsi"/>
          <w:lang w:eastAsia="en-GB"/>
        </w:rPr>
        <w:t xml:space="preserve">In its </w:t>
      </w:r>
      <w:r w:rsidR="00642042">
        <w:rPr>
          <w:rFonts w:asciiTheme="minorHAnsi" w:hAnsiTheme="minorHAnsi" w:cstheme="minorHAnsi"/>
          <w:lang w:eastAsia="en-GB"/>
        </w:rPr>
        <w:t>ten</w:t>
      </w:r>
      <w:r w:rsidR="00BD7E48" w:rsidRPr="00BF17B0">
        <w:rPr>
          <w:rFonts w:asciiTheme="minorHAnsi" w:hAnsiTheme="minorHAnsi" w:cstheme="minorHAnsi"/>
          <w:lang w:eastAsia="en-GB"/>
        </w:rPr>
        <w:t xml:space="preserve"> </w:t>
      </w:r>
      <w:r w:rsidR="008E6640" w:rsidRPr="00BF17B0">
        <w:rPr>
          <w:rFonts w:asciiTheme="minorHAnsi" w:hAnsiTheme="minorHAnsi" w:cstheme="minorHAnsi"/>
          <w:lang w:eastAsia="en-GB"/>
        </w:rPr>
        <w:t xml:space="preserve">years </w:t>
      </w:r>
      <w:r w:rsidRPr="00BF17B0">
        <w:rPr>
          <w:rFonts w:asciiTheme="minorHAnsi" w:hAnsiTheme="minorHAnsi" w:cstheme="minorHAnsi"/>
          <w:lang w:eastAsia="en-GB"/>
        </w:rPr>
        <w:t xml:space="preserve">of implementation, the </w:t>
      </w:r>
      <w:r w:rsidR="00515423" w:rsidRPr="00BF17B0">
        <w:rPr>
          <w:rFonts w:asciiTheme="minorHAnsi" w:hAnsiTheme="minorHAnsi" w:cstheme="minorHAnsi"/>
          <w:lang w:eastAsia="en-GB"/>
        </w:rPr>
        <w:t>PH-</w:t>
      </w:r>
      <w:r w:rsidR="00A53818" w:rsidRPr="00BF17B0">
        <w:rPr>
          <w:rFonts w:asciiTheme="minorHAnsi" w:hAnsiTheme="minorHAnsi" w:cstheme="minorHAnsi"/>
          <w:lang w:eastAsia="en-GB"/>
        </w:rPr>
        <w:t>PTF</w:t>
      </w:r>
      <w:r w:rsidR="00EB0147" w:rsidRPr="00BF17B0">
        <w:rPr>
          <w:rFonts w:asciiTheme="minorHAnsi" w:hAnsiTheme="minorHAnsi" w:cstheme="minorHAnsi"/>
          <w:lang w:eastAsia="en-GB"/>
        </w:rPr>
        <w:t xml:space="preserve"> </w:t>
      </w:r>
      <w:r w:rsidR="008E6640" w:rsidRPr="00BF17B0">
        <w:rPr>
          <w:rFonts w:asciiTheme="minorHAnsi" w:hAnsiTheme="minorHAnsi" w:cstheme="minorHAnsi"/>
          <w:lang w:eastAsia="en-GB"/>
        </w:rPr>
        <w:t>a</w:t>
      </w:r>
      <w:r w:rsidR="007223C6" w:rsidRPr="00BF17B0">
        <w:rPr>
          <w:rFonts w:asciiTheme="minorHAnsi" w:hAnsiTheme="minorHAnsi" w:cstheme="minorHAnsi"/>
          <w:lang w:eastAsia="en-GB"/>
        </w:rPr>
        <w:t xml:space="preserve">chieved </w:t>
      </w:r>
      <w:r w:rsidR="004450E3" w:rsidRPr="00BF17B0">
        <w:rPr>
          <w:rFonts w:asciiTheme="minorHAnsi" w:hAnsiTheme="minorHAnsi" w:cstheme="minorHAnsi"/>
          <w:lang w:eastAsia="en-GB"/>
        </w:rPr>
        <w:t>its</w:t>
      </w:r>
      <w:r w:rsidRPr="00BF17B0">
        <w:rPr>
          <w:rFonts w:asciiTheme="minorHAnsi" w:hAnsiTheme="minorHAnsi" w:cstheme="minorHAnsi"/>
          <w:lang w:eastAsia="en-GB"/>
        </w:rPr>
        <w:t xml:space="preserve"> goals </w:t>
      </w:r>
      <w:r w:rsidR="007223C6" w:rsidRPr="00BF17B0">
        <w:rPr>
          <w:rFonts w:asciiTheme="minorHAnsi" w:hAnsiTheme="minorHAnsi" w:cstheme="minorHAnsi"/>
          <w:lang w:eastAsia="en-GB"/>
        </w:rPr>
        <w:t xml:space="preserve">successfully through </w:t>
      </w:r>
      <w:r w:rsidR="00642042">
        <w:rPr>
          <w:rFonts w:asciiTheme="minorHAnsi" w:hAnsiTheme="minorHAnsi" w:cstheme="minorHAnsi"/>
          <w:lang w:eastAsia="en-GB"/>
        </w:rPr>
        <w:t xml:space="preserve">support for grants which are closely aligned with </w:t>
      </w:r>
      <w:r w:rsidR="00377D1F" w:rsidRPr="00BF17B0">
        <w:rPr>
          <w:rFonts w:asciiTheme="minorHAnsi" w:hAnsiTheme="minorHAnsi" w:cstheme="minorHAnsi"/>
          <w:lang w:eastAsia="en-GB"/>
        </w:rPr>
        <w:t xml:space="preserve">these </w:t>
      </w:r>
      <w:r w:rsidR="007223C6" w:rsidRPr="00BF17B0">
        <w:rPr>
          <w:rFonts w:asciiTheme="minorHAnsi" w:hAnsiTheme="minorHAnsi" w:cstheme="minorHAnsi"/>
          <w:lang w:eastAsia="en-GB"/>
        </w:rPr>
        <w:t xml:space="preserve">country strategies and </w:t>
      </w:r>
      <w:r w:rsidR="00212428" w:rsidRPr="00BF17B0">
        <w:rPr>
          <w:rFonts w:asciiTheme="minorHAnsi" w:hAnsiTheme="minorHAnsi" w:cstheme="minorHAnsi"/>
          <w:lang w:eastAsia="en-GB"/>
        </w:rPr>
        <w:t xml:space="preserve">through </w:t>
      </w:r>
      <w:r w:rsidR="00021964" w:rsidRPr="00BF17B0">
        <w:rPr>
          <w:rFonts w:asciiTheme="minorHAnsi" w:hAnsiTheme="minorHAnsi" w:cstheme="minorHAnsi"/>
          <w:lang w:eastAsia="en-GB"/>
        </w:rPr>
        <w:t xml:space="preserve">adjustments in </w:t>
      </w:r>
      <w:r w:rsidR="00515423" w:rsidRPr="00BF17B0">
        <w:rPr>
          <w:rFonts w:asciiTheme="minorHAnsi" w:hAnsiTheme="minorHAnsi" w:cstheme="minorHAnsi"/>
          <w:lang w:eastAsia="en-GB"/>
        </w:rPr>
        <w:t>PH-</w:t>
      </w:r>
      <w:r w:rsidR="00A53818" w:rsidRPr="00BF17B0">
        <w:rPr>
          <w:rFonts w:asciiTheme="minorHAnsi" w:hAnsiTheme="minorHAnsi" w:cstheme="minorHAnsi"/>
          <w:lang w:eastAsia="en-GB"/>
        </w:rPr>
        <w:t>PTF</w:t>
      </w:r>
      <w:r w:rsidR="00021964" w:rsidRPr="00BF17B0">
        <w:rPr>
          <w:rFonts w:asciiTheme="minorHAnsi" w:hAnsiTheme="minorHAnsi" w:cstheme="minorHAnsi"/>
          <w:lang w:eastAsia="en-GB"/>
        </w:rPr>
        <w:t xml:space="preserve"> </w:t>
      </w:r>
      <w:r w:rsidR="007223C6" w:rsidRPr="00BF17B0">
        <w:rPr>
          <w:rFonts w:asciiTheme="minorHAnsi" w:hAnsiTheme="minorHAnsi" w:cstheme="minorHAnsi"/>
          <w:lang w:eastAsia="en-GB"/>
        </w:rPr>
        <w:t>policies and procedures</w:t>
      </w:r>
      <w:r w:rsidR="008E6640" w:rsidRPr="00BF17B0">
        <w:rPr>
          <w:rFonts w:asciiTheme="minorHAnsi" w:hAnsiTheme="minorHAnsi" w:cstheme="minorHAnsi"/>
          <w:lang w:eastAsia="en-GB"/>
        </w:rPr>
        <w:t xml:space="preserve">, </w:t>
      </w:r>
      <w:r w:rsidR="007223C6" w:rsidRPr="00BF17B0">
        <w:rPr>
          <w:rFonts w:asciiTheme="minorHAnsi" w:hAnsiTheme="minorHAnsi" w:cstheme="minorHAnsi"/>
          <w:lang w:eastAsia="en-GB"/>
        </w:rPr>
        <w:t xml:space="preserve">particularly </w:t>
      </w:r>
      <w:r w:rsidR="00A424E1" w:rsidRPr="00BF17B0">
        <w:rPr>
          <w:rFonts w:asciiTheme="minorHAnsi" w:hAnsiTheme="minorHAnsi" w:cstheme="minorHAnsi"/>
          <w:lang w:eastAsia="en-GB"/>
        </w:rPr>
        <w:t>in</w:t>
      </w:r>
      <w:r w:rsidR="00244D34" w:rsidRPr="00BF17B0">
        <w:rPr>
          <w:rFonts w:asciiTheme="minorHAnsi" w:hAnsiTheme="minorHAnsi" w:cstheme="minorHAnsi"/>
          <w:lang w:eastAsia="en-GB"/>
        </w:rPr>
        <w:t xml:space="preserve"> </w:t>
      </w:r>
      <w:r w:rsidR="007223C6" w:rsidRPr="00BF17B0">
        <w:rPr>
          <w:rFonts w:asciiTheme="minorHAnsi" w:hAnsiTheme="minorHAnsi" w:cstheme="minorHAnsi"/>
          <w:lang w:eastAsia="en-GB"/>
        </w:rPr>
        <w:t>allocati</w:t>
      </w:r>
      <w:r w:rsidR="00A424E1" w:rsidRPr="00BF17B0">
        <w:rPr>
          <w:rFonts w:asciiTheme="minorHAnsi" w:hAnsiTheme="minorHAnsi" w:cstheme="minorHAnsi"/>
          <w:lang w:eastAsia="en-GB"/>
        </w:rPr>
        <w:t xml:space="preserve">ng </w:t>
      </w:r>
      <w:r w:rsidR="007223C6" w:rsidRPr="00BF17B0">
        <w:rPr>
          <w:rFonts w:asciiTheme="minorHAnsi" w:hAnsiTheme="minorHAnsi" w:cstheme="minorHAnsi"/>
          <w:lang w:eastAsia="en-GB"/>
        </w:rPr>
        <w:t xml:space="preserve">grant resources, </w:t>
      </w:r>
      <w:r w:rsidR="008E6640" w:rsidRPr="00BF17B0">
        <w:rPr>
          <w:rFonts w:asciiTheme="minorHAnsi" w:hAnsiTheme="minorHAnsi" w:cstheme="minorHAnsi"/>
          <w:lang w:eastAsia="en-GB"/>
        </w:rPr>
        <w:t xml:space="preserve">as </w:t>
      </w:r>
      <w:r w:rsidRPr="00BF17B0">
        <w:rPr>
          <w:rFonts w:asciiTheme="minorHAnsi" w:hAnsiTheme="minorHAnsi" w:cstheme="minorHAnsi"/>
          <w:lang w:eastAsia="en-GB"/>
        </w:rPr>
        <w:t>shown in</w:t>
      </w:r>
      <w:r w:rsidR="00A31F64">
        <w:rPr>
          <w:rFonts w:asciiTheme="minorHAnsi" w:hAnsiTheme="minorHAnsi" w:cstheme="minorHAnsi"/>
          <w:lang w:eastAsia="en-GB"/>
        </w:rPr>
        <w:t xml:space="preserve"> Figure 2-1</w:t>
      </w:r>
      <w:r w:rsidR="005579B7" w:rsidRPr="00BF17B0">
        <w:rPr>
          <w:rFonts w:asciiTheme="minorHAnsi" w:hAnsiTheme="minorHAnsi" w:cstheme="minorHAnsi"/>
          <w:lang w:eastAsia="en-GB"/>
        </w:rPr>
        <w:t>.</w:t>
      </w:r>
    </w:p>
    <w:p w14:paraId="46F12B7F" w14:textId="77777777" w:rsidR="005579B7" w:rsidRPr="00BF17B0" w:rsidRDefault="00BC6731" w:rsidP="00A51F99">
      <w:pPr>
        <w:rPr>
          <w:rFonts w:asciiTheme="minorHAnsi" w:hAnsiTheme="minorHAnsi" w:cstheme="minorHAnsi"/>
        </w:rPr>
      </w:pPr>
      <w:bookmarkStart w:id="198" w:name="_Hlk531585014"/>
      <w:r w:rsidRPr="00BF17B0">
        <w:rPr>
          <w:rFonts w:asciiTheme="minorHAnsi" w:hAnsiTheme="minorHAnsi" w:cstheme="minorHAnsi"/>
        </w:rPr>
        <w:t xml:space="preserve">Over the course of its implementation, the </w:t>
      </w:r>
      <w:r w:rsidR="00515423" w:rsidRPr="00BF17B0">
        <w:rPr>
          <w:rFonts w:asciiTheme="minorHAnsi" w:hAnsiTheme="minorHAnsi" w:cstheme="minorHAnsi"/>
        </w:rPr>
        <w:t>PH-</w:t>
      </w:r>
      <w:r w:rsidR="00A53818" w:rsidRPr="00BF17B0">
        <w:rPr>
          <w:rFonts w:asciiTheme="minorHAnsi" w:hAnsiTheme="minorHAnsi" w:cstheme="minorHAnsi"/>
        </w:rPr>
        <w:t>PTF</w:t>
      </w:r>
      <w:r w:rsidRPr="00BF17B0">
        <w:rPr>
          <w:rFonts w:asciiTheme="minorHAnsi" w:hAnsiTheme="minorHAnsi" w:cstheme="minorHAnsi"/>
        </w:rPr>
        <w:t xml:space="preserve"> </w:t>
      </w:r>
      <w:r w:rsidR="008602FB" w:rsidRPr="00BF17B0">
        <w:rPr>
          <w:rFonts w:asciiTheme="minorHAnsi" w:hAnsiTheme="minorHAnsi" w:cstheme="minorHAnsi"/>
        </w:rPr>
        <w:t>also</w:t>
      </w:r>
      <w:r w:rsidRPr="00BF17B0">
        <w:rPr>
          <w:rFonts w:asciiTheme="minorHAnsi" w:hAnsiTheme="minorHAnsi" w:cstheme="minorHAnsi"/>
        </w:rPr>
        <w:t xml:space="preserve"> </w:t>
      </w:r>
      <w:r w:rsidR="00A51F99" w:rsidRPr="00BF17B0">
        <w:rPr>
          <w:rFonts w:asciiTheme="minorHAnsi" w:hAnsiTheme="minorHAnsi" w:cstheme="minorHAnsi"/>
        </w:rPr>
        <w:t>adjusted</w:t>
      </w:r>
      <w:r w:rsidRPr="00BF17B0">
        <w:rPr>
          <w:rFonts w:asciiTheme="minorHAnsi" w:hAnsiTheme="minorHAnsi" w:cstheme="minorHAnsi"/>
        </w:rPr>
        <w:t xml:space="preserve"> its review and approval processes</w:t>
      </w:r>
      <w:r w:rsidR="00A51F99" w:rsidRPr="00BF17B0">
        <w:rPr>
          <w:rFonts w:asciiTheme="minorHAnsi" w:hAnsiTheme="minorHAnsi" w:cstheme="minorHAnsi"/>
        </w:rPr>
        <w:t>.</w:t>
      </w:r>
      <w:bookmarkEnd w:id="198"/>
      <w:r w:rsidR="00A51F99" w:rsidRPr="00BF17B0">
        <w:rPr>
          <w:rFonts w:asciiTheme="minorHAnsi" w:hAnsiTheme="minorHAnsi" w:cstheme="minorHAnsi"/>
        </w:rPr>
        <w:t xml:space="preserve"> The </w:t>
      </w:r>
      <w:r w:rsidR="00515423" w:rsidRPr="00BF17B0">
        <w:rPr>
          <w:rFonts w:asciiTheme="minorHAnsi" w:hAnsiTheme="minorHAnsi" w:cstheme="minorHAnsi"/>
        </w:rPr>
        <w:t>PH-</w:t>
      </w:r>
      <w:r w:rsidR="00A53818" w:rsidRPr="00BF17B0">
        <w:rPr>
          <w:rFonts w:asciiTheme="minorHAnsi" w:hAnsiTheme="minorHAnsi" w:cstheme="minorHAnsi"/>
        </w:rPr>
        <w:t>PTF</w:t>
      </w:r>
      <w:r w:rsidR="00EB0147" w:rsidRPr="00BF17B0">
        <w:rPr>
          <w:rFonts w:asciiTheme="minorHAnsi" w:hAnsiTheme="minorHAnsi" w:cstheme="minorHAnsi"/>
        </w:rPr>
        <w:t xml:space="preserve"> </w:t>
      </w:r>
      <w:r w:rsidR="00A51F99" w:rsidRPr="00BF17B0">
        <w:rPr>
          <w:rFonts w:asciiTheme="minorHAnsi" w:hAnsiTheme="minorHAnsi" w:cstheme="minorHAnsi"/>
        </w:rPr>
        <w:t xml:space="preserve">shifted </w:t>
      </w:r>
      <w:r w:rsidRPr="00BF17B0">
        <w:rPr>
          <w:rFonts w:asciiTheme="minorHAnsi" w:hAnsiTheme="minorHAnsi" w:cstheme="minorHAnsi"/>
        </w:rPr>
        <w:t xml:space="preserve">its </w:t>
      </w:r>
      <w:r w:rsidR="00956BFD" w:rsidRPr="00BF17B0">
        <w:rPr>
          <w:rFonts w:asciiTheme="minorHAnsi" w:hAnsiTheme="minorHAnsi" w:cstheme="minorHAnsi"/>
        </w:rPr>
        <w:t xml:space="preserve">funding </w:t>
      </w:r>
      <w:r w:rsidRPr="00BF17B0">
        <w:rPr>
          <w:rFonts w:asciiTheme="minorHAnsi" w:hAnsiTheme="minorHAnsi" w:cstheme="minorHAnsi"/>
        </w:rPr>
        <w:t>approach from open competitive calls for proposals across all pillars of the country strategy and project</w:t>
      </w:r>
      <w:r w:rsidR="00A51F99" w:rsidRPr="00BF17B0">
        <w:rPr>
          <w:rFonts w:asciiTheme="minorHAnsi" w:hAnsiTheme="minorHAnsi" w:cstheme="minorHAnsi"/>
        </w:rPr>
        <w:t>-</w:t>
      </w:r>
      <w:r w:rsidRPr="00BF17B0">
        <w:rPr>
          <w:rFonts w:asciiTheme="minorHAnsi" w:hAnsiTheme="minorHAnsi" w:cstheme="minorHAnsi"/>
        </w:rPr>
        <w:t>specific grants</w:t>
      </w:r>
      <w:r w:rsidR="00A51F99" w:rsidRPr="00BF17B0">
        <w:rPr>
          <w:rFonts w:asciiTheme="minorHAnsi" w:hAnsiTheme="minorHAnsi" w:cstheme="minorHAnsi"/>
        </w:rPr>
        <w:t>,</w:t>
      </w:r>
      <w:r w:rsidRPr="00BF17B0">
        <w:rPr>
          <w:rFonts w:asciiTheme="minorHAnsi" w:hAnsiTheme="minorHAnsi" w:cstheme="minorHAnsi"/>
        </w:rPr>
        <w:t xml:space="preserve"> to programmatic engagements in </w:t>
      </w:r>
      <w:r w:rsidR="008602FB" w:rsidRPr="00BF17B0">
        <w:rPr>
          <w:rFonts w:asciiTheme="minorHAnsi" w:hAnsiTheme="minorHAnsi" w:cstheme="minorHAnsi"/>
        </w:rPr>
        <w:t xml:space="preserve">a </w:t>
      </w:r>
      <w:r w:rsidRPr="00BF17B0">
        <w:rPr>
          <w:rFonts w:asciiTheme="minorHAnsi" w:hAnsiTheme="minorHAnsi" w:cstheme="minorHAnsi"/>
        </w:rPr>
        <w:t xml:space="preserve">pre-identified subset of sectors that </w:t>
      </w:r>
      <w:r w:rsidR="005579B7" w:rsidRPr="00BF17B0">
        <w:rPr>
          <w:rFonts w:asciiTheme="minorHAnsi" w:hAnsiTheme="minorHAnsi" w:cstheme="minorHAnsi"/>
        </w:rPr>
        <w:t>we</w:t>
      </w:r>
      <w:r w:rsidRPr="00BF17B0">
        <w:rPr>
          <w:rFonts w:asciiTheme="minorHAnsi" w:hAnsiTheme="minorHAnsi" w:cstheme="minorHAnsi"/>
        </w:rPr>
        <w:t xml:space="preserve">re high priority in the country strategies of both Australia and </w:t>
      </w:r>
      <w:r w:rsidR="00063409" w:rsidRPr="00BF17B0">
        <w:rPr>
          <w:rFonts w:asciiTheme="minorHAnsi" w:hAnsiTheme="minorHAnsi" w:cstheme="minorHAnsi"/>
        </w:rPr>
        <w:t>the World Bank</w:t>
      </w:r>
      <w:r w:rsidRPr="00BF17B0">
        <w:rPr>
          <w:rFonts w:asciiTheme="minorHAnsi" w:hAnsiTheme="minorHAnsi" w:cstheme="minorHAnsi"/>
        </w:rPr>
        <w:t xml:space="preserve"> in the Philippines</w:t>
      </w:r>
      <w:r w:rsidR="00EB211F" w:rsidRPr="00BF17B0">
        <w:rPr>
          <w:rFonts w:asciiTheme="minorHAnsi" w:hAnsiTheme="minorHAnsi" w:cstheme="minorHAnsi"/>
        </w:rPr>
        <w:t xml:space="preserve">. </w:t>
      </w:r>
    </w:p>
    <w:p w14:paraId="2D1E93C9" w14:textId="3A847F85" w:rsidR="00A51F99" w:rsidRPr="00BF17B0" w:rsidRDefault="00BC6731">
      <w:pPr>
        <w:rPr>
          <w:rFonts w:asciiTheme="minorHAnsi" w:hAnsiTheme="minorHAnsi" w:cstheme="minorHAnsi"/>
        </w:rPr>
      </w:pPr>
      <w:r w:rsidRPr="00BF17B0">
        <w:rPr>
          <w:rFonts w:asciiTheme="minorHAnsi" w:hAnsiTheme="minorHAnsi" w:cstheme="minorHAnsi"/>
        </w:rPr>
        <w:t xml:space="preserve">In December 2015, </w:t>
      </w:r>
      <w:r w:rsidR="00A51F99" w:rsidRPr="00BF17B0">
        <w:rPr>
          <w:rFonts w:asciiTheme="minorHAnsi" w:hAnsiTheme="minorHAnsi" w:cstheme="minorHAnsi"/>
        </w:rPr>
        <w:t xml:space="preserve">World </w:t>
      </w:r>
      <w:r w:rsidRPr="00BF17B0">
        <w:rPr>
          <w:rFonts w:asciiTheme="minorHAnsi" w:hAnsiTheme="minorHAnsi" w:cstheme="minorHAnsi"/>
        </w:rPr>
        <w:t xml:space="preserve">Bank and DFAT agreed to focus </w:t>
      </w:r>
      <w:r w:rsidR="00A51F99" w:rsidRPr="00BF17B0">
        <w:rPr>
          <w:rFonts w:asciiTheme="minorHAnsi" w:hAnsiTheme="minorHAnsi" w:cstheme="minorHAnsi"/>
        </w:rPr>
        <w:t xml:space="preserve">on </w:t>
      </w:r>
      <w:r w:rsidRPr="00BF17B0">
        <w:rPr>
          <w:rFonts w:asciiTheme="minorHAnsi" w:hAnsiTheme="minorHAnsi" w:cstheme="minorHAnsi"/>
        </w:rPr>
        <w:t>two pillars</w:t>
      </w:r>
      <w:r w:rsidR="00A51F99" w:rsidRPr="00BF17B0">
        <w:rPr>
          <w:rFonts w:asciiTheme="minorHAnsi" w:hAnsiTheme="minorHAnsi" w:cstheme="minorHAnsi"/>
        </w:rPr>
        <w:t xml:space="preserve"> for the </w:t>
      </w:r>
      <w:r w:rsidR="00A53818" w:rsidRPr="00BF17B0">
        <w:rPr>
          <w:rFonts w:asciiTheme="minorHAnsi" w:hAnsiTheme="minorHAnsi" w:cstheme="minorHAnsi"/>
        </w:rPr>
        <w:t>PTF</w:t>
      </w:r>
      <w:r w:rsidR="00A51F99" w:rsidRPr="00BF17B0">
        <w:rPr>
          <w:rFonts w:asciiTheme="minorHAnsi" w:hAnsiTheme="minorHAnsi" w:cstheme="minorHAnsi"/>
        </w:rPr>
        <w:t xml:space="preserve">: </w:t>
      </w:r>
      <w:r w:rsidRPr="00BF17B0">
        <w:rPr>
          <w:rFonts w:asciiTheme="minorHAnsi" w:hAnsiTheme="minorHAnsi" w:cstheme="minorHAnsi"/>
        </w:rPr>
        <w:t xml:space="preserve">inclusive economic growth and peace and stability, primarily </w:t>
      </w:r>
      <w:r w:rsidR="00A51F99" w:rsidRPr="00BF17B0">
        <w:rPr>
          <w:rFonts w:asciiTheme="minorHAnsi" w:hAnsiTheme="minorHAnsi" w:cstheme="minorHAnsi"/>
        </w:rPr>
        <w:t xml:space="preserve">through </w:t>
      </w:r>
      <w:r w:rsidRPr="00BF17B0">
        <w:rPr>
          <w:rFonts w:asciiTheme="minorHAnsi" w:hAnsiTheme="minorHAnsi" w:cstheme="minorHAnsi"/>
        </w:rPr>
        <w:t>the Game Changers program</w:t>
      </w:r>
      <w:r w:rsidR="00EB211F" w:rsidRPr="00BF17B0">
        <w:rPr>
          <w:rFonts w:asciiTheme="minorHAnsi" w:hAnsiTheme="minorHAnsi" w:cstheme="minorHAnsi"/>
        </w:rPr>
        <w:t xml:space="preserve">. </w:t>
      </w:r>
      <w:r w:rsidRPr="00BF17B0">
        <w:rPr>
          <w:rFonts w:asciiTheme="minorHAnsi" w:hAnsiTheme="minorHAnsi" w:cstheme="minorHAnsi"/>
        </w:rPr>
        <w:t xml:space="preserve"> This focus </w:t>
      </w:r>
      <w:r w:rsidR="005579B7" w:rsidRPr="00BF17B0">
        <w:rPr>
          <w:rFonts w:asciiTheme="minorHAnsi" w:hAnsiTheme="minorHAnsi" w:cstheme="minorHAnsi"/>
        </w:rPr>
        <w:t xml:space="preserve">was </w:t>
      </w:r>
      <w:r w:rsidRPr="00BF17B0">
        <w:rPr>
          <w:rFonts w:asciiTheme="minorHAnsi" w:hAnsiTheme="minorHAnsi" w:cstheme="minorHAnsi"/>
        </w:rPr>
        <w:t xml:space="preserve">intended to facilitate a smooth transition between outgoing and incoming administrations in the </w:t>
      </w:r>
      <w:r w:rsidR="00407909">
        <w:rPr>
          <w:rFonts w:asciiTheme="minorHAnsi" w:hAnsiTheme="minorHAnsi" w:cstheme="minorHAnsi"/>
        </w:rPr>
        <w:t>GoP</w:t>
      </w:r>
      <w:r w:rsidR="002429C7" w:rsidRPr="00BF17B0">
        <w:rPr>
          <w:rFonts w:asciiTheme="minorHAnsi" w:hAnsiTheme="minorHAnsi" w:cstheme="minorHAnsi"/>
        </w:rPr>
        <w:t xml:space="preserve"> </w:t>
      </w:r>
      <w:r w:rsidR="00A51F99" w:rsidRPr="00BF17B0">
        <w:rPr>
          <w:rFonts w:asciiTheme="minorHAnsi" w:hAnsiTheme="minorHAnsi" w:cstheme="minorHAnsi"/>
        </w:rPr>
        <w:t xml:space="preserve">and to assist the new administration </w:t>
      </w:r>
      <w:r w:rsidR="002429C7" w:rsidRPr="00BF17B0">
        <w:rPr>
          <w:rFonts w:asciiTheme="minorHAnsi" w:hAnsiTheme="minorHAnsi" w:cstheme="minorHAnsi"/>
        </w:rPr>
        <w:t xml:space="preserve">in </w:t>
      </w:r>
      <w:r w:rsidR="00A51F99" w:rsidRPr="00BF17B0">
        <w:rPr>
          <w:rFonts w:asciiTheme="minorHAnsi" w:hAnsiTheme="minorHAnsi" w:cstheme="minorHAnsi"/>
        </w:rPr>
        <w:t>identify</w:t>
      </w:r>
      <w:r w:rsidR="002429C7" w:rsidRPr="00BF17B0">
        <w:rPr>
          <w:rFonts w:asciiTheme="minorHAnsi" w:hAnsiTheme="minorHAnsi" w:cstheme="minorHAnsi"/>
        </w:rPr>
        <w:t>ing</w:t>
      </w:r>
      <w:r w:rsidR="00A51F99" w:rsidRPr="00BF17B0">
        <w:rPr>
          <w:rFonts w:asciiTheme="minorHAnsi" w:hAnsiTheme="minorHAnsi" w:cstheme="minorHAnsi"/>
        </w:rPr>
        <w:t xml:space="preserve"> development priorities </w:t>
      </w:r>
      <w:r w:rsidR="002429C7" w:rsidRPr="00BF17B0">
        <w:rPr>
          <w:rFonts w:asciiTheme="minorHAnsi" w:hAnsiTheme="minorHAnsi" w:cstheme="minorHAnsi"/>
        </w:rPr>
        <w:t xml:space="preserve">that </w:t>
      </w:r>
      <w:r w:rsidR="005579B7" w:rsidRPr="00BF17B0">
        <w:rPr>
          <w:rFonts w:asciiTheme="minorHAnsi" w:hAnsiTheme="minorHAnsi" w:cstheme="minorHAnsi"/>
        </w:rPr>
        <w:t xml:space="preserve">could </w:t>
      </w:r>
      <w:r w:rsidR="002429C7" w:rsidRPr="00BF17B0">
        <w:rPr>
          <w:rFonts w:asciiTheme="minorHAnsi" w:hAnsiTheme="minorHAnsi" w:cstheme="minorHAnsi"/>
        </w:rPr>
        <w:t xml:space="preserve">be </w:t>
      </w:r>
      <w:r w:rsidR="00A51F99" w:rsidRPr="00BF17B0">
        <w:rPr>
          <w:rFonts w:asciiTheme="minorHAnsi" w:hAnsiTheme="minorHAnsi" w:cstheme="minorHAnsi"/>
        </w:rPr>
        <w:t>support</w:t>
      </w:r>
      <w:r w:rsidR="002429C7" w:rsidRPr="00BF17B0">
        <w:rPr>
          <w:rFonts w:asciiTheme="minorHAnsi" w:hAnsiTheme="minorHAnsi" w:cstheme="minorHAnsi"/>
        </w:rPr>
        <w:t>ed</w:t>
      </w:r>
      <w:r w:rsidR="00A51F99" w:rsidRPr="00BF17B0">
        <w:rPr>
          <w:rFonts w:asciiTheme="minorHAnsi" w:hAnsiTheme="minorHAnsi" w:cstheme="minorHAnsi"/>
        </w:rPr>
        <w:t xml:space="preserve"> by </w:t>
      </w:r>
      <w:r w:rsidR="00063409" w:rsidRPr="00BF17B0">
        <w:rPr>
          <w:rFonts w:asciiTheme="minorHAnsi" w:hAnsiTheme="minorHAnsi" w:cstheme="minorHAnsi"/>
        </w:rPr>
        <w:t>the World Bank</w:t>
      </w:r>
      <w:r w:rsidR="00A51F99" w:rsidRPr="00BF17B0">
        <w:rPr>
          <w:rFonts w:asciiTheme="minorHAnsi" w:hAnsiTheme="minorHAnsi" w:cstheme="minorHAnsi"/>
        </w:rPr>
        <w:t xml:space="preserve"> and</w:t>
      </w:r>
      <w:r w:rsidR="002429C7" w:rsidRPr="00BF17B0">
        <w:rPr>
          <w:rFonts w:asciiTheme="minorHAnsi" w:hAnsiTheme="minorHAnsi" w:cstheme="minorHAnsi"/>
        </w:rPr>
        <w:t xml:space="preserve"> </w:t>
      </w:r>
      <w:r w:rsidR="00A51F99" w:rsidRPr="00BF17B0">
        <w:rPr>
          <w:rFonts w:asciiTheme="minorHAnsi" w:hAnsiTheme="minorHAnsi" w:cstheme="minorHAnsi"/>
        </w:rPr>
        <w:t xml:space="preserve">Australia. </w:t>
      </w:r>
    </w:p>
    <w:p w14:paraId="09184809" w14:textId="77777777" w:rsidR="004C754F" w:rsidRPr="00BF17B0" w:rsidRDefault="00A424E1">
      <w:pPr>
        <w:rPr>
          <w:rFonts w:asciiTheme="minorHAnsi" w:hAnsiTheme="minorHAnsi" w:cstheme="minorHAnsi"/>
        </w:rPr>
      </w:pPr>
      <w:r w:rsidRPr="00BF17B0">
        <w:rPr>
          <w:rFonts w:asciiTheme="minorHAnsi" w:eastAsia="Times New Roman" w:hAnsiTheme="minorHAnsi" w:cstheme="minorHAnsi"/>
          <w:color w:val="000000"/>
          <w:lang w:eastAsia="en-GB"/>
        </w:rPr>
        <w:t xml:space="preserve">In summary, the </w:t>
      </w:r>
      <w:r w:rsidR="00515423" w:rsidRPr="00BF17B0">
        <w:rPr>
          <w:rFonts w:asciiTheme="minorHAnsi" w:eastAsia="Times New Roman" w:hAnsiTheme="minorHAnsi" w:cstheme="minorHAnsi"/>
          <w:color w:val="000000"/>
          <w:lang w:eastAsia="en-GB"/>
        </w:rPr>
        <w:t>PH-</w:t>
      </w:r>
      <w:r w:rsidRPr="00BF17B0">
        <w:rPr>
          <w:rFonts w:asciiTheme="minorHAnsi" w:eastAsia="Times New Roman" w:hAnsiTheme="minorHAnsi" w:cstheme="minorHAnsi"/>
          <w:color w:val="000000"/>
          <w:lang w:eastAsia="en-GB"/>
        </w:rPr>
        <w:t xml:space="preserve">PTF was flexible in aligning and remaining relevant to three Philippine development plans, three DFAT country strategies, and three World Bank country strategies. World Bank and DFAT senior management confirmed that the </w:t>
      </w:r>
      <w:r w:rsidR="00515423" w:rsidRPr="00BF17B0">
        <w:rPr>
          <w:rFonts w:asciiTheme="minorHAnsi" w:eastAsia="Times New Roman" w:hAnsiTheme="minorHAnsi" w:cstheme="minorHAnsi"/>
          <w:color w:val="000000"/>
          <w:lang w:eastAsia="en-GB"/>
        </w:rPr>
        <w:t>PH-</w:t>
      </w:r>
      <w:r w:rsidRPr="00BF17B0">
        <w:rPr>
          <w:rFonts w:asciiTheme="minorHAnsi" w:eastAsia="Times New Roman" w:hAnsiTheme="minorHAnsi" w:cstheme="minorHAnsi"/>
          <w:color w:val="000000"/>
          <w:lang w:eastAsia="en-GB"/>
        </w:rPr>
        <w:t>PTF was able to respond to changing priorities and therefore scored high on Relevance.</w:t>
      </w:r>
    </w:p>
    <w:p w14:paraId="039035B9" w14:textId="77777777" w:rsidR="00E41632" w:rsidRPr="00BF17B0" w:rsidRDefault="00E41632" w:rsidP="00E41632">
      <w:pPr>
        <w:rPr>
          <w:rFonts w:asciiTheme="minorHAnsi" w:hAnsiTheme="minorHAnsi" w:cstheme="minorHAnsi"/>
          <w:lang w:eastAsia="en-GB"/>
        </w:rPr>
      </w:pPr>
    </w:p>
    <w:p w14:paraId="4E69B360" w14:textId="77777777" w:rsidR="004C754F" w:rsidRPr="00BF17B0" w:rsidRDefault="004C754F" w:rsidP="00BF07C4">
      <w:pPr>
        <w:pStyle w:val="Heading2"/>
        <w:rPr>
          <w:rFonts w:asciiTheme="minorHAnsi" w:hAnsiTheme="minorHAnsi" w:cstheme="minorHAnsi"/>
          <w:u w:val="single"/>
          <w:lang w:eastAsia="en-GB"/>
        </w:rPr>
      </w:pPr>
      <w:bookmarkStart w:id="199" w:name="_Ref532884635"/>
      <w:bookmarkStart w:id="200" w:name="_Toc532994294"/>
      <w:r w:rsidRPr="00BF17B0">
        <w:rPr>
          <w:rFonts w:asciiTheme="minorHAnsi" w:hAnsiTheme="minorHAnsi" w:cstheme="minorHAnsi"/>
        </w:rPr>
        <w:t>Sustainability</w:t>
      </w:r>
      <w:bookmarkEnd w:id="199"/>
      <w:bookmarkEnd w:id="200"/>
    </w:p>
    <w:p w14:paraId="48135A6B" w14:textId="77777777" w:rsidR="004C754F" w:rsidRPr="00BF17B0" w:rsidRDefault="004C754F" w:rsidP="004C754F">
      <w:pPr>
        <w:rPr>
          <w:rFonts w:asciiTheme="minorHAnsi" w:hAnsiTheme="minorHAnsi" w:cstheme="minorHAnsi"/>
        </w:rPr>
      </w:pPr>
      <w:r w:rsidRPr="00BF17B0">
        <w:rPr>
          <w:rFonts w:asciiTheme="minorHAnsi" w:hAnsiTheme="minorHAnsi" w:cstheme="minorHAnsi"/>
        </w:rPr>
        <w:t xml:space="preserve">The strength of the </w:t>
      </w:r>
      <w:r w:rsidR="00515423" w:rsidRPr="00BF17B0">
        <w:rPr>
          <w:rFonts w:asciiTheme="minorHAnsi" w:hAnsiTheme="minorHAnsi" w:cstheme="minorHAnsi"/>
        </w:rPr>
        <w:t>PH-</w:t>
      </w:r>
      <w:r w:rsidRPr="00BF17B0">
        <w:rPr>
          <w:rFonts w:asciiTheme="minorHAnsi" w:hAnsiTheme="minorHAnsi" w:cstheme="minorHAnsi"/>
        </w:rPr>
        <w:t xml:space="preserve">PTF partnership between the World Bank and DFAT has continued for a decade amid a changing political and development environment. It provides a framework for continuous dialogue between the two institutions and it further enhances </w:t>
      </w:r>
      <w:r w:rsidR="00A060F0" w:rsidRPr="00BF17B0">
        <w:rPr>
          <w:rFonts w:asciiTheme="minorHAnsi" w:hAnsiTheme="minorHAnsi" w:cstheme="minorHAnsi"/>
        </w:rPr>
        <w:t>the World Bank’</w:t>
      </w:r>
      <w:r w:rsidR="004A76A8" w:rsidRPr="00BF17B0">
        <w:rPr>
          <w:rFonts w:asciiTheme="minorHAnsi" w:hAnsiTheme="minorHAnsi" w:cstheme="minorHAnsi"/>
        </w:rPr>
        <w:t>s</w:t>
      </w:r>
      <w:r w:rsidR="00515423" w:rsidRPr="00BF17B0">
        <w:rPr>
          <w:rFonts w:asciiTheme="minorHAnsi" w:hAnsiTheme="minorHAnsi" w:cstheme="minorHAnsi"/>
        </w:rPr>
        <w:t xml:space="preserve"> and </w:t>
      </w:r>
      <w:r w:rsidRPr="00BF17B0">
        <w:rPr>
          <w:rFonts w:asciiTheme="minorHAnsi" w:hAnsiTheme="minorHAnsi" w:cstheme="minorHAnsi"/>
        </w:rPr>
        <w:t xml:space="preserve">Australia’s contribution in developing public policy. </w:t>
      </w:r>
    </w:p>
    <w:p w14:paraId="29808DF8" w14:textId="77777777" w:rsidR="004C754F" w:rsidRPr="00BF17B0" w:rsidRDefault="004C754F" w:rsidP="004C754F">
      <w:pPr>
        <w:rPr>
          <w:rFonts w:asciiTheme="minorHAnsi" w:hAnsiTheme="minorHAnsi" w:cstheme="minorHAnsi"/>
        </w:rPr>
      </w:pPr>
      <w:r w:rsidRPr="00BF17B0">
        <w:rPr>
          <w:rFonts w:asciiTheme="minorHAnsi" w:hAnsiTheme="minorHAnsi" w:cstheme="minorHAnsi"/>
        </w:rPr>
        <w:t>Many of the intended outcomes of individual grants were achieved, with the outcomes sustainable, and in some cases, transformative. Some helped lay the foundation for program expansion, such as the technical assistance for the Mindanao Rural Development Project Phase II that was scaled up to the Philippine Rural Development Project; phase I of the Conditional Cash Transfer Program that preceded the much larger second phase; and</w:t>
      </w:r>
      <w:r w:rsidR="00956BFD" w:rsidRPr="00BF17B0">
        <w:rPr>
          <w:rFonts w:asciiTheme="minorHAnsi" w:hAnsiTheme="minorHAnsi" w:cstheme="minorHAnsi"/>
        </w:rPr>
        <w:t xml:space="preserve"> </w:t>
      </w:r>
      <w:r w:rsidR="00515423" w:rsidRPr="00BF17B0">
        <w:rPr>
          <w:rFonts w:asciiTheme="minorHAnsi" w:hAnsiTheme="minorHAnsi" w:cstheme="minorHAnsi"/>
        </w:rPr>
        <w:t>KALAHI-CIDSS</w:t>
      </w:r>
      <w:r w:rsidRPr="00BF17B0">
        <w:rPr>
          <w:rFonts w:asciiTheme="minorHAnsi" w:hAnsiTheme="minorHAnsi" w:cstheme="minorHAnsi"/>
        </w:rPr>
        <w:t xml:space="preserve">, which was replicated by a subsequent DFAT follow-up grant of AU$12 million and scaled up to the National Community-Driven Development Project. </w:t>
      </w:r>
    </w:p>
    <w:p w14:paraId="43D3276E" w14:textId="77777777" w:rsidR="004C754F" w:rsidRPr="00BF17B0" w:rsidRDefault="004C754F" w:rsidP="004C754F">
      <w:pPr>
        <w:rPr>
          <w:rFonts w:asciiTheme="minorHAnsi" w:hAnsiTheme="minorHAnsi" w:cstheme="minorHAnsi"/>
        </w:rPr>
      </w:pPr>
      <w:r w:rsidRPr="00BF17B0">
        <w:rPr>
          <w:rFonts w:asciiTheme="minorHAnsi" w:hAnsiTheme="minorHAnsi" w:cstheme="minorHAnsi"/>
        </w:rPr>
        <w:t xml:space="preserve">Some grants provided sustained strengthening of capacity or resulted in major policy changes in government agencies. The Basic Education Public Expenditure Tracking Survey - Quality of Service Delivery Survey </w:t>
      </w:r>
      <w:r w:rsidR="00956BFD" w:rsidRPr="00BF17B0">
        <w:rPr>
          <w:rFonts w:asciiTheme="minorHAnsi" w:hAnsiTheme="minorHAnsi" w:cstheme="minorHAnsi"/>
        </w:rPr>
        <w:t>P</w:t>
      </w:r>
      <w:r w:rsidRPr="00BF17B0">
        <w:rPr>
          <w:rFonts w:asciiTheme="minorHAnsi" w:hAnsiTheme="minorHAnsi" w:cstheme="minorHAnsi"/>
        </w:rPr>
        <w:t>rogram resulted in a focus on improving teacher competencies. The grant to support Business Innovations in the Department of Public Works and Highways helped improve the department’s financial management. The recipient-executed feasibility study for the Upper Marikana dam was complemented by a program for capacity building, which helped strengthen the Department of Public Works and Highways’ ability to manage recipient-executed grants.</w:t>
      </w:r>
    </w:p>
    <w:p w14:paraId="169C739E" w14:textId="77777777" w:rsidR="004C754F" w:rsidRPr="00BF17B0" w:rsidRDefault="004C754F" w:rsidP="004C754F">
      <w:pPr>
        <w:rPr>
          <w:rFonts w:asciiTheme="minorHAnsi" w:hAnsiTheme="minorHAnsi" w:cstheme="minorHAnsi"/>
        </w:rPr>
      </w:pPr>
      <w:r w:rsidRPr="00BF17B0">
        <w:rPr>
          <w:rFonts w:asciiTheme="minorHAnsi" w:hAnsiTheme="minorHAnsi" w:cstheme="minorHAnsi"/>
        </w:rPr>
        <w:t>In some cases, grant outputs were sustained amid political change through adaptation to changing requirements. This was true with the Open Government program, which was a flagship project of the Aquino administration, and whose website has remained active but with a different name: eFOI (electronic Freedom of Information). The main open data website (data.gov.ph) continues to provide open source data on various sectors and activity.</w:t>
      </w:r>
    </w:p>
    <w:p w14:paraId="0B0C20E9" w14:textId="77777777" w:rsidR="004C754F" w:rsidRPr="00BF17B0" w:rsidRDefault="004C754F">
      <w:pPr>
        <w:rPr>
          <w:rFonts w:asciiTheme="minorHAnsi" w:hAnsiTheme="minorHAnsi" w:cstheme="minorHAnsi"/>
        </w:rPr>
      </w:pPr>
      <w:r w:rsidRPr="00BF17B0">
        <w:rPr>
          <w:rFonts w:asciiTheme="minorHAnsi" w:hAnsiTheme="minorHAnsi" w:cstheme="minorHAnsi"/>
        </w:rPr>
        <w:t>Some of the grants provided outstanding reports, such as</w:t>
      </w:r>
      <w:r w:rsidRPr="00BF17B0">
        <w:rPr>
          <w:rFonts w:asciiTheme="minorHAnsi" w:hAnsiTheme="minorHAnsi" w:cstheme="minorHAnsi"/>
          <w:i/>
        </w:rPr>
        <w:t xml:space="preserve"> Pork to Performance </w:t>
      </w:r>
      <w:r w:rsidRPr="00BF17B0">
        <w:rPr>
          <w:rFonts w:asciiTheme="minorHAnsi" w:hAnsiTheme="minorHAnsi" w:cstheme="minorHAnsi"/>
        </w:rPr>
        <w:t xml:space="preserve">(Custer et al. 2016); </w:t>
      </w:r>
      <w:r w:rsidRPr="00BF17B0">
        <w:rPr>
          <w:rFonts w:asciiTheme="minorHAnsi" w:hAnsiTheme="minorHAnsi" w:cstheme="minorHAnsi"/>
          <w:i/>
        </w:rPr>
        <w:t>Mindanao Jobs Report</w:t>
      </w:r>
      <w:r w:rsidRPr="00BF17B0">
        <w:rPr>
          <w:rFonts w:asciiTheme="minorHAnsi" w:hAnsiTheme="minorHAnsi" w:cstheme="minorHAnsi"/>
        </w:rPr>
        <w:t xml:space="preserve"> (Hansl et al. 2017); and </w:t>
      </w:r>
      <w:r w:rsidRPr="00BF17B0">
        <w:rPr>
          <w:rFonts w:asciiTheme="minorHAnsi" w:hAnsiTheme="minorHAnsi" w:cstheme="minorHAnsi"/>
          <w:i/>
        </w:rPr>
        <w:t>Land: Territory, Domain, and Identity</w:t>
      </w:r>
      <w:r w:rsidRPr="00BF17B0">
        <w:rPr>
          <w:rFonts w:asciiTheme="minorHAnsi" w:hAnsiTheme="minorHAnsi" w:cstheme="minorHAnsi"/>
        </w:rPr>
        <w:t xml:space="preserve"> (World Bank 2017b). </w:t>
      </w:r>
      <w:r w:rsidR="00FF114E" w:rsidRPr="00BF17B0">
        <w:rPr>
          <w:rFonts w:asciiTheme="minorHAnsi" w:hAnsiTheme="minorHAnsi" w:cstheme="minorHAnsi"/>
        </w:rPr>
        <w:t>However, t</w:t>
      </w:r>
      <w:r w:rsidRPr="00BF17B0">
        <w:rPr>
          <w:rFonts w:asciiTheme="minorHAnsi" w:hAnsiTheme="minorHAnsi" w:cstheme="minorHAnsi"/>
        </w:rPr>
        <w:t xml:space="preserve">hese projects have not yet </w:t>
      </w:r>
      <w:r w:rsidR="00FF114E" w:rsidRPr="00BF17B0">
        <w:rPr>
          <w:rFonts w:asciiTheme="minorHAnsi" w:hAnsiTheme="minorHAnsi" w:cstheme="minorHAnsi"/>
        </w:rPr>
        <w:t xml:space="preserve">led to </w:t>
      </w:r>
      <w:r w:rsidRPr="00BF17B0">
        <w:rPr>
          <w:rFonts w:asciiTheme="minorHAnsi" w:hAnsiTheme="minorHAnsi" w:cstheme="minorHAnsi"/>
        </w:rPr>
        <w:t xml:space="preserve">policy changes, </w:t>
      </w:r>
      <w:r w:rsidR="008D4E7A" w:rsidRPr="00BF17B0">
        <w:rPr>
          <w:rFonts w:asciiTheme="minorHAnsi" w:hAnsiTheme="minorHAnsi" w:cstheme="minorHAnsi"/>
        </w:rPr>
        <w:t xml:space="preserve">although they are widely recognized as invaluable sources of data and analysis for policy making. </w:t>
      </w:r>
    </w:p>
    <w:p w14:paraId="6B573A12" w14:textId="2724DABE" w:rsidR="00E86018" w:rsidRPr="00BF17B0" w:rsidRDefault="00387294" w:rsidP="00E86018">
      <w:pPr>
        <w:rPr>
          <w:rFonts w:asciiTheme="minorHAnsi" w:hAnsiTheme="minorHAnsi" w:cstheme="minorHAnsi"/>
        </w:rPr>
      </w:pPr>
      <w:r w:rsidRPr="00BF17B0">
        <w:rPr>
          <w:rFonts w:asciiTheme="minorHAnsi" w:hAnsiTheme="minorHAnsi" w:cstheme="minorHAnsi"/>
        </w:rPr>
        <w:t xml:space="preserve">Political considerations mean that in some cases, grant-level outcomes were not sustained, at least in the short-term, but that is an acceptable risk in an environment where significant political changes are not unusual. In such cases, it is likely that after some shift in policy directions, the outputs from grant activities will be utilized. This can be seen in the Conditional Cash Transfer Program, which </w:t>
      </w:r>
      <w:r w:rsidR="00DC7568">
        <w:rPr>
          <w:rFonts w:asciiTheme="minorHAnsi" w:hAnsiTheme="minorHAnsi" w:cstheme="minorHAnsi"/>
        </w:rPr>
        <w:t xml:space="preserve">had </w:t>
      </w:r>
      <w:r w:rsidRPr="00BF17B0">
        <w:rPr>
          <w:rFonts w:asciiTheme="minorHAnsi" w:hAnsiTheme="minorHAnsi" w:cstheme="minorHAnsi"/>
        </w:rPr>
        <w:t xml:space="preserve">lost high-level political endorsement but is now regaining impetus. Where risks to sustainability were present, for example, in areas where there was reputational risk or sensitive or controversial topics, DFAT and the World Bank were fully aware of the risks and considered them in making decisions about grant implementation. There were no instances where DFAT or </w:t>
      </w:r>
      <w:bookmarkStart w:id="201" w:name="_Toc530052346"/>
      <w:bookmarkStart w:id="202" w:name="_Toc530052495"/>
      <w:bookmarkStart w:id="203" w:name="_Toc530054027"/>
      <w:bookmarkStart w:id="204" w:name="_Toc530055084"/>
      <w:bookmarkStart w:id="205" w:name="_Ref531033374"/>
      <w:bookmarkStart w:id="206" w:name="_Ref531033381"/>
      <w:bookmarkEnd w:id="201"/>
      <w:bookmarkEnd w:id="202"/>
      <w:bookmarkEnd w:id="203"/>
      <w:bookmarkEnd w:id="204"/>
      <w:r w:rsidR="00E86018" w:rsidRPr="00BF17B0">
        <w:rPr>
          <w:rFonts w:asciiTheme="minorHAnsi" w:hAnsiTheme="minorHAnsi" w:cstheme="minorHAnsi"/>
        </w:rPr>
        <w:t>the World Bank felt that in retrospect, an activity should not have been undertaken because its outcomes in policy or institutional change were insignificant.</w:t>
      </w:r>
    </w:p>
    <w:p w14:paraId="0C5BC3EC" w14:textId="77777777" w:rsidR="00E86018" w:rsidRPr="00BF17B0" w:rsidRDefault="00E86018" w:rsidP="00E86018">
      <w:pPr>
        <w:rPr>
          <w:rFonts w:asciiTheme="minorHAnsi" w:hAnsiTheme="minorHAnsi" w:cstheme="minorHAnsi"/>
        </w:rPr>
      </w:pPr>
    </w:p>
    <w:p w14:paraId="3777E01E" w14:textId="77777777" w:rsidR="00D423BD" w:rsidRPr="00BF17B0" w:rsidRDefault="00D423BD" w:rsidP="00BF07C4">
      <w:pPr>
        <w:pStyle w:val="Heading2"/>
        <w:rPr>
          <w:rFonts w:asciiTheme="minorHAnsi" w:hAnsiTheme="minorHAnsi" w:cstheme="minorHAnsi"/>
          <w:u w:val="single"/>
        </w:rPr>
      </w:pPr>
      <w:bookmarkStart w:id="207" w:name="_Toc532994295"/>
      <w:r w:rsidRPr="00BF17B0">
        <w:rPr>
          <w:rFonts w:asciiTheme="minorHAnsi" w:hAnsiTheme="minorHAnsi" w:cstheme="minorHAnsi"/>
        </w:rPr>
        <w:t>Monitoring and Evaluation</w:t>
      </w:r>
      <w:bookmarkEnd w:id="205"/>
      <w:bookmarkEnd w:id="206"/>
      <w:bookmarkEnd w:id="207"/>
    </w:p>
    <w:p w14:paraId="0CDDBF42" w14:textId="0BEFAB90" w:rsidR="00EC3976" w:rsidRPr="00BF17B0" w:rsidRDefault="00DE1C2C" w:rsidP="00D423BD">
      <w:pPr>
        <w:rPr>
          <w:rFonts w:asciiTheme="minorHAnsi" w:hAnsiTheme="minorHAnsi" w:cstheme="minorHAnsi"/>
        </w:rPr>
      </w:pPr>
      <w:r w:rsidRPr="00BF17B0">
        <w:rPr>
          <w:rFonts w:asciiTheme="minorHAnsi" w:hAnsiTheme="minorHAnsi" w:cstheme="minorHAnsi"/>
        </w:rPr>
        <w:t xml:space="preserve">The PH-PTF has three qualitative objectives but no quantitative output or outcomes were defined. </w:t>
      </w:r>
      <w:r w:rsidR="00D423BD" w:rsidRPr="00BF17B0">
        <w:rPr>
          <w:rFonts w:asciiTheme="minorHAnsi" w:hAnsiTheme="minorHAnsi" w:cstheme="minorHAnsi"/>
        </w:rPr>
        <w:t xml:space="preserve">No </w:t>
      </w:r>
      <w:r w:rsidR="008F0155" w:rsidRPr="00BF17B0">
        <w:rPr>
          <w:rFonts w:asciiTheme="minorHAnsi" w:hAnsiTheme="minorHAnsi" w:cstheme="minorHAnsi"/>
        </w:rPr>
        <w:t xml:space="preserve">monitoring and evaluation </w:t>
      </w:r>
      <w:r w:rsidR="00D423BD" w:rsidRPr="00BF17B0">
        <w:rPr>
          <w:rFonts w:asciiTheme="minorHAnsi" w:hAnsiTheme="minorHAnsi" w:cstheme="minorHAnsi"/>
        </w:rPr>
        <w:t>plan was</w:t>
      </w:r>
      <w:r w:rsidR="0010409E" w:rsidRPr="00BF17B0">
        <w:rPr>
          <w:rFonts w:asciiTheme="minorHAnsi" w:hAnsiTheme="minorHAnsi" w:cstheme="minorHAnsi"/>
        </w:rPr>
        <w:t xml:space="preserve"> </w:t>
      </w:r>
      <w:r w:rsidR="00D423BD" w:rsidRPr="00BF17B0">
        <w:rPr>
          <w:rFonts w:asciiTheme="minorHAnsi" w:hAnsiTheme="minorHAnsi" w:cstheme="minorHAnsi"/>
        </w:rPr>
        <w:t xml:space="preserve">established at the outset and this was </w:t>
      </w:r>
      <w:r w:rsidR="00125816" w:rsidRPr="00BF17B0">
        <w:rPr>
          <w:rFonts w:asciiTheme="minorHAnsi" w:hAnsiTheme="minorHAnsi" w:cstheme="minorHAnsi"/>
        </w:rPr>
        <w:t xml:space="preserve">noted </w:t>
      </w:r>
      <w:r w:rsidR="001559B8" w:rsidRPr="00BF17B0">
        <w:rPr>
          <w:rFonts w:asciiTheme="minorHAnsi" w:hAnsiTheme="minorHAnsi" w:cstheme="minorHAnsi"/>
        </w:rPr>
        <w:t xml:space="preserve">in </w:t>
      </w:r>
      <w:r w:rsidR="00D423BD" w:rsidRPr="00BF17B0">
        <w:rPr>
          <w:rFonts w:asciiTheme="minorHAnsi" w:hAnsiTheme="minorHAnsi" w:cstheme="minorHAnsi"/>
        </w:rPr>
        <w:t xml:space="preserve">the </w:t>
      </w:r>
      <w:r w:rsidR="001559B8" w:rsidRPr="00BF17B0">
        <w:rPr>
          <w:rFonts w:asciiTheme="minorHAnsi" w:hAnsiTheme="minorHAnsi" w:cstheme="minorHAnsi"/>
        </w:rPr>
        <w:t xml:space="preserve">Midterm Review that </w:t>
      </w:r>
      <w:r w:rsidR="00D423BD" w:rsidRPr="00BF17B0">
        <w:rPr>
          <w:rFonts w:asciiTheme="minorHAnsi" w:hAnsiTheme="minorHAnsi" w:cstheme="minorHAnsi"/>
        </w:rPr>
        <w:t>recommended establish</w:t>
      </w:r>
      <w:r w:rsidR="001559B8" w:rsidRPr="00BF17B0">
        <w:rPr>
          <w:rFonts w:asciiTheme="minorHAnsi" w:hAnsiTheme="minorHAnsi" w:cstheme="minorHAnsi"/>
        </w:rPr>
        <w:t xml:space="preserve">ing </w:t>
      </w:r>
      <w:r w:rsidR="00D423BD" w:rsidRPr="00BF17B0">
        <w:rPr>
          <w:rFonts w:asciiTheme="minorHAnsi" w:hAnsiTheme="minorHAnsi" w:cstheme="minorHAnsi"/>
        </w:rPr>
        <w:t xml:space="preserve">a </w:t>
      </w:r>
      <w:r w:rsidR="001559B8" w:rsidRPr="00BF17B0">
        <w:rPr>
          <w:rFonts w:asciiTheme="minorHAnsi" w:hAnsiTheme="minorHAnsi" w:cstheme="minorHAnsi"/>
        </w:rPr>
        <w:t>r</w:t>
      </w:r>
      <w:r w:rsidR="00D423BD" w:rsidRPr="00BF17B0">
        <w:rPr>
          <w:rFonts w:asciiTheme="minorHAnsi" w:hAnsiTheme="minorHAnsi" w:cstheme="minorHAnsi"/>
        </w:rPr>
        <w:t xml:space="preserve">esults </w:t>
      </w:r>
      <w:r w:rsidR="001559B8" w:rsidRPr="00BF17B0">
        <w:rPr>
          <w:rFonts w:asciiTheme="minorHAnsi" w:hAnsiTheme="minorHAnsi" w:cstheme="minorHAnsi"/>
        </w:rPr>
        <w:t>f</w:t>
      </w:r>
      <w:r w:rsidR="00D423BD" w:rsidRPr="00BF17B0">
        <w:rPr>
          <w:rFonts w:asciiTheme="minorHAnsi" w:hAnsiTheme="minorHAnsi" w:cstheme="minorHAnsi"/>
        </w:rPr>
        <w:t xml:space="preserve">ramework </w:t>
      </w:r>
      <w:r w:rsidR="001559B8" w:rsidRPr="00BF17B0">
        <w:rPr>
          <w:rFonts w:asciiTheme="minorHAnsi" w:hAnsiTheme="minorHAnsi" w:cstheme="minorHAnsi"/>
        </w:rPr>
        <w:t xml:space="preserve">that </w:t>
      </w:r>
      <w:r w:rsidR="00D423BD" w:rsidRPr="00BF17B0">
        <w:rPr>
          <w:rFonts w:asciiTheme="minorHAnsi" w:hAnsiTheme="minorHAnsi" w:cstheme="minorHAnsi"/>
        </w:rPr>
        <w:t xml:space="preserve">could </w:t>
      </w:r>
      <w:r w:rsidR="0023717E" w:rsidRPr="00BF17B0">
        <w:rPr>
          <w:rFonts w:asciiTheme="minorHAnsi" w:hAnsiTheme="minorHAnsi" w:cstheme="minorHAnsi"/>
        </w:rPr>
        <w:t xml:space="preserve">be used as a </w:t>
      </w:r>
      <w:r w:rsidR="00D423BD" w:rsidRPr="00BF17B0">
        <w:rPr>
          <w:rFonts w:asciiTheme="minorHAnsi" w:hAnsiTheme="minorHAnsi" w:cstheme="minorHAnsi"/>
        </w:rPr>
        <w:t>monitoring tool</w:t>
      </w:r>
      <w:r w:rsidR="000552AC" w:rsidRPr="00BF17B0">
        <w:rPr>
          <w:rFonts w:asciiTheme="minorHAnsi" w:hAnsiTheme="minorHAnsi" w:cstheme="minorHAnsi"/>
        </w:rPr>
        <w:t xml:space="preserve"> (</w:t>
      </w:r>
      <w:r w:rsidR="00782209" w:rsidRPr="00BF17B0">
        <w:rPr>
          <w:rFonts w:asciiTheme="minorHAnsi" w:hAnsiTheme="minorHAnsi" w:cstheme="minorHAnsi"/>
        </w:rPr>
        <w:t>see</w:t>
      </w:r>
      <w:r w:rsidR="005D2767">
        <w:rPr>
          <w:rFonts w:asciiTheme="minorHAnsi" w:hAnsiTheme="minorHAnsi" w:cstheme="minorHAnsi"/>
        </w:rPr>
        <w:t xml:space="preserve"> discussion on</w:t>
      </w:r>
      <w:r w:rsidR="00782209" w:rsidRPr="00BF17B0">
        <w:rPr>
          <w:rFonts w:asciiTheme="minorHAnsi" w:hAnsiTheme="minorHAnsi" w:cstheme="minorHAnsi"/>
        </w:rPr>
        <w:t xml:space="preserve"> </w:t>
      </w:r>
      <w:r w:rsidR="00782209" w:rsidRPr="00BF17B0">
        <w:rPr>
          <w:rFonts w:asciiTheme="minorHAnsi" w:hAnsiTheme="minorHAnsi" w:cstheme="minorHAnsi"/>
        </w:rPr>
        <w:fldChar w:fldCharType="begin"/>
      </w:r>
      <w:r w:rsidR="00782209" w:rsidRPr="00BF17B0">
        <w:rPr>
          <w:rFonts w:asciiTheme="minorHAnsi" w:hAnsiTheme="minorHAnsi" w:cstheme="minorHAnsi"/>
        </w:rPr>
        <w:instrText xml:space="preserve"> REF _Ref531044720 \h </w:instrText>
      </w:r>
      <w:r w:rsidR="00BF17B0">
        <w:rPr>
          <w:rFonts w:asciiTheme="minorHAnsi" w:hAnsiTheme="minorHAnsi" w:cstheme="minorHAnsi"/>
        </w:rPr>
        <w:instrText xml:space="preserve"> \* MERGEFORMAT </w:instrText>
      </w:r>
      <w:r w:rsidR="00782209" w:rsidRPr="00BF17B0">
        <w:rPr>
          <w:rFonts w:asciiTheme="minorHAnsi" w:hAnsiTheme="minorHAnsi" w:cstheme="minorHAnsi"/>
        </w:rPr>
      </w:r>
      <w:r w:rsidR="00782209" w:rsidRPr="00BF17B0">
        <w:rPr>
          <w:rFonts w:asciiTheme="minorHAnsi" w:hAnsiTheme="minorHAnsi" w:cstheme="minorHAnsi"/>
        </w:rPr>
        <w:fldChar w:fldCharType="separate"/>
      </w:r>
      <w:r w:rsidR="00F338BE" w:rsidRPr="00F338BE">
        <w:rPr>
          <w:rFonts w:asciiTheme="minorHAnsi" w:hAnsiTheme="minorHAnsi" w:cstheme="minorHAnsi"/>
        </w:rPr>
        <w:t>Results Framework</w:t>
      </w:r>
      <w:r w:rsidR="00782209" w:rsidRPr="00BF17B0">
        <w:rPr>
          <w:rFonts w:asciiTheme="minorHAnsi" w:hAnsiTheme="minorHAnsi" w:cstheme="minorHAnsi"/>
        </w:rPr>
        <w:fldChar w:fldCharType="end"/>
      </w:r>
      <w:r w:rsidR="00782209" w:rsidRPr="00BF17B0">
        <w:rPr>
          <w:rFonts w:asciiTheme="minorHAnsi" w:hAnsiTheme="minorHAnsi" w:cstheme="minorHAnsi"/>
        </w:rPr>
        <w:t xml:space="preserve"> in Section </w:t>
      </w:r>
      <w:r w:rsidR="00782209" w:rsidRPr="00BF17B0">
        <w:rPr>
          <w:rFonts w:asciiTheme="minorHAnsi" w:hAnsiTheme="minorHAnsi" w:cstheme="minorHAnsi"/>
        </w:rPr>
        <w:fldChar w:fldCharType="begin"/>
      </w:r>
      <w:r w:rsidR="00782209" w:rsidRPr="00BF17B0">
        <w:rPr>
          <w:rFonts w:asciiTheme="minorHAnsi" w:hAnsiTheme="minorHAnsi" w:cstheme="minorHAnsi"/>
        </w:rPr>
        <w:instrText xml:space="preserve"> REF _Ref532838180 \r \h </w:instrText>
      </w:r>
      <w:r w:rsidR="00BF17B0">
        <w:rPr>
          <w:rFonts w:asciiTheme="minorHAnsi" w:hAnsiTheme="minorHAnsi" w:cstheme="minorHAnsi"/>
        </w:rPr>
        <w:instrText xml:space="preserve"> \* MERGEFORMAT </w:instrText>
      </w:r>
      <w:r w:rsidR="00782209" w:rsidRPr="00BF17B0">
        <w:rPr>
          <w:rFonts w:asciiTheme="minorHAnsi" w:hAnsiTheme="minorHAnsi" w:cstheme="minorHAnsi"/>
        </w:rPr>
      </w:r>
      <w:r w:rsidR="00782209" w:rsidRPr="00BF17B0">
        <w:rPr>
          <w:rFonts w:asciiTheme="minorHAnsi" w:hAnsiTheme="minorHAnsi" w:cstheme="minorHAnsi"/>
        </w:rPr>
        <w:fldChar w:fldCharType="separate"/>
      </w:r>
      <w:r w:rsidR="00F338BE">
        <w:rPr>
          <w:rFonts w:asciiTheme="minorHAnsi" w:hAnsiTheme="minorHAnsi" w:cstheme="minorHAnsi"/>
        </w:rPr>
        <w:t>2</w:t>
      </w:r>
      <w:r w:rsidR="00782209" w:rsidRPr="00BF17B0">
        <w:rPr>
          <w:rFonts w:asciiTheme="minorHAnsi" w:hAnsiTheme="minorHAnsi" w:cstheme="minorHAnsi"/>
        </w:rPr>
        <w:fldChar w:fldCharType="end"/>
      </w:r>
      <w:r w:rsidR="00011B81" w:rsidRPr="00BF17B0">
        <w:rPr>
          <w:rFonts w:asciiTheme="minorHAnsi" w:hAnsiTheme="minorHAnsi" w:cstheme="minorHAnsi"/>
        </w:rPr>
        <w:t>)</w:t>
      </w:r>
      <w:r w:rsidR="00D423BD" w:rsidRPr="00BF17B0">
        <w:rPr>
          <w:rFonts w:asciiTheme="minorHAnsi" w:hAnsiTheme="minorHAnsi" w:cstheme="minorHAnsi"/>
        </w:rPr>
        <w:t xml:space="preserve">. </w:t>
      </w:r>
      <w:r w:rsidR="00EC3976" w:rsidRPr="00BF17B0">
        <w:rPr>
          <w:rFonts w:asciiTheme="minorHAnsi" w:hAnsiTheme="minorHAnsi" w:cstheme="minorHAnsi"/>
        </w:rPr>
        <w:t xml:space="preserve">A </w:t>
      </w:r>
      <w:r w:rsidR="00782209" w:rsidRPr="00BF17B0">
        <w:rPr>
          <w:rFonts w:asciiTheme="minorHAnsi" w:hAnsiTheme="minorHAnsi" w:cstheme="minorHAnsi"/>
        </w:rPr>
        <w:t>r</w:t>
      </w:r>
      <w:r w:rsidR="00EC3976" w:rsidRPr="00BF17B0">
        <w:rPr>
          <w:rFonts w:asciiTheme="minorHAnsi" w:hAnsiTheme="minorHAnsi" w:cstheme="minorHAnsi"/>
        </w:rPr>
        <w:t xml:space="preserve">esults </w:t>
      </w:r>
      <w:r w:rsidR="00782209" w:rsidRPr="00BF17B0">
        <w:rPr>
          <w:rFonts w:asciiTheme="minorHAnsi" w:hAnsiTheme="minorHAnsi" w:cstheme="minorHAnsi"/>
        </w:rPr>
        <w:t>f</w:t>
      </w:r>
      <w:r w:rsidR="00EC3976" w:rsidRPr="00BF17B0">
        <w:rPr>
          <w:rFonts w:asciiTheme="minorHAnsi" w:hAnsiTheme="minorHAnsi" w:cstheme="minorHAnsi"/>
        </w:rPr>
        <w:t>ramework</w:t>
      </w:r>
      <w:r w:rsidR="00D423BD" w:rsidRPr="00BF17B0">
        <w:rPr>
          <w:rFonts w:asciiTheme="minorHAnsi" w:hAnsiTheme="minorHAnsi" w:cstheme="minorHAnsi"/>
        </w:rPr>
        <w:t xml:space="preserve"> was </w:t>
      </w:r>
      <w:r w:rsidR="00EC3976" w:rsidRPr="00BF17B0">
        <w:rPr>
          <w:rFonts w:asciiTheme="minorHAnsi" w:hAnsiTheme="minorHAnsi" w:cstheme="minorHAnsi"/>
        </w:rPr>
        <w:t xml:space="preserve">eventually </w:t>
      </w:r>
      <w:r w:rsidR="00D423BD" w:rsidRPr="00BF17B0">
        <w:rPr>
          <w:rFonts w:asciiTheme="minorHAnsi" w:hAnsiTheme="minorHAnsi" w:cstheme="minorHAnsi"/>
        </w:rPr>
        <w:t xml:space="preserve">produced retroactively and was almost entirely limited to completed </w:t>
      </w:r>
      <w:r w:rsidR="002B70C5" w:rsidRPr="00BF17B0">
        <w:rPr>
          <w:rFonts w:asciiTheme="minorHAnsi" w:hAnsiTheme="minorHAnsi" w:cstheme="minorHAnsi"/>
        </w:rPr>
        <w:t xml:space="preserve">or </w:t>
      </w:r>
      <w:r w:rsidR="00D423BD" w:rsidRPr="00BF17B0">
        <w:rPr>
          <w:rFonts w:asciiTheme="minorHAnsi" w:hAnsiTheme="minorHAnsi" w:cstheme="minorHAnsi"/>
        </w:rPr>
        <w:t>“legally closed”</w:t>
      </w:r>
      <w:r w:rsidR="002B70C5" w:rsidRPr="00BF17B0">
        <w:rPr>
          <w:rFonts w:asciiTheme="minorHAnsi" w:hAnsiTheme="minorHAnsi" w:cstheme="minorHAnsi"/>
        </w:rPr>
        <w:t xml:space="preserve"> </w:t>
      </w:r>
      <w:r w:rsidR="00D423BD" w:rsidRPr="00BF17B0">
        <w:rPr>
          <w:rFonts w:asciiTheme="minorHAnsi" w:hAnsiTheme="minorHAnsi" w:cstheme="minorHAnsi"/>
        </w:rPr>
        <w:t>grants</w:t>
      </w:r>
      <w:r w:rsidR="00EB211F" w:rsidRPr="00BF17B0">
        <w:rPr>
          <w:rFonts w:asciiTheme="minorHAnsi" w:hAnsiTheme="minorHAnsi" w:cstheme="minorHAnsi"/>
        </w:rPr>
        <w:t xml:space="preserve">. </w:t>
      </w:r>
      <w:r w:rsidR="00D423BD" w:rsidRPr="00BF17B0">
        <w:rPr>
          <w:rFonts w:asciiTheme="minorHAnsi" w:hAnsiTheme="minorHAnsi" w:cstheme="minorHAnsi"/>
        </w:rPr>
        <w:t xml:space="preserve"> It focused on the </w:t>
      </w:r>
      <w:r w:rsidR="00454F52" w:rsidRPr="00BF17B0">
        <w:rPr>
          <w:rFonts w:asciiTheme="minorHAnsi" w:hAnsiTheme="minorHAnsi" w:cstheme="minorHAnsi"/>
        </w:rPr>
        <w:t>outputs</w:t>
      </w:r>
      <w:r w:rsidR="002B70C5" w:rsidRPr="00BF17B0">
        <w:rPr>
          <w:rFonts w:asciiTheme="minorHAnsi" w:hAnsiTheme="minorHAnsi" w:cstheme="minorHAnsi"/>
        </w:rPr>
        <w:t xml:space="preserve"> </w:t>
      </w:r>
      <w:r w:rsidR="00D423BD" w:rsidRPr="00BF17B0">
        <w:rPr>
          <w:rFonts w:asciiTheme="minorHAnsi" w:hAnsiTheme="minorHAnsi" w:cstheme="minorHAnsi"/>
        </w:rPr>
        <w:t xml:space="preserve">and outcomes of </w:t>
      </w:r>
      <w:r w:rsidR="002B70C5" w:rsidRPr="00BF17B0">
        <w:rPr>
          <w:rFonts w:asciiTheme="minorHAnsi" w:hAnsiTheme="minorHAnsi" w:cstheme="minorHAnsi"/>
        </w:rPr>
        <w:t xml:space="preserve">the </w:t>
      </w:r>
      <w:r w:rsidR="00D423BD" w:rsidRPr="00BF17B0">
        <w:rPr>
          <w:rFonts w:asciiTheme="minorHAnsi" w:hAnsiTheme="minorHAnsi" w:cstheme="minorHAnsi"/>
        </w:rPr>
        <w:t xml:space="preserve">grants, but did not </w:t>
      </w:r>
      <w:r w:rsidR="002B70C5" w:rsidRPr="00BF17B0">
        <w:rPr>
          <w:rFonts w:asciiTheme="minorHAnsi" w:hAnsiTheme="minorHAnsi" w:cstheme="minorHAnsi"/>
        </w:rPr>
        <w:t xml:space="preserve">show </w:t>
      </w:r>
      <w:r w:rsidR="00D423BD" w:rsidRPr="00BF17B0">
        <w:rPr>
          <w:rFonts w:asciiTheme="minorHAnsi" w:hAnsiTheme="minorHAnsi" w:cstheme="minorHAnsi"/>
        </w:rPr>
        <w:t xml:space="preserve">their original targets, so </w:t>
      </w:r>
      <w:r w:rsidR="006C1F9D" w:rsidRPr="00BF17B0">
        <w:rPr>
          <w:rFonts w:asciiTheme="minorHAnsi" w:hAnsiTheme="minorHAnsi" w:cstheme="minorHAnsi"/>
        </w:rPr>
        <w:t xml:space="preserve">that </w:t>
      </w:r>
      <w:r w:rsidR="00D423BD" w:rsidRPr="00BF17B0">
        <w:rPr>
          <w:rFonts w:asciiTheme="minorHAnsi" w:hAnsiTheme="minorHAnsi" w:cstheme="minorHAnsi"/>
        </w:rPr>
        <w:t>any changes in th</w:t>
      </w:r>
      <w:r w:rsidR="006C1F9D" w:rsidRPr="00BF17B0">
        <w:rPr>
          <w:rFonts w:asciiTheme="minorHAnsi" w:hAnsiTheme="minorHAnsi" w:cstheme="minorHAnsi"/>
        </w:rPr>
        <w:t xml:space="preserve">ose targets from </w:t>
      </w:r>
      <w:r w:rsidR="00D423BD" w:rsidRPr="00BF17B0">
        <w:rPr>
          <w:rFonts w:asciiTheme="minorHAnsi" w:hAnsiTheme="minorHAnsi" w:cstheme="minorHAnsi"/>
        </w:rPr>
        <w:t xml:space="preserve">the original grant funding request </w:t>
      </w:r>
      <w:r w:rsidR="00A616CE" w:rsidRPr="00BF17B0">
        <w:rPr>
          <w:rFonts w:asciiTheme="minorHAnsi" w:hAnsiTheme="minorHAnsi" w:cstheme="minorHAnsi"/>
        </w:rPr>
        <w:t>we</w:t>
      </w:r>
      <w:r w:rsidR="00D423BD" w:rsidRPr="00BF17B0">
        <w:rPr>
          <w:rFonts w:asciiTheme="minorHAnsi" w:hAnsiTheme="minorHAnsi" w:cstheme="minorHAnsi"/>
        </w:rPr>
        <w:t>re not reflected</w:t>
      </w:r>
      <w:r w:rsidR="00EB211F" w:rsidRPr="00BF17B0">
        <w:rPr>
          <w:rFonts w:asciiTheme="minorHAnsi" w:hAnsiTheme="minorHAnsi" w:cstheme="minorHAnsi"/>
        </w:rPr>
        <w:t xml:space="preserve">. </w:t>
      </w:r>
      <w:r w:rsidR="00EC3976" w:rsidRPr="00BF17B0">
        <w:rPr>
          <w:rFonts w:asciiTheme="minorHAnsi" w:hAnsiTheme="minorHAnsi" w:cstheme="minorHAnsi"/>
        </w:rPr>
        <w:t xml:space="preserve">Inasmuch as the </w:t>
      </w:r>
      <w:r w:rsidR="007D4E64" w:rsidRPr="00BF17B0">
        <w:rPr>
          <w:rFonts w:asciiTheme="minorHAnsi" w:hAnsiTheme="minorHAnsi" w:cstheme="minorHAnsi"/>
        </w:rPr>
        <w:t>r</w:t>
      </w:r>
      <w:r w:rsidR="00EC3976" w:rsidRPr="00BF17B0">
        <w:rPr>
          <w:rFonts w:asciiTheme="minorHAnsi" w:hAnsiTheme="minorHAnsi" w:cstheme="minorHAnsi"/>
        </w:rPr>
        <w:t xml:space="preserve">esults </w:t>
      </w:r>
      <w:r w:rsidR="007D4E64" w:rsidRPr="00BF17B0">
        <w:rPr>
          <w:rFonts w:asciiTheme="minorHAnsi" w:hAnsiTheme="minorHAnsi" w:cstheme="minorHAnsi"/>
        </w:rPr>
        <w:t>f</w:t>
      </w:r>
      <w:r w:rsidR="00EC3976" w:rsidRPr="00BF17B0">
        <w:rPr>
          <w:rFonts w:asciiTheme="minorHAnsi" w:hAnsiTheme="minorHAnsi" w:cstheme="minorHAnsi"/>
        </w:rPr>
        <w:t>ramework</w:t>
      </w:r>
      <w:r w:rsidR="00D423BD" w:rsidRPr="00BF17B0">
        <w:rPr>
          <w:rFonts w:asciiTheme="minorHAnsi" w:hAnsiTheme="minorHAnsi" w:cstheme="minorHAnsi"/>
        </w:rPr>
        <w:t xml:space="preserve"> did not </w:t>
      </w:r>
      <w:r w:rsidR="006C1F9D" w:rsidRPr="00BF17B0">
        <w:rPr>
          <w:rFonts w:asciiTheme="minorHAnsi" w:hAnsiTheme="minorHAnsi" w:cstheme="minorHAnsi"/>
        </w:rPr>
        <w:t xml:space="preserve">examine </w:t>
      </w:r>
      <w:r w:rsidR="00D423BD" w:rsidRPr="00BF17B0">
        <w:rPr>
          <w:rFonts w:asciiTheme="minorHAnsi" w:hAnsiTheme="minorHAnsi" w:cstheme="minorHAnsi"/>
        </w:rPr>
        <w:t>ongoing activities</w:t>
      </w:r>
      <w:r w:rsidR="006C1F9D" w:rsidRPr="00BF17B0">
        <w:rPr>
          <w:rFonts w:asciiTheme="minorHAnsi" w:hAnsiTheme="minorHAnsi" w:cstheme="minorHAnsi"/>
        </w:rPr>
        <w:t>,</w:t>
      </w:r>
      <w:r w:rsidR="00D423BD" w:rsidRPr="00BF17B0">
        <w:rPr>
          <w:rFonts w:asciiTheme="minorHAnsi" w:hAnsiTheme="minorHAnsi" w:cstheme="minorHAnsi"/>
        </w:rPr>
        <w:t xml:space="preserve"> </w:t>
      </w:r>
      <w:r w:rsidR="006C1F9D" w:rsidRPr="00BF17B0">
        <w:rPr>
          <w:rFonts w:asciiTheme="minorHAnsi" w:hAnsiTheme="minorHAnsi" w:cstheme="minorHAnsi"/>
        </w:rPr>
        <w:t xml:space="preserve">the framework </w:t>
      </w:r>
      <w:r w:rsidR="00D423BD" w:rsidRPr="00BF17B0">
        <w:rPr>
          <w:rFonts w:asciiTheme="minorHAnsi" w:hAnsiTheme="minorHAnsi" w:cstheme="minorHAnsi"/>
        </w:rPr>
        <w:t>could not be used as a monitoring tool</w:t>
      </w:r>
      <w:r w:rsidR="00EB211F" w:rsidRPr="00BF17B0">
        <w:rPr>
          <w:rFonts w:asciiTheme="minorHAnsi" w:hAnsiTheme="minorHAnsi" w:cstheme="minorHAnsi"/>
        </w:rPr>
        <w:t xml:space="preserve">. </w:t>
      </w:r>
    </w:p>
    <w:p w14:paraId="31FF1115" w14:textId="77777777" w:rsidR="00EC3976" w:rsidRPr="00BF17B0" w:rsidRDefault="00EC3976" w:rsidP="00EC3976">
      <w:pPr>
        <w:rPr>
          <w:rFonts w:asciiTheme="minorHAnsi" w:hAnsiTheme="minorHAnsi" w:cstheme="minorHAnsi"/>
        </w:rPr>
      </w:pPr>
      <w:r w:rsidRPr="00BF17B0">
        <w:rPr>
          <w:rFonts w:asciiTheme="minorHAnsi" w:hAnsiTheme="minorHAnsi" w:cstheme="minorHAnsi"/>
        </w:rPr>
        <w:t xml:space="preserve">This </w:t>
      </w:r>
      <w:r w:rsidR="007D4E64" w:rsidRPr="00BF17B0">
        <w:rPr>
          <w:rFonts w:asciiTheme="minorHAnsi" w:hAnsiTheme="minorHAnsi" w:cstheme="minorHAnsi"/>
        </w:rPr>
        <w:t>report</w:t>
      </w:r>
      <w:r w:rsidRPr="00BF17B0">
        <w:rPr>
          <w:rFonts w:asciiTheme="minorHAnsi" w:hAnsiTheme="minorHAnsi" w:cstheme="minorHAnsi"/>
        </w:rPr>
        <w:t xml:space="preserve"> notes that the Steering Committee’s ability to effectively monitor progress was further constrained by the absence of a regular standard reporting system. While information about financial progress, achievements of specific activities, and minutes of meetings were provided regularly to the Steering Committee, no written annual reports for the entire program were prepared. The absence of a program level results framework until 2017 also meant that there were no clear overall objectives that could be used as basis for monitoring and evaluation.</w:t>
      </w:r>
      <w:r w:rsidRPr="00BF17B0">
        <w:rPr>
          <w:rFonts w:asciiTheme="minorHAnsi" w:hAnsiTheme="minorHAnsi" w:cstheme="minorHAnsi"/>
          <w:szCs w:val="24"/>
        </w:rPr>
        <w:t xml:space="preserve"> </w:t>
      </w:r>
    </w:p>
    <w:p w14:paraId="213F1EC2" w14:textId="0D68F86D" w:rsidR="00EC3976" w:rsidRPr="00BF17B0" w:rsidRDefault="00D423BD" w:rsidP="00EC3976">
      <w:pPr>
        <w:rPr>
          <w:rFonts w:asciiTheme="minorHAnsi" w:hAnsiTheme="minorHAnsi" w:cstheme="minorHAnsi"/>
          <w:szCs w:val="24"/>
        </w:rPr>
      </w:pPr>
      <w:r w:rsidRPr="00BF17B0">
        <w:rPr>
          <w:rFonts w:asciiTheme="minorHAnsi" w:hAnsiTheme="minorHAnsi" w:cstheme="minorHAnsi"/>
        </w:rPr>
        <w:t>At grant level</w:t>
      </w:r>
      <w:r w:rsidR="006C1F9D" w:rsidRPr="00BF17B0">
        <w:rPr>
          <w:rFonts w:asciiTheme="minorHAnsi" w:hAnsiTheme="minorHAnsi" w:cstheme="minorHAnsi"/>
        </w:rPr>
        <w:t xml:space="preserve">, </w:t>
      </w:r>
      <w:r w:rsidR="00EC3976" w:rsidRPr="00BF17B0">
        <w:rPr>
          <w:rFonts w:asciiTheme="minorHAnsi" w:hAnsiTheme="minorHAnsi" w:cstheme="minorHAnsi"/>
          <w:szCs w:val="24"/>
        </w:rPr>
        <w:t xml:space="preserve">all proposed activities specified the intended </w:t>
      </w:r>
      <w:r w:rsidR="00EC3976" w:rsidRPr="00BF17B0">
        <w:rPr>
          <w:rFonts w:asciiTheme="minorHAnsi" w:hAnsiTheme="minorHAnsi" w:cstheme="minorHAnsi"/>
        </w:rPr>
        <w:t>outputs</w:t>
      </w:r>
      <w:r w:rsidR="00EC3976" w:rsidRPr="00BF17B0">
        <w:rPr>
          <w:rFonts w:asciiTheme="minorHAnsi" w:hAnsiTheme="minorHAnsi" w:cstheme="minorHAnsi"/>
          <w:szCs w:val="24"/>
        </w:rPr>
        <w:t xml:space="preserve"> in the grant funding requests. In some completed grants, the results were well documented in the Grant Reporting and Monitoring (GRM) system. </w:t>
      </w:r>
      <w:r w:rsidR="00EC3976" w:rsidRPr="00BF17B0">
        <w:rPr>
          <w:rFonts w:asciiTheme="minorHAnsi" w:hAnsiTheme="minorHAnsi" w:cstheme="minorHAnsi"/>
        </w:rPr>
        <w:t xml:space="preserve">There were sometimes thorough monitoring and evaluation programs with baseline data and continuous impact evaluation. Many grants produced regular reports on progress through the World Bank’s </w:t>
      </w:r>
      <w:r w:rsidR="00B51D79">
        <w:rPr>
          <w:rFonts w:asciiTheme="minorHAnsi" w:hAnsiTheme="minorHAnsi" w:cstheme="minorHAnsi"/>
        </w:rPr>
        <w:t>GRM</w:t>
      </w:r>
      <w:r w:rsidR="00EC3976" w:rsidRPr="00BF17B0">
        <w:rPr>
          <w:rFonts w:asciiTheme="minorHAnsi" w:hAnsiTheme="minorHAnsi" w:cstheme="minorHAnsi"/>
        </w:rPr>
        <w:t xml:space="preserve"> system.</w:t>
      </w:r>
    </w:p>
    <w:p w14:paraId="0D8BC0F0" w14:textId="77777777" w:rsidR="00A939A1" w:rsidRPr="00BF17B0" w:rsidRDefault="00C27B89" w:rsidP="00C27B89">
      <w:pPr>
        <w:rPr>
          <w:rFonts w:asciiTheme="minorHAnsi" w:hAnsiTheme="minorHAnsi" w:cstheme="minorHAnsi"/>
        </w:rPr>
      </w:pPr>
      <w:r w:rsidRPr="00BF17B0">
        <w:rPr>
          <w:rFonts w:asciiTheme="minorHAnsi" w:hAnsiTheme="minorHAnsi" w:cstheme="minorHAnsi"/>
        </w:rPr>
        <w:t xml:space="preserve">During the life of the </w:t>
      </w:r>
      <w:r w:rsidR="00064A1B" w:rsidRPr="00BF17B0">
        <w:rPr>
          <w:rFonts w:asciiTheme="minorHAnsi" w:hAnsiTheme="minorHAnsi" w:cstheme="minorHAnsi"/>
        </w:rPr>
        <w:t>PH-</w:t>
      </w:r>
      <w:r w:rsidR="00A53818" w:rsidRPr="00BF17B0">
        <w:rPr>
          <w:rFonts w:asciiTheme="minorHAnsi" w:hAnsiTheme="minorHAnsi" w:cstheme="minorHAnsi"/>
        </w:rPr>
        <w:t>PTF</w:t>
      </w:r>
      <w:r w:rsidR="003C7EC1" w:rsidRPr="00BF17B0">
        <w:rPr>
          <w:rFonts w:asciiTheme="minorHAnsi" w:hAnsiTheme="minorHAnsi" w:cstheme="minorHAnsi"/>
        </w:rPr>
        <w:t>,</w:t>
      </w:r>
      <w:r w:rsidRPr="00BF17B0">
        <w:rPr>
          <w:rFonts w:asciiTheme="minorHAnsi" w:hAnsiTheme="minorHAnsi" w:cstheme="minorHAnsi"/>
        </w:rPr>
        <w:t xml:space="preserve"> the </w:t>
      </w:r>
      <w:r w:rsidR="00687594" w:rsidRPr="00BF17B0">
        <w:rPr>
          <w:rFonts w:asciiTheme="minorHAnsi" w:hAnsiTheme="minorHAnsi" w:cstheme="minorHAnsi"/>
        </w:rPr>
        <w:t>World Bank</w:t>
      </w:r>
      <w:r w:rsidRPr="00BF17B0">
        <w:rPr>
          <w:rFonts w:asciiTheme="minorHAnsi" w:hAnsiTheme="minorHAnsi" w:cstheme="minorHAnsi"/>
        </w:rPr>
        <w:t xml:space="preserve"> introduced </w:t>
      </w:r>
      <w:r w:rsidR="006834DD" w:rsidRPr="00BF17B0">
        <w:rPr>
          <w:rFonts w:asciiTheme="minorHAnsi" w:hAnsiTheme="minorHAnsi" w:cstheme="minorHAnsi"/>
        </w:rPr>
        <w:t>programmatic analytical and advisory activities</w:t>
      </w:r>
      <w:r w:rsidR="00486D75" w:rsidRPr="00BF17B0">
        <w:rPr>
          <w:rFonts w:asciiTheme="minorHAnsi" w:hAnsiTheme="minorHAnsi" w:cstheme="minorHAnsi"/>
        </w:rPr>
        <w:t xml:space="preserve"> or PAAA</w:t>
      </w:r>
      <w:r w:rsidR="006834DD" w:rsidRPr="00BF17B0">
        <w:rPr>
          <w:rFonts w:asciiTheme="minorHAnsi" w:hAnsiTheme="minorHAnsi" w:cstheme="minorHAnsi"/>
        </w:rPr>
        <w:t xml:space="preserve">, a </w:t>
      </w:r>
      <w:r w:rsidRPr="00BF17B0">
        <w:rPr>
          <w:rFonts w:asciiTheme="minorHAnsi" w:hAnsiTheme="minorHAnsi" w:cstheme="minorHAnsi"/>
        </w:rPr>
        <w:t>new approach to strengthen</w:t>
      </w:r>
      <w:r w:rsidR="003C7EC1" w:rsidRPr="00BF17B0">
        <w:rPr>
          <w:rFonts w:asciiTheme="minorHAnsi" w:hAnsiTheme="minorHAnsi" w:cstheme="minorHAnsi"/>
        </w:rPr>
        <w:t>ing</w:t>
      </w:r>
      <w:r w:rsidRPr="00BF17B0">
        <w:rPr>
          <w:rFonts w:asciiTheme="minorHAnsi" w:hAnsiTheme="minorHAnsi" w:cstheme="minorHAnsi"/>
        </w:rPr>
        <w:t xml:space="preserve"> the integrity and management </w:t>
      </w:r>
      <w:r w:rsidR="00064A1B" w:rsidRPr="00BF17B0">
        <w:rPr>
          <w:rFonts w:asciiTheme="minorHAnsi" w:hAnsiTheme="minorHAnsi" w:cstheme="minorHAnsi"/>
        </w:rPr>
        <w:t xml:space="preserve">of analytical and advisory activities. </w:t>
      </w:r>
      <w:r w:rsidR="006834DD" w:rsidRPr="00BF17B0">
        <w:rPr>
          <w:rFonts w:asciiTheme="minorHAnsi" w:hAnsiTheme="minorHAnsi" w:cstheme="minorHAnsi"/>
        </w:rPr>
        <w:t xml:space="preserve">The </w:t>
      </w:r>
      <w:r w:rsidRPr="00BF17B0">
        <w:rPr>
          <w:rFonts w:asciiTheme="minorHAnsi" w:hAnsiTheme="minorHAnsi" w:cstheme="minorHAnsi"/>
        </w:rPr>
        <w:t>PAAA</w:t>
      </w:r>
      <w:r w:rsidR="006834DD" w:rsidRPr="00BF17B0">
        <w:rPr>
          <w:rFonts w:asciiTheme="minorHAnsi" w:hAnsiTheme="minorHAnsi" w:cstheme="minorHAnsi"/>
        </w:rPr>
        <w:t xml:space="preserve"> </w:t>
      </w:r>
      <w:r w:rsidRPr="00BF17B0">
        <w:rPr>
          <w:rFonts w:asciiTheme="minorHAnsi" w:hAnsiTheme="minorHAnsi" w:cstheme="minorHAnsi"/>
        </w:rPr>
        <w:t>usually embraced a</w:t>
      </w:r>
      <w:r w:rsidR="009E4E1D" w:rsidRPr="00BF17B0">
        <w:rPr>
          <w:rFonts w:asciiTheme="minorHAnsi" w:hAnsiTheme="minorHAnsi" w:cstheme="minorHAnsi"/>
        </w:rPr>
        <w:t xml:space="preserve"> </w:t>
      </w:r>
      <w:r w:rsidRPr="00BF17B0">
        <w:rPr>
          <w:rFonts w:asciiTheme="minorHAnsi" w:hAnsiTheme="minorHAnsi" w:cstheme="minorHAnsi"/>
        </w:rPr>
        <w:t>number of ASA activities</w:t>
      </w:r>
      <w:r w:rsidR="00A939A1" w:rsidRPr="00BF17B0">
        <w:rPr>
          <w:rFonts w:asciiTheme="minorHAnsi" w:hAnsiTheme="minorHAnsi" w:cstheme="minorHAnsi"/>
        </w:rPr>
        <w:t xml:space="preserve"> that support</w:t>
      </w:r>
      <w:r w:rsidR="001B5EE2" w:rsidRPr="00BF17B0">
        <w:rPr>
          <w:rFonts w:asciiTheme="minorHAnsi" w:hAnsiTheme="minorHAnsi" w:cstheme="minorHAnsi"/>
        </w:rPr>
        <w:t>ed</w:t>
      </w:r>
      <w:r w:rsidR="00A939A1" w:rsidRPr="00BF17B0">
        <w:rPr>
          <w:rFonts w:asciiTheme="minorHAnsi" w:hAnsiTheme="minorHAnsi" w:cstheme="minorHAnsi"/>
        </w:rPr>
        <w:t xml:space="preserve"> the same theme </w:t>
      </w:r>
      <w:r w:rsidRPr="00BF17B0">
        <w:rPr>
          <w:rFonts w:asciiTheme="minorHAnsi" w:hAnsiTheme="minorHAnsi" w:cstheme="minorHAnsi"/>
        </w:rPr>
        <w:t xml:space="preserve">and </w:t>
      </w:r>
      <w:r w:rsidR="001B5EE2" w:rsidRPr="00BF17B0">
        <w:rPr>
          <w:rFonts w:asciiTheme="minorHAnsi" w:hAnsiTheme="minorHAnsi" w:cstheme="minorHAnsi"/>
        </w:rPr>
        <w:t>were</w:t>
      </w:r>
      <w:r w:rsidRPr="00BF17B0">
        <w:rPr>
          <w:rFonts w:asciiTheme="minorHAnsi" w:hAnsiTheme="minorHAnsi" w:cstheme="minorHAnsi"/>
        </w:rPr>
        <w:t xml:space="preserve"> within the scope of a particular global practice</w:t>
      </w:r>
      <w:r w:rsidR="00A939A1" w:rsidRPr="00BF17B0">
        <w:rPr>
          <w:rFonts w:asciiTheme="minorHAnsi" w:hAnsiTheme="minorHAnsi" w:cstheme="minorHAnsi"/>
        </w:rPr>
        <w:t xml:space="preserve">, for example, </w:t>
      </w:r>
      <w:r w:rsidRPr="00BF17B0">
        <w:rPr>
          <w:rFonts w:asciiTheme="minorHAnsi" w:hAnsiTheme="minorHAnsi" w:cstheme="minorHAnsi"/>
        </w:rPr>
        <w:t>Education</w:t>
      </w:r>
      <w:r w:rsidR="00A939A1" w:rsidRPr="00BF17B0">
        <w:rPr>
          <w:rFonts w:asciiTheme="minorHAnsi" w:hAnsiTheme="minorHAnsi" w:cstheme="minorHAnsi"/>
        </w:rPr>
        <w:t xml:space="preserve"> and </w:t>
      </w:r>
      <w:r w:rsidRPr="00BF17B0">
        <w:rPr>
          <w:rFonts w:asciiTheme="minorHAnsi" w:hAnsiTheme="minorHAnsi" w:cstheme="minorHAnsi"/>
        </w:rPr>
        <w:t>Social Protection</w:t>
      </w:r>
      <w:r w:rsidR="00A939A1" w:rsidRPr="00BF17B0">
        <w:rPr>
          <w:rFonts w:asciiTheme="minorHAnsi" w:hAnsiTheme="minorHAnsi" w:cstheme="minorHAnsi"/>
        </w:rPr>
        <w:t xml:space="preserve">. </w:t>
      </w:r>
    </w:p>
    <w:p w14:paraId="45755D1A" w14:textId="4CC9900B" w:rsidR="00663427" w:rsidRPr="00BF17B0" w:rsidRDefault="00C27B89" w:rsidP="00663427">
      <w:pPr>
        <w:rPr>
          <w:rFonts w:asciiTheme="minorHAnsi" w:hAnsiTheme="minorHAnsi" w:cstheme="minorHAnsi"/>
        </w:rPr>
      </w:pPr>
      <w:r w:rsidRPr="00BF17B0">
        <w:rPr>
          <w:rFonts w:asciiTheme="minorHAnsi" w:hAnsiTheme="minorHAnsi" w:cstheme="minorHAnsi"/>
        </w:rPr>
        <w:t xml:space="preserve">Where </w:t>
      </w:r>
      <w:r w:rsidR="00064A1B" w:rsidRPr="00BF17B0">
        <w:rPr>
          <w:rFonts w:asciiTheme="minorHAnsi" w:hAnsiTheme="minorHAnsi" w:cstheme="minorHAnsi"/>
        </w:rPr>
        <w:t>PH-</w:t>
      </w:r>
      <w:r w:rsidR="00A53818" w:rsidRPr="00BF17B0">
        <w:rPr>
          <w:rFonts w:asciiTheme="minorHAnsi" w:hAnsiTheme="minorHAnsi" w:cstheme="minorHAnsi"/>
        </w:rPr>
        <w:t>PTF</w:t>
      </w:r>
      <w:r w:rsidRPr="00BF17B0">
        <w:rPr>
          <w:rFonts w:asciiTheme="minorHAnsi" w:hAnsiTheme="minorHAnsi" w:cstheme="minorHAnsi"/>
        </w:rPr>
        <w:t xml:space="preserve"> grants supported activities within the scope of a PAAA, </w:t>
      </w:r>
      <w:r w:rsidR="00582D8E">
        <w:rPr>
          <w:rFonts w:asciiTheme="minorHAnsi" w:hAnsiTheme="minorHAnsi" w:cstheme="minorHAnsi"/>
        </w:rPr>
        <w:t xml:space="preserve">progress and </w:t>
      </w:r>
      <w:r w:rsidRPr="00BF17B0">
        <w:rPr>
          <w:rFonts w:asciiTheme="minorHAnsi" w:hAnsiTheme="minorHAnsi" w:cstheme="minorHAnsi"/>
        </w:rPr>
        <w:t xml:space="preserve">completion reporting in the </w:t>
      </w:r>
      <w:r w:rsidR="00687594" w:rsidRPr="00BF17B0">
        <w:rPr>
          <w:rFonts w:asciiTheme="minorHAnsi" w:hAnsiTheme="minorHAnsi" w:cstheme="minorHAnsi"/>
        </w:rPr>
        <w:t>World Bank</w:t>
      </w:r>
      <w:r w:rsidRPr="00BF17B0">
        <w:rPr>
          <w:rFonts w:asciiTheme="minorHAnsi" w:hAnsiTheme="minorHAnsi" w:cstheme="minorHAnsi"/>
        </w:rPr>
        <w:t xml:space="preserve"> system was usually only at the level of the PAAA</w:t>
      </w:r>
      <w:r w:rsidR="00EB211F" w:rsidRPr="00BF17B0">
        <w:rPr>
          <w:rFonts w:asciiTheme="minorHAnsi" w:hAnsiTheme="minorHAnsi" w:cstheme="minorHAnsi"/>
        </w:rPr>
        <w:t xml:space="preserve">. </w:t>
      </w:r>
      <w:r w:rsidRPr="00BF17B0">
        <w:rPr>
          <w:rFonts w:asciiTheme="minorHAnsi" w:hAnsiTheme="minorHAnsi" w:cstheme="minorHAnsi"/>
        </w:rPr>
        <w:t xml:space="preserve">The </w:t>
      </w:r>
      <w:r w:rsidR="00685458" w:rsidRPr="00BF17B0">
        <w:rPr>
          <w:rFonts w:asciiTheme="minorHAnsi" w:hAnsiTheme="minorHAnsi" w:cstheme="minorHAnsi"/>
        </w:rPr>
        <w:t xml:space="preserve">trust funds </w:t>
      </w:r>
      <w:r w:rsidRPr="00BF17B0">
        <w:rPr>
          <w:rFonts w:asciiTheme="minorHAnsi" w:hAnsiTheme="minorHAnsi" w:cstheme="minorHAnsi"/>
        </w:rPr>
        <w:t xml:space="preserve">that provided support to the PAAA </w:t>
      </w:r>
      <w:r w:rsidR="00FA3AE5" w:rsidRPr="00BF17B0">
        <w:rPr>
          <w:rFonts w:asciiTheme="minorHAnsi" w:hAnsiTheme="minorHAnsi" w:cstheme="minorHAnsi"/>
        </w:rPr>
        <w:t>we</w:t>
      </w:r>
      <w:r w:rsidR="00685458" w:rsidRPr="00BF17B0">
        <w:rPr>
          <w:rFonts w:asciiTheme="minorHAnsi" w:hAnsiTheme="minorHAnsi" w:cstheme="minorHAnsi"/>
        </w:rPr>
        <w:t xml:space="preserve">re </w:t>
      </w:r>
      <w:r w:rsidRPr="00BF17B0">
        <w:rPr>
          <w:rFonts w:asciiTheme="minorHAnsi" w:hAnsiTheme="minorHAnsi" w:cstheme="minorHAnsi"/>
        </w:rPr>
        <w:t>acknowledged</w:t>
      </w:r>
      <w:r w:rsidR="00685458" w:rsidRPr="00BF17B0">
        <w:rPr>
          <w:rFonts w:asciiTheme="minorHAnsi" w:hAnsiTheme="minorHAnsi" w:cstheme="minorHAnsi"/>
        </w:rPr>
        <w:t>,</w:t>
      </w:r>
      <w:r w:rsidRPr="00BF17B0">
        <w:rPr>
          <w:rFonts w:asciiTheme="minorHAnsi" w:hAnsiTheme="minorHAnsi" w:cstheme="minorHAnsi"/>
        </w:rPr>
        <w:t xml:space="preserve"> but there </w:t>
      </w:r>
      <w:r w:rsidR="00FA3AE5" w:rsidRPr="00BF17B0">
        <w:rPr>
          <w:rFonts w:asciiTheme="minorHAnsi" w:hAnsiTheme="minorHAnsi" w:cstheme="minorHAnsi"/>
        </w:rPr>
        <w:t>wa</w:t>
      </w:r>
      <w:r w:rsidR="00685458" w:rsidRPr="00BF17B0">
        <w:rPr>
          <w:rFonts w:asciiTheme="minorHAnsi" w:hAnsiTheme="minorHAnsi" w:cstheme="minorHAnsi"/>
        </w:rPr>
        <w:t xml:space="preserve">s </w:t>
      </w:r>
      <w:r w:rsidRPr="00BF17B0">
        <w:rPr>
          <w:rFonts w:asciiTheme="minorHAnsi" w:hAnsiTheme="minorHAnsi" w:cstheme="minorHAnsi"/>
        </w:rPr>
        <w:t xml:space="preserve">no explicit </w:t>
      </w:r>
      <w:r w:rsidR="00F72AD2" w:rsidRPr="00BF17B0">
        <w:rPr>
          <w:rFonts w:asciiTheme="minorHAnsi" w:hAnsiTheme="minorHAnsi" w:cstheme="minorHAnsi"/>
        </w:rPr>
        <w:t xml:space="preserve">identification </w:t>
      </w:r>
      <w:r w:rsidRPr="00BF17B0">
        <w:rPr>
          <w:rFonts w:asciiTheme="minorHAnsi" w:hAnsiTheme="minorHAnsi" w:cstheme="minorHAnsi"/>
        </w:rPr>
        <w:t xml:space="preserve">of individual PAAA activities </w:t>
      </w:r>
      <w:r w:rsidR="00F72AD2" w:rsidRPr="00BF17B0">
        <w:rPr>
          <w:rFonts w:asciiTheme="minorHAnsi" w:hAnsiTheme="minorHAnsi" w:cstheme="minorHAnsi"/>
        </w:rPr>
        <w:t xml:space="preserve">and their corresponding </w:t>
      </w:r>
      <w:r w:rsidRPr="00BF17B0">
        <w:rPr>
          <w:rFonts w:asciiTheme="minorHAnsi" w:hAnsiTheme="minorHAnsi" w:cstheme="minorHAnsi"/>
        </w:rPr>
        <w:t>funding sources</w:t>
      </w:r>
      <w:r w:rsidR="00EB211F" w:rsidRPr="00BF17B0">
        <w:rPr>
          <w:rFonts w:asciiTheme="minorHAnsi" w:hAnsiTheme="minorHAnsi" w:cstheme="minorHAnsi"/>
        </w:rPr>
        <w:t xml:space="preserve">. </w:t>
      </w:r>
      <w:r w:rsidRPr="00BF17B0">
        <w:rPr>
          <w:rFonts w:asciiTheme="minorHAnsi" w:hAnsiTheme="minorHAnsi" w:cstheme="minorHAnsi"/>
        </w:rPr>
        <w:t>In some cases</w:t>
      </w:r>
      <w:r w:rsidR="00DD393C" w:rsidRPr="00BF17B0">
        <w:rPr>
          <w:rFonts w:asciiTheme="minorHAnsi" w:hAnsiTheme="minorHAnsi" w:cstheme="minorHAnsi"/>
        </w:rPr>
        <w:t>,</w:t>
      </w:r>
      <w:r w:rsidRPr="00BF17B0">
        <w:rPr>
          <w:rFonts w:asciiTheme="minorHAnsi" w:hAnsiTheme="minorHAnsi" w:cstheme="minorHAnsi"/>
        </w:rPr>
        <w:t xml:space="preserve"> </w:t>
      </w:r>
      <w:r w:rsidR="00F72AD2" w:rsidRPr="00BF17B0">
        <w:rPr>
          <w:rFonts w:asciiTheme="minorHAnsi" w:hAnsiTheme="minorHAnsi" w:cstheme="minorHAnsi"/>
        </w:rPr>
        <w:t xml:space="preserve">task team leaders </w:t>
      </w:r>
      <w:r w:rsidRPr="00BF17B0">
        <w:rPr>
          <w:rFonts w:asciiTheme="minorHAnsi" w:hAnsiTheme="minorHAnsi" w:cstheme="minorHAnsi"/>
        </w:rPr>
        <w:t xml:space="preserve">also produced </w:t>
      </w:r>
      <w:r w:rsidR="001534AE" w:rsidRPr="00BF17B0">
        <w:rPr>
          <w:rFonts w:asciiTheme="minorHAnsi" w:hAnsiTheme="minorHAnsi" w:cstheme="minorHAnsi"/>
        </w:rPr>
        <w:t xml:space="preserve">Grant Reporting </w:t>
      </w:r>
      <w:r w:rsidR="00663427" w:rsidRPr="00BF17B0">
        <w:rPr>
          <w:rFonts w:asciiTheme="minorHAnsi" w:hAnsiTheme="minorHAnsi" w:cstheme="minorHAnsi"/>
        </w:rPr>
        <w:t xml:space="preserve">and Monitoring </w:t>
      </w:r>
      <w:r w:rsidRPr="00BF17B0">
        <w:rPr>
          <w:rFonts w:asciiTheme="minorHAnsi" w:hAnsiTheme="minorHAnsi" w:cstheme="minorHAnsi"/>
        </w:rPr>
        <w:t xml:space="preserve">completion reports for specific </w:t>
      </w:r>
      <w:r w:rsidR="00004DAB" w:rsidRPr="00BF17B0">
        <w:rPr>
          <w:rFonts w:asciiTheme="minorHAnsi" w:hAnsiTheme="minorHAnsi" w:cstheme="minorHAnsi"/>
        </w:rPr>
        <w:t>PH-</w:t>
      </w:r>
      <w:r w:rsidR="00A53818" w:rsidRPr="00BF17B0">
        <w:rPr>
          <w:rFonts w:asciiTheme="minorHAnsi" w:hAnsiTheme="minorHAnsi" w:cstheme="minorHAnsi"/>
        </w:rPr>
        <w:t>PTF</w:t>
      </w:r>
      <w:r w:rsidRPr="00BF17B0">
        <w:rPr>
          <w:rFonts w:asciiTheme="minorHAnsi" w:hAnsiTheme="minorHAnsi" w:cstheme="minorHAnsi"/>
        </w:rPr>
        <w:t xml:space="preserve"> grants</w:t>
      </w:r>
      <w:r w:rsidR="00CB2BA5" w:rsidRPr="00BF17B0">
        <w:rPr>
          <w:rFonts w:asciiTheme="minorHAnsi" w:hAnsiTheme="minorHAnsi" w:cstheme="minorHAnsi"/>
        </w:rPr>
        <w:t xml:space="preserve">. </w:t>
      </w:r>
      <w:r w:rsidR="006B67AA" w:rsidRPr="00BF17B0">
        <w:rPr>
          <w:rFonts w:asciiTheme="minorHAnsi" w:hAnsiTheme="minorHAnsi" w:cstheme="minorHAnsi"/>
        </w:rPr>
        <w:t>Where</w:t>
      </w:r>
      <w:r w:rsidR="00CB2BA5" w:rsidRPr="00BF17B0">
        <w:rPr>
          <w:rFonts w:asciiTheme="minorHAnsi" w:hAnsiTheme="minorHAnsi" w:cstheme="minorHAnsi"/>
        </w:rPr>
        <w:t xml:space="preserve"> those </w:t>
      </w:r>
      <w:r w:rsidR="001534AE" w:rsidRPr="00BF17B0">
        <w:rPr>
          <w:rFonts w:asciiTheme="minorHAnsi" w:hAnsiTheme="minorHAnsi" w:cstheme="minorHAnsi"/>
        </w:rPr>
        <w:t xml:space="preserve">reports </w:t>
      </w:r>
      <w:r w:rsidR="00CB2BA5" w:rsidRPr="00BF17B0">
        <w:rPr>
          <w:rFonts w:asciiTheme="minorHAnsi" w:hAnsiTheme="minorHAnsi" w:cstheme="minorHAnsi"/>
        </w:rPr>
        <w:t xml:space="preserve">were not available, activities </w:t>
      </w:r>
      <w:r w:rsidRPr="00BF17B0">
        <w:rPr>
          <w:rFonts w:asciiTheme="minorHAnsi" w:hAnsiTheme="minorHAnsi" w:cstheme="minorHAnsi"/>
        </w:rPr>
        <w:t xml:space="preserve">that were carried out and completed using </w:t>
      </w:r>
      <w:r w:rsidR="00582D8E">
        <w:rPr>
          <w:rFonts w:asciiTheme="minorHAnsi" w:hAnsiTheme="minorHAnsi" w:cstheme="minorHAnsi"/>
        </w:rPr>
        <w:t>PH-</w:t>
      </w:r>
      <w:r w:rsidR="00A53818" w:rsidRPr="00BF17B0">
        <w:rPr>
          <w:rFonts w:asciiTheme="minorHAnsi" w:hAnsiTheme="minorHAnsi" w:cstheme="minorHAnsi"/>
        </w:rPr>
        <w:t>PTF</w:t>
      </w:r>
      <w:r w:rsidRPr="00BF17B0">
        <w:rPr>
          <w:rFonts w:asciiTheme="minorHAnsi" w:hAnsiTheme="minorHAnsi" w:cstheme="minorHAnsi"/>
        </w:rPr>
        <w:t xml:space="preserve"> resources</w:t>
      </w:r>
      <w:r w:rsidR="00CB2BA5" w:rsidRPr="00BF17B0">
        <w:rPr>
          <w:rFonts w:asciiTheme="minorHAnsi" w:hAnsiTheme="minorHAnsi" w:cstheme="minorHAnsi"/>
        </w:rPr>
        <w:t xml:space="preserve"> could not be reported</w:t>
      </w:r>
      <w:r w:rsidR="00EB211F" w:rsidRPr="00BF17B0">
        <w:rPr>
          <w:rFonts w:asciiTheme="minorHAnsi" w:hAnsiTheme="minorHAnsi" w:cstheme="minorHAnsi"/>
        </w:rPr>
        <w:t xml:space="preserve">. </w:t>
      </w:r>
    </w:p>
    <w:p w14:paraId="428184D6" w14:textId="6A0B3E8D" w:rsidR="00EC3976" w:rsidRPr="00BF17B0" w:rsidRDefault="00C27B89" w:rsidP="00EC3976">
      <w:pPr>
        <w:rPr>
          <w:rFonts w:asciiTheme="minorHAnsi" w:hAnsiTheme="minorHAnsi" w:cstheme="minorHAnsi"/>
          <w:szCs w:val="24"/>
        </w:rPr>
      </w:pPr>
      <w:r w:rsidRPr="00BF17B0">
        <w:rPr>
          <w:rFonts w:asciiTheme="minorHAnsi" w:hAnsiTheme="minorHAnsi" w:cstheme="minorHAnsi"/>
        </w:rPr>
        <w:t xml:space="preserve">The PAAA rating system differs from the rating system used in the </w:t>
      </w:r>
      <w:r w:rsidR="00663427" w:rsidRPr="00BF17B0">
        <w:rPr>
          <w:rFonts w:asciiTheme="minorHAnsi" w:hAnsiTheme="minorHAnsi" w:cstheme="minorHAnsi"/>
        </w:rPr>
        <w:t xml:space="preserve">Trust Fund Grant Reporting and </w:t>
      </w:r>
      <w:r w:rsidR="002C113C" w:rsidRPr="00BF17B0">
        <w:rPr>
          <w:rFonts w:asciiTheme="minorHAnsi" w:hAnsiTheme="minorHAnsi" w:cstheme="minorHAnsi"/>
        </w:rPr>
        <w:t xml:space="preserve">Monitoring </w:t>
      </w:r>
      <w:r w:rsidR="004D0F29" w:rsidRPr="00BF17B0">
        <w:rPr>
          <w:rFonts w:asciiTheme="minorHAnsi" w:hAnsiTheme="minorHAnsi" w:cstheme="minorHAnsi"/>
        </w:rPr>
        <w:t>s</w:t>
      </w:r>
      <w:r w:rsidR="002C113C" w:rsidRPr="00BF17B0">
        <w:rPr>
          <w:rFonts w:asciiTheme="minorHAnsi" w:hAnsiTheme="minorHAnsi" w:cstheme="minorHAnsi"/>
        </w:rPr>
        <w:t>ystem</w:t>
      </w:r>
      <w:r w:rsidR="00EB211F" w:rsidRPr="00BF17B0">
        <w:rPr>
          <w:rFonts w:asciiTheme="minorHAnsi" w:hAnsiTheme="minorHAnsi" w:cstheme="minorHAnsi"/>
        </w:rPr>
        <w:t xml:space="preserve">. </w:t>
      </w:r>
      <w:r w:rsidRPr="00BF17B0">
        <w:rPr>
          <w:rFonts w:asciiTheme="minorHAnsi" w:hAnsiTheme="minorHAnsi" w:cstheme="minorHAnsi"/>
        </w:rPr>
        <w:t xml:space="preserve">As a </w:t>
      </w:r>
      <w:r w:rsidR="00B51D79" w:rsidRPr="00BF17B0">
        <w:rPr>
          <w:rFonts w:asciiTheme="minorHAnsi" w:hAnsiTheme="minorHAnsi" w:cstheme="minorHAnsi"/>
        </w:rPr>
        <w:t>result,</w:t>
      </w:r>
      <w:r w:rsidR="00467856" w:rsidRPr="00BF17B0">
        <w:rPr>
          <w:rFonts w:asciiTheme="minorHAnsi" w:hAnsiTheme="minorHAnsi" w:cstheme="minorHAnsi"/>
        </w:rPr>
        <w:t xml:space="preserve"> </w:t>
      </w:r>
      <w:r w:rsidRPr="00BF17B0">
        <w:rPr>
          <w:rFonts w:asciiTheme="minorHAnsi" w:hAnsiTheme="minorHAnsi" w:cstheme="minorHAnsi"/>
        </w:rPr>
        <w:t xml:space="preserve">an overall analysis of </w:t>
      </w:r>
      <w:r w:rsidR="004D0F29" w:rsidRPr="00BF17B0">
        <w:rPr>
          <w:rFonts w:asciiTheme="minorHAnsi" w:hAnsiTheme="minorHAnsi" w:cstheme="minorHAnsi"/>
        </w:rPr>
        <w:t xml:space="preserve">the </w:t>
      </w:r>
      <w:r w:rsidRPr="00BF17B0">
        <w:rPr>
          <w:rFonts w:asciiTheme="minorHAnsi" w:hAnsiTheme="minorHAnsi" w:cstheme="minorHAnsi"/>
        </w:rPr>
        <w:t xml:space="preserve">ratings </w:t>
      </w:r>
      <w:r w:rsidR="004D0F29" w:rsidRPr="00BF17B0">
        <w:rPr>
          <w:rFonts w:asciiTheme="minorHAnsi" w:hAnsiTheme="minorHAnsi" w:cstheme="minorHAnsi"/>
        </w:rPr>
        <w:t xml:space="preserve">for </w:t>
      </w:r>
      <w:r w:rsidR="00A53818" w:rsidRPr="00BF17B0">
        <w:rPr>
          <w:rFonts w:asciiTheme="minorHAnsi" w:hAnsiTheme="minorHAnsi" w:cstheme="minorHAnsi"/>
        </w:rPr>
        <w:t>PTF</w:t>
      </w:r>
      <w:r w:rsidR="004D0F29" w:rsidRPr="00BF17B0">
        <w:rPr>
          <w:rFonts w:asciiTheme="minorHAnsi" w:hAnsiTheme="minorHAnsi" w:cstheme="minorHAnsi"/>
        </w:rPr>
        <w:t xml:space="preserve"> </w:t>
      </w:r>
      <w:r w:rsidRPr="00BF17B0">
        <w:rPr>
          <w:rFonts w:asciiTheme="minorHAnsi" w:hAnsiTheme="minorHAnsi" w:cstheme="minorHAnsi"/>
        </w:rPr>
        <w:t>grants cannot consistently compare ratings for all grants</w:t>
      </w:r>
      <w:r w:rsidR="00EB211F" w:rsidRPr="00BF17B0">
        <w:rPr>
          <w:rFonts w:asciiTheme="minorHAnsi" w:hAnsiTheme="minorHAnsi" w:cstheme="minorHAnsi"/>
        </w:rPr>
        <w:t xml:space="preserve">. </w:t>
      </w:r>
      <w:r w:rsidRPr="00BF17B0">
        <w:rPr>
          <w:rFonts w:asciiTheme="minorHAnsi" w:hAnsiTheme="minorHAnsi" w:cstheme="minorHAnsi"/>
        </w:rPr>
        <w:t xml:space="preserve">In </w:t>
      </w:r>
      <w:r w:rsidR="00B51D79" w:rsidRPr="00BF17B0">
        <w:rPr>
          <w:rFonts w:asciiTheme="minorHAnsi" w:hAnsiTheme="minorHAnsi" w:cstheme="minorHAnsi"/>
        </w:rPr>
        <w:t>addition,</w:t>
      </w:r>
      <w:r w:rsidRPr="00BF17B0">
        <w:rPr>
          <w:rFonts w:asciiTheme="minorHAnsi" w:hAnsiTheme="minorHAnsi" w:cstheme="minorHAnsi"/>
        </w:rPr>
        <w:t xml:space="preserve"> the PAAAs were not “stable”</w:t>
      </w:r>
      <w:r w:rsidR="00EB211F" w:rsidRPr="00BF17B0">
        <w:rPr>
          <w:rFonts w:asciiTheme="minorHAnsi" w:hAnsiTheme="minorHAnsi" w:cstheme="minorHAnsi"/>
        </w:rPr>
        <w:t xml:space="preserve">. </w:t>
      </w:r>
      <w:r w:rsidRPr="00BF17B0">
        <w:rPr>
          <w:rFonts w:asciiTheme="minorHAnsi" w:hAnsiTheme="minorHAnsi" w:cstheme="minorHAnsi"/>
        </w:rPr>
        <w:t xml:space="preserve">In three of the PAAAs reviewed, activities supported by </w:t>
      </w:r>
      <w:r w:rsidR="00582D8E">
        <w:rPr>
          <w:rFonts w:asciiTheme="minorHAnsi" w:hAnsiTheme="minorHAnsi" w:cstheme="minorHAnsi"/>
        </w:rPr>
        <w:t>PH-</w:t>
      </w:r>
      <w:r w:rsidR="00A53818" w:rsidRPr="00BF17B0">
        <w:rPr>
          <w:rFonts w:asciiTheme="minorHAnsi" w:hAnsiTheme="minorHAnsi" w:cstheme="minorHAnsi"/>
        </w:rPr>
        <w:t>PTF</w:t>
      </w:r>
      <w:r w:rsidRPr="00BF17B0">
        <w:rPr>
          <w:rFonts w:asciiTheme="minorHAnsi" w:hAnsiTheme="minorHAnsi" w:cstheme="minorHAnsi"/>
        </w:rPr>
        <w:t xml:space="preserve"> grants moved in or out of a specific PAAA</w:t>
      </w:r>
      <w:r w:rsidR="00C1540C" w:rsidRPr="00BF17B0">
        <w:rPr>
          <w:rFonts w:asciiTheme="minorHAnsi" w:hAnsiTheme="minorHAnsi" w:cstheme="minorHAnsi"/>
        </w:rPr>
        <w:t xml:space="preserve">, and </w:t>
      </w:r>
      <w:r w:rsidRPr="00BF17B0">
        <w:rPr>
          <w:rFonts w:asciiTheme="minorHAnsi" w:hAnsiTheme="minorHAnsi" w:cstheme="minorHAnsi"/>
        </w:rPr>
        <w:t>in one case</w:t>
      </w:r>
      <w:r w:rsidR="00C1540C" w:rsidRPr="00BF17B0">
        <w:rPr>
          <w:rFonts w:asciiTheme="minorHAnsi" w:hAnsiTheme="minorHAnsi" w:cstheme="minorHAnsi"/>
        </w:rPr>
        <w:t>,</w:t>
      </w:r>
      <w:r w:rsidRPr="00BF17B0">
        <w:rPr>
          <w:rFonts w:asciiTheme="minorHAnsi" w:hAnsiTheme="minorHAnsi" w:cstheme="minorHAnsi"/>
        </w:rPr>
        <w:t xml:space="preserve"> twice</w:t>
      </w:r>
      <w:r w:rsidR="00EB211F" w:rsidRPr="00BF17B0">
        <w:rPr>
          <w:rFonts w:asciiTheme="minorHAnsi" w:hAnsiTheme="minorHAnsi" w:cstheme="minorHAnsi"/>
        </w:rPr>
        <w:t xml:space="preserve">. </w:t>
      </w:r>
      <w:r w:rsidRPr="00BF17B0">
        <w:rPr>
          <w:rFonts w:asciiTheme="minorHAnsi" w:hAnsiTheme="minorHAnsi" w:cstheme="minorHAnsi"/>
        </w:rPr>
        <w:t xml:space="preserve">This </w:t>
      </w:r>
      <w:r w:rsidR="00A43777" w:rsidRPr="00BF17B0">
        <w:rPr>
          <w:rFonts w:asciiTheme="minorHAnsi" w:hAnsiTheme="minorHAnsi" w:cstheme="minorHAnsi"/>
        </w:rPr>
        <w:t xml:space="preserve">situation </w:t>
      </w:r>
      <w:r w:rsidRPr="00BF17B0">
        <w:rPr>
          <w:rFonts w:asciiTheme="minorHAnsi" w:hAnsiTheme="minorHAnsi" w:cstheme="minorHAnsi"/>
        </w:rPr>
        <w:t xml:space="preserve">complicated reporting, </w:t>
      </w:r>
      <w:r w:rsidR="00A43777" w:rsidRPr="00BF17B0">
        <w:rPr>
          <w:rFonts w:asciiTheme="minorHAnsi" w:hAnsiTheme="minorHAnsi" w:cstheme="minorHAnsi"/>
        </w:rPr>
        <w:t xml:space="preserve">because </w:t>
      </w:r>
      <w:r w:rsidRPr="00BF17B0">
        <w:rPr>
          <w:rFonts w:asciiTheme="minorHAnsi" w:hAnsiTheme="minorHAnsi" w:cstheme="minorHAnsi"/>
        </w:rPr>
        <w:t xml:space="preserve">the activities financed under a </w:t>
      </w:r>
      <w:r w:rsidR="00A53818" w:rsidRPr="00BF17B0">
        <w:rPr>
          <w:rFonts w:asciiTheme="minorHAnsi" w:hAnsiTheme="minorHAnsi" w:cstheme="minorHAnsi"/>
        </w:rPr>
        <w:t>PTF</w:t>
      </w:r>
      <w:r w:rsidRPr="00BF17B0">
        <w:rPr>
          <w:rFonts w:asciiTheme="minorHAnsi" w:hAnsiTheme="minorHAnsi" w:cstheme="minorHAnsi"/>
        </w:rPr>
        <w:t xml:space="preserve"> grant that </w:t>
      </w:r>
      <w:r w:rsidR="00A616CE" w:rsidRPr="00BF17B0">
        <w:rPr>
          <w:rFonts w:asciiTheme="minorHAnsi" w:hAnsiTheme="minorHAnsi" w:cstheme="minorHAnsi"/>
        </w:rPr>
        <w:t xml:space="preserve">were </w:t>
      </w:r>
      <w:r w:rsidRPr="00BF17B0">
        <w:rPr>
          <w:rFonts w:asciiTheme="minorHAnsi" w:hAnsiTheme="minorHAnsi" w:cstheme="minorHAnsi"/>
        </w:rPr>
        <w:t xml:space="preserve">moved from a PAAA </w:t>
      </w:r>
      <w:r w:rsidR="00A616CE" w:rsidRPr="00BF17B0">
        <w:rPr>
          <w:rFonts w:asciiTheme="minorHAnsi" w:hAnsiTheme="minorHAnsi" w:cstheme="minorHAnsi"/>
        </w:rPr>
        <w:t xml:space="preserve">were not </w:t>
      </w:r>
      <w:r w:rsidRPr="00BF17B0">
        <w:rPr>
          <w:rFonts w:asciiTheme="minorHAnsi" w:hAnsiTheme="minorHAnsi" w:cstheme="minorHAnsi"/>
        </w:rPr>
        <w:t xml:space="preserve">reported in the PAAA completion report, </w:t>
      </w:r>
      <w:r w:rsidR="00A02FF9" w:rsidRPr="00BF17B0">
        <w:rPr>
          <w:rFonts w:asciiTheme="minorHAnsi" w:hAnsiTheme="minorHAnsi" w:cstheme="minorHAnsi"/>
        </w:rPr>
        <w:t xml:space="preserve">and they </w:t>
      </w:r>
      <w:r w:rsidR="00A616CE" w:rsidRPr="00BF17B0">
        <w:rPr>
          <w:rFonts w:asciiTheme="minorHAnsi" w:hAnsiTheme="minorHAnsi" w:cstheme="minorHAnsi"/>
        </w:rPr>
        <w:t xml:space="preserve">were not </w:t>
      </w:r>
      <w:r w:rsidRPr="00BF17B0">
        <w:rPr>
          <w:rFonts w:asciiTheme="minorHAnsi" w:hAnsiTheme="minorHAnsi" w:cstheme="minorHAnsi"/>
        </w:rPr>
        <w:t xml:space="preserve">necessarily </w:t>
      </w:r>
      <w:r w:rsidR="00133C6C" w:rsidRPr="00BF17B0">
        <w:rPr>
          <w:rFonts w:asciiTheme="minorHAnsi" w:hAnsiTheme="minorHAnsi" w:cstheme="minorHAnsi"/>
        </w:rPr>
        <w:t xml:space="preserve">included </w:t>
      </w:r>
      <w:r w:rsidRPr="00BF17B0">
        <w:rPr>
          <w:rFonts w:asciiTheme="minorHAnsi" w:hAnsiTheme="minorHAnsi" w:cstheme="minorHAnsi"/>
        </w:rPr>
        <w:t>in a GRM completion report</w:t>
      </w:r>
      <w:r w:rsidR="0061458C" w:rsidRPr="00BF17B0">
        <w:rPr>
          <w:rFonts w:asciiTheme="minorHAnsi" w:hAnsiTheme="minorHAnsi" w:cstheme="minorHAnsi"/>
        </w:rPr>
        <w:t>.</w:t>
      </w:r>
      <w:r w:rsidR="009108C5" w:rsidRPr="00BF17B0">
        <w:rPr>
          <w:rFonts w:asciiTheme="minorHAnsi" w:hAnsiTheme="minorHAnsi" w:cstheme="minorHAnsi"/>
        </w:rPr>
        <w:t xml:space="preserve"> </w:t>
      </w:r>
      <w:r w:rsidR="008228DC" w:rsidRPr="00BF17B0">
        <w:rPr>
          <w:rFonts w:asciiTheme="minorHAnsi" w:hAnsiTheme="minorHAnsi" w:cstheme="minorHAnsi"/>
        </w:rPr>
        <w:t xml:space="preserve">The result </w:t>
      </w:r>
      <w:r w:rsidR="00757093" w:rsidRPr="00BF17B0">
        <w:rPr>
          <w:rFonts w:asciiTheme="minorHAnsi" w:hAnsiTheme="minorHAnsi" w:cstheme="minorHAnsi"/>
        </w:rPr>
        <w:t xml:space="preserve">was </w:t>
      </w:r>
      <w:r w:rsidR="008228DC" w:rsidRPr="00BF17B0">
        <w:rPr>
          <w:rFonts w:asciiTheme="minorHAnsi" w:hAnsiTheme="minorHAnsi" w:cstheme="minorHAnsi"/>
        </w:rPr>
        <w:t xml:space="preserve">that the information in the </w:t>
      </w:r>
      <w:r w:rsidR="009F4FB5" w:rsidRPr="00BF17B0">
        <w:rPr>
          <w:rFonts w:asciiTheme="minorHAnsi" w:hAnsiTheme="minorHAnsi" w:cstheme="minorHAnsi"/>
        </w:rPr>
        <w:t xml:space="preserve">World </w:t>
      </w:r>
      <w:r w:rsidR="008228DC" w:rsidRPr="00BF17B0">
        <w:rPr>
          <w:rFonts w:asciiTheme="minorHAnsi" w:hAnsiTheme="minorHAnsi" w:cstheme="minorHAnsi"/>
        </w:rPr>
        <w:t xml:space="preserve">Bank’s internal reporting systems </w:t>
      </w:r>
      <w:r w:rsidR="00757093" w:rsidRPr="00BF17B0">
        <w:rPr>
          <w:rFonts w:asciiTheme="minorHAnsi" w:hAnsiTheme="minorHAnsi" w:cstheme="minorHAnsi"/>
        </w:rPr>
        <w:t>wa</w:t>
      </w:r>
      <w:r w:rsidR="008228DC" w:rsidRPr="00BF17B0">
        <w:rPr>
          <w:rFonts w:asciiTheme="minorHAnsi" w:hAnsiTheme="minorHAnsi" w:cstheme="minorHAnsi"/>
        </w:rPr>
        <w:t xml:space="preserve">s not adequate to allow the </w:t>
      </w:r>
      <w:r w:rsidR="00687594" w:rsidRPr="00BF17B0">
        <w:rPr>
          <w:rFonts w:asciiTheme="minorHAnsi" w:hAnsiTheme="minorHAnsi" w:cstheme="minorHAnsi"/>
        </w:rPr>
        <w:t>Bank</w:t>
      </w:r>
      <w:r w:rsidR="008228DC" w:rsidRPr="00BF17B0">
        <w:rPr>
          <w:rFonts w:asciiTheme="minorHAnsi" w:hAnsiTheme="minorHAnsi" w:cstheme="minorHAnsi"/>
        </w:rPr>
        <w:t xml:space="preserve"> to comprehensively report to the donor on the </w:t>
      </w:r>
      <w:r w:rsidR="00D8198D" w:rsidRPr="00BF17B0">
        <w:rPr>
          <w:rFonts w:asciiTheme="minorHAnsi" w:hAnsiTheme="minorHAnsi" w:cstheme="minorHAnsi"/>
        </w:rPr>
        <w:t xml:space="preserve">precise </w:t>
      </w:r>
      <w:r w:rsidR="008228DC" w:rsidRPr="00BF17B0">
        <w:rPr>
          <w:rFonts w:asciiTheme="minorHAnsi" w:hAnsiTheme="minorHAnsi" w:cstheme="minorHAnsi"/>
        </w:rPr>
        <w:t xml:space="preserve">use of </w:t>
      </w:r>
      <w:r w:rsidR="00D8198D" w:rsidRPr="00BF17B0">
        <w:rPr>
          <w:rFonts w:asciiTheme="minorHAnsi" w:hAnsiTheme="minorHAnsi" w:cstheme="minorHAnsi"/>
        </w:rPr>
        <w:t xml:space="preserve">the contributed </w:t>
      </w:r>
      <w:r w:rsidR="008228DC" w:rsidRPr="00BF17B0">
        <w:rPr>
          <w:rFonts w:asciiTheme="minorHAnsi" w:hAnsiTheme="minorHAnsi" w:cstheme="minorHAnsi"/>
        </w:rPr>
        <w:t>funds.</w:t>
      </w:r>
      <w:r w:rsidR="00EC3976" w:rsidRPr="00BF17B0">
        <w:rPr>
          <w:rFonts w:asciiTheme="minorHAnsi" w:hAnsiTheme="minorHAnsi" w:cstheme="minorHAnsi"/>
          <w:szCs w:val="24"/>
        </w:rPr>
        <w:t xml:space="preserve"> </w:t>
      </w:r>
    </w:p>
    <w:p w14:paraId="7DD1F023" w14:textId="77777777" w:rsidR="00EC3976" w:rsidRPr="00BF17B0" w:rsidRDefault="00EC3976" w:rsidP="00EC3976">
      <w:pPr>
        <w:rPr>
          <w:rFonts w:asciiTheme="minorHAnsi" w:hAnsiTheme="minorHAnsi" w:cstheme="minorHAnsi"/>
          <w:szCs w:val="24"/>
        </w:rPr>
      </w:pPr>
      <w:r w:rsidRPr="00BF17B0">
        <w:rPr>
          <w:rFonts w:asciiTheme="minorHAnsi" w:hAnsiTheme="minorHAnsi" w:cstheme="minorHAnsi"/>
          <w:szCs w:val="24"/>
        </w:rPr>
        <w:t xml:space="preserve">Because of the unevenness of reporting, there was no consistent rating system for all approved PH-PTF grants. In some cases, the </w:t>
      </w:r>
      <w:r w:rsidRPr="00BF17B0">
        <w:rPr>
          <w:rFonts w:asciiTheme="minorHAnsi" w:hAnsiTheme="minorHAnsi" w:cstheme="minorHAnsi"/>
        </w:rPr>
        <w:t>outputs</w:t>
      </w:r>
      <w:r w:rsidRPr="00BF17B0">
        <w:rPr>
          <w:rFonts w:asciiTheme="minorHAnsi" w:hAnsiTheme="minorHAnsi" w:cstheme="minorHAnsi"/>
          <w:szCs w:val="24"/>
        </w:rPr>
        <w:t xml:space="preserve"> and outcomes attributable to grant-funded activities were not well documented. </w:t>
      </w:r>
      <w:r w:rsidR="00C90A76" w:rsidRPr="00BF17B0">
        <w:rPr>
          <w:rFonts w:asciiTheme="minorHAnsi" w:hAnsiTheme="minorHAnsi" w:cstheme="minorHAnsi"/>
          <w:szCs w:val="24"/>
        </w:rPr>
        <w:t>However, t</w:t>
      </w:r>
      <w:r w:rsidRPr="00BF17B0">
        <w:rPr>
          <w:rFonts w:asciiTheme="minorHAnsi" w:hAnsiTheme="minorHAnsi" w:cstheme="minorHAnsi"/>
          <w:szCs w:val="24"/>
        </w:rPr>
        <w:t xml:space="preserve">his lack of consistency in the rating system has no impact on the main findings of </w:t>
      </w:r>
      <w:r w:rsidR="00C90A76" w:rsidRPr="00BF17B0">
        <w:rPr>
          <w:rFonts w:asciiTheme="minorHAnsi" w:hAnsiTheme="minorHAnsi" w:cstheme="minorHAnsi"/>
          <w:szCs w:val="24"/>
        </w:rPr>
        <w:t>this report</w:t>
      </w:r>
      <w:r w:rsidRPr="00BF17B0">
        <w:rPr>
          <w:rFonts w:asciiTheme="minorHAnsi" w:hAnsiTheme="minorHAnsi" w:cstheme="minorHAnsi"/>
          <w:szCs w:val="24"/>
        </w:rPr>
        <w:t>.</w:t>
      </w:r>
    </w:p>
    <w:p w14:paraId="79F66C37" w14:textId="77777777" w:rsidR="00C27B89" w:rsidRPr="00BF17B0" w:rsidRDefault="00C27B89" w:rsidP="00663427">
      <w:pPr>
        <w:rPr>
          <w:rFonts w:asciiTheme="minorHAnsi" w:hAnsiTheme="minorHAnsi" w:cstheme="minorHAnsi"/>
        </w:rPr>
      </w:pPr>
    </w:p>
    <w:p w14:paraId="7DA283C5" w14:textId="77777777" w:rsidR="001639F3" w:rsidRPr="00BF17B0" w:rsidRDefault="001639F3" w:rsidP="00BF07C4">
      <w:pPr>
        <w:pStyle w:val="Heading2"/>
        <w:rPr>
          <w:rFonts w:asciiTheme="minorHAnsi" w:hAnsiTheme="minorHAnsi" w:cstheme="minorHAnsi"/>
        </w:rPr>
      </w:pPr>
      <w:bookmarkStart w:id="208" w:name="_Toc532994296"/>
      <w:r w:rsidRPr="00BF17B0">
        <w:rPr>
          <w:rFonts w:asciiTheme="minorHAnsi" w:hAnsiTheme="minorHAnsi" w:cstheme="minorHAnsi"/>
        </w:rPr>
        <w:t>Visibility and Communication</w:t>
      </w:r>
      <w:bookmarkEnd w:id="208"/>
    </w:p>
    <w:p w14:paraId="5EA61E44" w14:textId="6667E37B" w:rsidR="00255177" w:rsidRPr="00BF17B0" w:rsidRDefault="001639F3" w:rsidP="00F21F54">
      <w:pPr>
        <w:jc w:val="both"/>
        <w:rPr>
          <w:rFonts w:asciiTheme="minorHAnsi" w:hAnsiTheme="minorHAnsi" w:cstheme="minorHAnsi"/>
        </w:rPr>
      </w:pPr>
      <w:r w:rsidRPr="00BF17B0">
        <w:rPr>
          <w:rFonts w:asciiTheme="minorHAnsi" w:hAnsiTheme="minorHAnsi" w:cstheme="minorHAnsi"/>
        </w:rPr>
        <w:t xml:space="preserve">The </w:t>
      </w:r>
      <w:r w:rsidR="008263B5" w:rsidRPr="00BF17B0">
        <w:rPr>
          <w:rFonts w:asciiTheme="minorHAnsi" w:hAnsiTheme="minorHAnsi" w:cstheme="minorHAnsi"/>
        </w:rPr>
        <w:t>Midterm</w:t>
      </w:r>
      <w:r w:rsidR="007A03C9" w:rsidRPr="00BF17B0">
        <w:rPr>
          <w:rFonts w:asciiTheme="minorHAnsi" w:hAnsiTheme="minorHAnsi" w:cstheme="minorHAnsi"/>
        </w:rPr>
        <w:t xml:space="preserve"> Review</w:t>
      </w:r>
      <w:r w:rsidRPr="00BF17B0">
        <w:rPr>
          <w:rFonts w:asciiTheme="minorHAnsi" w:hAnsiTheme="minorHAnsi" w:cstheme="minorHAnsi"/>
        </w:rPr>
        <w:t xml:space="preserve"> recommended that the </w:t>
      </w:r>
      <w:r w:rsidR="00582D8E">
        <w:rPr>
          <w:rFonts w:asciiTheme="minorHAnsi" w:hAnsiTheme="minorHAnsi" w:cstheme="minorHAnsi"/>
        </w:rPr>
        <w:t>PH-</w:t>
      </w:r>
      <w:r w:rsidR="00A53818" w:rsidRPr="00BF17B0">
        <w:rPr>
          <w:rFonts w:asciiTheme="minorHAnsi" w:hAnsiTheme="minorHAnsi" w:cstheme="minorHAnsi"/>
        </w:rPr>
        <w:t>PTF</w:t>
      </w:r>
      <w:r w:rsidR="00ED6FAE" w:rsidRPr="00BF17B0">
        <w:rPr>
          <w:rFonts w:asciiTheme="minorHAnsi" w:hAnsiTheme="minorHAnsi" w:cstheme="minorHAnsi"/>
        </w:rPr>
        <w:t xml:space="preserve"> </w:t>
      </w:r>
      <w:r w:rsidRPr="00BF17B0">
        <w:rPr>
          <w:rFonts w:asciiTheme="minorHAnsi" w:hAnsiTheme="minorHAnsi" w:cstheme="minorHAnsi"/>
        </w:rPr>
        <w:t>implement a communications strategy to ensure the visibility and recognition of Australia</w:t>
      </w:r>
      <w:r w:rsidR="001C7B29" w:rsidRPr="00BF17B0">
        <w:rPr>
          <w:rFonts w:asciiTheme="minorHAnsi" w:hAnsiTheme="minorHAnsi" w:cstheme="minorHAnsi"/>
        </w:rPr>
        <w:t xml:space="preserve">’s </w:t>
      </w:r>
      <w:r w:rsidRPr="00BF17B0">
        <w:rPr>
          <w:rFonts w:asciiTheme="minorHAnsi" w:hAnsiTheme="minorHAnsi" w:cstheme="minorHAnsi"/>
        </w:rPr>
        <w:t>contribution</w:t>
      </w:r>
      <w:r w:rsidR="00EB211F" w:rsidRPr="00BF17B0">
        <w:rPr>
          <w:rFonts w:asciiTheme="minorHAnsi" w:hAnsiTheme="minorHAnsi" w:cstheme="minorHAnsi"/>
        </w:rPr>
        <w:t xml:space="preserve">. </w:t>
      </w:r>
      <w:r w:rsidRPr="00BF17B0">
        <w:rPr>
          <w:rFonts w:asciiTheme="minorHAnsi" w:hAnsiTheme="minorHAnsi" w:cstheme="minorHAnsi"/>
        </w:rPr>
        <w:t xml:space="preserve">Communication guidelines were </w:t>
      </w:r>
      <w:r w:rsidR="005A6086" w:rsidRPr="00BF17B0">
        <w:rPr>
          <w:rFonts w:asciiTheme="minorHAnsi" w:hAnsiTheme="minorHAnsi" w:cstheme="minorHAnsi"/>
        </w:rPr>
        <w:t xml:space="preserve">developed jointly by World Bank and DFAT counterparts and </w:t>
      </w:r>
      <w:r w:rsidRPr="00BF17B0">
        <w:rPr>
          <w:rFonts w:asciiTheme="minorHAnsi" w:hAnsiTheme="minorHAnsi" w:cstheme="minorHAnsi"/>
        </w:rPr>
        <w:t>issued in July 2014</w:t>
      </w:r>
      <w:r w:rsidR="00F4443F" w:rsidRPr="00BF17B0">
        <w:rPr>
          <w:rFonts w:asciiTheme="minorHAnsi" w:hAnsiTheme="minorHAnsi" w:cstheme="minorHAnsi"/>
        </w:rPr>
        <w:t xml:space="preserve"> with a view to promoting open access that </w:t>
      </w:r>
      <w:r w:rsidR="00C44045" w:rsidRPr="00BF17B0">
        <w:rPr>
          <w:rFonts w:asciiTheme="minorHAnsi" w:hAnsiTheme="minorHAnsi" w:cstheme="minorHAnsi"/>
        </w:rPr>
        <w:t>would</w:t>
      </w:r>
      <w:r w:rsidR="00F4443F" w:rsidRPr="00BF17B0">
        <w:rPr>
          <w:rFonts w:asciiTheme="minorHAnsi" w:hAnsiTheme="minorHAnsi" w:cstheme="minorHAnsi"/>
        </w:rPr>
        <w:t xml:space="preserve"> enable the widest possible dissemination of knowledge to the public. These guidelines were meant to apply to all communication products that ar</w:t>
      </w:r>
      <w:r w:rsidR="00C44045" w:rsidRPr="00BF17B0">
        <w:rPr>
          <w:rFonts w:asciiTheme="minorHAnsi" w:hAnsiTheme="minorHAnsi" w:cstheme="minorHAnsi"/>
        </w:rPr>
        <w:t>o</w:t>
      </w:r>
      <w:r w:rsidR="00F4443F" w:rsidRPr="00BF17B0">
        <w:rPr>
          <w:rFonts w:asciiTheme="minorHAnsi" w:hAnsiTheme="minorHAnsi" w:cstheme="minorHAnsi"/>
        </w:rPr>
        <w:t xml:space="preserve">se from a program or activity supported through the </w:t>
      </w:r>
      <w:r w:rsidR="00582D8E">
        <w:rPr>
          <w:rFonts w:asciiTheme="minorHAnsi" w:hAnsiTheme="minorHAnsi" w:cstheme="minorHAnsi"/>
        </w:rPr>
        <w:t>PH-</w:t>
      </w:r>
      <w:r w:rsidR="00A53818" w:rsidRPr="00BF17B0">
        <w:rPr>
          <w:rFonts w:asciiTheme="minorHAnsi" w:hAnsiTheme="minorHAnsi" w:cstheme="minorHAnsi"/>
        </w:rPr>
        <w:t>PTF</w:t>
      </w:r>
      <w:r w:rsidR="00F4443F" w:rsidRPr="00BF17B0">
        <w:rPr>
          <w:rFonts w:asciiTheme="minorHAnsi" w:hAnsiTheme="minorHAnsi" w:cstheme="minorHAnsi"/>
        </w:rPr>
        <w:t>, including signages for public events</w:t>
      </w:r>
      <w:r w:rsidR="00D10672" w:rsidRPr="00BF17B0">
        <w:rPr>
          <w:rFonts w:asciiTheme="minorHAnsi" w:hAnsiTheme="minorHAnsi" w:cstheme="minorHAnsi"/>
        </w:rPr>
        <w:t>, publications and</w:t>
      </w:r>
      <w:r w:rsidR="00F4443F" w:rsidRPr="00BF17B0">
        <w:rPr>
          <w:rFonts w:asciiTheme="minorHAnsi" w:hAnsiTheme="minorHAnsi" w:cstheme="minorHAnsi"/>
        </w:rPr>
        <w:t xml:space="preserve"> </w:t>
      </w:r>
      <w:r w:rsidR="00D10672" w:rsidRPr="00BF17B0">
        <w:rPr>
          <w:rFonts w:asciiTheme="minorHAnsi" w:hAnsiTheme="minorHAnsi" w:cstheme="minorHAnsi"/>
        </w:rPr>
        <w:t xml:space="preserve">media releases. The guidelines also indicated that, where appropriate, a crosslink </w:t>
      </w:r>
      <w:r w:rsidR="00F00155" w:rsidRPr="00BF17B0">
        <w:rPr>
          <w:rFonts w:asciiTheme="minorHAnsi" w:hAnsiTheme="minorHAnsi" w:cstheme="minorHAnsi"/>
        </w:rPr>
        <w:t xml:space="preserve">would </w:t>
      </w:r>
      <w:r w:rsidR="00D10672" w:rsidRPr="00BF17B0">
        <w:rPr>
          <w:rFonts w:asciiTheme="minorHAnsi" w:hAnsiTheme="minorHAnsi" w:cstheme="minorHAnsi"/>
        </w:rPr>
        <w:t xml:space="preserve">be posted from a </w:t>
      </w:r>
      <w:r w:rsidR="00582D8E">
        <w:rPr>
          <w:rFonts w:asciiTheme="minorHAnsi" w:hAnsiTheme="minorHAnsi" w:cstheme="minorHAnsi"/>
        </w:rPr>
        <w:t>PH-</w:t>
      </w:r>
      <w:r w:rsidR="00A53818" w:rsidRPr="00BF17B0">
        <w:rPr>
          <w:rFonts w:asciiTheme="minorHAnsi" w:hAnsiTheme="minorHAnsi" w:cstheme="minorHAnsi"/>
        </w:rPr>
        <w:t>PTF</w:t>
      </w:r>
      <w:r w:rsidR="006B67AA" w:rsidRPr="00BF17B0">
        <w:rPr>
          <w:rFonts w:asciiTheme="minorHAnsi" w:hAnsiTheme="minorHAnsi" w:cstheme="minorHAnsi"/>
        </w:rPr>
        <w:t>-</w:t>
      </w:r>
      <w:r w:rsidR="00D10672" w:rsidRPr="00BF17B0">
        <w:rPr>
          <w:rFonts w:asciiTheme="minorHAnsi" w:hAnsiTheme="minorHAnsi" w:cstheme="minorHAnsi"/>
        </w:rPr>
        <w:t xml:space="preserve">supported activity in the World Bank website to the Government of Australia’s website (and vice-versa). </w:t>
      </w:r>
      <w:r w:rsidR="005A6086" w:rsidRPr="00BF17B0">
        <w:rPr>
          <w:rFonts w:asciiTheme="minorHAnsi" w:hAnsiTheme="minorHAnsi" w:cstheme="minorHAnsi"/>
        </w:rPr>
        <w:t>B</w:t>
      </w:r>
      <w:r w:rsidRPr="00BF17B0">
        <w:rPr>
          <w:rFonts w:asciiTheme="minorHAnsi" w:hAnsiTheme="minorHAnsi" w:cstheme="minorHAnsi"/>
        </w:rPr>
        <w:t xml:space="preserve">oth DFAT and </w:t>
      </w:r>
      <w:r w:rsidR="00687594" w:rsidRPr="00BF17B0">
        <w:rPr>
          <w:rFonts w:asciiTheme="minorHAnsi" w:hAnsiTheme="minorHAnsi" w:cstheme="minorHAnsi"/>
        </w:rPr>
        <w:t>World Bank</w:t>
      </w:r>
      <w:r w:rsidRPr="00BF17B0">
        <w:rPr>
          <w:rFonts w:asciiTheme="minorHAnsi" w:hAnsiTheme="minorHAnsi" w:cstheme="minorHAnsi"/>
        </w:rPr>
        <w:t xml:space="preserve"> teams confirmed that the</w:t>
      </w:r>
      <w:r w:rsidR="00D10672" w:rsidRPr="00BF17B0">
        <w:rPr>
          <w:rFonts w:asciiTheme="minorHAnsi" w:hAnsiTheme="minorHAnsi" w:cstheme="minorHAnsi"/>
        </w:rPr>
        <w:t>se guidelines</w:t>
      </w:r>
      <w:r w:rsidRPr="00BF17B0">
        <w:rPr>
          <w:rFonts w:asciiTheme="minorHAnsi" w:hAnsiTheme="minorHAnsi" w:cstheme="minorHAnsi"/>
        </w:rPr>
        <w:t xml:space="preserve"> </w:t>
      </w:r>
      <w:r w:rsidR="00F57555" w:rsidRPr="00BF17B0">
        <w:rPr>
          <w:rFonts w:asciiTheme="minorHAnsi" w:hAnsiTheme="minorHAnsi" w:cstheme="minorHAnsi"/>
        </w:rPr>
        <w:t xml:space="preserve">were </w:t>
      </w:r>
      <w:r w:rsidR="00255177" w:rsidRPr="00BF17B0">
        <w:rPr>
          <w:rFonts w:asciiTheme="minorHAnsi" w:hAnsiTheme="minorHAnsi" w:cstheme="minorHAnsi"/>
        </w:rPr>
        <w:t>appropriately observed</w:t>
      </w:r>
      <w:r w:rsidR="00EB211F" w:rsidRPr="00BF17B0">
        <w:rPr>
          <w:rFonts w:asciiTheme="minorHAnsi" w:hAnsiTheme="minorHAnsi" w:cstheme="minorHAnsi"/>
        </w:rPr>
        <w:t xml:space="preserve">. </w:t>
      </w:r>
      <w:r w:rsidR="00255177" w:rsidRPr="00BF17B0">
        <w:rPr>
          <w:rFonts w:asciiTheme="minorHAnsi" w:hAnsiTheme="minorHAnsi" w:cstheme="minorHAnsi"/>
        </w:rPr>
        <w:t xml:space="preserve"> </w:t>
      </w:r>
    </w:p>
    <w:p w14:paraId="25E400BB" w14:textId="77777777" w:rsidR="00DA3302" w:rsidRPr="00BF17B0" w:rsidRDefault="00064A1B" w:rsidP="006F3DDC">
      <w:pPr>
        <w:rPr>
          <w:rFonts w:asciiTheme="minorHAnsi" w:hAnsiTheme="minorHAnsi" w:cstheme="minorHAnsi"/>
        </w:rPr>
      </w:pPr>
      <w:r w:rsidRPr="00BF17B0">
        <w:rPr>
          <w:rFonts w:asciiTheme="minorHAnsi" w:hAnsiTheme="minorHAnsi" w:cstheme="minorHAnsi"/>
        </w:rPr>
        <w:t xml:space="preserve">For instance, </w:t>
      </w:r>
      <w:r w:rsidR="00DA3302" w:rsidRPr="00BF17B0">
        <w:rPr>
          <w:rFonts w:asciiTheme="minorHAnsi" w:hAnsiTheme="minorHAnsi" w:cstheme="minorHAnsi"/>
        </w:rPr>
        <w:t>the flagship reports produced through recently completed grants</w:t>
      </w:r>
      <w:r w:rsidR="001F15FC" w:rsidRPr="00BF17B0">
        <w:rPr>
          <w:rFonts w:asciiTheme="minorHAnsi" w:hAnsiTheme="minorHAnsi" w:cstheme="minorHAnsi"/>
        </w:rPr>
        <w:t xml:space="preserve"> became major contributions to knowledge and offered potential and substantial policy impact in their respective areas. </w:t>
      </w:r>
      <w:r w:rsidR="001F53D1" w:rsidRPr="00BF17B0">
        <w:rPr>
          <w:rFonts w:asciiTheme="minorHAnsi" w:hAnsiTheme="minorHAnsi" w:cstheme="minorHAnsi"/>
        </w:rPr>
        <w:t xml:space="preserve">Among them were Pork to </w:t>
      </w:r>
      <w:r w:rsidR="001F53D1" w:rsidRPr="00BF17B0">
        <w:rPr>
          <w:rFonts w:asciiTheme="minorHAnsi" w:hAnsiTheme="minorHAnsi" w:cstheme="minorHAnsi"/>
          <w:i/>
        </w:rPr>
        <w:t>Performance</w:t>
      </w:r>
      <w:r w:rsidR="001F53D1" w:rsidRPr="00BF17B0">
        <w:rPr>
          <w:rFonts w:asciiTheme="minorHAnsi" w:hAnsiTheme="minorHAnsi" w:cstheme="minorHAnsi"/>
        </w:rPr>
        <w:t xml:space="preserve"> (Custer et al. 2016); </w:t>
      </w:r>
      <w:r w:rsidR="001F53D1" w:rsidRPr="00BF17B0">
        <w:rPr>
          <w:rFonts w:asciiTheme="minorHAnsi" w:hAnsiTheme="minorHAnsi" w:cstheme="minorHAnsi"/>
          <w:i/>
        </w:rPr>
        <w:t>Mindanao Jobs Report</w:t>
      </w:r>
      <w:r w:rsidR="001F53D1" w:rsidRPr="00BF17B0">
        <w:rPr>
          <w:rFonts w:asciiTheme="minorHAnsi" w:hAnsiTheme="minorHAnsi" w:cstheme="minorHAnsi"/>
        </w:rPr>
        <w:t xml:space="preserve"> (Hansl et al. 2017); and </w:t>
      </w:r>
      <w:r w:rsidR="001F53D1" w:rsidRPr="00BF17B0">
        <w:rPr>
          <w:rFonts w:asciiTheme="minorHAnsi" w:hAnsiTheme="minorHAnsi" w:cstheme="minorHAnsi"/>
          <w:i/>
        </w:rPr>
        <w:t>Land: Territory, Domain, and Identity</w:t>
      </w:r>
      <w:r w:rsidR="001F53D1" w:rsidRPr="00BF17B0">
        <w:rPr>
          <w:rFonts w:asciiTheme="minorHAnsi" w:hAnsiTheme="minorHAnsi" w:cstheme="minorHAnsi"/>
        </w:rPr>
        <w:t xml:space="preserve"> (World Bank 2017b). </w:t>
      </w:r>
      <w:r w:rsidR="00821EDC" w:rsidRPr="00BF17B0">
        <w:rPr>
          <w:rFonts w:asciiTheme="minorHAnsi" w:hAnsiTheme="minorHAnsi" w:cstheme="minorHAnsi"/>
        </w:rPr>
        <w:t xml:space="preserve">The </w:t>
      </w:r>
      <w:r w:rsidR="001F15FC" w:rsidRPr="00BF17B0">
        <w:rPr>
          <w:rFonts w:asciiTheme="minorHAnsi" w:hAnsiTheme="minorHAnsi" w:cstheme="minorHAnsi"/>
        </w:rPr>
        <w:t xml:space="preserve">reports acknowledged DFAT contribution in </w:t>
      </w:r>
      <w:r w:rsidR="00821EDC" w:rsidRPr="00BF17B0">
        <w:rPr>
          <w:rFonts w:asciiTheme="minorHAnsi" w:hAnsiTheme="minorHAnsi" w:cstheme="minorHAnsi"/>
        </w:rPr>
        <w:t xml:space="preserve">their publication. </w:t>
      </w:r>
    </w:p>
    <w:p w14:paraId="36FCBA3C" w14:textId="77777777" w:rsidR="00E41632" w:rsidRPr="00BF17B0" w:rsidRDefault="001F53D1" w:rsidP="00E41632">
      <w:pPr>
        <w:rPr>
          <w:rFonts w:asciiTheme="minorHAnsi" w:hAnsiTheme="minorHAnsi" w:cstheme="minorHAnsi"/>
        </w:rPr>
      </w:pPr>
      <w:r w:rsidRPr="00BF17B0">
        <w:rPr>
          <w:rFonts w:asciiTheme="minorHAnsi" w:hAnsiTheme="minorHAnsi" w:cstheme="minorHAnsi"/>
        </w:rPr>
        <w:t xml:space="preserve">In </w:t>
      </w:r>
      <w:r w:rsidR="00016D76" w:rsidRPr="00BF17B0">
        <w:rPr>
          <w:rFonts w:asciiTheme="minorHAnsi" w:hAnsiTheme="minorHAnsi" w:cstheme="minorHAnsi"/>
        </w:rPr>
        <w:t>various instances</w:t>
      </w:r>
      <w:r w:rsidRPr="00BF17B0">
        <w:rPr>
          <w:rFonts w:asciiTheme="minorHAnsi" w:hAnsiTheme="minorHAnsi" w:cstheme="minorHAnsi"/>
        </w:rPr>
        <w:t>, t</w:t>
      </w:r>
      <w:r w:rsidR="00045F57" w:rsidRPr="00BF17B0">
        <w:rPr>
          <w:rFonts w:asciiTheme="minorHAnsi" w:hAnsiTheme="minorHAnsi" w:cstheme="minorHAnsi"/>
        </w:rPr>
        <w:t xml:space="preserve">he task teams exercised discretion in </w:t>
      </w:r>
      <w:r w:rsidR="00B57C79" w:rsidRPr="00BF17B0">
        <w:rPr>
          <w:rFonts w:asciiTheme="minorHAnsi" w:hAnsiTheme="minorHAnsi" w:cstheme="minorHAnsi"/>
        </w:rPr>
        <w:t>citing the source of funding or</w:t>
      </w:r>
      <w:r w:rsidR="008079D7" w:rsidRPr="00BF17B0">
        <w:rPr>
          <w:rFonts w:asciiTheme="minorHAnsi" w:hAnsiTheme="minorHAnsi" w:cstheme="minorHAnsi"/>
        </w:rPr>
        <w:t xml:space="preserve"> advice, especially in sensitive cases where </w:t>
      </w:r>
      <w:r w:rsidR="00B279A7" w:rsidRPr="00BF17B0">
        <w:rPr>
          <w:rFonts w:asciiTheme="minorHAnsi" w:hAnsiTheme="minorHAnsi" w:cstheme="minorHAnsi"/>
        </w:rPr>
        <w:t>visibility for</w:t>
      </w:r>
      <w:r w:rsidR="00BF75EF" w:rsidRPr="00BF17B0">
        <w:rPr>
          <w:rFonts w:asciiTheme="minorHAnsi" w:hAnsiTheme="minorHAnsi" w:cstheme="minorHAnsi"/>
        </w:rPr>
        <w:t xml:space="preserve"> DFAT and World Bank support </w:t>
      </w:r>
      <w:r w:rsidR="00D15ADA" w:rsidRPr="00BF17B0">
        <w:rPr>
          <w:rFonts w:asciiTheme="minorHAnsi" w:hAnsiTheme="minorHAnsi" w:cstheme="minorHAnsi"/>
        </w:rPr>
        <w:t xml:space="preserve">was </w:t>
      </w:r>
      <w:r w:rsidR="00B279A7" w:rsidRPr="00BF17B0">
        <w:rPr>
          <w:rFonts w:asciiTheme="minorHAnsi" w:hAnsiTheme="minorHAnsi" w:cstheme="minorHAnsi"/>
        </w:rPr>
        <w:t>counterproductive</w:t>
      </w:r>
      <w:r w:rsidR="008079D7" w:rsidRPr="00BF17B0">
        <w:rPr>
          <w:rFonts w:asciiTheme="minorHAnsi" w:hAnsiTheme="minorHAnsi" w:cstheme="minorHAnsi"/>
        </w:rPr>
        <w:t xml:space="preserve"> and </w:t>
      </w:r>
      <w:r w:rsidR="0048010D" w:rsidRPr="00BF17B0">
        <w:rPr>
          <w:rFonts w:asciiTheme="minorHAnsi" w:hAnsiTheme="minorHAnsi" w:cstheme="minorHAnsi"/>
        </w:rPr>
        <w:t xml:space="preserve">better </w:t>
      </w:r>
      <w:r w:rsidR="00F60297" w:rsidRPr="00BF17B0">
        <w:rPr>
          <w:rFonts w:asciiTheme="minorHAnsi" w:hAnsiTheme="minorHAnsi" w:cstheme="minorHAnsi"/>
        </w:rPr>
        <w:t xml:space="preserve">left </w:t>
      </w:r>
      <w:r w:rsidR="00CC1594" w:rsidRPr="00BF17B0">
        <w:rPr>
          <w:rFonts w:asciiTheme="minorHAnsi" w:hAnsiTheme="minorHAnsi" w:cstheme="minorHAnsi"/>
        </w:rPr>
        <w:t xml:space="preserve">with no </w:t>
      </w:r>
      <w:r w:rsidR="00F60297" w:rsidRPr="00BF17B0">
        <w:rPr>
          <w:rFonts w:asciiTheme="minorHAnsi" w:hAnsiTheme="minorHAnsi" w:cstheme="minorHAnsi"/>
        </w:rPr>
        <w:t>attribution</w:t>
      </w:r>
      <w:r w:rsidR="00D15ADA" w:rsidRPr="00BF17B0">
        <w:rPr>
          <w:rFonts w:asciiTheme="minorHAnsi" w:hAnsiTheme="minorHAnsi" w:cstheme="minorHAnsi"/>
        </w:rPr>
        <w:t xml:space="preserve">. </w:t>
      </w:r>
    </w:p>
    <w:p w14:paraId="18816166" w14:textId="77777777" w:rsidR="00E86018" w:rsidRPr="00BF17B0" w:rsidRDefault="00E86018" w:rsidP="00E41632">
      <w:pPr>
        <w:rPr>
          <w:rFonts w:asciiTheme="minorHAnsi" w:hAnsiTheme="minorHAnsi" w:cstheme="minorHAnsi"/>
        </w:rPr>
      </w:pPr>
    </w:p>
    <w:p w14:paraId="3682321D" w14:textId="77777777" w:rsidR="005B4577" w:rsidRPr="00BF17B0" w:rsidRDefault="005B4577" w:rsidP="00BF07C4">
      <w:pPr>
        <w:pStyle w:val="Heading2"/>
        <w:rPr>
          <w:rFonts w:asciiTheme="minorHAnsi" w:hAnsiTheme="minorHAnsi" w:cstheme="minorHAnsi"/>
        </w:rPr>
      </w:pPr>
      <w:bookmarkStart w:id="209" w:name="_Toc532994297"/>
      <w:r w:rsidRPr="00BF17B0">
        <w:rPr>
          <w:rFonts w:asciiTheme="minorHAnsi" w:hAnsiTheme="minorHAnsi" w:cstheme="minorHAnsi"/>
        </w:rPr>
        <w:t>Cross-</w:t>
      </w:r>
      <w:r w:rsidR="00CB04D8" w:rsidRPr="00BF17B0">
        <w:rPr>
          <w:rFonts w:asciiTheme="minorHAnsi" w:hAnsiTheme="minorHAnsi" w:cstheme="minorHAnsi"/>
        </w:rPr>
        <w:t>C</w:t>
      </w:r>
      <w:r w:rsidRPr="00BF17B0">
        <w:rPr>
          <w:rFonts w:asciiTheme="minorHAnsi" w:hAnsiTheme="minorHAnsi" w:cstheme="minorHAnsi"/>
        </w:rPr>
        <w:t xml:space="preserve">utting </w:t>
      </w:r>
      <w:r w:rsidR="00CB04D8" w:rsidRPr="00BF17B0">
        <w:rPr>
          <w:rFonts w:asciiTheme="minorHAnsi" w:hAnsiTheme="minorHAnsi" w:cstheme="minorHAnsi"/>
        </w:rPr>
        <w:t>T</w:t>
      </w:r>
      <w:r w:rsidRPr="00BF17B0">
        <w:rPr>
          <w:rFonts w:asciiTheme="minorHAnsi" w:hAnsiTheme="minorHAnsi" w:cstheme="minorHAnsi"/>
        </w:rPr>
        <w:t>hemes</w:t>
      </w:r>
      <w:bookmarkEnd w:id="209"/>
    </w:p>
    <w:p w14:paraId="3BC954E2" w14:textId="77777777" w:rsidR="004803D0" w:rsidRPr="00BF17B0" w:rsidRDefault="008D509C" w:rsidP="003F0F27">
      <w:pPr>
        <w:rPr>
          <w:rFonts w:asciiTheme="minorHAnsi" w:hAnsiTheme="minorHAnsi" w:cstheme="minorHAnsi"/>
        </w:rPr>
      </w:pPr>
      <w:r w:rsidRPr="00BF17B0">
        <w:rPr>
          <w:rFonts w:asciiTheme="minorHAnsi" w:hAnsiTheme="minorHAnsi" w:cstheme="minorHAnsi"/>
        </w:rPr>
        <w:t xml:space="preserve">The administration agreement </w:t>
      </w:r>
      <w:r w:rsidR="00F57555" w:rsidRPr="00BF17B0">
        <w:rPr>
          <w:rFonts w:asciiTheme="minorHAnsi" w:hAnsiTheme="minorHAnsi" w:cstheme="minorHAnsi"/>
        </w:rPr>
        <w:t>did</w:t>
      </w:r>
      <w:r w:rsidRPr="00BF17B0">
        <w:rPr>
          <w:rFonts w:asciiTheme="minorHAnsi" w:hAnsiTheme="minorHAnsi" w:cstheme="minorHAnsi"/>
        </w:rPr>
        <w:t xml:space="preserve"> not specify </w:t>
      </w:r>
      <w:r w:rsidR="005168AC" w:rsidRPr="00BF17B0">
        <w:rPr>
          <w:rFonts w:asciiTheme="minorHAnsi" w:hAnsiTheme="minorHAnsi" w:cstheme="minorHAnsi"/>
        </w:rPr>
        <w:t xml:space="preserve">that the following were to be included in the evaluation: </w:t>
      </w:r>
      <w:r w:rsidRPr="00BF17B0">
        <w:rPr>
          <w:rFonts w:asciiTheme="minorHAnsi" w:hAnsiTheme="minorHAnsi" w:cstheme="minorHAnsi"/>
        </w:rPr>
        <w:t>g</w:t>
      </w:r>
      <w:r w:rsidR="005B4577" w:rsidRPr="00BF17B0">
        <w:rPr>
          <w:rFonts w:asciiTheme="minorHAnsi" w:hAnsiTheme="minorHAnsi" w:cstheme="minorHAnsi"/>
        </w:rPr>
        <w:t xml:space="preserve">ender equality, </w:t>
      </w:r>
      <w:r w:rsidR="00CC1594" w:rsidRPr="00BF17B0">
        <w:rPr>
          <w:rFonts w:asciiTheme="minorHAnsi" w:hAnsiTheme="minorHAnsi" w:cstheme="minorHAnsi"/>
        </w:rPr>
        <w:t>d</w:t>
      </w:r>
      <w:r w:rsidR="005B4577" w:rsidRPr="00BF17B0">
        <w:rPr>
          <w:rFonts w:asciiTheme="minorHAnsi" w:hAnsiTheme="minorHAnsi" w:cstheme="minorHAnsi"/>
        </w:rPr>
        <w:t>isability</w:t>
      </w:r>
      <w:r w:rsidR="00EA5F1F" w:rsidRPr="00BF17B0">
        <w:rPr>
          <w:rFonts w:asciiTheme="minorHAnsi" w:hAnsiTheme="minorHAnsi" w:cstheme="minorHAnsi"/>
        </w:rPr>
        <w:t>,</w:t>
      </w:r>
      <w:r w:rsidR="005B633F" w:rsidRPr="00BF17B0">
        <w:rPr>
          <w:rFonts w:asciiTheme="minorHAnsi" w:hAnsiTheme="minorHAnsi" w:cstheme="minorHAnsi"/>
        </w:rPr>
        <w:t xml:space="preserve"> </w:t>
      </w:r>
      <w:r w:rsidR="00CC1594" w:rsidRPr="00BF17B0">
        <w:rPr>
          <w:rFonts w:asciiTheme="minorHAnsi" w:hAnsiTheme="minorHAnsi" w:cstheme="minorHAnsi"/>
        </w:rPr>
        <w:t>i</w:t>
      </w:r>
      <w:r w:rsidR="005B633F" w:rsidRPr="00BF17B0">
        <w:rPr>
          <w:rFonts w:asciiTheme="minorHAnsi" w:hAnsiTheme="minorHAnsi" w:cstheme="minorHAnsi"/>
        </w:rPr>
        <w:t xml:space="preserve">ndigenous </w:t>
      </w:r>
      <w:r w:rsidR="00CC1594" w:rsidRPr="00BF17B0">
        <w:rPr>
          <w:rFonts w:asciiTheme="minorHAnsi" w:hAnsiTheme="minorHAnsi" w:cstheme="minorHAnsi"/>
        </w:rPr>
        <w:t>p</w:t>
      </w:r>
      <w:r w:rsidR="005B633F" w:rsidRPr="00BF17B0">
        <w:rPr>
          <w:rFonts w:asciiTheme="minorHAnsi" w:hAnsiTheme="minorHAnsi" w:cstheme="minorHAnsi"/>
        </w:rPr>
        <w:t xml:space="preserve">eoples, </w:t>
      </w:r>
      <w:r w:rsidR="00CC1594" w:rsidRPr="00BF17B0">
        <w:rPr>
          <w:rFonts w:asciiTheme="minorHAnsi" w:hAnsiTheme="minorHAnsi" w:cstheme="minorHAnsi"/>
        </w:rPr>
        <w:t>c</w:t>
      </w:r>
      <w:r w:rsidR="00EA5F1F" w:rsidRPr="00BF17B0">
        <w:rPr>
          <w:rFonts w:asciiTheme="minorHAnsi" w:hAnsiTheme="minorHAnsi" w:cstheme="minorHAnsi"/>
        </w:rPr>
        <w:t xml:space="preserve">limate </w:t>
      </w:r>
      <w:r w:rsidR="00CC1594" w:rsidRPr="00BF17B0">
        <w:rPr>
          <w:rFonts w:asciiTheme="minorHAnsi" w:hAnsiTheme="minorHAnsi" w:cstheme="minorHAnsi"/>
        </w:rPr>
        <w:t>c</w:t>
      </w:r>
      <w:r w:rsidR="00EA5F1F" w:rsidRPr="00BF17B0">
        <w:rPr>
          <w:rFonts w:asciiTheme="minorHAnsi" w:hAnsiTheme="minorHAnsi" w:cstheme="minorHAnsi"/>
        </w:rPr>
        <w:t xml:space="preserve">hange and </w:t>
      </w:r>
      <w:r w:rsidR="00CC1594" w:rsidRPr="00BF17B0">
        <w:rPr>
          <w:rFonts w:asciiTheme="minorHAnsi" w:hAnsiTheme="minorHAnsi" w:cstheme="minorHAnsi"/>
        </w:rPr>
        <w:t>d</w:t>
      </w:r>
      <w:r w:rsidR="00EA5F1F" w:rsidRPr="00BF17B0">
        <w:rPr>
          <w:rFonts w:asciiTheme="minorHAnsi" w:hAnsiTheme="minorHAnsi" w:cstheme="minorHAnsi"/>
        </w:rPr>
        <w:t xml:space="preserve">isasters, </w:t>
      </w:r>
      <w:r w:rsidR="00CC1594" w:rsidRPr="00BF17B0">
        <w:rPr>
          <w:rFonts w:asciiTheme="minorHAnsi" w:hAnsiTheme="minorHAnsi" w:cstheme="minorHAnsi"/>
        </w:rPr>
        <w:t>i</w:t>
      </w:r>
      <w:r w:rsidR="00EA5F1F" w:rsidRPr="00BF17B0">
        <w:rPr>
          <w:rFonts w:asciiTheme="minorHAnsi" w:hAnsiTheme="minorHAnsi" w:cstheme="minorHAnsi"/>
        </w:rPr>
        <w:t>nnovation</w:t>
      </w:r>
      <w:r w:rsidR="005B4577" w:rsidRPr="00BF17B0">
        <w:rPr>
          <w:rFonts w:asciiTheme="minorHAnsi" w:hAnsiTheme="minorHAnsi" w:cstheme="minorHAnsi"/>
        </w:rPr>
        <w:t xml:space="preserve"> and </w:t>
      </w:r>
      <w:r w:rsidR="00CC1594" w:rsidRPr="00BF17B0">
        <w:rPr>
          <w:rFonts w:asciiTheme="minorHAnsi" w:hAnsiTheme="minorHAnsi" w:cstheme="minorHAnsi"/>
        </w:rPr>
        <w:t>p</w:t>
      </w:r>
      <w:r w:rsidR="005B4577" w:rsidRPr="00BF17B0">
        <w:rPr>
          <w:rFonts w:asciiTheme="minorHAnsi" w:hAnsiTheme="minorHAnsi" w:cstheme="minorHAnsi"/>
        </w:rPr>
        <w:t>rivate sector engagement</w:t>
      </w:r>
      <w:r w:rsidR="005168AC" w:rsidRPr="00BF17B0">
        <w:rPr>
          <w:rFonts w:asciiTheme="minorHAnsi" w:hAnsiTheme="minorHAnsi" w:cstheme="minorHAnsi"/>
        </w:rPr>
        <w:t>.</w:t>
      </w:r>
      <w:r w:rsidR="003F0F27" w:rsidRPr="00BF17B0">
        <w:rPr>
          <w:rFonts w:asciiTheme="minorHAnsi" w:hAnsiTheme="minorHAnsi" w:cstheme="minorHAnsi"/>
        </w:rPr>
        <w:t xml:space="preserve"> </w:t>
      </w:r>
      <w:r w:rsidR="00C87308" w:rsidRPr="00BF17B0">
        <w:rPr>
          <w:rFonts w:asciiTheme="minorHAnsi" w:hAnsiTheme="minorHAnsi" w:cstheme="minorHAnsi"/>
        </w:rPr>
        <w:t>However</w:t>
      </w:r>
      <w:r w:rsidR="001242B6" w:rsidRPr="00BF17B0">
        <w:rPr>
          <w:rFonts w:asciiTheme="minorHAnsi" w:hAnsiTheme="minorHAnsi" w:cstheme="minorHAnsi"/>
        </w:rPr>
        <w:t xml:space="preserve">, </w:t>
      </w:r>
      <w:r w:rsidR="00522A30" w:rsidRPr="00BF17B0">
        <w:rPr>
          <w:rFonts w:asciiTheme="minorHAnsi" w:hAnsiTheme="minorHAnsi" w:cstheme="minorHAnsi"/>
        </w:rPr>
        <w:t>th</w:t>
      </w:r>
      <w:r w:rsidR="003F0F27" w:rsidRPr="00BF17B0">
        <w:rPr>
          <w:rFonts w:asciiTheme="minorHAnsi" w:hAnsiTheme="minorHAnsi" w:cstheme="minorHAnsi"/>
        </w:rPr>
        <w:t xml:space="preserve">is </w:t>
      </w:r>
      <w:r w:rsidR="00B81ED3" w:rsidRPr="00BF17B0">
        <w:rPr>
          <w:rFonts w:asciiTheme="minorHAnsi" w:hAnsiTheme="minorHAnsi" w:cstheme="minorHAnsi"/>
        </w:rPr>
        <w:t>report</w:t>
      </w:r>
      <w:r w:rsidR="003F0F27" w:rsidRPr="00BF17B0">
        <w:rPr>
          <w:rFonts w:asciiTheme="minorHAnsi" w:hAnsiTheme="minorHAnsi" w:cstheme="minorHAnsi"/>
        </w:rPr>
        <w:t xml:space="preserve"> examines </w:t>
      </w:r>
      <w:r w:rsidR="005B4577" w:rsidRPr="00BF17B0">
        <w:rPr>
          <w:rFonts w:asciiTheme="minorHAnsi" w:hAnsiTheme="minorHAnsi" w:cstheme="minorHAnsi"/>
        </w:rPr>
        <w:t xml:space="preserve">the extent to which </w:t>
      </w:r>
      <w:r w:rsidR="00F57555" w:rsidRPr="00BF17B0">
        <w:rPr>
          <w:rFonts w:asciiTheme="minorHAnsi" w:hAnsiTheme="minorHAnsi" w:cstheme="minorHAnsi"/>
        </w:rPr>
        <w:t>the</w:t>
      </w:r>
      <w:r w:rsidR="005168AC" w:rsidRPr="00BF17B0">
        <w:rPr>
          <w:rFonts w:asciiTheme="minorHAnsi" w:hAnsiTheme="minorHAnsi" w:cstheme="minorHAnsi"/>
        </w:rPr>
        <w:t>se</w:t>
      </w:r>
      <w:r w:rsidR="005B4577" w:rsidRPr="00BF17B0">
        <w:rPr>
          <w:rFonts w:asciiTheme="minorHAnsi" w:hAnsiTheme="minorHAnsi" w:cstheme="minorHAnsi"/>
        </w:rPr>
        <w:t xml:space="preserve"> themes </w:t>
      </w:r>
      <w:r w:rsidR="000D3111" w:rsidRPr="00BF17B0">
        <w:rPr>
          <w:rFonts w:asciiTheme="minorHAnsi" w:hAnsiTheme="minorHAnsi" w:cstheme="minorHAnsi"/>
        </w:rPr>
        <w:t xml:space="preserve">were pursued in the </w:t>
      </w:r>
      <w:r w:rsidR="005168AC" w:rsidRPr="00BF17B0">
        <w:rPr>
          <w:rFonts w:asciiTheme="minorHAnsi" w:hAnsiTheme="minorHAnsi" w:cstheme="minorHAnsi"/>
        </w:rPr>
        <w:t>PH-</w:t>
      </w:r>
      <w:r w:rsidR="00A53818" w:rsidRPr="00BF17B0">
        <w:rPr>
          <w:rFonts w:asciiTheme="minorHAnsi" w:hAnsiTheme="minorHAnsi" w:cstheme="minorHAnsi"/>
        </w:rPr>
        <w:t>PTF</w:t>
      </w:r>
      <w:r w:rsidR="00AA0715" w:rsidRPr="00BF17B0">
        <w:rPr>
          <w:rFonts w:asciiTheme="minorHAnsi" w:hAnsiTheme="minorHAnsi" w:cstheme="minorHAnsi"/>
        </w:rPr>
        <w:t>, especially because</w:t>
      </w:r>
      <w:r w:rsidR="00C87308" w:rsidRPr="00BF17B0">
        <w:rPr>
          <w:rFonts w:asciiTheme="minorHAnsi" w:hAnsiTheme="minorHAnsi" w:cstheme="minorHAnsi"/>
        </w:rPr>
        <w:t xml:space="preserve">, </w:t>
      </w:r>
      <w:r w:rsidR="00AA0715" w:rsidRPr="00BF17B0">
        <w:rPr>
          <w:rFonts w:asciiTheme="minorHAnsi" w:hAnsiTheme="minorHAnsi" w:cstheme="minorHAnsi"/>
        </w:rPr>
        <w:t xml:space="preserve">with the exception of climate change and disasters, </w:t>
      </w:r>
      <w:r w:rsidR="00C87308" w:rsidRPr="00BF17B0">
        <w:rPr>
          <w:rFonts w:asciiTheme="minorHAnsi" w:hAnsiTheme="minorHAnsi" w:cstheme="minorHAnsi"/>
        </w:rPr>
        <w:t xml:space="preserve">they are priorities in </w:t>
      </w:r>
      <w:r w:rsidR="004803D0" w:rsidRPr="00BF17B0">
        <w:rPr>
          <w:rFonts w:asciiTheme="minorHAnsi" w:hAnsiTheme="minorHAnsi" w:cstheme="minorHAnsi"/>
        </w:rPr>
        <w:t>DFAT</w:t>
      </w:r>
      <w:r w:rsidR="00C87308" w:rsidRPr="00BF17B0">
        <w:rPr>
          <w:rFonts w:asciiTheme="minorHAnsi" w:hAnsiTheme="minorHAnsi" w:cstheme="minorHAnsi"/>
        </w:rPr>
        <w:t>’s</w:t>
      </w:r>
      <w:r w:rsidR="004803D0" w:rsidRPr="00BF17B0">
        <w:rPr>
          <w:rFonts w:asciiTheme="minorHAnsi" w:hAnsiTheme="minorHAnsi" w:cstheme="minorHAnsi"/>
        </w:rPr>
        <w:t xml:space="preserve"> </w:t>
      </w:r>
      <w:r w:rsidR="005168AC" w:rsidRPr="00BF17B0">
        <w:rPr>
          <w:rFonts w:asciiTheme="minorHAnsi" w:hAnsiTheme="minorHAnsi" w:cstheme="minorHAnsi"/>
        </w:rPr>
        <w:t xml:space="preserve">current </w:t>
      </w:r>
      <w:r w:rsidR="00C87308" w:rsidRPr="00BF17B0">
        <w:rPr>
          <w:rFonts w:asciiTheme="minorHAnsi" w:hAnsiTheme="minorHAnsi" w:cstheme="minorHAnsi"/>
        </w:rPr>
        <w:t>strategies and programs</w:t>
      </w:r>
      <w:r w:rsidR="004803D0" w:rsidRPr="00BF17B0">
        <w:rPr>
          <w:rFonts w:asciiTheme="minorHAnsi" w:hAnsiTheme="minorHAnsi" w:cstheme="minorHAnsi"/>
        </w:rPr>
        <w:t>.</w:t>
      </w:r>
      <w:r w:rsidR="004803D0" w:rsidRPr="00BF17B0">
        <w:rPr>
          <w:rStyle w:val="FootnoteReference"/>
          <w:rFonts w:asciiTheme="minorHAnsi" w:hAnsiTheme="minorHAnsi" w:cstheme="minorHAnsi"/>
        </w:rPr>
        <w:footnoteReference w:id="10"/>
      </w:r>
      <w:r w:rsidR="004803D0" w:rsidRPr="00BF17B0">
        <w:rPr>
          <w:rFonts w:asciiTheme="minorHAnsi" w:hAnsiTheme="minorHAnsi" w:cstheme="minorHAnsi"/>
        </w:rPr>
        <w:t xml:space="preserve"> </w:t>
      </w:r>
    </w:p>
    <w:p w14:paraId="35CA2D7B" w14:textId="7626DCED" w:rsidR="005B4577" w:rsidRPr="00BF17B0" w:rsidRDefault="005B4577" w:rsidP="00187903">
      <w:pPr>
        <w:rPr>
          <w:rFonts w:asciiTheme="minorHAnsi" w:hAnsiTheme="minorHAnsi" w:cstheme="minorHAnsi"/>
        </w:rPr>
      </w:pPr>
      <w:r w:rsidRPr="00BF17B0">
        <w:rPr>
          <w:rFonts w:asciiTheme="minorHAnsi" w:hAnsiTheme="minorHAnsi" w:cstheme="minorHAnsi"/>
        </w:rPr>
        <w:t>The Steering Committee agree</w:t>
      </w:r>
      <w:r w:rsidR="00C87308" w:rsidRPr="00BF17B0">
        <w:rPr>
          <w:rFonts w:asciiTheme="minorHAnsi" w:hAnsiTheme="minorHAnsi" w:cstheme="minorHAnsi"/>
        </w:rPr>
        <w:t>d</w:t>
      </w:r>
      <w:r w:rsidRPr="00BF17B0">
        <w:rPr>
          <w:rFonts w:asciiTheme="minorHAnsi" w:hAnsiTheme="minorHAnsi" w:cstheme="minorHAnsi"/>
        </w:rPr>
        <w:t xml:space="preserve"> </w:t>
      </w:r>
      <w:r w:rsidR="00EA5F1F" w:rsidRPr="00BF17B0">
        <w:rPr>
          <w:rFonts w:asciiTheme="minorHAnsi" w:hAnsiTheme="minorHAnsi" w:cstheme="minorHAnsi"/>
        </w:rPr>
        <w:t xml:space="preserve">in June 2010 </w:t>
      </w:r>
      <w:r w:rsidRPr="00BF17B0">
        <w:rPr>
          <w:rFonts w:asciiTheme="minorHAnsi" w:hAnsiTheme="minorHAnsi" w:cstheme="minorHAnsi"/>
        </w:rPr>
        <w:t xml:space="preserve">that Mindanao </w:t>
      </w:r>
      <w:r w:rsidR="00B51D79">
        <w:rPr>
          <w:rFonts w:asciiTheme="minorHAnsi" w:hAnsiTheme="minorHAnsi" w:cstheme="minorHAnsi"/>
        </w:rPr>
        <w:t xml:space="preserve">should </w:t>
      </w:r>
      <w:r w:rsidRPr="00BF17B0">
        <w:rPr>
          <w:rFonts w:asciiTheme="minorHAnsi" w:hAnsiTheme="minorHAnsi" w:cstheme="minorHAnsi"/>
        </w:rPr>
        <w:t>be one of the focus areas</w:t>
      </w:r>
      <w:r w:rsidR="00B51D79">
        <w:rPr>
          <w:rFonts w:asciiTheme="minorHAnsi" w:hAnsiTheme="minorHAnsi" w:cstheme="minorHAnsi"/>
        </w:rPr>
        <w:t xml:space="preserve"> of PH-PTF support</w:t>
      </w:r>
      <w:r w:rsidR="00EB211F" w:rsidRPr="00BF17B0">
        <w:rPr>
          <w:rFonts w:asciiTheme="minorHAnsi" w:hAnsiTheme="minorHAnsi" w:cstheme="minorHAnsi"/>
        </w:rPr>
        <w:t xml:space="preserve">. </w:t>
      </w:r>
      <w:r w:rsidR="00F7273E" w:rsidRPr="00BF17B0">
        <w:rPr>
          <w:rFonts w:asciiTheme="minorHAnsi" w:hAnsiTheme="minorHAnsi" w:cstheme="minorHAnsi"/>
        </w:rPr>
        <w:t>Althou</w:t>
      </w:r>
      <w:r w:rsidR="00331EC0" w:rsidRPr="00BF17B0">
        <w:rPr>
          <w:rFonts w:asciiTheme="minorHAnsi" w:hAnsiTheme="minorHAnsi" w:cstheme="minorHAnsi"/>
        </w:rPr>
        <w:t xml:space="preserve">gh </w:t>
      </w:r>
      <w:r w:rsidR="00534D29" w:rsidRPr="00BF17B0">
        <w:rPr>
          <w:rFonts w:asciiTheme="minorHAnsi" w:hAnsiTheme="minorHAnsi" w:cstheme="minorHAnsi"/>
        </w:rPr>
        <w:t xml:space="preserve">this focus </w:t>
      </w:r>
      <w:r w:rsidR="00331EC0" w:rsidRPr="00BF17B0">
        <w:rPr>
          <w:rFonts w:asciiTheme="minorHAnsi" w:hAnsiTheme="minorHAnsi" w:cstheme="minorHAnsi"/>
        </w:rPr>
        <w:t xml:space="preserve">did not </w:t>
      </w:r>
      <w:r w:rsidR="00534D29" w:rsidRPr="00BF17B0">
        <w:rPr>
          <w:rFonts w:asciiTheme="minorHAnsi" w:hAnsiTheme="minorHAnsi" w:cstheme="minorHAnsi"/>
        </w:rPr>
        <w:t>specify i</w:t>
      </w:r>
      <w:r w:rsidRPr="00BF17B0">
        <w:rPr>
          <w:rFonts w:asciiTheme="minorHAnsi" w:hAnsiTheme="minorHAnsi" w:cstheme="minorHAnsi"/>
        </w:rPr>
        <w:t xml:space="preserve">ndigenous </w:t>
      </w:r>
      <w:r w:rsidR="00534D29" w:rsidRPr="00BF17B0">
        <w:rPr>
          <w:rFonts w:asciiTheme="minorHAnsi" w:hAnsiTheme="minorHAnsi" w:cstheme="minorHAnsi"/>
        </w:rPr>
        <w:t>p</w:t>
      </w:r>
      <w:r w:rsidRPr="00BF17B0">
        <w:rPr>
          <w:rFonts w:asciiTheme="minorHAnsi" w:hAnsiTheme="minorHAnsi" w:cstheme="minorHAnsi"/>
        </w:rPr>
        <w:t>eoples</w:t>
      </w:r>
      <w:r w:rsidR="00534D29" w:rsidRPr="00BF17B0">
        <w:rPr>
          <w:rFonts w:asciiTheme="minorHAnsi" w:hAnsiTheme="minorHAnsi" w:cstheme="minorHAnsi"/>
        </w:rPr>
        <w:t xml:space="preserve">, </w:t>
      </w:r>
      <w:r w:rsidR="00F7273E" w:rsidRPr="00BF17B0">
        <w:rPr>
          <w:rFonts w:asciiTheme="minorHAnsi" w:hAnsiTheme="minorHAnsi" w:cstheme="minorHAnsi"/>
        </w:rPr>
        <w:t>in practice many of the Mindanao projects include</w:t>
      </w:r>
      <w:r w:rsidR="0032063D" w:rsidRPr="00BF17B0">
        <w:rPr>
          <w:rFonts w:asciiTheme="minorHAnsi" w:hAnsiTheme="minorHAnsi" w:cstheme="minorHAnsi"/>
        </w:rPr>
        <w:t>d</w:t>
      </w:r>
      <w:r w:rsidR="00F7273E" w:rsidRPr="00BF17B0">
        <w:rPr>
          <w:rFonts w:asciiTheme="minorHAnsi" w:hAnsiTheme="minorHAnsi" w:cstheme="minorHAnsi"/>
        </w:rPr>
        <w:t xml:space="preserve"> </w:t>
      </w:r>
      <w:r w:rsidR="00534D29" w:rsidRPr="00BF17B0">
        <w:rPr>
          <w:rFonts w:asciiTheme="minorHAnsi" w:hAnsiTheme="minorHAnsi" w:cstheme="minorHAnsi"/>
        </w:rPr>
        <w:t>indigenous peoples</w:t>
      </w:r>
      <w:r w:rsidRPr="00BF17B0">
        <w:rPr>
          <w:rFonts w:asciiTheme="minorHAnsi" w:hAnsiTheme="minorHAnsi" w:cstheme="minorHAnsi"/>
        </w:rPr>
        <w:t xml:space="preserve">. </w:t>
      </w:r>
      <w:r w:rsidR="0032063D" w:rsidRPr="00BF17B0">
        <w:rPr>
          <w:rFonts w:asciiTheme="minorHAnsi" w:hAnsiTheme="minorHAnsi" w:cstheme="minorHAnsi"/>
        </w:rPr>
        <w:t>To consolidate its focus on governance, social protection, and economic policy, s</w:t>
      </w:r>
      <w:r w:rsidR="00E21E9D" w:rsidRPr="00BF17B0">
        <w:rPr>
          <w:rFonts w:asciiTheme="minorHAnsi" w:hAnsiTheme="minorHAnsi" w:cstheme="minorHAnsi"/>
        </w:rPr>
        <w:t>upport for projects that address</w:t>
      </w:r>
      <w:r w:rsidR="008C41BF" w:rsidRPr="00BF17B0">
        <w:rPr>
          <w:rFonts w:asciiTheme="minorHAnsi" w:hAnsiTheme="minorHAnsi" w:cstheme="minorHAnsi"/>
        </w:rPr>
        <w:t>ed</w:t>
      </w:r>
      <w:r w:rsidR="00E21E9D" w:rsidRPr="00BF17B0">
        <w:rPr>
          <w:rFonts w:asciiTheme="minorHAnsi" w:hAnsiTheme="minorHAnsi" w:cstheme="minorHAnsi"/>
        </w:rPr>
        <w:t xml:space="preserve"> c</w:t>
      </w:r>
      <w:r w:rsidR="001B1E75" w:rsidRPr="00BF17B0">
        <w:rPr>
          <w:rFonts w:asciiTheme="minorHAnsi" w:hAnsiTheme="minorHAnsi" w:cstheme="minorHAnsi"/>
        </w:rPr>
        <w:t xml:space="preserve">limate change and disasters </w:t>
      </w:r>
      <w:r w:rsidR="00E21E9D" w:rsidRPr="00BF17B0">
        <w:rPr>
          <w:rFonts w:asciiTheme="minorHAnsi" w:hAnsiTheme="minorHAnsi" w:cstheme="minorHAnsi"/>
        </w:rPr>
        <w:t xml:space="preserve">was </w:t>
      </w:r>
      <w:r w:rsidR="0089757F" w:rsidRPr="00BF17B0">
        <w:rPr>
          <w:rFonts w:asciiTheme="minorHAnsi" w:hAnsiTheme="minorHAnsi" w:cstheme="minorHAnsi"/>
        </w:rPr>
        <w:t xml:space="preserve">not pursued </w:t>
      </w:r>
      <w:r w:rsidR="00187903" w:rsidRPr="00BF17B0">
        <w:rPr>
          <w:rFonts w:asciiTheme="minorHAnsi" w:hAnsiTheme="minorHAnsi" w:cstheme="minorHAnsi"/>
        </w:rPr>
        <w:t>beginning September 2015</w:t>
      </w:r>
      <w:r w:rsidR="0089757F" w:rsidRPr="00BF17B0">
        <w:rPr>
          <w:rFonts w:asciiTheme="minorHAnsi" w:hAnsiTheme="minorHAnsi" w:cstheme="minorHAnsi"/>
        </w:rPr>
        <w:t xml:space="preserve">. </w:t>
      </w:r>
      <w:r w:rsidR="00EB211F" w:rsidRPr="00BF17B0">
        <w:rPr>
          <w:rFonts w:asciiTheme="minorHAnsi" w:hAnsiTheme="minorHAnsi" w:cstheme="minorHAnsi"/>
        </w:rPr>
        <w:t xml:space="preserve"> </w:t>
      </w:r>
    </w:p>
    <w:p w14:paraId="283F972F" w14:textId="77777777" w:rsidR="00CE3D12" w:rsidRPr="00BF17B0" w:rsidRDefault="00CE3D12" w:rsidP="00CE3D12">
      <w:pPr>
        <w:rPr>
          <w:rFonts w:asciiTheme="minorHAnsi" w:hAnsiTheme="minorHAnsi" w:cstheme="minorHAnsi"/>
        </w:rPr>
      </w:pPr>
    </w:p>
    <w:p w14:paraId="2A97B533" w14:textId="77777777" w:rsidR="005B4577" w:rsidRPr="00BF17B0" w:rsidRDefault="005B4577" w:rsidP="009C79EB">
      <w:pPr>
        <w:pStyle w:val="Heading3"/>
      </w:pPr>
      <w:r w:rsidRPr="00BF17B0">
        <w:t>Gender</w:t>
      </w:r>
    </w:p>
    <w:p w14:paraId="190F382D" w14:textId="77777777" w:rsidR="00963D90" w:rsidRPr="00BF17B0" w:rsidRDefault="005B4577" w:rsidP="005B4577">
      <w:pPr>
        <w:rPr>
          <w:rFonts w:asciiTheme="minorHAnsi" w:hAnsiTheme="minorHAnsi" w:cstheme="minorHAnsi"/>
        </w:rPr>
      </w:pPr>
      <w:r w:rsidRPr="00BF17B0">
        <w:rPr>
          <w:rFonts w:asciiTheme="minorHAnsi" w:hAnsiTheme="minorHAnsi" w:cstheme="minorHAnsi"/>
        </w:rPr>
        <w:t xml:space="preserve">The Philippines </w:t>
      </w:r>
      <w:r w:rsidR="00C736DD" w:rsidRPr="00BF17B0">
        <w:rPr>
          <w:rFonts w:asciiTheme="minorHAnsi" w:hAnsiTheme="minorHAnsi" w:cstheme="minorHAnsi"/>
        </w:rPr>
        <w:t>rank</w:t>
      </w:r>
      <w:r w:rsidR="0032063D" w:rsidRPr="00BF17B0">
        <w:rPr>
          <w:rFonts w:asciiTheme="minorHAnsi" w:hAnsiTheme="minorHAnsi" w:cstheme="minorHAnsi"/>
        </w:rPr>
        <w:t>ed</w:t>
      </w:r>
      <w:r w:rsidR="00C736DD" w:rsidRPr="00BF17B0">
        <w:rPr>
          <w:rFonts w:asciiTheme="minorHAnsi" w:hAnsiTheme="minorHAnsi" w:cstheme="minorHAnsi"/>
        </w:rPr>
        <w:t xml:space="preserve"> </w:t>
      </w:r>
      <w:r w:rsidRPr="00BF17B0">
        <w:rPr>
          <w:rFonts w:asciiTheme="minorHAnsi" w:hAnsiTheme="minorHAnsi" w:cstheme="minorHAnsi"/>
        </w:rPr>
        <w:t>10</w:t>
      </w:r>
      <w:r w:rsidRPr="00BF17B0">
        <w:rPr>
          <w:rFonts w:asciiTheme="minorHAnsi" w:hAnsiTheme="minorHAnsi" w:cstheme="minorHAnsi"/>
          <w:vertAlign w:val="superscript"/>
        </w:rPr>
        <w:t>th</w:t>
      </w:r>
      <w:r w:rsidRPr="00BF17B0">
        <w:rPr>
          <w:rFonts w:asciiTheme="minorHAnsi" w:hAnsiTheme="minorHAnsi" w:cstheme="minorHAnsi"/>
        </w:rPr>
        <w:t xml:space="preserve"> out of 144 countries in the Global Gender Gap index</w:t>
      </w:r>
      <w:r w:rsidR="00AB49C0" w:rsidRPr="00BF17B0">
        <w:rPr>
          <w:rFonts w:asciiTheme="minorHAnsi" w:hAnsiTheme="minorHAnsi" w:cstheme="minorHAnsi"/>
        </w:rPr>
        <w:t xml:space="preserve"> (</w:t>
      </w:r>
      <w:r w:rsidR="00B21BE7" w:rsidRPr="00BF17B0">
        <w:rPr>
          <w:rFonts w:asciiTheme="minorHAnsi" w:hAnsiTheme="minorHAnsi" w:cstheme="minorHAnsi"/>
        </w:rPr>
        <w:t>World Economic Forum 2017)</w:t>
      </w:r>
      <w:r w:rsidR="009830D1" w:rsidRPr="00BF17B0">
        <w:rPr>
          <w:rFonts w:asciiTheme="minorHAnsi" w:hAnsiTheme="minorHAnsi" w:cstheme="minorHAnsi"/>
        </w:rPr>
        <w:t xml:space="preserve">. It is </w:t>
      </w:r>
      <w:r w:rsidRPr="00BF17B0">
        <w:rPr>
          <w:rFonts w:asciiTheme="minorHAnsi" w:hAnsiTheme="minorHAnsi" w:cstheme="minorHAnsi"/>
        </w:rPr>
        <w:t>the highest</w:t>
      </w:r>
      <w:r w:rsidR="0032063D" w:rsidRPr="00BF17B0">
        <w:rPr>
          <w:rFonts w:asciiTheme="minorHAnsi" w:hAnsiTheme="minorHAnsi" w:cstheme="minorHAnsi"/>
        </w:rPr>
        <w:t>-</w:t>
      </w:r>
      <w:r w:rsidRPr="00BF17B0">
        <w:rPr>
          <w:rFonts w:asciiTheme="minorHAnsi" w:hAnsiTheme="minorHAnsi" w:cstheme="minorHAnsi"/>
        </w:rPr>
        <w:t>ranked country in Asia and the second highest</w:t>
      </w:r>
      <w:r w:rsidR="0032063D" w:rsidRPr="00BF17B0">
        <w:rPr>
          <w:rFonts w:asciiTheme="minorHAnsi" w:hAnsiTheme="minorHAnsi" w:cstheme="minorHAnsi"/>
        </w:rPr>
        <w:t>-</w:t>
      </w:r>
      <w:r w:rsidRPr="00BF17B0">
        <w:rPr>
          <w:rFonts w:asciiTheme="minorHAnsi" w:hAnsiTheme="minorHAnsi" w:cstheme="minorHAnsi"/>
        </w:rPr>
        <w:t>ranked country in East Asia and the Pacific</w:t>
      </w:r>
      <w:r w:rsidR="00556440" w:rsidRPr="00BF17B0">
        <w:rPr>
          <w:rFonts w:asciiTheme="minorHAnsi" w:hAnsiTheme="minorHAnsi" w:cstheme="minorHAnsi"/>
        </w:rPr>
        <w:t xml:space="preserve"> (next to New Zealand)</w:t>
      </w:r>
      <w:r w:rsidR="00EB211F" w:rsidRPr="00BF17B0">
        <w:rPr>
          <w:rFonts w:asciiTheme="minorHAnsi" w:hAnsiTheme="minorHAnsi" w:cstheme="minorHAnsi"/>
        </w:rPr>
        <w:t xml:space="preserve">. </w:t>
      </w:r>
    </w:p>
    <w:p w14:paraId="77EAD73C" w14:textId="77777777" w:rsidR="00963D90" w:rsidRPr="00BF17B0" w:rsidRDefault="00963D90" w:rsidP="005B4577">
      <w:pPr>
        <w:rPr>
          <w:rFonts w:asciiTheme="minorHAnsi" w:hAnsiTheme="minorHAnsi" w:cstheme="minorHAnsi"/>
        </w:rPr>
      </w:pPr>
      <w:r w:rsidRPr="00BF17B0">
        <w:rPr>
          <w:rFonts w:asciiTheme="minorHAnsi" w:hAnsiTheme="minorHAnsi" w:cstheme="minorHAnsi"/>
          <w:color w:val="000000"/>
        </w:rPr>
        <w:t>World Bank’s approach to gender has evolved</w:t>
      </w:r>
      <w:r w:rsidR="00741F7F" w:rsidRPr="00BF17B0">
        <w:rPr>
          <w:rFonts w:asciiTheme="minorHAnsi" w:hAnsiTheme="minorHAnsi" w:cstheme="minorHAnsi"/>
          <w:color w:val="000000"/>
        </w:rPr>
        <w:t xml:space="preserve"> over the course of </w:t>
      </w:r>
      <w:r w:rsidR="00CE3D12" w:rsidRPr="00BF17B0">
        <w:rPr>
          <w:rFonts w:asciiTheme="minorHAnsi" w:hAnsiTheme="minorHAnsi" w:cstheme="minorHAnsi"/>
          <w:color w:val="000000"/>
        </w:rPr>
        <w:t xml:space="preserve">the </w:t>
      </w:r>
      <w:r w:rsidR="00741F7F" w:rsidRPr="00BF17B0">
        <w:rPr>
          <w:rFonts w:asciiTheme="minorHAnsi" w:hAnsiTheme="minorHAnsi" w:cstheme="minorHAnsi"/>
          <w:color w:val="000000"/>
        </w:rPr>
        <w:t>PH-PTF implementation</w:t>
      </w:r>
      <w:r w:rsidRPr="00BF17B0">
        <w:rPr>
          <w:rFonts w:asciiTheme="minorHAnsi" w:hAnsiTheme="minorHAnsi" w:cstheme="minorHAnsi"/>
          <w:color w:val="000000"/>
        </w:rPr>
        <w:t>.</w:t>
      </w:r>
      <w:r w:rsidR="0032063D" w:rsidRPr="00BF17B0">
        <w:rPr>
          <w:rFonts w:asciiTheme="minorHAnsi" w:hAnsiTheme="minorHAnsi" w:cstheme="minorHAnsi"/>
          <w:color w:val="000000"/>
        </w:rPr>
        <w:t xml:space="preserve"> </w:t>
      </w:r>
      <w:r w:rsidR="00064A1B" w:rsidRPr="00BF17B0">
        <w:rPr>
          <w:rFonts w:asciiTheme="minorHAnsi" w:hAnsiTheme="minorHAnsi" w:cstheme="minorHAnsi"/>
          <w:color w:val="000000"/>
        </w:rPr>
        <w:t>I</w:t>
      </w:r>
      <w:r w:rsidR="002403B9" w:rsidRPr="00BF17B0">
        <w:rPr>
          <w:rFonts w:asciiTheme="minorHAnsi" w:hAnsiTheme="minorHAnsi" w:cstheme="minorHAnsi"/>
          <w:color w:val="000000"/>
        </w:rPr>
        <w:t xml:space="preserve">t </w:t>
      </w:r>
      <w:r w:rsidRPr="00BF17B0">
        <w:rPr>
          <w:rFonts w:asciiTheme="minorHAnsi" w:hAnsiTheme="minorHAnsi" w:cstheme="minorHAnsi"/>
          <w:color w:val="000000"/>
        </w:rPr>
        <w:t xml:space="preserve">used to be enough for task teams to </w:t>
      </w:r>
      <w:r w:rsidR="0032063D" w:rsidRPr="00BF17B0">
        <w:rPr>
          <w:rFonts w:asciiTheme="minorHAnsi" w:hAnsiTheme="minorHAnsi" w:cstheme="minorHAnsi"/>
          <w:color w:val="000000"/>
        </w:rPr>
        <w:t xml:space="preserve">present </w:t>
      </w:r>
      <w:r w:rsidRPr="00BF17B0">
        <w:rPr>
          <w:rFonts w:asciiTheme="minorHAnsi" w:hAnsiTheme="minorHAnsi" w:cstheme="minorHAnsi"/>
          <w:color w:val="000000"/>
        </w:rPr>
        <w:t>gender</w:t>
      </w:r>
      <w:r w:rsidR="0032063D" w:rsidRPr="00BF17B0">
        <w:rPr>
          <w:rFonts w:asciiTheme="minorHAnsi" w:hAnsiTheme="minorHAnsi" w:cstheme="minorHAnsi"/>
          <w:color w:val="000000"/>
        </w:rPr>
        <w:t>-</w:t>
      </w:r>
      <w:r w:rsidRPr="00BF17B0">
        <w:rPr>
          <w:rFonts w:asciiTheme="minorHAnsi" w:hAnsiTheme="minorHAnsi" w:cstheme="minorHAnsi"/>
          <w:color w:val="000000"/>
        </w:rPr>
        <w:t>disaggregated data o</w:t>
      </w:r>
      <w:r w:rsidR="00CE3D12" w:rsidRPr="00BF17B0">
        <w:rPr>
          <w:rFonts w:asciiTheme="minorHAnsi" w:hAnsiTheme="minorHAnsi" w:cstheme="minorHAnsi"/>
          <w:color w:val="000000"/>
        </w:rPr>
        <w:t>f</w:t>
      </w:r>
      <w:r w:rsidRPr="00BF17B0">
        <w:rPr>
          <w:rFonts w:asciiTheme="minorHAnsi" w:hAnsiTheme="minorHAnsi" w:cstheme="minorHAnsi"/>
          <w:color w:val="000000"/>
        </w:rPr>
        <w:t xml:space="preserve"> beneficiaries</w:t>
      </w:r>
      <w:r w:rsidR="00064A1B" w:rsidRPr="00BF17B0">
        <w:rPr>
          <w:rFonts w:asciiTheme="minorHAnsi" w:hAnsiTheme="minorHAnsi" w:cstheme="minorHAnsi"/>
          <w:color w:val="000000"/>
        </w:rPr>
        <w:t xml:space="preserve"> to </w:t>
      </w:r>
      <w:r w:rsidR="00B82772" w:rsidRPr="00BF17B0">
        <w:rPr>
          <w:rFonts w:asciiTheme="minorHAnsi" w:hAnsiTheme="minorHAnsi" w:cstheme="minorHAnsi"/>
          <w:color w:val="000000"/>
        </w:rPr>
        <w:t>comply with</w:t>
      </w:r>
      <w:r w:rsidR="00064A1B" w:rsidRPr="00BF17B0">
        <w:rPr>
          <w:rFonts w:asciiTheme="minorHAnsi" w:hAnsiTheme="minorHAnsi" w:cstheme="minorHAnsi"/>
          <w:color w:val="000000"/>
        </w:rPr>
        <w:t xml:space="preserve"> corporate requirements on gender</w:t>
      </w:r>
      <w:r w:rsidR="0032063D" w:rsidRPr="00BF17B0">
        <w:rPr>
          <w:rFonts w:asciiTheme="minorHAnsi" w:hAnsiTheme="minorHAnsi" w:cstheme="minorHAnsi"/>
          <w:color w:val="000000"/>
        </w:rPr>
        <w:t>. Now, t</w:t>
      </w:r>
      <w:r w:rsidRPr="00BF17B0">
        <w:rPr>
          <w:rFonts w:asciiTheme="minorHAnsi" w:hAnsiTheme="minorHAnsi" w:cstheme="minorHAnsi"/>
          <w:color w:val="000000"/>
        </w:rPr>
        <w:t xml:space="preserve">eams </w:t>
      </w:r>
      <w:r w:rsidR="0032063D" w:rsidRPr="00BF17B0">
        <w:rPr>
          <w:rFonts w:asciiTheme="minorHAnsi" w:hAnsiTheme="minorHAnsi" w:cstheme="minorHAnsi"/>
          <w:color w:val="000000"/>
        </w:rPr>
        <w:t xml:space="preserve">need </w:t>
      </w:r>
      <w:r w:rsidRPr="00BF17B0">
        <w:rPr>
          <w:rFonts w:asciiTheme="minorHAnsi" w:hAnsiTheme="minorHAnsi" w:cstheme="minorHAnsi"/>
          <w:color w:val="000000"/>
        </w:rPr>
        <w:t>to</w:t>
      </w:r>
      <w:r w:rsidR="00064A1B" w:rsidRPr="00BF17B0">
        <w:rPr>
          <w:rFonts w:asciiTheme="minorHAnsi" w:hAnsiTheme="minorHAnsi" w:cstheme="minorHAnsi"/>
          <w:color w:val="000000"/>
        </w:rPr>
        <w:t xml:space="preserve"> meet a higher bar to be classified as “gender tagged</w:t>
      </w:r>
      <w:r w:rsidR="00B82772" w:rsidRPr="00BF17B0">
        <w:rPr>
          <w:rFonts w:asciiTheme="minorHAnsi" w:hAnsiTheme="minorHAnsi" w:cstheme="minorHAnsi"/>
          <w:color w:val="000000"/>
        </w:rPr>
        <w:t>”</w:t>
      </w:r>
      <w:r w:rsidR="00064A1B" w:rsidRPr="00BF17B0">
        <w:rPr>
          <w:rFonts w:asciiTheme="minorHAnsi" w:hAnsiTheme="minorHAnsi" w:cstheme="minorHAnsi"/>
          <w:color w:val="000000"/>
        </w:rPr>
        <w:t xml:space="preserve">. </w:t>
      </w:r>
      <w:r w:rsidR="00064A1B" w:rsidRPr="00BF17B0">
        <w:rPr>
          <w:rFonts w:asciiTheme="minorHAnsi" w:hAnsiTheme="minorHAnsi" w:cstheme="minorHAnsi"/>
        </w:rPr>
        <w:t>They need to</w:t>
      </w:r>
      <w:r w:rsidR="005E2B1D" w:rsidRPr="00BF17B0">
        <w:rPr>
          <w:rFonts w:asciiTheme="minorHAnsi" w:hAnsiTheme="minorHAnsi" w:cstheme="minorHAnsi"/>
        </w:rPr>
        <w:t xml:space="preserve"> </w:t>
      </w:r>
      <w:r w:rsidRPr="00BF17B0">
        <w:rPr>
          <w:rFonts w:asciiTheme="minorHAnsi" w:hAnsiTheme="minorHAnsi" w:cstheme="minorHAnsi"/>
        </w:rPr>
        <w:t>(</w:t>
      </w:r>
      <w:r w:rsidR="005E2B1D" w:rsidRPr="00BF17B0">
        <w:rPr>
          <w:rFonts w:asciiTheme="minorHAnsi" w:hAnsiTheme="minorHAnsi" w:cstheme="minorHAnsi"/>
        </w:rPr>
        <w:t>i</w:t>
      </w:r>
      <w:r w:rsidRPr="00BF17B0">
        <w:rPr>
          <w:rFonts w:asciiTheme="minorHAnsi" w:hAnsiTheme="minorHAnsi" w:cstheme="minorHAnsi"/>
        </w:rPr>
        <w:t>) undertake the needed analytical work to identify the gender gaps in the sector; (</w:t>
      </w:r>
      <w:r w:rsidR="005E2B1D" w:rsidRPr="00BF17B0">
        <w:rPr>
          <w:rFonts w:asciiTheme="minorHAnsi" w:hAnsiTheme="minorHAnsi" w:cstheme="minorHAnsi"/>
        </w:rPr>
        <w:t>ii</w:t>
      </w:r>
      <w:r w:rsidRPr="00BF17B0">
        <w:rPr>
          <w:rFonts w:asciiTheme="minorHAnsi" w:hAnsiTheme="minorHAnsi" w:cstheme="minorHAnsi"/>
        </w:rPr>
        <w:t>) design their projects to address these gender gaps, where appropriate; and (</w:t>
      </w:r>
      <w:r w:rsidR="005E2B1D" w:rsidRPr="00BF17B0">
        <w:rPr>
          <w:rFonts w:asciiTheme="minorHAnsi" w:hAnsiTheme="minorHAnsi" w:cstheme="minorHAnsi"/>
        </w:rPr>
        <w:t>iii</w:t>
      </w:r>
      <w:r w:rsidRPr="00BF17B0">
        <w:rPr>
          <w:rFonts w:asciiTheme="minorHAnsi" w:hAnsiTheme="minorHAnsi" w:cstheme="minorHAnsi"/>
        </w:rPr>
        <w:t xml:space="preserve">) include results indicators to measure progress in closing </w:t>
      </w:r>
      <w:r w:rsidR="00FA3653" w:rsidRPr="00BF17B0">
        <w:rPr>
          <w:rFonts w:asciiTheme="minorHAnsi" w:hAnsiTheme="minorHAnsi" w:cstheme="minorHAnsi"/>
        </w:rPr>
        <w:t>the</w:t>
      </w:r>
      <w:r w:rsidRPr="00BF17B0">
        <w:rPr>
          <w:rFonts w:asciiTheme="minorHAnsi" w:hAnsiTheme="minorHAnsi" w:cstheme="minorHAnsi"/>
        </w:rPr>
        <w:t xml:space="preserve"> gaps. The </w:t>
      </w:r>
      <w:r w:rsidR="00064A1B" w:rsidRPr="00BF17B0">
        <w:rPr>
          <w:rFonts w:asciiTheme="minorHAnsi" w:hAnsiTheme="minorHAnsi" w:cstheme="minorHAnsi"/>
        </w:rPr>
        <w:t>PH-</w:t>
      </w:r>
      <w:r w:rsidR="00A53818" w:rsidRPr="00BF17B0">
        <w:rPr>
          <w:rFonts w:asciiTheme="minorHAnsi" w:hAnsiTheme="minorHAnsi" w:cstheme="minorHAnsi"/>
        </w:rPr>
        <w:t>PTF</w:t>
      </w:r>
      <w:r w:rsidRPr="00BF17B0">
        <w:rPr>
          <w:rFonts w:asciiTheme="minorHAnsi" w:hAnsiTheme="minorHAnsi" w:cstheme="minorHAnsi"/>
        </w:rPr>
        <w:t xml:space="preserve"> </w:t>
      </w:r>
      <w:r w:rsidR="00A00328" w:rsidRPr="00BF17B0">
        <w:rPr>
          <w:rFonts w:asciiTheme="minorHAnsi" w:hAnsiTheme="minorHAnsi" w:cstheme="minorHAnsi"/>
        </w:rPr>
        <w:t xml:space="preserve">helps </w:t>
      </w:r>
      <w:r w:rsidRPr="00BF17B0">
        <w:rPr>
          <w:rFonts w:asciiTheme="minorHAnsi" w:hAnsiTheme="minorHAnsi" w:cstheme="minorHAnsi"/>
        </w:rPr>
        <w:t xml:space="preserve">address </w:t>
      </w:r>
      <w:r w:rsidR="0092699E" w:rsidRPr="00BF17B0">
        <w:rPr>
          <w:rFonts w:asciiTheme="minorHAnsi" w:hAnsiTheme="minorHAnsi" w:cstheme="minorHAnsi"/>
        </w:rPr>
        <w:t xml:space="preserve">gender </w:t>
      </w:r>
      <w:r w:rsidRPr="00BF17B0">
        <w:rPr>
          <w:rFonts w:asciiTheme="minorHAnsi" w:hAnsiTheme="minorHAnsi" w:cstheme="minorHAnsi"/>
        </w:rPr>
        <w:t>needs, including through a recently approved grant to help teams</w:t>
      </w:r>
      <w:r w:rsidR="0005500F" w:rsidRPr="00BF17B0">
        <w:rPr>
          <w:rFonts w:asciiTheme="minorHAnsi" w:hAnsiTheme="minorHAnsi" w:cstheme="minorHAnsi"/>
        </w:rPr>
        <w:t xml:space="preserve"> </w:t>
      </w:r>
      <w:r w:rsidR="0067771F" w:rsidRPr="00BF17B0">
        <w:rPr>
          <w:rFonts w:asciiTheme="minorHAnsi" w:hAnsiTheme="minorHAnsi" w:cstheme="minorHAnsi"/>
        </w:rPr>
        <w:t>perform</w:t>
      </w:r>
      <w:r w:rsidRPr="00BF17B0">
        <w:rPr>
          <w:rFonts w:asciiTheme="minorHAnsi" w:hAnsiTheme="minorHAnsi" w:cstheme="minorHAnsi"/>
        </w:rPr>
        <w:t xml:space="preserve"> (</w:t>
      </w:r>
      <w:r w:rsidR="005E2B1D" w:rsidRPr="00BF17B0">
        <w:rPr>
          <w:rFonts w:asciiTheme="minorHAnsi" w:hAnsiTheme="minorHAnsi" w:cstheme="minorHAnsi"/>
        </w:rPr>
        <w:t>i</w:t>
      </w:r>
      <w:r w:rsidRPr="00BF17B0">
        <w:rPr>
          <w:rFonts w:asciiTheme="minorHAnsi" w:hAnsiTheme="minorHAnsi" w:cstheme="minorHAnsi"/>
        </w:rPr>
        <w:t>) and (</w:t>
      </w:r>
      <w:r w:rsidR="005E2B1D" w:rsidRPr="00BF17B0">
        <w:rPr>
          <w:rFonts w:asciiTheme="minorHAnsi" w:hAnsiTheme="minorHAnsi" w:cstheme="minorHAnsi"/>
        </w:rPr>
        <w:t>ii</w:t>
      </w:r>
      <w:r w:rsidRPr="00BF17B0">
        <w:rPr>
          <w:rFonts w:asciiTheme="minorHAnsi" w:hAnsiTheme="minorHAnsi" w:cstheme="minorHAnsi"/>
        </w:rPr>
        <w:t xml:space="preserve">) </w:t>
      </w:r>
      <w:r w:rsidR="0092699E" w:rsidRPr="00BF17B0">
        <w:rPr>
          <w:rFonts w:asciiTheme="minorHAnsi" w:hAnsiTheme="minorHAnsi" w:cstheme="minorHAnsi"/>
        </w:rPr>
        <w:t xml:space="preserve">in </w:t>
      </w:r>
      <w:r w:rsidRPr="00BF17B0">
        <w:rPr>
          <w:rFonts w:asciiTheme="minorHAnsi" w:hAnsiTheme="minorHAnsi" w:cstheme="minorHAnsi"/>
        </w:rPr>
        <w:t>projects under preparation</w:t>
      </w:r>
      <w:r w:rsidR="00EB211F" w:rsidRPr="00BF17B0">
        <w:rPr>
          <w:rFonts w:asciiTheme="minorHAnsi" w:hAnsiTheme="minorHAnsi" w:cstheme="minorHAnsi"/>
        </w:rPr>
        <w:t xml:space="preserve">. </w:t>
      </w:r>
      <w:r w:rsidRPr="00BF17B0">
        <w:rPr>
          <w:rFonts w:asciiTheme="minorHAnsi" w:hAnsiTheme="minorHAnsi" w:cstheme="minorHAnsi"/>
        </w:rPr>
        <w:t xml:space="preserve">Gender issues may not be </w:t>
      </w:r>
      <w:r w:rsidR="007F7A43" w:rsidRPr="00BF17B0">
        <w:rPr>
          <w:rFonts w:asciiTheme="minorHAnsi" w:hAnsiTheme="minorHAnsi" w:cstheme="minorHAnsi"/>
        </w:rPr>
        <w:t xml:space="preserve">predominant </w:t>
      </w:r>
      <w:r w:rsidR="0092699E" w:rsidRPr="00BF17B0">
        <w:rPr>
          <w:rFonts w:asciiTheme="minorHAnsi" w:hAnsiTheme="minorHAnsi" w:cstheme="minorHAnsi"/>
        </w:rPr>
        <w:t>in</w:t>
      </w:r>
      <w:r w:rsidR="007F7A43" w:rsidRPr="00BF17B0">
        <w:rPr>
          <w:rFonts w:asciiTheme="minorHAnsi" w:hAnsiTheme="minorHAnsi" w:cstheme="minorHAnsi"/>
        </w:rPr>
        <w:t xml:space="preserve"> </w:t>
      </w:r>
      <w:r w:rsidR="00DB3E3F" w:rsidRPr="00BF17B0">
        <w:rPr>
          <w:rFonts w:asciiTheme="minorHAnsi" w:hAnsiTheme="minorHAnsi" w:cstheme="minorHAnsi"/>
        </w:rPr>
        <w:t xml:space="preserve">some </w:t>
      </w:r>
      <w:r w:rsidR="0092699E" w:rsidRPr="00BF17B0">
        <w:rPr>
          <w:rFonts w:asciiTheme="minorHAnsi" w:hAnsiTheme="minorHAnsi" w:cstheme="minorHAnsi"/>
        </w:rPr>
        <w:t>advisory services and analytics</w:t>
      </w:r>
      <w:r w:rsidR="00DB3E3F" w:rsidRPr="00BF17B0">
        <w:rPr>
          <w:rFonts w:asciiTheme="minorHAnsi" w:hAnsiTheme="minorHAnsi" w:cstheme="minorHAnsi"/>
        </w:rPr>
        <w:t xml:space="preserve"> that </w:t>
      </w:r>
      <w:r w:rsidRPr="00BF17B0">
        <w:rPr>
          <w:rFonts w:asciiTheme="minorHAnsi" w:hAnsiTheme="minorHAnsi" w:cstheme="minorHAnsi"/>
        </w:rPr>
        <w:t xml:space="preserve">have fairly limited duration and “gender blind” target audiences, such as tax reform </w:t>
      </w:r>
      <w:r w:rsidR="006E4476" w:rsidRPr="00BF17B0">
        <w:rPr>
          <w:rFonts w:asciiTheme="minorHAnsi" w:hAnsiTheme="minorHAnsi" w:cstheme="minorHAnsi"/>
        </w:rPr>
        <w:t xml:space="preserve">and </w:t>
      </w:r>
      <w:r w:rsidRPr="00BF17B0">
        <w:rPr>
          <w:rFonts w:asciiTheme="minorHAnsi" w:hAnsiTheme="minorHAnsi" w:cstheme="minorHAnsi"/>
        </w:rPr>
        <w:t>climate budgeting</w:t>
      </w:r>
      <w:r w:rsidR="00EB211F" w:rsidRPr="00BF17B0">
        <w:rPr>
          <w:rFonts w:asciiTheme="minorHAnsi" w:hAnsiTheme="minorHAnsi" w:cstheme="minorHAnsi"/>
        </w:rPr>
        <w:t xml:space="preserve">. </w:t>
      </w:r>
    </w:p>
    <w:p w14:paraId="074FFE2E" w14:textId="77777777" w:rsidR="005B4577" w:rsidRPr="00BF17B0" w:rsidRDefault="00255177" w:rsidP="00A424E1">
      <w:pPr>
        <w:rPr>
          <w:rFonts w:asciiTheme="minorHAnsi" w:hAnsiTheme="minorHAnsi" w:cstheme="minorHAnsi"/>
        </w:rPr>
      </w:pPr>
      <w:r w:rsidRPr="00BF17B0">
        <w:rPr>
          <w:rFonts w:asciiTheme="minorHAnsi" w:hAnsiTheme="minorHAnsi" w:cstheme="minorHAnsi"/>
        </w:rPr>
        <w:t>Nevertheless,</w:t>
      </w:r>
      <w:r w:rsidR="005B4577" w:rsidRPr="00BF17B0">
        <w:rPr>
          <w:rFonts w:asciiTheme="minorHAnsi" w:hAnsiTheme="minorHAnsi" w:cstheme="minorHAnsi"/>
        </w:rPr>
        <w:t xml:space="preserve"> many of the grants </w:t>
      </w:r>
      <w:r w:rsidR="00CF451F" w:rsidRPr="00BF17B0">
        <w:rPr>
          <w:rFonts w:asciiTheme="minorHAnsi" w:hAnsiTheme="minorHAnsi" w:cstheme="minorHAnsi"/>
        </w:rPr>
        <w:t xml:space="preserve">had </w:t>
      </w:r>
      <w:r w:rsidR="005B4577" w:rsidRPr="00BF17B0">
        <w:rPr>
          <w:rFonts w:asciiTheme="minorHAnsi" w:hAnsiTheme="minorHAnsi" w:cstheme="minorHAnsi"/>
        </w:rPr>
        <w:t xml:space="preserve">a clear gender focus </w:t>
      </w:r>
      <w:r w:rsidRPr="00BF17B0">
        <w:rPr>
          <w:rFonts w:asciiTheme="minorHAnsi" w:hAnsiTheme="minorHAnsi" w:cstheme="minorHAnsi"/>
        </w:rPr>
        <w:t>and, in some cases,</w:t>
      </w:r>
      <w:r w:rsidR="005B4577" w:rsidRPr="00BF17B0">
        <w:rPr>
          <w:rFonts w:asciiTheme="minorHAnsi" w:hAnsiTheme="minorHAnsi" w:cstheme="minorHAnsi"/>
        </w:rPr>
        <w:t xml:space="preserve"> made </w:t>
      </w:r>
      <w:r w:rsidR="00FF54DD" w:rsidRPr="00BF17B0">
        <w:rPr>
          <w:rFonts w:asciiTheme="minorHAnsi" w:hAnsiTheme="minorHAnsi" w:cstheme="minorHAnsi"/>
        </w:rPr>
        <w:t xml:space="preserve">a significant </w:t>
      </w:r>
      <w:r w:rsidR="00DB3E3F" w:rsidRPr="00BF17B0">
        <w:rPr>
          <w:rFonts w:asciiTheme="minorHAnsi" w:hAnsiTheme="minorHAnsi" w:cstheme="minorHAnsi"/>
        </w:rPr>
        <w:t xml:space="preserve">contribution </w:t>
      </w:r>
      <w:r w:rsidR="0067771F" w:rsidRPr="00BF17B0">
        <w:rPr>
          <w:rFonts w:asciiTheme="minorHAnsi" w:hAnsiTheme="minorHAnsi" w:cstheme="minorHAnsi"/>
        </w:rPr>
        <w:t>to</w:t>
      </w:r>
      <w:r w:rsidR="00FF54DD" w:rsidRPr="00BF17B0">
        <w:rPr>
          <w:rFonts w:asciiTheme="minorHAnsi" w:hAnsiTheme="minorHAnsi" w:cstheme="minorHAnsi"/>
        </w:rPr>
        <w:t xml:space="preserve"> </w:t>
      </w:r>
      <w:r w:rsidR="005B4577" w:rsidRPr="00BF17B0">
        <w:rPr>
          <w:rFonts w:asciiTheme="minorHAnsi" w:hAnsiTheme="minorHAnsi" w:cstheme="minorHAnsi"/>
        </w:rPr>
        <w:t>gender equality and women</w:t>
      </w:r>
      <w:r w:rsidR="0067771F" w:rsidRPr="00BF17B0">
        <w:rPr>
          <w:rFonts w:asciiTheme="minorHAnsi" w:hAnsiTheme="minorHAnsi" w:cstheme="minorHAnsi"/>
        </w:rPr>
        <w:t xml:space="preserve"> </w:t>
      </w:r>
      <w:r w:rsidR="005D4569" w:rsidRPr="00BF17B0">
        <w:rPr>
          <w:rFonts w:asciiTheme="minorHAnsi" w:hAnsiTheme="minorHAnsi" w:cstheme="minorHAnsi"/>
        </w:rPr>
        <w:t>empowerment.</w:t>
      </w:r>
      <w:r w:rsidR="005B4577" w:rsidRPr="00BF17B0">
        <w:rPr>
          <w:rFonts w:asciiTheme="minorHAnsi" w:hAnsiTheme="minorHAnsi" w:cstheme="minorHAnsi"/>
        </w:rPr>
        <w:t xml:space="preserve"> The KALAHI</w:t>
      </w:r>
      <w:r w:rsidR="00B77688" w:rsidRPr="00BF17B0">
        <w:rPr>
          <w:rFonts w:asciiTheme="minorHAnsi" w:hAnsiTheme="minorHAnsi" w:cstheme="minorHAnsi"/>
        </w:rPr>
        <w:t>-</w:t>
      </w:r>
      <w:r w:rsidR="00064A1B" w:rsidRPr="00BF17B0">
        <w:rPr>
          <w:rFonts w:asciiTheme="minorHAnsi" w:hAnsiTheme="minorHAnsi" w:cstheme="minorHAnsi"/>
        </w:rPr>
        <w:t xml:space="preserve">CIDSS and NCDDP projects </w:t>
      </w:r>
      <w:r w:rsidR="00A27551" w:rsidRPr="00BF17B0">
        <w:rPr>
          <w:rFonts w:asciiTheme="minorHAnsi" w:hAnsiTheme="minorHAnsi" w:cstheme="minorHAnsi"/>
        </w:rPr>
        <w:t>ha</w:t>
      </w:r>
      <w:r w:rsidR="00A82E4D" w:rsidRPr="00BF17B0">
        <w:rPr>
          <w:rFonts w:asciiTheme="minorHAnsi" w:hAnsiTheme="minorHAnsi" w:cstheme="minorHAnsi"/>
        </w:rPr>
        <w:t>d</w:t>
      </w:r>
      <w:r w:rsidR="005B4577" w:rsidRPr="00BF17B0">
        <w:rPr>
          <w:rFonts w:asciiTheme="minorHAnsi" w:hAnsiTheme="minorHAnsi" w:cstheme="minorHAnsi"/>
        </w:rPr>
        <w:t xml:space="preserve"> </w:t>
      </w:r>
      <w:r w:rsidR="006759FB" w:rsidRPr="00BF17B0">
        <w:rPr>
          <w:rFonts w:asciiTheme="minorHAnsi" w:hAnsiTheme="minorHAnsi" w:cstheme="minorHAnsi"/>
        </w:rPr>
        <w:t>g</w:t>
      </w:r>
      <w:r w:rsidR="005B4577" w:rsidRPr="00BF17B0">
        <w:rPr>
          <w:rFonts w:asciiTheme="minorHAnsi" w:hAnsiTheme="minorHAnsi" w:cstheme="minorHAnsi"/>
        </w:rPr>
        <w:t xml:space="preserve">ender </w:t>
      </w:r>
      <w:r w:rsidR="006759FB" w:rsidRPr="00BF17B0">
        <w:rPr>
          <w:rFonts w:asciiTheme="minorHAnsi" w:hAnsiTheme="minorHAnsi" w:cstheme="minorHAnsi"/>
        </w:rPr>
        <w:t>g</w:t>
      </w:r>
      <w:r w:rsidR="005B4577" w:rsidRPr="00BF17B0">
        <w:rPr>
          <w:rFonts w:asciiTheme="minorHAnsi" w:hAnsiTheme="minorHAnsi" w:cstheme="minorHAnsi"/>
        </w:rPr>
        <w:t xml:space="preserve">uidance </w:t>
      </w:r>
      <w:r w:rsidR="006759FB" w:rsidRPr="00BF17B0">
        <w:rPr>
          <w:rFonts w:asciiTheme="minorHAnsi" w:hAnsiTheme="minorHAnsi" w:cstheme="minorHAnsi"/>
        </w:rPr>
        <w:t>n</w:t>
      </w:r>
      <w:r w:rsidR="005B4577" w:rsidRPr="00BF17B0">
        <w:rPr>
          <w:rFonts w:asciiTheme="minorHAnsi" w:hAnsiTheme="minorHAnsi" w:cstheme="minorHAnsi"/>
        </w:rPr>
        <w:t>otes and significant gender</w:t>
      </w:r>
      <w:r w:rsidR="00A27551" w:rsidRPr="00BF17B0">
        <w:rPr>
          <w:rFonts w:asciiTheme="minorHAnsi" w:hAnsiTheme="minorHAnsi" w:cstheme="minorHAnsi"/>
        </w:rPr>
        <w:t>-</w:t>
      </w:r>
      <w:r w:rsidR="005B4577" w:rsidRPr="00BF17B0">
        <w:rPr>
          <w:rFonts w:asciiTheme="minorHAnsi" w:hAnsiTheme="minorHAnsi" w:cstheme="minorHAnsi"/>
        </w:rPr>
        <w:t>focus</w:t>
      </w:r>
      <w:r w:rsidR="00A27551" w:rsidRPr="00BF17B0">
        <w:rPr>
          <w:rFonts w:asciiTheme="minorHAnsi" w:hAnsiTheme="minorHAnsi" w:cstheme="minorHAnsi"/>
        </w:rPr>
        <w:t xml:space="preserve">ed </w:t>
      </w:r>
      <w:r w:rsidR="005B4577" w:rsidRPr="00BF17B0">
        <w:rPr>
          <w:rFonts w:asciiTheme="minorHAnsi" w:hAnsiTheme="minorHAnsi" w:cstheme="minorHAnsi"/>
        </w:rPr>
        <w:t>activities</w:t>
      </w:r>
      <w:r w:rsidR="00A27551" w:rsidRPr="00BF17B0">
        <w:rPr>
          <w:rFonts w:asciiTheme="minorHAnsi" w:hAnsiTheme="minorHAnsi" w:cstheme="minorHAnsi"/>
        </w:rPr>
        <w:t xml:space="preserve">, </w:t>
      </w:r>
      <w:r w:rsidR="005B4577" w:rsidRPr="00BF17B0">
        <w:rPr>
          <w:rFonts w:asciiTheme="minorHAnsi" w:hAnsiTheme="minorHAnsi" w:cstheme="minorHAnsi"/>
        </w:rPr>
        <w:t xml:space="preserve">sometimes supported through </w:t>
      </w:r>
      <w:r w:rsidR="00064A1B" w:rsidRPr="00BF17B0">
        <w:rPr>
          <w:rFonts w:asciiTheme="minorHAnsi" w:hAnsiTheme="minorHAnsi" w:cstheme="minorHAnsi"/>
        </w:rPr>
        <w:t>PH-</w:t>
      </w:r>
      <w:r w:rsidR="00A53818" w:rsidRPr="00BF17B0">
        <w:rPr>
          <w:rFonts w:asciiTheme="minorHAnsi" w:hAnsiTheme="minorHAnsi" w:cstheme="minorHAnsi"/>
        </w:rPr>
        <w:t>PTF</w:t>
      </w:r>
      <w:r w:rsidR="005B4577" w:rsidRPr="00BF17B0">
        <w:rPr>
          <w:rFonts w:asciiTheme="minorHAnsi" w:hAnsiTheme="minorHAnsi" w:cstheme="minorHAnsi"/>
        </w:rPr>
        <w:t xml:space="preserve"> grants but also assisted by other development partners</w:t>
      </w:r>
      <w:r w:rsidR="00EB211F" w:rsidRPr="00BF17B0">
        <w:rPr>
          <w:rFonts w:asciiTheme="minorHAnsi" w:hAnsiTheme="minorHAnsi" w:cstheme="minorHAnsi"/>
        </w:rPr>
        <w:t xml:space="preserve">. </w:t>
      </w:r>
      <w:r w:rsidR="005B4577" w:rsidRPr="00BF17B0">
        <w:rPr>
          <w:rFonts w:asciiTheme="minorHAnsi" w:hAnsiTheme="minorHAnsi" w:cstheme="minorHAnsi"/>
        </w:rPr>
        <w:t xml:space="preserve">Other major grants with specific gender components included </w:t>
      </w:r>
      <w:r w:rsidR="00C67BFA" w:rsidRPr="00BF17B0">
        <w:rPr>
          <w:rFonts w:asciiTheme="minorHAnsi" w:hAnsiTheme="minorHAnsi" w:cstheme="minorHAnsi"/>
        </w:rPr>
        <w:t>the Program for Good Governance</w:t>
      </w:r>
      <w:r w:rsidR="006C7188" w:rsidRPr="00BF17B0">
        <w:rPr>
          <w:rFonts w:asciiTheme="minorHAnsi" w:hAnsiTheme="minorHAnsi" w:cstheme="minorHAnsi"/>
        </w:rPr>
        <w:t xml:space="preserve">, </w:t>
      </w:r>
      <w:r w:rsidR="005B4577" w:rsidRPr="00BF17B0">
        <w:rPr>
          <w:rFonts w:asciiTheme="minorHAnsi" w:hAnsiTheme="minorHAnsi" w:cstheme="minorHAnsi"/>
        </w:rPr>
        <w:t xml:space="preserve">Game Changers, </w:t>
      </w:r>
      <w:r w:rsidR="006C7188" w:rsidRPr="00BF17B0">
        <w:rPr>
          <w:rFonts w:asciiTheme="minorHAnsi" w:hAnsiTheme="minorHAnsi" w:cstheme="minorHAnsi"/>
        </w:rPr>
        <w:t xml:space="preserve">Mindanao Rural Development Project </w:t>
      </w:r>
      <w:r w:rsidR="0061597D" w:rsidRPr="00BF17B0">
        <w:rPr>
          <w:rFonts w:asciiTheme="minorHAnsi" w:hAnsiTheme="minorHAnsi" w:cstheme="minorHAnsi"/>
        </w:rPr>
        <w:t>Phase II</w:t>
      </w:r>
      <w:r w:rsidR="006C7188" w:rsidRPr="00BF17B0">
        <w:rPr>
          <w:rFonts w:asciiTheme="minorHAnsi" w:hAnsiTheme="minorHAnsi" w:cstheme="minorHAnsi"/>
        </w:rPr>
        <w:t>,</w:t>
      </w:r>
      <w:r w:rsidR="005B4577" w:rsidRPr="00BF17B0">
        <w:rPr>
          <w:rFonts w:asciiTheme="minorHAnsi" w:hAnsiTheme="minorHAnsi" w:cstheme="minorHAnsi"/>
        </w:rPr>
        <w:t xml:space="preserve"> and the </w:t>
      </w:r>
      <w:r w:rsidR="006759FB" w:rsidRPr="00BF17B0">
        <w:rPr>
          <w:rFonts w:asciiTheme="minorHAnsi" w:hAnsiTheme="minorHAnsi" w:cstheme="minorHAnsi"/>
        </w:rPr>
        <w:t>grants related to c</w:t>
      </w:r>
      <w:r w:rsidR="00C91B0F" w:rsidRPr="00BF17B0">
        <w:rPr>
          <w:rFonts w:asciiTheme="minorHAnsi" w:hAnsiTheme="minorHAnsi" w:cstheme="minorHAnsi"/>
        </w:rPr>
        <w:t xml:space="preserve">onditional </w:t>
      </w:r>
      <w:r w:rsidR="006759FB" w:rsidRPr="00BF17B0">
        <w:rPr>
          <w:rFonts w:asciiTheme="minorHAnsi" w:hAnsiTheme="minorHAnsi" w:cstheme="minorHAnsi"/>
        </w:rPr>
        <w:t>c</w:t>
      </w:r>
      <w:r w:rsidR="00C91B0F" w:rsidRPr="00BF17B0">
        <w:rPr>
          <w:rFonts w:asciiTheme="minorHAnsi" w:hAnsiTheme="minorHAnsi" w:cstheme="minorHAnsi"/>
        </w:rPr>
        <w:t xml:space="preserve">ash </w:t>
      </w:r>
      <w:r w:rsidR="006759FB" w:rsidRPr="00BF17B0">
        <w:rPr>
          <w:rFonts w:asciiTheme="minorHAnsi" w:hAnsiTheme="minorHAnsi" w:cstheme="minorHAnsi"/>
        </w:rPr>
        <w:t>t</w:t>
      </w:r>
      <w:r w:rsidR="00C91B0F" w:rsidRPr="00BF17B0">
        <w:rPr>
          <w:rFonts w:asciiTheme="minorHAnsi" w:hAnsiTheme="minorHAnsi" w:cstheme="minorHAnsi"/>
        </w:rPr>
        <w:t>ransfer</w:t>
      </w:r>
      <w:r w:rsidR="006759FB" w:rsidRPr="00BF17B0">
        <w:rPr>
          <w:rFonts w:asciiTheme="minorHAnsi" w:hAnsiTheme="minorHAnsi" w:cstheme="minorHAnsi"/>
        </w:rPr>
        <w:t>s</w:t>
      </w:r>
      <w:r w:rsidR="00C91B0F" w:rsidRPr="00BF17B0">
        <w:rPr>
          <w:rFonts w:asciiTheme="minorHAnsi" w:hAnsiTheme="minorHAnsi" w:cstheme="minorHAnsi"/>
        </w:rPr>
        <w:t>,</w:t>
      </w:r>
      <w:r w:rsidR="00A82E4D" w:rsidRPr="00BF17B0">
        <w:rPr>
          <w:rFonts w:asciiTheme="minorHAnsi" w:hAnsiTheme="minorHAnsi" w:cstheme="minorHAnsi"/>
        </w:rPr>
        <w:t xml:space="preserve"> with the </w:t>
      </w:r>
      <w:r w:rsidR="0077623F" w:rsidRPr="00BF17B0">
        <w:rPr>
          <w:rFonts w:asciiTheme="minorHAnsi" w:hAnsiTheme="minorHAnsi" w:cstheme="minorHAnsi"/>
        </w:rPr>
        <w:t xml:space="preserve">last focusing </w:t>
      </w:r>
      <w:r w:rsidR="0067771F" w:rsidRPr="00BF17B0">
        <w:rPr>
          <w:rFonts w:asciiTheme="minorHAnsi" w:hAnsiTheme="minorHAnsi" w:cstheme="minorHAnsi"/>
        </w:rPr>
        <w:t>on</w:t>
      </w:r>
      <w:r w:rsidR="005B4577" w:rsidRPr="00BF17B0">
        <w:rPr>
          <w:rFonts w:asciiTheme="minorHAnsi" w:hAnsiTheme="minorHAnsi" w:cstheme="minorHAnsi"/>
        </w:rPr>
        <w:t xml:space="preserve"> women</w:t>
      </w:r>
      <w:r w:rsidR="0067771F" w:rsidRPr="00BF17B0">
        <w:rPr>
          <w:rFonts w:asciiTheme="minorHAnsi" w:hAnsiTheme="minorHAnsi" w:cstheme="minorHAnsi"/>
        </w:rPr>
        <w:t xml:space="preserve"> </w:t>
      </w:r>
      <w:r w:rsidR="005B4577" w:rsidRPr="00BF17B0">
        <w:rPr>
          <w:rFonts w:asciiTheme="minorHAnsi" w:hAnsiTheme="minorHAnsi" w:cstheme="minorHAnsi"/>
        </w:rPr>
        <w:t>empowerment and maternal health</w:t>
      </w:r>
      <w:r w:rsidR="00EB211F" w:rsidRPr="00BF17B0">
        <w:rPr>
          <w:rFonts w:asciiTheme="minorHAnsi" w:hAnsiTheme="minorHAnsi" w:cstheme="minorHAnsi"/>
        </w:rPr>
        <w:t xml:space="preserve">. </w:t>
      </w:r>
      <w:r w:rsidR="005D4569" w:rsidRPr="00BF17B0">
        <w:rPr>
          <w:rFonts w:asciiTheme="minorHAnsi" w:hAnsiTheme="minorHAnsi" w:cstheme="minorHAnsi"/>
        </w:rPr>
        <w:t>Cash recipients were usually mothers</w:t>
      </w:r>
      <w:r w:rsidR="00EB211F" w:rsidRPr="00BF17B0">
        <w:rPr>
          <w:rFonts w:asciiTheme="minorHAnsi" w:hAnsiTheme="minorHAnsi" w:cstheme="minorHAnsi"/>
        </w:rPr>
        <w:t xml:space="preserve">. </w:t>
      </w:r>
      <w:r w:rsidR="005D4569" w:rsidRPr="00BF17B0">
        <w:rPr>
          <w:rFonts w:asciiTheme="minorHAnsi" w:hAnsiTheme="minorHAnsi" w:cstheme="minorHAnsi"/>
        </w:rPr>
        <w:t xml:space="preserve">They participated in monthly </w:t>
      </w:r>
      <w:r w:rsidR="00C91B0F" w:rsidRPr="00BF17B0">
        <w:rPr>
          <w:rFonts w:asciiTheme="minorHAnsi" w:hAnsiTheme="minorHAnsi" w:cstheme="minorHAnsi"/>
        </w:rPr>
        <w:t>f</w:t>
      </w:r>
      <w:r w:rsidR="005D4569" w:rsidRPr="00BF17B0">
        <w:rPr>
          <w:rFonts w:asciiTheme="minorHAnsi" w:hAnsiTheme="minorHAnsi" w:cstheme="minorHAnsi"/>
        </w:rPr>
        <w:t xml:space="preserve">amily </w:t>
      </w:r>
      <w:r w:rsidR="00C91B0F" w:rsidRPr="00BF17B0">
        <w:rPr>
          <w:rFonts w:asciiTheme="minorHAnsi" w:hAnsiTheme="minorHAnsi" w:cstheme="minorHAnsi"/>
        </w:rPr>
        <w:t>d</w:t>
      </w:r>
      <w:r w:rsidR="005D4569" w:rsidRPr="00BF17B0">
        <w:rPr>
          <w:rFonts w:asciiTheme="minorHAnsi" w:hAnsiTheme="minorHAnsi" w:cstheme="minorHAnsi"/>
        </w:rPr>
        <w:t xml:space="preserve">evelopment </w:t>
      </w:r>
      <w:r w:rsidR="00C91B0F" w:rsidRPr="00BF17B0">
        <w:rPr>
          <w:rFonts w:asciiTheme="minorHAnsi" w:hAnsiTheme="minorHAnsi" w:cstheme="minorHAnsi"/>
        </w:rPr>
        <w:t>s</w:t>
      </w:r>
      <w:r w:rsidR="005D4569" w:rsidRPr="00BF17B0">
        <w:rPr>
          <w:rFonts w:asciiTheme="minorHAnsi" w:hAnsiTheme="minorHAnsi" w:cstheme="minorHAnsi"/>
        </w:rPr>
        <w:t xml:space="preserve">essions, usually run by </w:t>
      </w:r>
      <w:r w:rsidR="00332D5C" w:rsidRPr="00BF17B0">
        <w:rPr>
          <w:rFonts w:asciiTheme="minorHAnsi" w:hAnsiTheme="minorHAnsi" w:cstheme="minorHAnsi"/>
        </w:rPr>
        <w:t>n</w:t>
      </w:r>
      <w:r w:rsidRPr="00BF17B0">
        <w:rPr>
          <w:rFonts w:asciiTheme="minorHAnsi" w:hAnsiTheme="minorHAnsi" w:cstheme="minorHAnsi"/>
        </w:rPr>
        <w:t>on</w:t>
      </w:r>
      <w:r w:rsidR="00332D5C" w:rsidRPr="00BF17B0">
        <w:rPr>
          <w:rFonts w:asciiTheme="minorHAnsi" w:hAnsiTheme="minorHAnsi" w:cstheme="minorHAnsi"/>
        </w:rPr>
        <w:t>g</w:t>
      </w:r>
      <w:r w:rsidRPr="00BF17B0">
        <w:rPr>
          <w:rFonts w:asciiTheme="minorHAnsi" w:hAnsiTheme="minorHAnsi" w:cstheme="minorHAnsi"/>
        </w:rPr>
        <w:t>overnment</w:t>
      </w:r>
      <w:r w:rsidR="00C67BFA" w:rsidRPr="00BF17B0">
        <w:rPr>
          <w:rFonts w:asciiTheme="minorHAnsi" w:hAnsiTheme="minorHAnsi" w:cstheme="minorHAnsi"/>
        </w:rPr>
        <w:t xml:space="preserve"> </w:t>
      </w:r>
      <w:r w:rsidR="00130807" w:rsidRPr="00BF17B0">
        <w:rPr>
          <w:rFonts w:asciiTheme="minorHAnsi" w:hAnsiTheme="minorHAnsi" w:cstheme="minorHAnsi"/>
        </w:rPr>
        <w:t>organizations</w:t>
      </w:r>
      <w:r w:rsidR="00C67BFA" w:rsidRPr="00BF17B0">
        <w:rPr>
          <w:rFonts w:asciiTheme="minorHAnsi" w:hAnsiTheme="minorHAnsi" w:cstheme="minorHAnsi"/>
        </w:rPr>
        <w:t xml:space="preserve"> </w:t>
      </w:r>
      <w:r w:rsidR="005D4569" w:rsidRPr="00BF17B0">
        <w:rPr>
          <w:rFonts w:asciiTheme="minorHAnsi" w:hAnsiTheme="minorHAnsi" w:cstheme="minorHAnsi"/>
        </w:rPr>
        <w:t>or volunteers</w:t>
      </w:r>
      <w:r w:rsidR="00EB211F" w:rsidRPr="00BF17B0">
        <w:rPr>
          <w:rFonts w:asciiTheme="minorHAnsi" w:hAnsiTheme="minorHAnsi" w:cstheme="minorHAnsi"/>
        </w:rPr>
        <w:t xml:space="preserve">. </w:t>
      </w:r>
      <w:r w:rsidR="005D4569" w:rsidRPr="00BF17B0">
        <w:rPr>
          <w:rFonts w:asciiTheme="minorHAnsi" w:hAnsiTheme="minorHAnsi" w:cstheme="minorHAnsi"/>
        </w:rPr>
        <w:t>The parent leader groups established under the program usually elected women as their representatives</w:t>
      </w:r>
      <w:r w:rsidR="00EB211F" w:rsidRPr="00BF17B0">
        <w:rPr>
          <w:rFonts w:asciiTheme="minorHAnsi" w:hAnsiTheme="minorHAnsi" w:cstheme="minorHAnsi"/>
        </w:rPr>
        <w:t xml:space="preserve">. </w:t>
      </w:r>
      <w:r w:rsidR="005D4569" w:rsidRPr="00BF17B0">
        <w:rPr>
          <w:rFonts w:asciiTheme="minorHAnsi" w:hAnsiTheme="minorHAnsi" w:cstheme="minorHAnsi"/>
        </w:rPr>
        <w:t xml:space="preserve">Some of the female beneficiaries of the program subsequently ran for </w:t>
      </w:r>
      <w:r w:rsidR="00006957" w:rsidRPr="00BF17B0">
        <w:rPr>
          <w:rFonts w:asciiTheme="minorHAnsi" w:hAnsiTheme="minorHAnsi" w:cstheme="minorHAnsi"/>
        </w:rPr>
        <w:t xml:space="preserve">public office in barangay or village-level </w:t>
      </w:r>
      <w:r w:rsidR="005D4569" w:rsidRPr="00BF17B0">
        <w:rPr>
          <w:rFonts w:asciiTheme="minorHAnsi" w:hAnsiTheme="minorHAnsi" w:cstheme="minorHAnsi"/>
        </w:rPr>
        <w:t>election</w:t>
      </w:r>
      <w:r w:rsidR="00E44CA6" w:rsidRPr="00BF17B0">
        <w:rPr>
          <w:rFonts w:asciiTheme="minorHAnsi" w:hAnsiTheme="minorHAnsi" w:cstheme="minorHAnsi"/>
        </w:rPr>
        <w:t>s</w:t>
      </w:r>
      <w:r w:rsidR="00EB211F" w:rsidRPr="00BF17B0">
        <w:rPr>
          <w:rFonts w:asciiTheme="minorHAnsi" w:hAnsiTheme="minorHAnsi" w:cstheme="minorHAnsi"/>
        </w:rPr>
        <w:t xml:space="preserve">. </w:t>
      </w:r>
    </w:p>
    <w:p w14:paraId="22D6D50C" w14:textId="77777777" w:rsidR="009469C2" w:rsidRPr="00BF17B0" w:rsidRDefault="009469C2" w:rsidP="009469C2">
      <w:pPr>
        <w:rPr>
          <w:rFonts w:asciiTheme="minorHAnsi" w:hAnsiTheme="minorHAnsi" w:cstheme="minorHAnsi"/>
        </w:rPr>
      </w:pPr>
    </w:p>
    <w:p w14:paraId="26B7F8E4" w14:textId="77777777" w:rsidR="005B4577" w:rsidRPr="00BF17B0" w:rsidRDefault="005D4569" w:rsidP="009C79EB">
      <w:pPr>
        <w:pStyle w:val="Heading3"/>
      </w:pPr>
      <w:r w:rsidRPr="00BF17B0">
        <w:t>Disability</w:t>
      </w:r>
    </w:p>
    <w:p w14:paraId="7AD3F9E6" w14:textId="77777777" w:rsidR="00255177" w:rsidRPr="00BF17B0" w:rsidRDefault="005D4569" w:rsidP="005D4569">
      <w:pPr>
        <w:rPr>
          <w:rFonts w:asciiTheme="minorHAnsi" w:hAnsiTheme="minorHAnsi" w:cstheme="minorHAnsi"/>
        </w:rPr>
      </w:pPr>
      <w:r w:rsidRPr="00BF17B0">
        <w:rPr>
          <w:rFonts w:asciiTheme="minorHAnsi" w:hAnsiTheme="minorHAnsi" w:cstheme="minorHAnsi"/>
        </w:rPr>
        <w:t>Only two of the grants reviewed in detail had activities related to disability</w:t>
      </w:r>
      <w:r w:rsidR="00EB211F" w:rsidRPr="00BF17B0">
        <w:rPr>
          <w:rFonts w:asciiTheme="minorHAnsi" w:hAnsiTheme="minorHAnsi" w:cstheme="minorHAnsi"/>
        </w:rPr>
        <w:t>.</w:t>
      </w:r>
      <w:r w:rsidR="00006957" w:rsidRPr="00BF17B0">
        <w:rPr>
          <w:rFonts w:asciiTheme="minorHAnsi" w:hAnsiTheme="minorHAnsi" w:cstheme="minorHAnsi"/>
        </w:rPr>
        <w:t xml:space="preserve"> </w:t>
      </w:r>
      <w:r w:rsidRPr="00BF17B0">
        <w:rPr>
          <w:rFonts w:asciiTheme="minorHAnsi" w:hAnsiTheme="minorHAnsi" w:cstheme="minorHAnsi"/>
        </w:rPr>
        <w:t xml:space="preserve">The </w:t>
      </w:r>
      <w:r w:rsidR="00006957" w:rsidRPr="00BF17B0">
        <w:rPr>
          <w:rFonts w:asciiTheme="minorHAnsi" w:hAnsiTheme="minorHAnsi" w:cstheme="minorHAnsi"/>
        </w:rPr>
        <w:t xml:space="preserve">schools designed under </w:t>
      </w:r>
      <w:r w:rsidRPr="00BF17B0">
        <w:rPr>
          <w:rFonts w:asciiTheme="minorHAnsi" w:hAnsiTheme="minorHAnsi" w:cstheme="minorHAnsi"/>
        </w:rPr>
        <w:t xml:space="preserve">KALAHI-CIDSS included access </w:t>
      </w:r>
      <w:r w:rsidR="00006957" w:rsidRPr="00BF17B0">
        <w:rPr>
          <w:rFonts w:asciiTheme="minorHAnsi" w:hAnsiTheme="minorHAnsi" w:cstheme="minorHAnsi"/>
        </w:rPr>
        <w:t xml:space="preserve">facilities </w:t>
      </w:r>
      <w:r w:rsidRPr="00BF17B0">
        <w:rPr>
          <w:rFonts w:asciiTheme="minorHAnsi" w:hAnsiTheme="minorHAnsi" w:cstheme="minorHAnsi"/>
        </w:rPr>
        <w:t>for children</w:t>
      </w:r>
      <w:r w:rsidR="00006957" w:rsidRPr="00BF17B0">
        <w:rPr>
          <w:rFonts w:asciiTheme="minorHAnsi" w:hAnsiTheme="minorHAnsi" w:cstheme="minorHAnsi"/>
        </w:rPr>
        <w:t xml:space="preserve"> with disabilities</w:t>
      </w:r>
      <w:r w:rsidR="00EB211F" w:rsidRPr="00BF17B0">
        <w:rPr>
          <w:rFonts w:asciiTheme="minorHAnsi" w:hAnsiTheme="minorHAnsi" w:cstheme="minorHAnsi"/>
        </w:rPr>
        <w:t xml:space="preserve">. </w:t>
      </w:r>
      <w:r w:rsidRPr="00BF17B0">
        <w:rPr>
          <w:rFonts w:asciiTheme="minorHAnsi" w:hAnsiTheme="minorHAnsi" w:cstheme="minorHAnsi"/>
        </w:rPr>
        <w:t xml:space="preserve">This was not a feature of standard </w:t>
      </w:r>
      <w:r w:rsidR="00E25B1C" w:rsidRPr="00BF17B0">
        <w:rPr>
          <w:rFonts w:asciiTheme="minorHAnsi" w:hAnsiTheme="minorHAnsi" w:cstheme="minorHAnsi"/>
        </w:rPr>
        <w:t xml:space="preserve">school designs of the </w:t>
      </w:r>
      <w:r w:rsidRPr="00BF17B0">
        <w:rPr>
          <w:rFonts w:asciiTheme="minorHAnsi" w:hAnsiTheme="minorHAnsi" w:cstheme="minorHAnsi"/>
        </w:rPr>
        <w:t>Department of Education</w:t>
      </w:r>
      <w:r w:rsidR="006C6DA2" w:rsidRPr="00BF17B0">
        <w:rPr>
          <w:rFonts w:asciiTheme="minorHAnsi" w:hAnsiTheme="minorHAnsi" w:cstheme="minorHAnsi"/>
        </w:rPr>
        <w:t>,</w:t>
      </w:r>
      <w:r w:rsidRPr="00BF17B0">
        <w:rPr>
          <w:rFonts w:asciiTheme="minorHAnsi" w:hAnsiTheme="minorHAnsi" w:cstheme="minorHAnsi"/>
        </w:rPr>
        <w:t xml:space="preserve"> </w:t>
      </w:r>
      <w:r w:rsidR="00255177" w:rsidRPr="00BF17B0">
        <w:rPr>
          <w:rFonts w:asciiTheme="minorHAnsi" w:hAnsiTheme="minorHAnsi" w:cstheme="minorHAnsi"/>
        </w:rPr>
        <w:t>but</w:t>
      </w:r>
      <w:r w:rsidRPr="00BF17B0">
        <w:rPr>
          <w:rFonts w:asciiTheme="minorHAnsi" w:hAnsiTheme="minorHAnsi" w:cstheme="minorHAnsi"/>
        </w:rPr>
        <w:t xml:space="preserve"> </w:t>
      </w:r>
      <w:r w:rsidR="00E25B1C" w:rsidRPr="00BF17B0">
        <w:rPr>
          <w:rFonts w:asciiTheme="minorHAnsi" w:hAnsiTheme="minorHAnsi" w:cstheme="minorHAnsi"/>
        </w:rPr>
        <w:t xml:space="preserve">it </w:t>
      </w:r>
      <w:r w:rsidRPr="00BF17B0">
        <w:rPr>
          <w:rFonts w:asciiTheme="minorHAnsi" w:hAnsiTheme="minorHAnsi" w:cstheme="minorHAnsi"/>
        </w:rPr>
        <w:t xml:space="preserve">was subsequently adopted by </w:t>
      </w:r>
      <w:r w:rsidR="006C6DA2" w:rsidRPr="00BF17B0">
        <w:rPr>
          <w:rFonts w:asciiTheme="minorHAnsi" w:hAnsiTheme="minorHAnsi" w:cstheme="minorHAnsi"/>
        </w:rPr>
        <w:t>the department</w:t>
      </w:r>
      <w:r w:rsidR="00EB211F" w:rsidRPr="00BF17B0">
        <w:rPr>
          <w:rFonts w:asciiTheme="minorHAnsi" w:hAnsiTheme="minorHAnsi" w:cstheme="minorHAnsi"/>
        </w:rPr>
        <w:t xml:space="preserve">. </w:t>
      </w:r>
      <w:r w:rsidR="00ED0AA0" w:rsidRPr="00BF17B0">
        <w:rPr>
          <w:rFonts w:asciiTheme="minorHAnsi" w:hAnsiTheme="minorHAnsi" w:cstheme="minorHAnsi"/>
        </w:rPr>
        <w:t xml:space="preserve">Meanwhile, </w:t>
      </w:r>
      <w:r w:rsidR="0097483A" w:rsidRPr="00BF17B0">
        <w:rPr>
          <w:rFonts w:asciiTheme="minorHAnsi" w:hAnsiTheme="minorHAnsi" w:cstheme="minorHAnsi"/>
        </w:rPr>
        <w:t xml:space="preserve">if </w:t>
      </w:r>
      <w:r w:rsidR="003F2967" w:rsidRPr="00BF17B0">
        <w:rPr>
          <w:rFonts w:asciiTheme="minorHAnsi" w:hAnsiTheme="minorHAnsi" w:cstheme="minorHAnsi"/>
        </w:rPr>
        <w:t xml:space="preserve">the </w:t>
      </w:r>
      <w:r w:rsidRPr="00BF17B0">
        <w:rPr>
          <w:rFonts w:asciiTheme="minorHAnsi" w:hAnsiTheme="minorHAnsi" w:cstheme="minorHAnsi"/>
        </w:rPr>
        <w:t>I</w:t>
      </w:r>
      <w:r w:rsidR="00C67BFA" w:rsidRPr="00BF17B0">
        <w:rPr>
          <w:rFonts w:asciiTheme="minorHAnsi" w:hAnsiTheme="minorHAnsi" w:cstheme="minorHAnsi"/>
        </w:rPr>
        <w:t xml:space="preserve">nternational </w:t>
      </w:r>
      <w:r w:rsidRPr="00BF17B0">
        <w:rPr>
          <w:rFonts w:asciiTheme="minorHAnsi" w:hAnsiTheme="minorHAnsi" w:cstheme="minorHAnsi"/>
        </w:rPr>
        <w:t>R</w:t>
      </w:r>
      <w:r w:rsidR="00C67BFA" w:rsidRPr="00BF17B0">
        <w:rPr>
          <w:rFonts w:asciiTheme="minorHAnsi" w:hAnsiTheme="minorHAnsi" w:cstheme="minorHAnsi"/>
        </w:rPr>
        <w:t xml:space="preserve">oad </w:t>
      </w:r>
      <w:r w:rsidRPr="00BF17B0">
        <w:rPr>
          <w:rFonts w:asciiTheme="minorHAnsi" w:hAnsiTheme="minorHAnsi" w:cstheme="minorHAnsi"/>
        </w:rPr>
        <w:t>A</w:t>
      </w:r>
      <w:r w:rsidR="00C67BFA" w:rsidRPr="00BF17B0">
        <w:rPr>
          <w:rFonts w:asciiTheme="minorHAnsi" w:hAnsiTheme="minorHAnsi" w:cstheme="minorHAnsi"/>
        </w:rPr>
        <w:t xml:space="preserve">ssessment </w:t>
      </w:r>
      <w:r w:rsidRPr="00BF17B0">
        <w:rPr>
          <w:rFonts w:asciiTheme="minorHAnsi" w:hAnsiTheme="minorHAnsi" w:cstheme="minorHAnsi"/>
        </w:rPr>
        <w:t>P</w:t>
      </w:r>
      <w:r w:rsidR="00C67BFA" w:rsidRPr="00BF17B0">
        <w:rPr>
          <w:rFonts w:asciiTheme="minorHAnsi" w:hAnsiTheme="minorHAnsi" w:cstheme="minorHAnsi"/>
        </w:rPr>
        <w:t xml:space="preserve">rogram </w:t>
      </w:r>
      <w:r w:rsidR="003F2967" w:rsidRPr="00BF17B0">
        <w:rPr>
          <w:rFonts w:asciiTheme="minorHAnsi" w:hAnsiTheme="minorHAnsi" w:cstheme="minorHAnsi"/>
        </w:rPr>
        <w:t xml:space="preserve">of </w:t>
      </w:r>
      <w:r w:rsidR="005A1DEC" w:rsidRPr="00BF17B0">
        <w:rPr>
          <w:rFonts w:asciiTheme="minorHAnsi" w:hAnsiTheme="minorHAnsi" w:cstheme="minorHAnsi"/>
        </w:rPr>
        <w:t>the Department of Public Works and Highways</w:t>
      </w:r>
      <w:r w:rsidR="00537FA0" w:rsidRPr="00BF17B0">
        <w:rPr>
          <w:rFonts w:asciiTheme="minorHAnsi" w:hAnsiTheme="minorHAnsi" w:cstheme="minorHAnsi"/>
        </w:rPr>
        <w:t xml:space="preserve"> </w:t>
      </w:r>
      <w:r w:rsidR="0097483A" w:rsidRPr="00BF17B0">
        <w:rPr>
          <w:rFonts w:asciiTheme="minorHAnsi" w:hAnsiTheme="minorHAnsi" w:cstheme="minorHAnsi"/>
        </w:rPr>
        <w:t xml:space="preserve">is adopted, persons with disabilities </w:t>
      </w:r>
      <w:r w:rsidR="00537FA0" w:rsidRPr="00BF17B0">
        <w:rPr>
          <w:rFonts w:asciiTheme="minorHAnsi" w:hAnsiTheme="minorHAnsi" w:cstheme="minorHAnsi"/>
        </w:rPr>
        <w:t xml:space="preserve">will </w:t>
      </w:r>
      <w:r w:rsidR="0097483A" w:rsidRPr="00BF17B0">
        <w:rPr>
          <w:rFonts w:asciiTheme="minorHAnsi" w:hAnsiTheme="minorHAnsi" w:cstheme="minorHAnsi"/>
        </w:rPr>
        <w:t xml:space="preserve">benefit from the proposed </w:t>
      </w:r>
      <w:r w:rsidRPr="00BF17B0">
        <w:rPr>
          <w:rFonts w:asciiTheme="minorHAnsi" w:hAnsiTheme="minorHAnsi" w:cstheme="minorHAnsi"/>
        </w:rPr>
        <w:t>road safety provisions</w:t>
      </w:r>
      <w:r w:rsidR="00537FA0" w:rsidRPr="00BF17B0">
        <w:rPr>
          <w:rFonts w:asciiTheme="minorHAnsi" w:hAnsiTheme="minorHAnsi" w:cstheme="minorHAnsi"/>
        </w:rPr>
        <w:t xml:space="preserve"> </w:t>
      </w:r>
      <w:r w:rsidRPr="00BF17B0">
        <w:rPr>
          <w:rFonts w:asciiTheme="minorHAnsi" w:hAnsiTheme="minorHAnsi" w:cstheme="minorHAnsi"/>
        </w:rPr>
        <w:t>in road design standards</w:t>
      </w:r>
      <w:r w:rsidR="009F41E0" w:rsidRPr="00BF17B0">
        <w:rPr>
          <w:rFonts w:asciiTheme="minorHAnsi" w:hAnsiTheme="minorHAnsi" w:cstheme="minorHAnsi"/>
        </w:rPr>
        <w:t>.</w:t>
      </w:r>
    </w:p>
    <w:p w14:paraId="3126D9CD" w14:textId="77777777" w:rsidR="009469C2" w:rsidRPr="00BF17B0" w:rsidRDefault="009469C2" w:rsidP="009469C2">
      <w:pPr>
        <w:rPr>
          <w:rFonts w:asciiTheme="minorHAnsi" w:hAnsiTheme="minorHAnsi" w:cstheme="minorHAnsi"/>
        </w:rPr>
      </w:pPr>
    </w:p>
    <w:p w14:paraId="3A7E6105" w14:textId="77777777" w:rsidR="005D4569" w:rsidRPr="00BF17B0" w:rsidRDefault="005D4569" w:rsidP="009C79EB">
      <w:pPr>
        <w:pStyle w:val="Heading3"/>
      </w:pPr>
      <w:r w:rsidRPr="00BF17B0">
        <w:t>Indigenous Peoples</w:t>
      </w:r>
    </w:p>
    <w:p w14:paraId="1D5CC49A" w14:textId="36BA4B82" w:rsidR="005D4569" w:rsidRPr="00BF17B0" w:rsidRDefault="005D4569" w:rsidP="005D4569">
      <w:pPr>
        <w:rPr>
          <w:rFonts w:asciiTheme="minorHAnsi" w:hAnsiTheme="minorHAnsi" w:cstheme="minorHAnsi"/>
        </w:rPr>
      </w:pPr>
      <w:r w:rsidRPr="00BF17B0">
        <w:rPr>
          <w:rFonts w:asciiTheme="minorHAnsi" w:hAnsiTheme="minorHAnsi" w:cstheme="minorHAnsi"/>
        </w:rPr>
        <w:t xml:space="preserve">Although </w:t>
      </w:r>
      <w:r w:rsidR="008B334C" w:rsidRPr="00BF17B0">
        <w:rPr>
          <w:rFonts w:asciiTheme="minorHAnsi" w:hAnsiTheme="minorHAnsi" w:cstheme="minorHAnsi"/>
        </w:rPr>
        <w:t xml:space="preserve">the </w:t>
      </w:r>
      <w:r w:rsidR="00582D8E">
        <w:rPr>
          <w:rFonts w:asciiTheme="minorHAnsi" w:hAnsiTheme="minorHAnsi" w:cstheme="minorHAnsi"/>
        </w:rPr>
        <w:t>PH-</w:t>
      </w:r>
      <w:r w:rsidR="00A53818" w:rsidRPr="00BF17B0">
        <w:rPr>
          <w:rFonts w:asciiTheme="minorHAnsi" w:hAnsiTheme="minorHAnsi" w:cstheme="minorHAnsi"/>
        </w:rPr>
        <w:t>PTF</w:t>
      </w:r>
      <w:r w:rsidR="008B334C" w:rsidRPr="00BF17B0">
        <w:rPr>
          <w:rFonts w:asciiTheme="minorHAnsi" w:hAnsiTheme="minorHAnsi" w:cstheme="minorHAnsi"/>
        </w:rPr>
        <w:t xml:space="preserve"> </w:t>
      </w:r>
      <w:r w:rsidR="006C6DA2" w:rsidRPr="00BF17B0">
        <w:rPr>
          <w:rFonts w:asciiTheme="minorHAnsi" w:hAnsiTheme="minorHAnsi" w:cstheme="minorHAnsi"/>
        </w:rPr>
        <w:t xml:space="preserve">did </w:t>
      </w:r>
      <w:r w:rsidR="008B334C" w:rsidRPr="00BF17B0">
        <w:rPr>
          <w:rFonts w:asciiTheme="minorHAnsi" w:hAnsiTheme="minorHAnsi" w:cstheme="minorHAnsi"/>
        </w:rPr>
        <w:t xml:space="preserve">not focus specifically on </w:t>
      </w:r>
      <w:r w:rsidR="005705E5" w:rsidRPr="00BF17B0">
        <w:rPr>
          <w:rFonts w:asciiTheme="minorHAnsi" w:hAnsiTheme="minorHAnsi" w:cstheme="minorHAnsi"/>
        </w:rPr>
        <w:t>indigenous peoples</w:t>
      </w:r>
      <w:r w:rsidR="008B334C" w:rsidRPr="00BF17B0">
        <w:rPr>
          <w:rFonts w:asciiTheme="minorHAnsi" w:hAnsiTheme="minorHAnsi" w:cstheme="minorHAnsi"/>
        </w:rPr>
        <w:t xml:space="preserve">, </w:t>
      </w:r>
      <w:r w:rsidRPr="00BF17B0">
        <w:rPr>
          <w:rFonts w:asciiTheme="minorHAnsi" w:hAnsiTheme="minorHAnsi" w:cstheme="minorHAnsi"/>
        </w:rPr>
        <w:t xml:space="preserve">in practice </w:t>
      </w:r>
      <w:r w:rsidR="008B334C" w:rsidRPr="00BF17B0">
        <w:rPr>
          <w:rFonts w:asciiTheme="minorHAnsi" w:hAnsiTheme="minorHAnsi" w:cstheme="minorHAnsi"/>
        </w:rPr>
        <w:t xml:space="preserve">their </w:t>
      </w:r>
      <w:r w:rsidRPr="00BF17B0">
        <w:rPr>
          <w:rFonts w:asciiTheme="minorHAnsi" w:hAnsiTheme="minorHAnsi" w:cstheme="minorHAnsi"/>
        </w:rPr>
        <w:t xml:space="preserve">issues </w:t>
      </w:r>
      <w:r w:rsidR="006C6DA2" w:rsidRPr="00BF17B0">
        <w:rPr>
          <w:rFonts w:asciiTheme="minorHAnsi" w:hAnsiTheme="minorHAnsi" w:cstheme="minorHAnsi"/>
        </w:rPr>
        <w:t>were</w:t>
      </w:r>
      <w:r w:rsidRPr="00BF17B0">
        <w:rPr>
          <w:rFonts w:asciiTheme="minorHAnsi" w:hAnsiTheme="minorHAnsi" w:cstheme="minorHAnsi"/>
        </w:rPr>
        <w:t xml:space="preserve"> addressed, particularly in Mindanao</w:t>
      </w:r>
      <w:r w:rsidR="00EB211F" w:rsidRPr="00BF17B0">
        <w:rPr>
          <w:rFonts w:asciiTheme="minorHAnsi" w:hAnsiTheme="minorHAnsi" w:cstheme="minorHAnsi"/>
        </w:rPr>
        <w:t xml:space="preserve">. </w:t>
      </w:r>
      <w:r w:rsidR="0016353B" w:rsidRPr="00BF17B0">
        <w:rPr>
          <w:rFonts w:asciiTheme="minorHAnsi" w:hAnsiTheme="minorHAnsi" w:cstheme="minorHAnsi"/>
        </w:rPr>
        <w:t>Twelve</w:t>
      </w:r>
      <w:r w:rsidRPr="00BF17B0">
        <w:rPr>
          <w:rFonts w:asciiTheme="minorHAnsi" w:hAnsiTheme="minorHAnsi" w:cstheme="minorHAnsi"/>
        </w:rPr>
        <w:t xml:space="preserve"> of the 65 approved grants </w:t>
      </w:r>
      <w:r w:rsidR="0016353B" w:rsidRPr="00BF17B0">
        <w:rPr>
          <w:rFonts w:asciiTheme="minorHAnsi" w:hAnsiTheme="minorHAnsi" w:cstheme="minorHAnsi"/>
        </w:rPr>
        <w:t xml:space="preserve">focused </w:t>
      </w:r>
      <w:r w:rsidRPr="00BF17B0">
        <w:rPr>
          <w:rFonts w:asciiTheme="minorHAnsi" w:hAnsiTheme="minorHAnsi" w:cstheme="minorHAnsi"/>
        </w:rPr>
        <w:t>solely or predominantly on Mindanao</w:t>
      </w:r>
      <w:r w:rsidR="0016353B" w:rsidRPr="00BF17B0">
        <w:rPr>
          <w:rFonts w:asciiTheme="minorHAnsi" w:hAnsiTheme="minorHAnsi" w:cstheme="minorHAnsi"/>
        </w:rPr>
        <w:t>,</w:t>
      </w:r>
      <w:r w:rsidRPr="00BF17B0">
        <w:rPr>
          <w:rFonts w:asciiTheme="minorHAnsi" w:hAnsiTheme="minorHAnsi" w:cstheme="minorHAnsi"/>
        </w:rPr>
        <w:t xml:space="preserve"> and therefore </w:t>
      </w:r>
      <w:r w:rsidR="0016353B" w:rsidRPr="00BF17B0">
        <w:rPr>
          <w:rFonts w:asciiTheme="minorHAnsi" w:hAnsiTheme="minorHAnsi" w:cstheme="minorHAnsi"/>
        </w:rPr>
        <w:t xml:space="preserve">encompassed the </w:t>
      </w:r>
      <w:r w:rsidRPr="00BF17B0">
        <w:rPr>
          <w:rFonts w:asciiTheme="minorHAnsi" w:hAnsiTheme="minorHAnsi" w:cstheme="minorHAnsi"/>
        </w:rPr>
        <w:t xml:space="preserve">issues faced by </w:t>
      </w:r>
      <w:r w:rsidR="0016353B" w:rsidRPr="00BF17B0">
        <w:rPr>
          <w:rFonts w:asciiTheme="minorHAnsi" w:hAnsiTheme="minorHAnsi" w:cstheme="minorHAnsi"/>
        </w:rPr>
        <w:t>indigenous peoples</w:t>
      </w:r>
      <w:r w:rsidR="00EB211F" w:rsidRPr="00BF17B0">
        <w:rPr>
          <w:rFonts w:asciiTheme="minorHAnsi" w:hAnsiTheme="minorHAnsi" w:cstheme="minorHAnsi"/>
        </w:rPr>
        <w:t xml:space="preserve">. </w:t>
      </w:r>
      <w:r w:rsidRPr="00BF17B0">
        <w:rPr>
          <w:rFonts w:asciiTheme="minorHAnsi" w:hAnsiTheme="minorHAnsi" w:cstheme="minorHAnsi"/>
        </w:rPr>
        <w:t xml:space="preserve">Many of the other grants included </w:t>
      </w:r>
      <w:r w:rsidR="00541B90" w:rsidRPr="00BF17B0">
        <w:rPr>
          <w:rFonts w:asciiTheme="minorHAnsi" w:hAnsiTheme="minorHAnsi" w:cstheme="minorHAnsi"/>
        </w:rPr>
        <w:t xml:space="preserve">components related to </w:t>
      </w:r>
      <w:r w:rsidRPr="00BF17B0">
        <w:rPr>
          <w:rFonts w:asciiTheme="minorHAnsi" w:hAnsiTheme="minorHAnsi" w:cstheme="minorHAnsi"/>
        </w:rPr>
        <w:t xml:space="preserve">Mindanao and </w:t>
      </w:r>
      <w:r w:rsidR="0016353B" w:rsidRPr="00BF17B0">
        <w:rPr>
          <w:rFonts w:asciiTheme="minorHAnsi" w:hAnsiTheme="minorHAnsi" w:cstheme="minorHAnsi"/>
        </w:rPr>
        <w:t>indigenous peoples</w:t>
      </w:r>
      <w:r w:rsidRPr="00BF17B0">
        <w:rPr>
          <w:rFonts w:asciiTheme="minorHAnsi" w:hAnsiTheme="minorHAnsi" w:cstheme="minorHAnsi"/>
        </w:rPr>
        <w:t xml:space="preserve">, </w:t>
      </w:r>
      <w:r w:rsidR="00541B90" w:rsidRPr="00BF17B0">
        <w:rPr>
          <w:rFonts w:asciiTheme="minorHAnsi" w:hAnsiTheme="minorHAnsi" w:cstheme="minorHAnsi"/>
        </w:rPr>
        <w:t xml:space="preserve">such as </w:t>
      </w:r>
      <w:r w:rsidRPr="00BF17B0">
        <w:rPr>
          <w:rFonts w:asciiTheme="minorHAnsi" w:hAnsiTheme="minorHAnsi" w:cstheme="minorHAnsi"/>
        </w:rPr>
        <w:t>Open Government Phase II</w:t>
      </w:r>
      <w:r w:rsidR="00EC4EB4" w:rsidRPr="00BF17B0">
        <w:rPr>
          <w:rFonts w:asciiTheme="minorHAnsi" w:hAnsiTheme="minorHAnsi" w:cstheme="minorHAnsi"/>
        </w:rPr>
        <w:t>;</w:t>
      </w:r>
      <w:r w:rsidRPr="00BF17B0">
        <w:rPr>
          <w:rFonts w:asciiTheme="minorHAnsi" w:hAnsiTheme="minorHAnsi" w:cstheme="minorHAnsi"/>
        </w:rPr>
        <w:t xml:space="preserve"> </w:t>
      </w:r>
      <w:r w:rsidR="00541B90" w:rsidRPr="00BF17B0">
        <w:rPr>
          <w:rFonts w:asciiTheme="minorHAnsi" w:hAnsiTheme="minorHAnsi" w:cstheme="minorHAnsi"/>
        </w:rPr>
        <w:t>Program for Good Governance</w:t>
      </w:r>
      <w:r w:rsidR="00EC4EB4" w:rsidRPr="00BF17B0">
        <w:rPr>
          <w:rFonts w:asciiTheme="minorHAnsi" w:hAnsiTheme="minorHAnsi" w:cstheme="minorHAnsi"/>
        </w:rPr>
        <w:t>;</w:t>
      </w:r>
      <w:r w:rsidRPr="00BF17B0">
        <w:rPr>
          <w:rFonts w:asciiTheme="minorHAnsi" w:hAnsiTheme="minorHAnsi" w:cstheme="minorHAnsi"/>
        </w:rPr>
        <w:t xml:space="preserve"> Game Changers</w:t>
      </w:r>
      <w:r w:rsidR="00EC4EB4" w:rsidRPr="00BF17B0">
        <w:rPr>
          <w:rFonts w:asciiTheme="minorHAnsi" w:hAnsiTheme="minorHAnsi" w:cstheme="minorHAnsi"/>
        </w:rPr>
        <w:t>;</w:t>
      </w:r>
      <w:r w:rsidRPr="00BF17B0">
        <w:rPr>
          <w:rFonts w:asciiTheme="minorHAnsi" w:hAnsiTheme="minorHAnsi" w:cstheme="minorHAnsi"/>
        </w:rPr>
        <w:t xml:space="preserve"> KALAHI</w:t>
      </w:r>
      <w:r w:rsidR="00531BAC" w:rsidRPr="00BF17B0">
        <w:rPr>
          <w:rFonts w:asciiTheme="minorHAnsi" w:hAnsiTheme="minorHAnsi" w:cstheme="minorHAnsi"/>
        </w:rPr>
        <w:t xml:space="preserve"> </w:t>
      </w:r>
      <w:r w:rsidRPr="00BF17B0">
        <w:rPr>
          <w:rFonts w:asciiTheme="minorHAnsi" w:hAnsiTheme="minorHAnsi" w:cstheme="minorHAnsi"/>
        </w:rPr>
        <w:t>-</w:t>
      </w:r>
      <w:r w:rsidR="006C6DA2" w:rsidRPr="00BF17B0">
        <w:rPr>
          <w:rFonts w:asciiTheme="minorHAnsi" w:hAnsiTheme="minorHAnsi" w:cstheme="minorHAnsi"/>
        </w:rPr>
        <w:t xml:space="preserve"> Comprehensive and Integrated Delivery of Social Services</w:t>
      </w:r>
      <w:r w:rsidR="000B269E" w:rsidRPr="00BF17B0">
        <w:rPr>
          <w:rFonts w:asciiTheme="minorHAnsi" w:hAnsiTheme="minorHAnsi" w:cstheme="minorHAnsi"/>
        </w:rPr>
        <w:t>;</w:t>
      </w:r>
      <w:r w:rsidRPr="00BF17B0">
        <w:rPr>
          <w:rFonts w:asciiTheme="minorHAnsi" w:hAnsiTheme="minorHAnsi" w:cstheme="minorHAnsi"/>
        </w:rPr>
        <w:t xml:space="preserve"> </w:t>
      </w:r>
      <w:r w:rsidR="008254C0" w:rsidRPr="00BF17B0">
        <w:rPr>
          <w:rFonts w:asciiTheme="minorHAnsi" w:hAnsiTheme="minorHAnsi" w:cstheme="minorHAnsi"/>
          <w:szCs w:val="24"/>
        </w:rPr>
        <w:t>National Community-Driven Development Project</w:t>
      </w:r>
      <w:r w:rsidR="008254C0" w:rsidRPr="00BF17B0">
        <w:rPr>
          <w:rFonts w:asciiTheme="minorHAnsi" w:hAnsiTheme="minorHAnsi" w:cstheme="minorHAnsi"/>
        </w:rPr>
        <w:t xml:space="preserve"> </w:t>
      </w:r>
      <w:r w:rsidRPr="00BF17B0">
        <w:rPr>
          <w:rFonts w:asciiTheme="minorHAnsi" w:hAnsiTheme="minorHAnsi" w:cstheme="minorHAnsi"/>
        </w:rPr>
        <w:t xml:space="preserve">(the </w:t>
      </w:r>
      <w:r w:rsidR="00582D8E">
        <w:rPr>
          <w:rFonts w:asciiTheme="minorHAnsi" w:hAnsiTheme="minorHAnsi" w:cstheme="minorHAnsi"/>
        </w:rPr>
        <w:t>PH-</w:t>
      </w:r>
      <w:r w:rsidR="00A53818" w:rsidRPr="00BF17B0">
        <w:rPr>
          <w:rFonts w:asciiTheme="minorHAnsi" w:hAnsiTheme="minorHAnsi" w:cstheme="minorHAnsi"/>
        </w:rPr>
        <w:t>PTF</w:t>
      </w:r>
      <w:r w:rsidR="005B0663" w:rsidRPr="00BF17B0">
        <w:rPr>
          <w:rFonts w:asciiTheme="minorHAnsi" w:hAnsiTheme="minorHAnsi" w:cstheme="minorHAnsi"/>
        </w:rPr>
        <w:t xml:space="preserve"> </w:t>
      </w:r>
      <w:r w:rsidRPr="00BF17B0">
        <w:rPr>
          <w:rFonts w:asciiTheme="minorHAnsi" w:hAnsiTheme="minorHAnsi" w:cstheme="minorHAnsi"/>
        </w:rPr>
        <w:t xml:space="preserve">grant funded </w:t>
      </w:r>
      <w:r w:rsidR="00EC4EB4" w:rsidRPr="00BF17B0">
        <w:rPr>
          <w:rFonts w:asciiTheme="minorHAnsi" w:hAnsiTheme="minorHAnsi" w:cstheme="minorHAnsi"/>
        </w:rPr>
        <w:t xml:space="preserve">the </w:t>
      </w:r>
      <w:r w:rsidRPr="00BF17B0">
        <w:rPr>
          <w:rFonts w:asciiTheme="minorHAnsi" w:hAnsiTheme="minorHAnsi" w:cstheme="minorHAnsi"/>
        </w:rPr>
        <w:t xml:space="preserve">preparation of an </w:t>
      </w:r>
      <w:r w:rsidR="00EC4EB4" w:rsidRPr="00BF17B0">
        <w:rPr>
          <w:rFonts w:asciiTheme="minorHAnsi" w:hAnsiTheme="minorHAnsi" w:cstheme="minorHAnsi"/>
        </w:rPr>
        <w:t xml:space="preserve">indigenous peoples </w:t>
      </w:r>
      <w:r w:rsidRPr="00BF17B0">
        <w:rPr>
          <w:rFonts w:asciiTheme="minorHAnsi" w:hAnsiTheme="minorHAnsi" w:cstheme="minorHAnsi"/>
        </w:rPr>
        <w:t xml:space="preserve">facilitation guidebook and an </w:t>
      </w:r>
      <w:r w:rsidR="00EC4EB4" w:rsidRPr="00BF17B0">
        <w:rPr>
          <w:rFonts w:asciiTheme="minorHAnsi" w:hAnsiTheme="minorHAnsi" w:cstheme="minorHAnsi"/>
        </w:rPr>
        <w:t>indigenous peoples</w:t>
      </w:r>
      <w:r w:rsidRPr="00BF17B0">
        <w:rPr>
          <w:rFonts w:asciiTheme="minorHAnsi" w:hAnsiTheme="minorHAnsi" w:cstheme="minorHAnsi"/>
        </w:rPr>
        <w:t xml:space="preserve"> guidance note</w:t>
      </w:r>
      <w:r w:rsidR="00531BAC" w:rsidRPr="00BF17B0">
        <w:rPr>
          <w:rFonts w:asciiTheme="minorHAnsi" w:hAnsiTheme="minorHAnsi" w:cstheme="minorHAnsi"/>
        </w:rPr>
        <w:t>)</w:t>
      </w:r>
      <w:r w:rsidR="00EC4EB4" w:rsidRPr="00BF17B0">
        <w:rPr>
          <w:rFonts w:asciiTheme="minorHAnsi" w:hAnsiTheme="minorHAnsi" w:cstheme="minorHAnsi"/>
        </w:rPr>
        <w:t>;</w:t>
      </w:r>
      <w:r w:rsidRPr="00BF17B0">
        <w:rPr>
          <w:rFonts w:asciiTheme="minorHAnsi" w:hAnsiTheme="minorHAnsi" w:cstheme="minorHAnsi"/>
        </w:rPr>
        <w:t xml:space="preserve"> the </w:t>
      </w:r>
      <w:r w:rsidR="00EC4EB4" w:rsidRPr="00BF17B0">
        <w:rPr>
          <w:rFonts w:asciiTheme="minorHAnsi" w:hAnsiTheme="minorHAnsi" w:cstheme="minorHAnsi"/>
        </w:rPr>
        <w:t xml:space="preserve">technical assistance for </w:t>
      </w:r>
      <w:r w:rsidR="001F6FC5" w:rsidRPr="00BF17B0">
        <w:rPr>
          <w:rFonts w:asciiTheme="minorHAnsi" w:hAnsiTheme="minorHAnsi" w:cstheme="minorHAnsi"/>
        </w:rPr>
        <w:t>the Conditional Cash Transfer</w:t>
      </w:r>
      <w:r w:rsidR="00A92685" w:rsidRPr="00BF17B0">
        <w:rPr>
          <w:rFonts w:asciiTheme="minorHAnsi" w:hAnsiTheme="minorHAnsi" w:cstheme="minorHAnsi"/>
        </w:rPr>
        <w:t xml:space="preserve"> Program </w:t>
      </w:r>
      <w:r w:rsidRPr="00BF17B0">
        <w:rPr>
          <w:rFonts w:asciiTheme="minorHAnsi" w:hAnsiTheme="minorHAnsi" w:cstheme="minorHAnsi"/>
        </w:rPr>
        <w:t xml:space="preserve">(which developed an </w:t>
      </w:r>
      <w:r w:rsidR="00A92685" w:rsidRPr="00BF17B0">
        <w:rPr>
          <w:rFonts w:asciiTheme="minorHAnsi" w:hAnsiTheme="minorHAnsi" w:cstheme="minorHAnsi"/>
        </w:rPr>
        <w:t xml:space="preserve">indigenous peoples </w:t>
      </w:r>
      <w:r w:rsidRPr="00BF17B0">
        <w:rPr>
          <w:rFonts w:asciiTheme="minorHAnsi" w:hAnsiTheme="minorHAnsi" w:cstheme="minorHAnsi"/>
        </w:rPr>
        <w:t>participation facility and introduced a modified CCT program</w:t>
      </w:r>
      <w:r w:rsidR="00A92685" w:rsidRPr="00BF17B0">
        <w:rPr>
          <w:rFonts w:asciiTheme="minorHAnsi" w:hAnsiTheme="minorHAnsi" w:cstheme="minorHAnsi"/>
        </w:rPr>
        <w:t xml:space="preserve"> </w:t>
      </w:r>
      <w:r w:rsidRPr="00BF17B0">
        <w:rPr>
          <w:rFonts w:asciiTheme="minorHAnsi" w:hAnsiTheme="minorHAnsi" w:cstheme="minorHAnsi"/>
        </w:rPr>
        <w:t xml:space="preserve">with a large </w:t>
      </w:r>
      <w:r w:rsidR="00A92685" w:rsidRPr="00BF17B0">
        <w:rPr>
          <w:rFonts w:asciiTheme="minorHAnsi" w:hAnsiTheme="minorHAnsi" w:cstheme="minorHAnsi"/>
        </w:rPr>
        <w:t xml:space="preserve">indigenous peoples </w:t>
      </w:r>
      <w:r w:rsidRPr="00BF17B0">
        <w:rPr>
          <w:rFonts w:asciiTheme="minorHAnsi" w:hAnsiTheme="minorHAnsi" w:cstheme="minorHAnsi"/>
        </w:rPr>
        <w:t>component to facilitate participation in remote or isolated areas)</w:t>
      </w:r>
      <w:r w:rsidR="00A92685" w:rsidRPr="00BF17B0">
        <w:rPr>
          <w:rFonts w:asciiTheme="minorHAnsi" w:hAnsiTheme="minorHAnsi" w:cstheme="minorHAnsi"/>
        </w:rPr>
        <w:t>;</w:t>
      </w:r>
      <w:r w:rsidRPr="00BF17B0">
        <w:rPr>
          <w:rFonts w:asciiTheme="minorHAnsi" w:hAnsiTheme="minorHAnsi" w:cstheme="minorHAnsi"/>
        </w:rPr>
        <w:t xml:space="preserve"> and the Feasibility Study for Sustainable Flood Management where </w:t>
      </w:r>
      <w:r w:rsidR="00A92685" w:rsidRPr="00BF17B0">
        <w:rPr>
          <w:rFonts w:asciiTheme="minorHAnsi" w:hAnsiTheme="minorHAnsi" w:cstheme="minorHAnsi"/>
        </w:rPr>
        <w:t>indigenous people</w:t>
      </w:r>
      <w:r w:rsidR="00E27D69" w:rsidRPr="00BF17B0">
        <w:rPr>
          <w:rFonts w:asciiTheme="minorHAnsi" w:hAnsiTheme="minorHAnsi" w:cstheme="minorHAnsi"/>
        </w:rPr>
        <w:t>s</w:t>
      </w:r>
      <w:r w:rsidR="00A92685" w:rsidRPr="00BF17B0">
        <w:rPr>
          <w:rFonts w:asciiTheme="minorHAnsi" w:hAnsiTheme="minorHAnsi" w:cstheme="minorHAnsi"/>
        </w:rPr>
        <w:t xml:space="preserve"> </w:t>
      </w:r>
      <w:r w:rsidRPr="00BF17B0">
        <w:rPr>
          <w:rFonts w:asciiTheme="minorHAnsi" w:hAnsiTheme="minorHAnsi" w:cstheme="minorHAnsi"/>
        </w:rPr>
        <w:t xml:space="preserve">may be affected </w:t>
      </w:r>
      <w:r w:rsidR="00CF3C6D" w:rsidRPr="00BF17B0">
        <w:rPr>
          <w:rFonts w:asciiTheme="minorHAnsi" w:hAnsiTheme="minorHAnsi" w:cstheme="minorHAnsi"/>
        </w:rPr>
        <w:t>by</w:t>
      </w:r>
      <w:r w:rsidRPr="00BF17B0">
        <w:rPr>
          <w:rFonts w:asciiTheme="minorHAnsi" w:hAnsiTheme="minorHAnsi" w:cstheme="minorHAnsi"/>
        </w:rPr>
        <w:t xml:space="preserve"> resettlement plans.</w:t>
      </w:r>
    </w:p>
    <w:p w14:paraId="0AEEFBE0" w14:textId="77777777" w:rsidR="005D4569" w:rsidRPr="00BF17B0" w:rsidRDefault="00CB2BA5" w:rsidP="005D4569">
      <w:pPr>
        <w:rPr>
          <w:rFonts w:asciiTheme="minorHAnsi" w:hAnsiTheme="minorHAnsi" w:cstheme="minorHAnsi"/>
        </w:rPr>
      </w:pPr>
      <w:r w:rsidRPr="00BF17B0">
        <w:rPr>
          <w:rFonts w:asciiTheme="minorHAnsi" w:hAnsiTheme="minorHAnsi" w:cstheme="minorHAnsi"/>
        </w:rPr>
        <w:t>A detailed review of the grants sho</w:t>
      </w:r>
      <w:r w:rsidR="00CF3C6D" w:rsidRPr="00BF17B0">
        <w:rPr>
          <w:rFonts w:asciiTheme="minorHAnsi" w:hAnsiTheme="minorHAnsi" w:cstheme="minorHAnsi"/>
        </w:rPr>
        <w:t>ws</w:t>
      </w:r>
      <w:r w:rsidRPr="00BF17B0">
        <w:rPr>
          <w:rFonts w:asciiTheme="minorHAnsi" w:hAnsiTheme="minorHAnsi" w:cstheme="minorHAnsi"/>
        </w:rPr>
        <w:t xml:space="preserve"> </w:t>
      </w:r>
      <w:r w:rsidR="005D4569" w:rsidRPr="00BF17B0">
        <w:rPr>
          <w:rFonts w:asciiTheme="minorHAnsi" w:hAnsiTheme="minorHAnsi" w:cstheme="minorHAnsi"/>
        </w:rPr>
        <w:t xml:space="preserve">robust evidence of sustainable outcomes from many of </w:t>
      </w:r>
      <w:r w:rsidRPr="00BF17B0">
        <w:rPr>
          <w:rFonts w:asciiTheme="minorHAnsi" w:hAnsiTheme="minorHAnsi" w:cstheme="minorHAnsi"/>
        </w:rPr>
        <w:t xml:space="preserve">the </w:t>
      </w:r>
      <w:r w:rsidR="005D4569" w:rsidRPr="00BF17B0">
        <w:rPr>
          <w:rFonts w:asciiTheme="minorHAnsi" w:hAnsiTheme="minorHAnsi" w:cstheme="minorHAnsi"/>
        </w:rPr>
        <w:t>activities</w:t>
      </w:r>
      <w:r w:rsidR="00EB211F" w:rsidRPr="00BF17B0">
        <w:rPr>
          <w:rFonts w:asciiTheme="minorHAnsi" w:hAnsiTheme="minorHAnsi" w:cstheme="minorHAnsi"/>
        </w:rPr>
        <w:t xml:space="preserve">. </w:t>
      </w:r>
      <w:r w:rsidR="005D4569" w:rsidRPr="00BF17B0">
        <w:rPr>
          <w:rFonts w:asciiTheme="minorHAnsi" w:hAnsiTheme="minorHAnsi" w:cstheme="minorHAnsi"/>
        </w:rPr>
        <w:t xml:space="preserve">The </w:t>
      </w:r>
      <w:r w:rsidR="005D4569" w:rsidRPr="00BF17B0">
        <w:rPr>
          <w:rFonts w:asciiTheme="minorHAnsi" w:hAnsiTheme="minorHAnsi" w:cstheme="minorHAnsi"/>
          <w:i/>
        </w:rPr>
        <w:t xml:space="preserve">Mindanao Jobs Report </w:t>
      </w:r>
      <w:r w:rsidR="001B1CFC" w:rsidRPr="00BF17B0">
        <w:rPr>
          <w:rFonts w:asciiTheme="minorHAnsi" w:hAnsiTheme="minorHAnsi" w:cstheme="minorHAnsi"/>
        </w:rPr>
        <w:t>(</w:t>
      </w:r>
      <w:r w:rsidR="00C41908" w:rsidRPr="00BF17B0">
        <w:rPr>
          <w:rFonts w:asciiTheme="minorHAnsi" w:hAnsiTheme="minorHAnsi" w:cstheme="minorHAnsi"/>
        </w:rPr>
        <w:t>Hansl et al. 2017</w:t>
      </w:r>
      <w:r w:rsidR="001B1CFC" w:rsidRPr="00BF17B0">
        <w:rPr>
          <w:rFonts w:asciiTheme="minorHAnsi" w:hAnsiTheme="minorHAnsi" w:cstheme="minorHAnsi"/>
        </w:rPr>
        <w:t xml:space="preserve">) </w:t>
      </w:r>
      <w:r w:rsidR="005D4569" w:rsidRPr="00BF17B0">
        <w:rPr>
          <w:rFonts w:asciiTheme="minorHAnsi" w:hAnsiTheme="minorHAnsi" w:cstheme="minorHAnsi"/>
        </w:rPr>
        <w:t xml:space="preserve">and </w:t>
      </w:r>
      <w:r w:rsidR="009428D4" w:rsidRPr="00BF17B0">
        <w:rPr>
          <w:rFonts w:asciiTheme="minorHAnsi" w:hAnsiTheme="minorHAnsi" w:cstheme="minorHAnsi"/>
          <w:i/>
        </w:rPr>
        <w:t>Land: Territory, Domain, and Identity</w:t>
      </w:r>
      <w:r w:rsidR="009428D4" w:rsidRPr="00BF17B0">
        <w:rPr>
          <w:rFonts w:asciiTheme="minorHAnsi" w:hAnsiTheme="minorHAnsi" w:cstheme="minorHAnsi"/>
        </w:rPr>
        <w:t xml:space="preserve"> (World Bank 2017b)</w:t>
      </w:r>
      <w:r w:rsidR="005D4569" w:rsidRPr="00BF17B0">
        <w:rPr>
          <w:rFonts w:asciiTheme="minorHAnsi" w:hAnsiTheme="minorHAnsi" w:cstheme="minorHAnsi"/>
        </w:rPr>
        <w:t xml:space="preserve"> are regarded as major </w:t>
      </w:r>
      <w:r w:rsidR="000D142C" w:rsidRPr="00BF17B0">
        <w:rPr>
          <w:rFonts w:asciiTheme="minorHAnsi" w:hAnsiTheme="minorHAnsi" w:cstheme="minorHAnsi"/>
        </w:rPr>
        <w:t>analytical work</w:t>
      </w:r>
      <w:r w:rsidR="005227EB" w:rsidRPr="00BF17B0">
        <w:rPr>
          <w:rFonts w:asciiTheme="minorHAnsi" w:hAnsiTheme="minorHAnsi" w:cstheme="minorHAnsi"/>
        </w:rPr>
        <w:t>s</w:t>
      </w:r>
      <w:r w:rsidR="000D142C" w:rsidRPr="00BF17B0">
        <w:rPr>
          <w:rFonts w:asciiTheme="minorHAnsi" w:hAnsiTheme="minorHAnsi" w:cstheme="minorHAnsi"/>
        </w:rPr>
        <w:t xml:space="preserve"> on </w:t>
      </w:r>
      <w:r w:rsidR="005D4569" w:rsidRPr="00BF17B0">
        <w:rPr>
          <w:rFonts w:asciiTheme="minorHAnsi" w:hAnsiTheme="minorHAnsi" w:cstheme="minorHAnsi"/>
        </w:rPr>
        <w:t>development in the Bangsamoro.</w:t>
      </w:r>
    </w:p>
    <w:p w14:paraId="0D416F22" w14:textId="77777777" w:rsidR="009469C2" w:rsidRPr="00BF17B0" w:rsidRDefault="009469C2" w:rsidP="009469C2">
      <w:pPr>
        <w:rPr>
          <w:rFonts w:asciiTheme="minorHAnsi" w:hAnsiTheme="minorHAnsi" w:cstheme="minorHAnsi"/>
        </w:rPr>
      </w:pPr>
    </w:p>
    <w:p w14:paraId="22512C04" w14:textId="77777777" w:rsidR="005B633F" w:rsidRPr="00BF17B0" w:rsidRDefault="005B633F" w:rsidP="009C79EB">
      <w:pPr>
        <w:pStyle w:val="Heading3"/>
      </w:pPr>
      <w:r w:rsidRPr="00BF17B0">
        <w:t>Climate Change and Disaster</w:t>
      </w:r>
      <w:r w:rsidR="004D0E54" w:rsidRPr="00BF17B0">
        <w:t xml:space="preserve"> Risk Management</w:t>
      </w:r>
    </w:p>
    <w:p w14:paraId="1F1265EE" w14:textId="77777777" w:rsidR="00064A1B" w:rsidRPr="00BF17B0" w:rsidRDefault="005A7009" w:rsidP="005B633F">
      <w:pPr>
        <w:rPr>
          <w:rFonts w:asciiTheme="minorHAnsi" w:hAnsiTheme="minorHAnsi" w:cstheme="minorHAnsi"/>
        </w:rPr>
      </w:pPr>
      <w:r w:rsidRPr="00BF17B0">
        <w:rPr>
          <w:rFonts w:asciiTheme="minorHAnsi" w:hAnsiTheme="minorHAnsi" w:cstheme="minorHAnsi"/>
        </w:rPr>
        <w:t>The PH-</w:t>
      </w:r>
      <w:r w:rsidR="00A53818" w:rsidRPr="00BF17B0">
        <w:rPr>
          <w:rFonts w:asciiTheme="minorHAnsi" w:hAnsiTheme="minorHAnsi" w:cstheme="minorHAnsi"/>
        </w:rPr>
        <w:t>PTF</w:t>
      </w:r>
      <w:r w:rsidR="005B633F" w:rsidRPr="00BF17B0">
        <w:rPr>
          <w:rFonts w:asciiTheme="minorHAnsi" w:hAnsiTheme="minorHAnsi" w:cstheme="minorHAnsi"/>
        </w:rPr>
        <w:t xml:space="preserve"> supported activities </w:t>
      </w:r>
      <w:r w:rsidR="00ED3C88" w:rsidRPr="00BF17B0">
        <w:rPr>
          <w:rFonts w:asciiTheme="minorHAnsi" w:hAnsiTheme="minorHAnsi" w:cstheme="minorHAnsi"/>
        </w:rPr>
        <w:t xml:space="preserve">focused </w:t>
      </w:r>
      <w:r w:rsidR="005B633F" w:rsidRPr="00BF17B0">
        <w:rPr>
          <w:rFonts w:asciiTheme="minorHAnsi" w:hAnsiTheme="minorHAnsi" w:cstheme="minorHAnsi"/>
        </w:rPr>
        <w:t>substantially on climate change issues and on disaster risk management</w:t>
      </w:r>
      <w:r w:rsidR="002F5EF5" w:rsidRPr="00BF17B0">
        <w:rPr>
          <w:rFonts w:asciiTheme="minorHAnsi" w:hAnsiTheme="minorHAnsi" w:cstheme="minorHAnsi"/>
        </w:rPr>
        <w:t xml:space="preserve">, with </w:t>
      </w:r>
      <w:r w:rsidR="005B633F" w:rsidRPr="00BF17B0">
        <w:rPr>
          <w:rFonts w:asciiTheme="minorHAnsi" w:hAnsiTheme="minorHAnsi" w:cstheme="minorHAnsi"/>
        </w:rPr>
        <w:t xml:space="preserve">major impact </w:t>
      </w:r>
      <w:r w:rsidR="002F5EF5" w:rsidRPr="00BF17B0">
        <w:rPr>
          <w:rFonts w:asciiTheme="minorHAnsi" w:hAnsiTheme="minorHAnsi" w:cstheme="minorHAnsi"/>
        </w:rPr>
        <w:t>noted in some areas</w:t>
      </w:r>
      <w:r w:rsidR="00EB211F" w:rsidRPr="00BF17B0">
        <w:rPr>
          <w:rFonts w:asciiTheme="minorHAnsi" w:hAnsiTheme="minorHAnsi" w:cstheme="minorHAnsi"/>
        </w:rPr>
        <w:t xml:space="preserve">. </w:t>
      </w:r>
    </w:p>
    <w:p w14:paraId="1FDD1216" w14:textId="18BBFE6E" w:rsidR="00DD5A13" w:rsidRPr="00BF17B0" w:rsidRDefault="005B633F" w:rsidP="005D4569">
      <w:pPr>
        <w:rPr>
          <w:rFonts w:asciiTheme="minorHAnsi" w:hAnsiTheme="minorHAnsi" w:cstheme="minorHAnsi"/>
          <w:i/>
        </w:rPr>
      </w:pPr>
      <w:r w:rsidRPr="00BF17B0">
        <w:rPr>
          <w:rFonts w:asciiTheme="minorHAnsi" w:hAnsiTheme="minorHAnsi" w:cstheme="minorHAnsi"/>
        </w:rPr>
        <w:t>Projects featured innovative approaches to disaster preparedness</w:t>
      </w:r>
      <w:r w:rsidR="002F5EF5" w:rsidRPr="00BF17B0">
        <w:rPr>
          <w:rFonts w:asciiTheme="minorHAnsi" w:hAnsiTheme="minorHAnsi" w:cstheme="minorHAnsi"/>
        </w:rPr>
        <w:t xml:space="preserve"> such as the </w:t>
      </w:r>
      <w:r w:rsidR="00AA7FEB" w:rsidRPr="00BF17B0">
        <w:rPr>
          <w:rFonts w:asciiTheme="minorHAnsi" w:hAnsiTheme="minorHAnsi" w:cstheme="minorHAnsi"/>
        </w:rPr>
        <w:t>d</w:t>
      </w:r>
      <w:r w:rsidR="00C67BFA" w:rsidRPr="00BF17B0">
        <w:rPr>
          <w:rFonts w:asciiTheme="minorHAnsi" w:hAnsiTheme="minorHAnsi" w:cstheme="minorHAnsi"/>
        </w:rPr>
        <w:t xml:space="preserve">isaster </w:t>
      </w:r>
      <w:r w:rsidR="00AA7FEB" w:rsidRPr="00BF17B0">
        <w:rPr>
          <w:rFonts w:asciiTheme="minorHAnsi" w:hAnsiTheme="minorHAnsi" w:cstheme="minorHAnsi"/>
        </w:rPr>
        <w:t>r</w:t>
      </w:r>
      <w:r w:rsidR="00C67BFA" w:rsidRPr="00BF17B0">
        <w:rPr>
          <w:rFonts w:asciiTheme="minorHAnsi" w:hAnsiTheme="minorHAnsi" w:cstheme="minorHAnsi"/>
        </w:rPr>
        <w:t xml:space="preserve">esponse </w:t>
      </w:r>
      <w:r w:rsidR="00AA7FEB" w:rsidRPr="00BF17B0">
        <w:rPr>
          <w:rFonts w:asciiTheme="minorHAnsi" w:hAnsiTheme="minorHAnsi" w:cstheme="minorHAnsi"/>
        </w:rPr>
        <w:t>o</w:t>
      </w:r>
      <w:r w:rsidR="00C67BFA" w:rsidRPr="00BF17B0">
        <w:rPr>
          <w:rFonts w:asciiTheme="minorHAnsi" w:hAnsiTheme="minorHAnsi" w:cstheme="minorHAnsi"/>
        </w:rPr>
        <w:t xml:space="preserve">perations </w:t>
      </w:r>
      <w:r w:rsidR="00AA7FEB" w:rsidRPr="00BF17B0">
        <w:rPr>
          <w:rFonts w:asciiTheme="minorHAnsi" w:hAnsiTheme="minorHAnsi" w:cstheme="minorHAnsi"/>
        </w:rPr>
        <w:t>m</w:t>
      </w:r>
      <w:r w:rsidR="00C67BFA" w:rsidRPr="00BF17B0">
        <w:rPr>
          <w:rFonts w:asciiTheme="minorHAnsi" w:hAnsiTheme="minorHAnsi" w:cstheme="minorHAnsi"/>
        </w:rPr>
        <w:t>odality or DROM</w:t>
      </w:r>
      <w:r w:rsidRPr="00BF17B0">
        <w:rPr>
          <w:rFonts w:asciiTheme="minorHAnsi" w:hAnsiTheme="minorHAnsi" w:cstheme="minorHAnsi"/>
        </w:rPr>
        <w:t xml:space="preserve"> in the </w:t>
      </w:r>
      <w:r w:rsidR="008F3898" w:rsidRPr="00BF17B0">
        <w:rPr>
          <w:rFonts w:asciiTheme="minorHAnsi" w:hAnsiTheme="minorHAnsi" w:cstheme="minorHAnsi"/>
        </w:rPr>
        <w:t>technical assistance for the National Community-Driven Development Project;</w:t>
      </w:r>
      <w:r w:rsidRPr="00BF17B0">
        <w:rPr>
          <w:rFonts w:asciiTheme="minorHAnsi" w:hAnsiTheme="minorHAnsi" w:cstheme="minorHAnsi"/>
        </w:rPr>
        <w:t xml:space="preserve"> studies </w:t>
      </w:r>
      <w:r w:rsidR="008F3898" w:rsidRPr="00BF17B0">
        <w:rPr>
          <w:rFonts w:asciiTheme="minorHAnsi" w:hAnsiTheme="minorHAnsi" w:cstheme="minorHAnsi"/>
        </w:rPr>
        <w:t>on t</w:t>
      </w:r>
      <w:r w:rsidRPr="00BF17B0">
        <w:rPr>
          <w:rFonts w:asciiTheme="minorHAnsi" w:hAnsiTheme="minorHAnsi" w:cstheme="minorHAnsi"/>
        </w:rPr>
        <w:t>he social impact of disasters (Tropical Storm Ondoy and Typhoon Pepeng)</w:t>
      </w:r>
      <w:r w:rsidR="008F3898" w:rsidRPr="00BF17B0">
        <w:rPr>
          <w:rFonts w:asciiTheme="minorHAnsi" w:hAnsiTheme="minorHAnsi" w:cstheme="minorHAnsi"/>
        </w:rPr>
        <w:t xml:space="preserve">; </w:t>
      </w:r>
      <w:r w:rsidRPr="00BF17B0">
        <w:rPr>
          <w:rFonts w:asciiTheme="minorHAnsi" w:hAnsiTheme="minorHAnsi" w:cstheme="minorHAnsi"/>
        </w:rPr>
        <w:t>a</w:t>
      </w:r>
      <w:r w:rsidR="00F37493" w:rsidRPr="00BF17B0">
        <w:rPr>
          <w:rFonts w:asciiTheme="minorHAnsi" w:hAnsiTheme="minorHAnsi" w:cstheme="minorHAnsi"/>
        </w:rPr>
        <w:t>nd a</w:t>
      </w:r>
      <w:r w:rsidRPr="00BF17B0">
        <w:rPr>
          <w:rFonts w:asciiTheme="minorHAnsi" w:hAnsiTheme="minorHAnsi" w:cstheme="minorHAnsi"/>
        </w:rPr>
        <w:t xml:space="preserve"> major feasibility study for sustainable flood management infrastructure</w:t>
      </w:r>
      <w:r w:rsidR="00F37493" w:rsidRPr="00BF17B0">
        <w:rPr>
          <w:rFonts w:asciiTheme="minorHAnsi" w:hAnsiTheme="minorHAnsi" w:cstheme="minorHAnsi"/>
        </w:rPr>
        <w:t xml:space="preserve">. </w:t>
      </w:r>
      <w:r w:rsidRPr="00BF17B0">
        <w:rPr>
          <w:rFonts w:asciiTheme="minorHAnsi" w:hAnsiTheme="minorHAnsi" w:cstheme="minorHAnsi"/>
        </w:rPr>
        <w:t xml:space="preserve">The work </w:t>
      </w:r>
      <w:r w:rsidR="00F934D3" w:rsidRPr="00BF17B0">
        <w:rPr>
          <w:rFonts w:asciiTheme="minorHAnsi" w:hAnsiTheme="minorHAnsi" w:cstheme="minorHAnsi"/>
        </w:rPr>
        <w:t xml:space="preserve">on disaster risk management </w:t>
      </w:r>
      <w:r w:rsidRPr="00BF17B0">
        <w:rPr>
          <w:rFonts w:asciiTheme="minorHAnsi" w:hAnsiTheme="minorHAnsi" w:cstheme="minorHAnsi"/>
        </w:rPr>
        <w:t xml:space="preserve">was successful, allowing immediate </w:t>
      </w:r>
      <w:r w:rsidR="00F934D3" w:rsidRPr="00BF17B0">
        <w:rPr>
          <w:rFonts w:asciiTheme="minorHAnsi" w:hAnsiTheme="minorHAnsi" w:cstheme="minorHAnsi"/>
        </w:rPr>
        <w:t xml:space="preserve">community-driven </w:t>
      </w:r>
      <w:r w:rsidRPr="00BF17B0">
        <w:rPr>
          <w:rFonts w:asciiTheme="minorHAnsi" w:hAnsiTheme="minorHAnsi" w:cstheme="minorHAnsi"/>
        </w:rPr>
        <w:t xml:space="preserve">intervention when disaster happened. </w:t>
      </w:r>
      <w:r w:rsidR="00B51D79">
        <w:rPr>
          <w:rFonts w:asciiTheme="minorHAnsi" w:hAnsiTheme="minorHAnsi" w:cstheme="minorHAnsi"/>
        </w:rPr>
        <w:t xml:space="preserve">PH-PTF also supported innovative work on tagging climate related expenditures in the national budget. </w:t>
      </w:r>
    </w:p>
    <w:p w14:paraId="7F0B996D" w14:textId="77777777" w:rsidR="009469C2" w:rsidRPr="00BF17B0" w:rsidRDefault="009469C2" w:rsidP="009469C2">
      <w:pPr>
        <w:rPr>
          <w:rFonts w:asciiTheme="minorHAnsi" w:hAnsiTheme="minorHAnsi" w:cstheme="minorHAnsi"/>
        </w:rPr>
      </w:pPr>
    </w:p>
    <w:p w14:paraId="7B09D6B7" w14:textId="77777777" w:rsidR="005B633F" w:rsidRPr="00BF17B0" w:rsidRDefault="005B633F" w:rsidP="009C79EB">
      <w:pPr>
        <w:pStyle w:val="Heading3"/>
      </w:pPr>
      <w:r w:rsidRPr="00BF17B0">
        <w:t>Innovation</w:t>
      </w:r>
    </w:p>
    <w:p w14:paraId="437F2EE1" w14:textId="77777777" w:rsidR="001639F3" w:rsidRPr="00BF17B0" w:rsidRDefault="005B633F" w:rsidP="005D4569">
      <w:pPr>
        <w:rPr>
          <w:rFonts w:asciiTheme="minorHAnsi" w:hAnsiTheme="minorHAnsi" w:cstheme="minorHAnsi"/>
        </w:rPr>
      </w:pPr>
      <w:r w:rsidRPr="00BF17B0">
        <w:rPr>
          <w:rFonts w:asciiTheme="minorHAnsi" w:hAnsiTheme="minorHAnsi" w:cstheme="minorHAnsi"/>
        </w:rPr>
        <w:t xml:space="preserve">One of the major strengths of the </w:t>
      </w:r>
      <w:r w:rsidR="006859AB" w:rsidRPr="00BF17B0">
        <w:rPr>
          <w:rFonts w:asciiTheme="minorHAnsi" w:hAnsiTheme="minorHAnsi" w:cstheme="minorHAnsi"/>
        </w:rPr>
        <w:t>PH-</w:t>
      </w:r>
      <w:r w:rsidR="00A53818" w:rsidRPr="00BF17B0">
        <w:rPr>
          <w:rFonts w:asciiTheme="minorHAnsi" w:hAnsiTheme="minorHAnsi" w:cstheme="minorHAnsi"/>
        </w:rPr>
        <w:t>PTF</w:t>
      </w:r>
      <w:r w:rsidRPr="00BF17B0">
        <w:rPr>
          <w:rFonts w:asciiTheme="minorHAnsi" w:hAnsiTheme="minorHAnsi" w:cstheme="minorHAnsi"/>
        </w:rPr>
        <w:t xml:space="preserve"> </w:t>
      </w:r>
      <w:r w:rsidR="0000702E" w:rsidRPr="00BF17B0">
        <w:rPr>
          <w:rFonts w:asciiTheme="minorHAnsi" w:hAnsiTheme="minorHAnsi" w:cstheme="minorHAnsi"/>
        </w:rPr>
        <w:t>wa</w:t>
      </w:r>
      <w:r w:rsidRPr="00BF17B0">
        <w:rPr>
          <w:rFonts w:asciiTheme="minorHAnsi" w:hAnsiTheme="minorHAnsi" w:cstheme="minorHAnsi"/>
        </w:rPr>
        <w:t xml:space="preserve">s the space </w:t>
      </w:r>
      <w:r w:rsidR="00C81175" w:rsidRPr="00BF17B0">
        <w:rPr>
          <w:rFonts w:asciiTheme="minorHAnsi" w:hAnsiTheme="minorHAnsi" w:cstheme="minorHAnsi"/>
        </w:rPr>
        <w:t>it provide</w:t>
      </w:r>
      <w:r w:rsidR="0000702E" w:rsidRPr="00BF17B0">
        <w:rPr>
          <w:rFonts w:asciiTheme="minorHAnsi" w:hAnsiTheme="minorHAnsi" w:cstheme="minorHAnsi"/>
        </w:rPr>
        <w:t>d</w:t>
      </w:r>
      <w:r w:rsidR="00C81175" w:rsidRPr="00BF17B0">
        <w:rPr>
          <w:rFonts w:asciiTheme="minorHAnsi" w:hAnsiTheme="minorHAnsi" w:cstheme="minorHAnsi"/>
        </w:rPr>
        <w:t xml:space="preserve"> </w:t>
      </w:r>
      <w:r w:rsidR="005A7009" w:rsidRPr="00BF17B0">
        <w:rPr>
          <w:rFonts w:asciiTheme="minorHAnsi" w:hAnsiTheme="minorHAnsi" w:cstheme="minorHAnsi"/>
        </w:rPr>
        <w:t xml:space="preserve">for </w:t>
      </w:r>
      <w:r w:rsidR="00C67BFA" w:rsidRPr="00BF17B0">
        <w:rPr>
          <w:rFonts w:asciiTheme="minorHAnsi" w:hAnsiTheme="minorHAnsi" w:cstheme="minorHAnsi"/>
        </w:rPr>
        <w:t>teams to innovate</w:t>
      </w:r>
      <w:r w:rsidR="00EB211F" w:rsidRPr="00BF17B0">
        <w:rPr>
          <w:rFonts w:asciiTheme="minorHAnsi" w:hAnsiTheme="minorHAnsi" w:cstheme="minorHAnsi"/>
        </w:rPr>
        <w:t xml:space="preserve">. </w:t>
      </w:r>
      <w:r w:rsidRPr="00BF17B0">
        <w:rPr>
          <w:rFonts w:asciiTheme="minorHAnsi" w:hAnsiTheme="minorHAnsi" w:cstheme="minorHAnsi"/>
        </w:rPr>
        <w:t xml:space="preserve">Almost </w:t>
      </w:r>
      <w:r w:rsidR="00D501F7" w:rsidRPr="00BF17B0">
        <w:rPr>
          <w:rFonts w:asciiTheme="minorHAnsi" w:hAnsiTheme="minorHAnsi" w:cstheme="minorHAnsi"/>
        </w:rPr>
        <w:t xml:space="preserve">every </w:t>
      </w:r>
      <w:r w:rsidRPr="00BF17B0">
        <w:rPr>
          <w:rFonts w:asciiTheme="minorHAnsi" w:hAnsiTheme="minorHAnsi" w:cstheme="minorHAnsi"/>
        </w:rPr>
        <w:t>grant featured innovat</w:t>
      </w:r>
      <w:r w:rsidR="00D501F7" w:rsidRPr="00BF17B0">
        <w:rPr>
          <w:rFonts w:asciiTheme="minorHAnsi" w:hAnsiTheme="minorHAnsi" w:cstheme="minorHAnsi"/>
        </w:rPr>
        <w:t xml:space="preserve">ive </w:t>
      </w:r>
      <w:r w:rsidRPr="00BF17B0">
        <w:rPr>
          <w:rFonts w:asciiTheme="minorHAnsi" w:hAnsiTheme="minorHAnsi" w:cstheme="minorHAnsi"/>
        </w:rPr>
        <w:t>approaches</w:t>
      </w:r>
      <w:r w:rsidR="00EB211F" w:rsidRPr="00BF17B0">
        <w:rPr>
          <w:rFonts w:asciiTheme="minorHAnsi" w:hAnsiTheme="minorHAnsi" w:cstheme="minorHAnsi"/>
        </w:rPr>
        <w:t xml:space="preserve">. </w:t>
      </w:r>
      <w:r w:rsidRPr="00BF17B0">
        <w:rPr>
          <w:rFonts w:asciiTheme="minorHAnsi" w:hAnsiTheme="minorHAnsi" w:cstheme="minorHAnsi"/>
        </w:rPr>
        <w:t xml:space="preserve">The Open Government Phase II and </w:t>
      </w:r>
      <w:r w:rsidR="00D501F7" w:rsidRPr="00BF17B0">
        <w:rPr>
          <w:rFonts w:asciiTheme="minorHAnsi" w:hAnsiTheme="minorHAnsi" w:cstheme="minorHAnsi"/>
        </w:rPr>
        <w:t xml:space="preserve">the </w:t>
      </w:r>
      <w:r w:rsidRPr="00BF17B0">
        <w:rPr>
          <w:rFonts w:asciiTheme="minorHAnsi" w:hAnsiTheme="minorHAnsi" w:cstheme="minorHAnsi"/>
        </w:rPr>
        <w:t>Program for Good Governance introduced new initiatives in open data platforms and communications</w:t>
      </w:r>
      <w:r w:rsidR="00D501F7" w:rsidRPr="00BF17B0">
        <w:rPr>
          <w:rFonts w:asciiTheme="minorHAnsi" w:hAnsiTheme="minorHAnsi" w:cstheme="minorHAnsi"/>
        </w:rPr>
        <w:t xml:space="preserve">, </w:t>
      </w:r>
      <w:r w:rsidRPr="00BF17B0">
        <w:rPr>
          <w:rFonts w:asciiTheme="minorHAnsi" w:hAnsiTheme="minorHAnsi" w:cstheme="minorHAnsi"/>
        </w:rPr>
        <w:t>including social media</w:t>
      </w:r>
      <w:r w:rsidR="000849FC" w:rsidRPr="00BF17B0">
        <w:rPr>
          <w:rFonts w:asciiTheme="minorHAnsi" w:hAnsiTheme="minorHAnsi" w:cstheme="minorHAnsi"/>
        </w:rPr>
        <w:t xml:space="preserve">, </w:t>
      </w:r>
      <w:r w:rsidRPr="00BF17B0">
        <w:rPr>
          <w:rFonts w:asciiTheme="minorHAnsi" w:hAnsiTheme="minorHAnsi" w:cstheme="minorHAnsi"/>
        </w:rPr>
        <w:t>to build coalitions t</w:t>
      </w:r>
      <w:r w:rsidR="007E3B56" w:rsidRPr="00BF17B0">
        <w:rPr>
          <w:rFonts w:asciiTheme="minorHAnsi" w:hAnsiTheme="minorHAnsi" w:cstheme="minorHAnsi"/>
        </w:rPr>
        <w:t xml:space="preserve">hat </w:t>
      </w:r>
      <w:r w:rsidRPr="00BF17B0">
        <w:rPr>
          <w:rFonts w:asciiTheme="minorHAnsi" w:hAnsiTheme="minorHAnsi" w:cstheme="minorHAnsi"/>
        </w:rPr>
        <w:t>support inclusive growth</w:t>
      </w:r>
      <w:r w:rsidR="00EB211F" w:rsidRPr="00BF17B0">
        <w:rPr>
          <w:rFonts w:asciiTheme="minorHAnsi" w:hAnsiTheme="minorHAnsi" w:cstheme="minorHAnsi"/>
        </w:rPr>
        <w:t xml:space="preserve">. </w:t>
      </w:r>
      <w:r w:rsidRPr="00BF17B0">
        <w:rPr>
          <w:rFonts w:asciiTheme="minorHAnsi" w:hAnsiTheme="minorHAnsi" w:cstheme="minorHAnsi"/>
        </w:rPr>
        <w:t xml:space="preserve">The Land Conflict in Mindanao study involved pioneering archival research and the use of </w:t>
      </w:r>
      <w:r w:rsidR="007E3B56" w:rsidRPr="00BF17B0">
        <w:rPr>
          <w:rFonts w:asciiTheme="minorHAnsi" w:hAnsiTheme="minorHAnsi" w:cstheme="minorHAnsi"/>
        </w:rPr>
        <w:t>g</w:t>
      </w:r>
      <w:r w:rsidRPr="00BF17B0">
        <w:rPr>
          <w:rFonts w:asciiTheme="minorHAnsi" w:hAnsiTheme="minorHAnsi" w:cstheme="minorHAnsi"/>
        </w:rPr>
        <w:t xml:space="preserve">eographic </w:t>
      </w:r>
      <w:r w:rsidR="007E3B56" w:rsidRPr="00BF17B0">
        <w:rPr>
          <w:rFonts w:asciiTheme="minorHAnsi" w:hAnsiTheme="minorHAnsi" w:cstheme="minorHAnsi"/>
        </w:rPr>
        <w:t>i</w:t>
      </w:r>
      <w:r w:rsidRPr="00BF17B0">
        <w:rPr>
          <w:rFonts w:asciiTheme="minorHAnsi" w:hAnsiTheme="minorHAnsi" w:cstheme="minorHAnsi"/>
        </w:rPr>
        <w:t xml:space="preserve">nformation </w:t>
      </w:r>
      <w:r w:rsidR="007E3B56" w:rsidRPr="00BF17B0">
        <w:rPr>
          <w:rFonts w:asciiTheme="minorHAnsi" w:hAnsiTheme="minorHAnsi" w:cstheme="minorHAnsi"/>
        </w:rPr>
        <w:t>s</w:t>
      </w:r>
      <w:r w:rsidRPr="00BF17B0">
        <w:rPr>
          <w:rFonts w:asciiTheme="minorHAnsi" w:hAnsiTheme="minorHAnsi" w:cstheme="minorHAnsi"/>
        </w:rPr>
        <w:t xml:space="preserve">ystems (GIS). The Basic Education </w:t>
      </w:r>
      <w:r w:rsidR="002827B0" w:rsidRPr="00BF17B0">
        <w:rPr>
          <w:rFonts w:asciiTheme="minorHAnsi" w:hAnsiTheme="minorHAnsi" w:cstheme="minorHAnsi"/>
        </w:rPr>
        <w:t>Public Expenditure Tracking Survey - Quality of Service Delivery Survey</w:t>
      </w:r>
      <w:r w:rsidRPr="00BF17B0">
        <w:rPr>
          <w:rFonts w:asciiTheme="minorHAnsi" w:hAnsiTheme="minorHAnsi" w:cstheme="minorHAnsi"/>
        </w:rPr>
        <w:t xml:space="preserve"> </w:t>
      </w:r>
      <w:r w:rsidR="002827B0" w:rsidRPr="00BF17B0">
        <w:rPr>
          <w:rFonts w:asciiTheme="minorHAnsi" w:hAnsiTheme="minorHAnsi" w:cstheme="minorHAnsi"/>
        </w:rPr>
        <w:t xml:space="preserve">used </w:t>
      </w:r>
      <w:r w:rsidRPr="00BF17B0">
        <w:rPr>
          <w:rFonts w:asciiTheme="minorHAnsi" w:hAnsiTheme="minorHAnsi" w:cstheme="minorHAnsi"/>
        </w:rPr>
        <w:t>a</w:t>
      </w:r>
      <w:r w:rsidR="002827B0" w:rsidRPr="00BF17B0">
        <w:rPr>
          <w:rFonts w:asciiTheme="minorHAnsi" w:hAnsiTheme="minorHAnsi" w:cstheme="minorHAnsi"/>
        </w:rPr>
        <w:t xml:space="preserve"> </w:t>
      </w:r>
      <w:r w:rsidR="00FB49D7" w:rsidRPr="00BF17B0">
        <w:rPr>
          <w:rFonts w:asciiTheme="minorHAnsi" w:hAnsiTheme="minorHAnsi" w:cstheme="minorHAnsi"/>
        </w:rPr>
        <w:t>consultative process with stakeholders that was maintained throughout the work and ensured ownership of the outcomes</w:t>
      </w:r>
      <w:r w:rsidR="00EB211F" w:rsidRPr="00BF17B0">
        <w:rPr>
          <w:rFonts w:asciiTheme="minorHAnsi" w:hAnsiTheme="minorHAnsi" w:cstheme="minorHAnsi"/>
        </w:rPr>
        <w:t xml:space="preserve">. </w:t>
      </w:r>
      <w:r w:rsidR="002827B0" w:rsidRPr="00BF17B0">
        <w:rPr>
          <w:rFonts w:asciiTheme="minorHAnsi" w:hAnsiTheme="minorHAnsi" w:cstheme="minorHAnsi"/>
        </w:rPr>
        <w:t>Other innovations include</w:t>
      </w:r>
      <w:r w:rsidR="00AA7FEB" w:rsidRPr="00BF17B0">
        <w:rPr>
          <w:rFonts w:asciiTheme="minorHAnsi" w:hAnsiTheme="minorHAnsi" w:cstheme="minorHAnsi"/>
        </w:rPr>
        <w:t>d</w:t>
      </w:r>
      <w:r w:rsidR="002827B0" w:rsidRPr="00BF17B0">
        <w:rPr>
          <w:rFonts w:asciiTheme="minorHAnsi" w:hAnsiTheme="minorHAnsi" w:cstheme="minorHAnsi"/>
        </w:rPr>
        <w:t xml:space="preserve"> t</w:t>
      </w:r>
      <w:r w:rsidR="00FB49D7" w:rsidRPr="00BF17B0">
        <w:rPr>
          <w:rFonts w:asciiTheme="minorHAnsi" w:hAnsiTheme="minorHAnsi" w:cstheme="minorHAnsi"/>
        </w:rPr>
        <w:t xml:space="preserve">he </w:t>
      </w:r>
      <w:r w:rsidR="00A52F75" w:rsidRPr="00BF17B0">
        <w:rPr>
          <w:rFonts w:asciiTheme="minorHAnsi" w:hAnsiTheme="minorHAnsi" w:cstheme="minorHAnsi"/>
        </w:rPr>
        <w:t xml:space="preserve">classroom design by </w:t>
      </w:r>
      <w:r w:rsidR="00FB49D7" w:rsidRPr="00BF17B0">
        <w:rPr>
          <w:rFonts w:asciiTheme="minorHAnsi" w:hAnsiTheme="minorHAnsi" w:cstheme="minorHAnsi"/>
        </w:rPr>
        <w:t>KALAHI</w:t>
      </w:r>
      <w:r w:rsidR="00AA7FEB" w:rsidRPr="00BF17B0">
        <w:rPr>
          <w:rFonts w:asciiTheme="minorHAnsi" w:hAnsiTheme="minorHAnsi" w:cstheme="minorHAnsi"/>
        </w:rPr>
        <w:t xml:space="preserve"> </w:t>
      </w:r>
      <w:r w:rsidR="00FB49D7" w:rsidRPr="00BF17B0">
        <w:rPr>
          <w:rFonts w:asciiTheme="minorHAnsi" w:hAnsiTheme="minorHAnsi" w:cstheme="minorHAnsi"/>
        </w:rPr>
        <w:t>-</w:t>
      </w:r>
      <w:r w:rsidR="00A52F75" w:rsidRPr="00BF17B0">
        <w:rPr>
          <w:rFonts w:asciiTheme="minorHAnsi" w:hAnsiTheme="minorHAnsi" w:cstheme="minorHAnsi"/>
        </w:rPr>
        <w:t xml:space="preserve"> Comprehensive and Integrated Delivery of Social Services</w:t>
      </w:r>
      <w:r w:rsidR="002827B0" w:rsidRPr="00BF17B0">
        <w:rPr>
          <w:rFonts w:asciiTheme="minorHAnsi" w:hAnsiTheme="minorHAnsi" w:cstheme="minorHAnsi"/>
        </w:rPr>
        <w:t xml:space="preserve">; </w:t>
      </w:r>
      <w:r w:rsidR="00FB49D7" w:rsidRPr="00BF17B0">
        <w:rPr>
          <w:rFonts w:asciiTheme="minorHAnsi" w:hAnsiTheme="minorHAnsi" w:cstheme="minorHAnsi"/>
        </w:rPr>
        <w:t>the development of the household targeting system (Listahanan)</w:t>
      </w:r>
      <w:r w:rsidR="002827B0" w:rsidRPr="00BF17B0">
        <w:rPr>
          <w:rFonts w:asciiTheme="minorHAnsi" w:hAnsiTheme="minorHAnsi" w:cstheme="minorHAnsi"/>
        </w:rPr>
        <w:t>,</w:t>
      </w:r>
      <w:r w:rsidR="00FB49D7" w:rsidRPr="00BF17B0">
        <w:rPr>
          <w:rFonts w:asciiTheme="minorHAnsi" w:hAnsiTheme="minorHAnsi" w:cstheme="minorHAnsi"/>
        </w:rPr>
        <w:t xml:space="preserve"> which is now used by many agencies to identify their own program</w:t>
      </w:r>
      <w:r w:rsidR="00AF6D5B" w:rsidRPr="00BF17B0">
        <w:rPr>
          <w:rFonts w:asciiTheme="minorHAnsi" w:hAnsiTheme="minorHAnsi" w:cstheme="minorHAnsi"/>
        </w:rPr>
        <w:t xml:space="preserve"> </w:t>
      </w:r>
      <w:r w:rsidR="00FB49D7" w:rsidRPr="00BF17B0">
        <w:rPr>
          <w:rFonts w:asciiTheme="minorHAnsi" w:hAnsiTheme="minorHAnsi" w:cstheme="minorHAnsi"/>
        </w:rPr>
        <w:t>beneficiaries</w:t>
      </w:r>
      <w:r w:rsidR="002827B0" w:rsidRPr="00BF17B0">
        <w:rPr>
          <w:rFonts w:asciiTheme="minorHAnsi" w:hAnsiTheme="minorHAnsi" w:cstheme="minorHAnsi"/>
        </w:rPr>
        <w:t xml:space="preserve">; </w:t>
      </w:r>
      <w:r w:rsidR="00FB49D7" w:rsidRPr="00BF17B0">
        <w:rPr>
          <w:rFonts w:asciiTheme="minorHAnsi" w:hAnsiTheme="minorHAnsi" w:cstheme="minorHAnsi"/>
        </w:rPr>
        <w:t>climate budgeting</w:t>
      </w:r>
      <w:r w:rsidR="002827B0" w:rsidRPr="00BF17B0">
        <w:rPr>
          <w:rFonts w:asciiTheme="minorHAnsi" w:hAnsiTheme="minorHAnsi" w:cstheme="minorHAnsi"/>
        </w:rPr>
        <w:t xml:space="preserve">, which </w:t>
      </w:r>
      <w:r w:rsidR="005A7009" w:rsidRPr="00BF17B0">
        <w:rPr>
          <w:rFonts w:asciiTheme="minorHAnsi" w:hAnsiTheme="minorHAnsi" w:cstheme="minorHAnsi"/>
        </w:rPr>
        <w:t xml:space="preserve">put the Philippines at the forefront of global </w:t>
      </w:r>
      <w:r w:rsidR="002058D5" w:rsidRPr="00BF17B0">
        <w:rPr>
          <w:rFonts w:asciiTheme="minorHAnsi" w:hAnsiTheme="minorHAnsi" w:cstheme="minorHAnsi"/>
        </w:rPr>
        <w:t xml:space="preserve">climate </w:t>
      </w:r>
      <w:r w:rsidR="005A7009" w:rsidRPr="00BF17B0">
        <w:rPr>
          <w:rFonts w:asciiTheme="minorHAnsi" w:hAnsiTheme="minorHAnsi" w:cstheme="minorHAnsi"/>
        </w:rPr>
        <w:t>dialogue</w:t>
      </w:r>
      <w:r w:rsidR="002827B0" w:rsidRPr="00BF17B0">
        <w:rPr>
          <w:rFonts w:asciiTheme="minorHAnsi" w:hAnsiTheme="minorHAnsi" w:cstheme="minorHAnsi"/>
        </w:rPr>
        <w:t>;</w:t>
      </w:r>
      <w:r w:rsidR="00FB49D7" w:rsidRPr="00BF17B0">
        <w:rPr>
          <w:rFonts w:asciiTheme="minorHAnsi" w:hAnsiTheme="minorHAnsi" w:cstheme="minorHAnsi"/>
        </w:rPr>
        <w:t xml:space="preserve"> and the </w:t>
      </w:r>
      <w:r w:rsidR="000058FB" w:rsidRPr="00BF17B0">
        <w:rPr>
          <w:rFonts w:asciiTheme="minorHAnsi" w:hAnsiTheme="minorHAnsi" w:cstheme="minorHAnsi"/>
        </w:rPr>
        <w:t>study</w:t>
      </w:r>
      <w:r w:rsidR="00CB2BA5" w:rsidRPr="00BF17B0">
        <w:rPr>
          <w:rFonts w:asciiTheme="minorHAnsi" w:hAnsiTheme="minorHAnsi" w:cstheme="minorHAnsi"/>
        </w:rPr>
        <w:t xml:space="preserve"> </w:t>
      </w:r>
      <w:r w:rsidR="00FB49D7" w:rsidRPr="00BF17B0">
        <w:rPr>
          <w:rFonts w:asciiTheme="minorHAnsi" w:hAnsiTheme="minorHAnsi" w:cstheme="minorHAnsi"/>
        </w:rPr>
        <w:t xml:space="preserve">of sustainable housing solutions for </w:t>
      </w:r>
      <w:r w:rsidR="00A52F75" w:rsidRPr="00BF17B0">
        <w:rPr>
          <w:rFonts w:asciiTheme="minorHAnsi" w:hAnsiTheme="minorHAnsi" w:cstheme="minorHAnsi"/>
        </w:rPr>
        <w:t>i</w:t>
      </w:r>
      <w:r w:rsidR="00FB49D7" w:rsidRPr="00BF17B0">
        <w:rPr>
          <w:rFonts w:asciiTheme="minorHAnsi" w:hAnsiTheme="minorHAnsi" w:cstheme="minorHAnsi"/>
        </w:rPr>
        <w:t xml:space="preserve">nformal </w:t>
      </w:r>
      <w:r w:rsidR="002827B0" w:rsidRPr="00BF17B0">
        <w:rPr>
          <w:rFonts w:asciiTheme="minorHAnsi" w:hAnsiTheme="minorHAnsi" w:cstheme="minorHAnsi"/>
        </w:rPr>
        <w:t>s</w:t>
      </w:r>
      <w:r w:rsidR="00FB49D7" w:rsidRPr="00BF17B0">
        <w:rPr>
          <w:rFonts w:asciiTheme="minorHAnsi" w:hAnsiTheme="minorHAnsi" w:cstheme="minorHAnsi"/>
        </w:rPr>
        <w:t xml:space="preserve">ettler </w:t>
      </w:r>
      <w:r w:rsidR="002827B0" w:rsidRPr="00BF17B0">
        <w:rPr>
          <w:rFonts w:asciiTheme="minorHAnsi" w:hAnsiTheme="minorHAnsi" w:cstheme="minorHAnsi"/>
        </w:rPr>
        <w:t>f</w:t>
      </w:r>
      <w:r w:rsidR="00FB49D7" w:rsidRPr="00BF17B0">
        <w:rPr>
          <w:rFonts w:asciiTheme="minorHAnsi" w:hAnsiTheme="minorHAnsi" w:cstheme="minorHAnsi"/>
        </w:rPr>
        <w:t>amilies in danger zones</w:t>
      </w:r>
      <w:r w:rsidR="002827B0" w:rsidRPr="00BF17B0">
        <w:rPr>
          <w:rFonts w:asciiTheme="minorHAnsi" w:hAnsiTheme="minorHAnsi" w:cstheme="minorHAnsi"/>
        </w:rPr>
        <w:t>, which</w:t>
      </w:r>
      <w:r w:rsidR="00FB49D7" w:rsidRPr="00BF17B0">
        <w:rPr>
          <w:rFonts w:asciiTheme="minorHAnsi" w:hAnsiTheme="minorHAnsi" w:cstheme="minorHAnsi"/>
        </w:rPr>
        <w:t xml:space="preserve"> resulted in </w:t>
      </w:r>
      <w:r w:rsidR="002827B0" w:rsidRPr="00BF17B0">
        <w:rPr>
          <w:rFonts w:asciiTheme="minorHAnsi" w:hAnsiTheme="minorHAnsi" w:cstheme="minorHAnsi"/>
        </w:rPr>
        <w:t xml:space="preserve">the </w:t>
      </w:r>
      <w:r w:rsidR="00FB49D7" w:rsidRPr="00BF17B0">
        <w:rPr>
          <w:rFonts w:asciiTheme="minorHAnsi" w:hAnsiTheme="minorHAnsi" w:cstheme="minorHAnsi"/>
        </w:rPr>
        <w:t xml:space="preserve">development of new policy instruments such as </w:t>
      </w:r>
      <w:r w:rsidR="001639F3" w:rsidRPr="00BF17B0">
        <w:rPr>
          <w:rFonts w:asciiTheme="minorHAnsi" w:hAnsiTheme="minorHAnsi" w:cstheme="minorHAnsi"/>
        </w:rPr>
        <w:t>income-based</w:t>
      </w:r>
      <w:r w:rsidR="00FB49D7" w:rsidRPr="00BF17B0">
        <w:rPr>
          <w:rFonts w:asciiTheme="minorHAnsi" w:hAnsiTheme="minorHAnsi" w:cstheme="minorHAnsi"/>
        </w:rPr>
        <w:t xml:space="preserve"> subsidies and rental subsidies.</w:t>
      </w:r>
      <w:r w:rsidR="007779A0" w:rsidRPr="00BF17B0">
        <w:rPr>
          <w:rFonts w:asciiTheme="minorHAnsi" w:hAnsiTheme="minorHAnsi" w:cstheme="minorHAnsi"/>
        </w:rPr>
        <w:t xml:space="preserve"> </w:t>
      </w:r>
    </w:p>
    <w:p w14:paraId="01364615" w14:textId="77777777" w:rsidR="009469C2" w:rsidRPr="00BF17B0" w:rsidRDefault="009469C2" w:rsidP="009469C2">
      <w:pPr>
        <w:rPr>
          <w:rFonts w:asciiTheme="minorHAnsi" w:hAnsiTheme="minorHAnsi" w:cstheme="minorHAnsi"/>
        </w:rPr>
      </w:pPr>
    </w:p>
    <w:p w14:paraId="1A2B4D07" w14:textId="77777777" w:rsidR="005B633F" w:rsidRPr="00BF17B0" w:rsidRDefault="005B633F" w:rsidP="009C79EB">
      <w:pPr>
        <w:pStyle w:val="Heading3"/>
      </w:pPr>
      <w:r w:rsidRPr="00BF17B0">
        <w:t>Private Sector Engagement</w:t>
      </w:r>
    </w:p>
    <w:p w14:paraId="0A36BE45" w14:textId="77777777" w:rsidR="005D4569" w:rsidRPr="00BF17B0" w:rsidRDefault="00FB49D7" w:rsidP="005B4577">
      <w:pPr>
        <w:rPr>
          <w:rFonts w:asciiTheme="minorHAnsi" w:hAnsiTheme="minorHAnsi" w:cstheme="minorHAnsi"/>
        </w:rPr>
      </w:pPr>
      <w:r w:rsidRPr="00BF17B0">
        <w:rPr>
          <w:rFonts w:asciiTheme="minorHAnsi" w:hAnsiTheme="minorHAnsi" w:cstheme="minorHAnsi"/>
        </w:rPr>
        <w:t xml:space="preserve">One of the </w:t>
      </w:r>
      <w:r w:rsidR="00A93A4C" w:rsidRPr="00BF17B0">
        <w:rPr>
          <w:rFonts w:asciiTheme="minorHAnsi" w:hAnsiTheme="minorHAnsi" w:cstheme="minorHAnsi"/>
        </w:rPr>
        <w:t>PH-</w:t>
      </w:r>
      <w:r w:rsidR="00A53818" w:rsidRPr="00BF17B0">
        <w:rPr>
          <w:rFonts w:asciiTheme="minorHAnsi" w:hAnsiTheme="minorHAnsi" w:cstheme="minorHAnsi"/>
        </w:rPr>
        <w:t>PTF</w:t>
      </w:r>
      <w:r w:rsidRPr="00BF17B0">
        <w:rPr>
          <w:rFonts w:asciiTheme="minorHAnsi" w:hAnsiTheme="minorHAnsi" w:cstheme="minorHAnsi"/>
        </w:rPr>
        <w:t xml:space="preserve"> grants reviewed in detail</w:t>
      </w:r>
      <w:r w:rsidR="007779A0" w:rsidRPr="00BF17B0">
        <w:rPr>
          <w:rFonts w:asciiTheme="minorHAnsi" w:hAnsiTheme="minorHAnsi" w:cstheme="minorHAnsi"/>
        </w:rPr>
        <w:t>, the Technical Assistance for Public-Private Partnerships,</w:t>
      </w:r>
      <w:r w:rsidRPr="00BF17B0">
        <w:rPr>
          <w:rFonts w:asciiTheme="minorHAnsi" w:hAnsiTheme="minorHAnsi" w:cstheme="minorHAnsi"/>
        </w:rPr>
        <w:t xml:space="preserve"> was </w:t>
      </w:r>
      <w:r w:rsidR="002827B0" w:rsidRPr="00BF17B0">
        <w:rPr>
          <w:rFonts w:asciiTheme="minorHAnsi" w:hAnsiTheme="minorHAnsi" w:cstheme="minorHAnsi"/>
        </w:rPr>
        <w:t xml:space="preserve">focused </w:t>
      </w:r>
      <w:r w:rsidRPr="00BF17B0">
        <w:rPr>
          <w:rFonts w:asciiTheme="minorHAnsi" w:hAnsiTheme="minorHAnsi" w:cstheme="minorHAnsi"/>
        </w:rPr>
        <w:t>on private sector</w:t>
      </w:r>
      <w:r w:rsidR="00C67BFA" w:rsidRPr="00BF17B0">
        <w:rPr>
          <w:rFonts w:asciiTheme="minorHAnsi" w:hAnsiTheme="minorHAnsi" w:cstheme="minorHAnsi"/>
        </w:rPr>
        <w:t xml:space="preserve"> engagement</w:t>
      </w:r>
      <w:r w:rsidR="007779A0" w:rsidRPr="00BF17B0">
        <w:rPr>
          <w:rFonts w:asciiTheme="minorHAnsi" w:hAnsiTheme="minorHAnsi" w:cstheme="minorHAnsi"/>
        </w:rPr>
        <w:t xml:space="preserve">. </w:t>
      </w:r>
      <w:r w:rsidR="003679F3" w:rsidRPr="00BF17B0">
        <w:rPr>
          <w:rFonts w:asciiTheme="minorHAnsi" w:hAnsiTheme="minorHAnsi" w:cstheme="minorHAnsi"/>
        </w:rPr>
        <w:t xml:space="preserve">The </w:t>
      </w:r>
      <w:r w:rsidR="002827B0" w:rsidRPr="00BF17B0">
        <w:rPr>
          <w:rFonts w:asciiTheme="minorHAnsi" w:hAnsiTheme="minorHAnsi" w:cstheme="minorHAnsi"/>
        </w:rPr>
        <w:t xml:space="preserve">technical assistance </w:t>
      </w:r>
      <w:r w:rsidR="003679F3" w:rsidRPr="00BF17B0">
        <w:rPr>
          <w:rFonts w:asciiTheme="minorHAnsi" w:hAnsiTheme="minorHAnsi" w:cstheme="minorHAnsi"/>
        </w:rPr>
        <w:t xml:space="preserve">supported </w:t>
      </w:r>
      <w:r w:rsidR="002827B0" w:rsidRPr="00BF17B0">
        <w:rPr>
          <w:rFonts w:asciiTheme="minorHAnsi" w:hAnsiTheme="minorHAnsi" w:cstheme="minorHAnsi"/>
        </w:rPr>
        <w:t xml:space="preserve">public-private partnership </w:t>
      </w:r>
      <w:r w:rsidR="003679F3" w:rsidRPr="00BF17B0">
        <w:rPr>
          <w:rFonts w:asciiTheme="minorHAnsi" w:hAnsiTheme="minorHAnsi" w:cstheme="minorHAnsi"/>
        </w:rPr>
        <w:t xml:space="preserve">initiatives in a wide range of </w:t>
      </w:r>
      <w:r w:rsidR="002827B0" w:rsidRPr="00BF17B0">
        <w:rPr>
          <w:rFonts w:asciiTheme="minorHAnsi" w:hAnsiTheme="minorHAnsi" w:cstheme="minorHAnsi"/>
        </w:rPr>
        <w:t>areas,</w:t>
      </w:r>
      <w:r w:rsidR="003679F3" w:rsidRPr="00BF17B0">
        <w:rPr>
          <w:rFonts w:asciiTheme="minorHAnsi" w:hAnsiTheme="minorHAnsi" w:cstheme="minorHAnsi"/>
        </w:rPr>
        <w:t xml:space="preserve"> including </w:t>
      </w:r>
      <w:r w:rsidR="002827B0" w:rsidRPr="00BF17B0">
        <w:rPr>
          <w:rFonts w:asciiTheme="minorHAnsi" w:hAnsiTheme="minorHAnsi" w:cstheme="minorHAnsi"/>
        </w:rPr>
        <w:t>e</w:t>
      </w:r>
      <w:r w:rsidR="003679F3" w:rsidRPr="00BF17B0">
        <w:rPr>
          <w:rFonts w:asciiTheme="minorHAnsi" w:hAnsiTheme="minorHAnsi" w:cstheme="minorHAnsi"/>
        </w:rPr>
        <w:t xml:space="preserve">lectric </w:t>
      </w:r>
      <w:r w:rsidR="002827B0" w:rsidRPr="00BF17B0">
        <w:rPr>
          <w:rFonts w:asciiTheme="minorHAnsi" w:hAnsiTheme="minorHAnsi" w:cstheme="minorHAnsi"/>
        </w:rPr>
        <w:t>c</w:t>
      </w:r>
      <w:r w:rsidR="003679F3" w:rsidRPr="00BF17B0">
        <w:rPr>
          <w:rFonts w:asciiTheme="minorHAnsi" w:hAnsiTheme="minorHAnsi" w:cstheme="minorHAnsi"/>
        </w:rPr>
        <w:t xml:space="preserve">ooperatives, </w:t>
      </w:r>
      <w:r w:rsidR="002827B0" w:rsidRPr="00BF17B0">
        <w:rPr>
          <w:rFonts w:asciiTheme="minorHAnsi" w:hAnsiTheme="minorHAnsi" w:cstheme="minorHAnsi"/>
        </w:rPr>
        <w:t>l</w:t>
      </w:r>
      <w:r w:rsidR="003679F3" w:rsidRPr="00BF17B0">
        <w:rPr>
          <w:rFonts w:asciiTheme="minorHAnsi" w:hAnsiTheme="minorHAnsi" w:cstheme="minorHAnsi"/>
        </w:rPr>
        <w:t xml:space="preserve">iquid </w:t>
      </w:r>
      <w:r w:rsidR="002827B0" w:rsidRPr="00BF17B0">
        <w:rPr>
          <w:rFonts w:asciiTheme="minorHAnsi" w:hAnsiTheme="minorHAnsi" w:cstheme="minorHAnsi"/>
        </w:rPr>
        <w:t>n</w:t>
      </w:r>
      <w:r w:rsidR="003679F3" w:rsidRPr="00BF17B0">
        <w:rPr>
          <w:rFonts w:asciiTheme="minorHAnsi" w:hAnsiTheme="minorHAnsi" w:cstheme="minorHAnsi"/>
        </w:rPr>
        <w:t xml:space="preserve">atural </w:t>
      </w:r>
      <w:r w:rsidR="002827B0" w:rsidRPr="00BF17B0">
        <w:rPr>
          <w:rFonts w:asciiTheme="minorHAnsi" w:hAnsiTheme="minorHAnsi" w:cstheme="minorHAnsi"/>
        </w:rPr>
        <w:t>g</w:t>
      </w:r>
      <w:r w:rsidR="003679F3" w:rsidRPr="00BF17B0">
        <w:rPr>
          <w:rFonts w:asciiTheme="minorHAnsi" w:hAnsiTheme="minorHAnsi" w:cstheme="minorHAnsi"/>
        </w:rPr>
        <w:t>as, Metro Manila Bus Rapid Transport</w:t>
      </w:r>
      <w:r w:rsidR="004A24B8" w:rsidRPr="00BF17B0">
        <w:rPr>
          <w:rFonts w:asciiTheme="minorHAnsi" w:hAnsiTheme="minorHAnsi" w:cstheme="minorHAnsi"/>
        </w:rPr>
        <w:t xml:space="preserve"> </w:t>
      </w:r>
      <w:r w:rsidR="003679F3" w:rsidRPr="00BF17B0">
        <w:rPr>
          <w:rFonts w:asciiTheme="minorHAnsi" w:hAnsiTheme="minorHAnsi" w:cstheme="minorHAnsi"/>
        </w:rPr>
        <w:t>network, sewage treatment and collection options to reduce pollution in Manila Bay,</w:t>
      </w:r>
      <w:r w:rsidR="002827B0" w:rsidRPr="00BF17B0">
        <w:rPr>
          <w:rFonts w:asciiTheme="minorHAnsi" w:hAnsiTheme="minorHAnsi" w:cstheme="minorHAnsi"/>
        </w:rPr>
        <w:t xml:space="preserve"> </w:t>
      </w:r>
      <w:r w:rsidR="003679F3" w:rsidRPr="00BF17B0">
        <w:rPr>
          <w:rFonts w:asciiTheme="minorHAnsi" w:hAnsiTheme="minorHAnsi" w:cstheme="minorHAnsi"/>
        </w:rPr>
        <w:t xml:space="preserve">development of </w:t>
      </w:r>
      <w:r w:rsidR="002827B0" w:rsidRPr="00BF17B0">
        <w:rPr>
          <w:rFonts w:asciiTheme="minorHAnsi" w:hAnsiTheme="minorHAnsi" w:cstheme="minorHAnsi"/>
        </w:rPr>
        <w:t xml:space="preserve">the historic </w:t>
      </w:r>
      <w:r w:rsidR="00A93A4C" w:rsidRPr="00BF17B0">
        <w:rPr>
          <w:rFonts w:asciiTheme="minorHAnsi" w:hAnsiTheme="minorHAnsi" w:cstheme="minorHAnsi"/>
        </w:rPr>
        <w:t>W</w:t>
      </w:r>
      <w:r w:rsidR="002827B0" w:rsidRPr="00BF17B0">
        <w:rPr>
          <w:rFonts w:asciiTheme="minorHAnsi" w:hAnsiTheme="minorHAnsi" w:cstheme="minorHAnsi"/>
        </w:rPr>
        <w:t xml:space="preserve">alled </w:t>
      </w:r>
      <w:r w:rsidR="00A93A4C" w:rsidRPr="00BF17B0">
        <w:rPr>
          <w:rFonts w:asciiTheme="minorHAnsi" w:hAnsiTheme="minorHAnsi" w:cstheme="minorHAnsi"/>
        </w:rPr>
        <w:t>C</w:t>
      </w:r>
      <w:r w:rsidR="002827B0" w:rsidRPr="00BF17B0">
        <w:rPr>
          <w:rFonts w:asciiTheme="minorHAnsi" w:hAnsiTheme="minorHAnsi" w:cstheme="minorHAnsi"/>
        </w:rPr>
        <w:t xml:space="preserve">ity of </w:t>
      </w:r>
      <w:r w:rsidR="003679F3" w:rsidRPr="00BF17B0">
        <w:rPr>
          <w:rFonts w:asciiTheme="minorHAnsi" w:hAnsiTheme="minorHAnsi" w:cstheme="minorHAnsi"/>
        </w:rPr>
        <w:t>Intramuros, Integrated Agro-Food Parks, hospital moderni</w:t>
      </w:r>
      <w:r w:rsidR="002827B0" w:rsidRPr="00BF17B0">
        <w:rPr>
          <w:rFonts w:asciiTheme="minorHAnsi" w:hAnsiTheme="minorHAnsi" w:cstheme="minorHAnsi"/>
        </w:rPr>
        <w:t>z</w:t>
      </w:r>
      <w:r w:rsidR="003679F3" w:rsidRPr="00BF17B0">
        <w:rPr>
          <w:rFonts w:asciiTheme="minorHAnsi" w:hAnsiTheme="minorHAnsi" w:cstheme="minorHAnsi"/>
        </w:rPr>
        <w:t xml:space="preserve">ation, </w:t>
      </w:r>
      <w:r w:rsidR="002827B0" w:rsidRPr="00BF17B0">
        <w:rPr>
          <w:rFonts w:asciiTheme="minorHAnsi" w:hAnsiTheme="minorHAnsi" w:cstheme="minorHAnsi"/>
        </w:rPr>
        <w:t xml:space="preserve">Cavite-Laguna </w:t>
      </w:r>
      <w:r w:rsidR="003679F3" w:rsidRPr="00BF17B0">
        <w:rPr>
          <w:rFonts w:asciiTheme="minorHAnsi" w:hAnsiTheme="minorHAnsi" w:cstheme="minorHAnsi"/>
        </w:rPr>
        <w:t>Expressway</w:t>
      </w:r>
      <w:r w:rsidR="002827B0" w:rsidRPr="00BF17B0">
        <w:rPr>
          <w:rFonts w:asciiTheme="minorHAnsi" w:hAnsiTheme="minorHAnsi" w:cstheme="minorHAnsi"/>
        </w:rPr>
        <w:t>,</w:t>
      </w:r>
      <w:r w:rsidR="003679F3" w:rsidRPr="00BF17B0">
        <w:rPr>
          <w:rFonts w:asciiTheme="minorHAnsi" w:hAnsiTheme="minorHAnsi" w:cstheme="minorHAnsi"/>
        </w:rPr>
        <w:t xml:space="preserve"> and a strategy for </w:t>
      </w:r>
      <w:r w:rsidR="002827B0" w:rsidRPr="00BF17B0">
        <w:rPr>
          <w:rFonts w:asciiTheme="minorHAnsi" w:hAnsiTheme="minorHAnsi" w:cstheme="minorHAnsi"/>
        </w:rPr>
        <w:t xml:space="preserve">the </w:t>
      </w:r>
      <w:r w:rsidR="003679F3" w:rsidRPr="00BF17B0">
        <w:rPr>
          <w:rFonts w:asciiTheme="minorHAnsi" w:hAnsiTheme="minorHAnsi" w:cstheme="minorHAnsi"/>
        </w:rPr>
        <w:t>development of smaller domestic airports</w:t>
      </w:r>
      <w:r w:rsidR="004A24B8" w:rsidRPr="00BF17B0">
        <w:rPr>
          <w:rFonts w:asciiTheme="minorHAnsi" w:hAnsiTheme="minorHAnsi" w:cstheme="minorHAnsi"/>
        </w:rPr>
        <w:t>.</w:t>
      </w:r>
    </w:p>
    <w:p w14:paraId="712E08EF" w14:textId="77777777" w:rsidR="00D62491" w:rsidRPr="00BF17B0" w:rsidRDefault="003679F3">
      <w:pPr>
        <w:rPr>
          <w:rFonts w:asciiTheme="minorHAnsi" w:hAnsiTheme="minorHAnsi" w:cstheme="minorHAnsi"/>
        </w:rPr>
      </w:pPr>
      <w:r w:rsidRPr="00BF17B0">
        <w:rPr>
          <w:rFonts w:asciiTheme="minorHAnsi" w:hAnsiTheme="minorHAnsi" w:cstheme="minorHAnsi"/>
        </w:rPr>
        <w:t>Several other grants involved</w:t>
      </w:r>
      <w:r w:rsidR="002827B0" w:rsidRPr="00BF17B0">
        <w:rPr>
          <w:rFonts w:asciiTheme="minorHAnsi" w:hAnsiTheme="minorHAnsi" w:cstheme="minorHAnsi"/>
        </w:rPr>
        <w:t xml:space="preserve"> </w:t>
      </w:r>
      <w:r w:rsidRPr="00BF17B0">
        <w:rPr>
          <w:rFonts w:asciiTheme="minorHAnsi" w:hAnsiTheme="minorHAnsi" w:cstheme="minorHAnsi"/>
        </w:rPr>
        <w:t>private sector partners</w:t>
      </w:r>
      <w:r w:rsidR="00EB211F" w:rsidRPr="00BF17B0">
        <w:rPr>
          <w:rFonts w:asciiTheme="minorHAnsi" w:hAnsiTheme="minorHAnsi" w:cstheme="minorHAnsi"/>
        </w:rPr>
        <w:t xml:space="preserve">. </w:t>
      </w:r>
      <w:r w:rsidRPr="00BF17B0">
        <w:rPr>
          <w:rFonts w:asciiTheme="minorHAnsi" w:hAnsiTheme="minorHAnsi" w:cstheme="minorHAnsi"/>
        </w:rPr>
        <w:t>These includ</w:t>
      </w:r>
      <w:r w:rsidR="002827B0" w:rsidRPr="00BF17B0">
        <w:rPr>
          <w:rFonts w:asciiTheme="minorHAnsi" w:hAnsiTheme="minorHAnsi" w:cstheme="minorHAnsi"/>
        </w:rPr>
        <w:t>e</w:t>
      </w:r>
      <w:r w:rsidR="00A1766D" w:rsidRPr="00BF17B0">
        <w:rPr>
          <w:rFonts w:asciiTheme="minorHAnsi" w:hAnsiTheme="minorHAnsi" w:cstheme="minorHAnsi"/>
        </w:rPr>
        <w:t>d</w:t>
      </w:r>
      <w:r w:rsidR="002827B0" w:rsidRPr="00BF17B0">
        <w:rPr>
          <w:rFonts w:asciiTheme="minorHAnsi" w:hAnsiTheme="minorHAnsi" w:cstheme="minorHAnsi"/>
        </w:rPr>
        <w:t xml:space="preserve"> </w:t>
      </w:r>
      <w:r w:rsidRPr="00BF17B0">
        <w:rPr>
          <w:rFonts w:asciiTheme="minorHAnsi" w:hAnsiTheme="minorHAnsi" w:cstheme="minorHAnsi"/>
        </w:rPr>
        <w:t>the Mindanao Land Conflict Study</w:t>
      </w:r>
      <w:r w:rsidR="002827B0" w:rsidRPr="00BF17B0">
        <w:rPr>
          <w:rFonts w:asciiTheme="minorHAnsi" w:hAnsiTheme="minorHAnsi" w:cstheme="minorHAnsi"/>
        </w:rPr>
        <w:t>;</w:t>
      </w:r>
      <w:r w:rsidRPr="00BF17B0">
        <w:rPr>
          <w:rFonts w:asciiTheme="minorHAnsi" w:hAnsiTheme="minorHAnsi" w:cstheme="minorHAnsi"/>
        </w:rPr>
        <w:t xml:space="preserve"> </w:t>
      </w:r>
      <w:r w:rsidR="002827B0" w:rsidRPr="00BF17B0">
        <w:rPr>
          <w:rFonts w:asciiTheme="minorHAnsi" w:hAnsiTheme="minorHAnsi" w:cstheme="minorHAnsi"/>
        </w:rPr>
        <w:t>Program for Good Governance;</w:t>
      </w:r>
      <w:r w:rsidRPr="00BF17B0">
        <w:rPr>
          <w:rFonts w:asciiTheme="minorHAnsi" w:hAnsiTheme="minorHAnsi" w:cstheme="minorHAnsi"/>
        </w:rPr>
        <w:t xml:space="preserve"> </w:t>
      </w:r>
      <w:r w:rsidR="002827B0" w:rsidRPr="00BF17B0">
        <w:rPr>
          <w:rFonts w:asciiTheme="minorHAnsi" w:hAnsiTheme="minorHAnsi" w:cstheme="minorHAnsi"/>
        </w:rPr>
        <w:t xml:space="preserve">Department of Public Works and Highways </w:t>
      </w:r>
      <w:r w:rsidRPr="00BF17B0">
        <w:rPr>
          <w:rFonts w:asciiTheme="minorHAnsi" w:hAnsiTheme="minorHAnsi" w:cstheme="minorHAnsi"/>
        </w:rPr>
        <w:t>Business Innovations</w:t>
      </w:r>
      <w:r w:rsidR="002827B0" w:rsidRPr="00BF17B0">
        <w:rPr>
          <w:rFonts w:asciiTheme="minorHAnsi" w:hAnsiTheme="minorHAnsi" w:cstheme="minorHAnsi"/>
        </w:rPr>
        <w:t>;</w:t>
      </w:r>
      <w:r w:rsidRPr="00BF17B0">
        <w:rPr>
          <w:rFonts w:asciiTheme="minorHAnsi" w:hAnsiTheme="minorHAnsi" w:cstheme="minorHAnsi"/>
        </w:rPr>
        <w:t xml:space="preserve"> Housing Solutions for </w:t>
      </w:r>
      <w:r w:rsidR="002827B0" w:rsidRPr="00BF17B0">
        <w:rPr>
          <w:rFonts w:asciiTheme="minorHAnsi" w:hAnsiTheme="minorHAnsi" w:cstheme="minorHAnsi"/>
        </w:rPr>
        <w:t xml:space="preserve">Informal Settler Families </w:t>
      </w:r>
      <w:r w:rsidRPr="00BF17B0">
        <w:rPr>
          <w:rFonts w:asciiTheme="minorHAnsi" w:hAnsiTheme="minorHAnsi" w:cstheme="minorHAnsi"/>
        </w:rPr>
        <w:t xml:space="preserve">(where private sector partners </w:t>
      </w:r>
      <w:r w:rsidR="003D5726" w:rsidRPr="00BF17B0">
        <w:rPr>
          <w:rFonts w:asciiTheme="minorHAnsi" w:hAnsiTheme="minorHAnsi" w:cstheme="minorHAnsi"/>
        </w:rPr>
        <w:t>engaged</w:t>
      </w:r>
      <w:r w:rsidRPr="00BF17B0">
        <w:rPr>
          <w:rFonts w:asciiTheme="minorHAnsi" w:hAnsiTheme="minorHAnsi" w:cstheme="minorHAnsi"/>
        </w:rPr>
        <w:t xml:space="preserve"> in low</w:t>
      </w:r>
      <w:r w:rsidR="004C57B9" w:rsidRPr="00BF17B0">
        <w:rPr>
          <w:rFonts w:asciiTheme="minorHAnsi" w:hAnsiTheme="minorHAnsi" w:cstheme="minorHAnsi"/>
        </w:rPr>
        <w:t>-</w:t>
      </w:r>
      <w:r w:rsidRPr="00BF17B0">
        <w:rPr>
          <w:rFonts w:asciiTheme="minorHAnsi" w:hAnsiTheme="minorHAnsi" w:cstheme="minorHAnsi"/>
        </w:rPr>
        <w:t>cost housing provided input</w:t>
      </w:r>
      <w:r w:rsidR="000058FB" w:rsidRPr="00BF17B0">
        <w:rPr>
          <w:rFonts w:asciiTheme="minorHAnsi" w:hAnsiTheme="minorHAnsi" w:cstheme="minorHAnsi"/>
        </w:rPr>
        <w:t xml:space="preserve"> on design standards</w:t>
      </w:r>
      <w:r w:rsidRPr="00BF17B0">
        <w:rPr>
          <w:rFonts w:asciiTheme="minorHAnsi" w:hAnsiTheme="minorHAnsi" w:cstheme="minorHAnsi"/>
        </w:rPr>
        <w:t>)</w:t>
      </w:r>
      <w:r w:rsidR="003D5726" w:rsidRPr="00BF17B0">
        <w:rPr>
          <w:rFonts w:asciiTheme="minorHAnsi" w:hAnsiTheme="minorHAnsi" w:cstheme="minorHAnsi"/>
        </w:rPr>
        <w:t>;</w:t>
      </w:r>
      <w:r w:rsidRPr="00BF17B0">
        <w:rPr>
          <w:rFonts w:asciiTheme="minorHAnsi" w:hAnsiTheme="minorHAnsi" w:cstheme="minorHAnsi"/>
        </w:rPr>
        <w:t xml:space="preserve"> and the ongoing Game Changers </w:t>
      </w:r>
      <w:r w:rsidR="004C57B9" w:rsidRPr="00BF17B0">
        <w:rPr>
          <w:rFonts w:asciiTheme="minorHAnsi" w:hAnsiTheme="minorHAnsi" w:cstheme="minorHAnsi"/>
        </w:rPr>
        <w:t>P</w:t>
      </w:r>
      <w:r w:rsidRPr="00BF17B0">
        <w:rPr>
          <w:rFonts w:asciiTheme="minorHAnsi" w:hAnsiTheme="minorHAnsi" w:cstheme="minorHAnsi"/>
        </w:rPr>
        <w:t>rogram. Some were successful, others experienced difficulties in building productive relationships.</w:t>
      </w:r>
    </w:p>
    <w:p w14:paraId="0E19B34C" w14:textId="77777777" w:rsidR="00387294" w:rsidRPr="00BF17B0" w:rsidRDefault="00387294">
      <w:pPr>
        <w:rPr>
          <w:rFonts w:asciiTheme="minorHAnsi" w:hAnsiTheme="minorHAnsi" w:cstheme="minorHAnsi"/>
        </w:rPr>
      </w:pPr>
    </w:p>
    <w:p w14:paraId="0B002D39" w14:textId="77777777" w:rsidR="00642C6C" w:rsidRPr="00BF17B0" w:rsidRDefault="00642C6C" w:rsidP="00BF07C4">
      <w:pPr>
        <w:pStyle w:val="Heading1"/>
        <w:rPr>
          <w:rFonts w:asciiTheme="minorHAnsi" w:hAnsiTheme="minorHAnsi" w:cstheme="minorHAnsi"/>
        </w:rPr>
      </w:pPr>
      <w:bookmarkStart w:id="210" w:name="_Toc530386744"/>
      <w:bookmarkStart w:id="211" w:name="_Toc530386745"/>
      <w:bookmarkStart w:id="212" w:name="_Ref531043481"/>
      <w:bookmarkStart w:id="213" w:name="_Ref531654604"/>
      <w:bookmarkStart w:id="214" w:name="_Ref531654609"/>
      <w:bookmarkStart w:id="215" w:name="_Toc532994298"/>
      <w:bookmarkEnd w:id="210"/>
      <w:bookmarkEnd w:id="211"/>
      <w:r w:rsidRPr="00BF17B0">
        <w:rPr>
          <w:rFonts w:asciiTheme="minorHAnsi" w:hAnsiTheme="minorHAnsi" w:cstheme="minorHAnsi"/>
        </w:rPr>
        <w:t>Lessons Learned and Recommendations</w:t>
      </w:r>
      <w:bookmarkEnd w:id="212"/>
      <w:bookmarkEnd w:id="213"/>
      <w:bookmarkEnd w:id="214"/>
      <w:bookmarkEnd w:id="215"/>
    </w:p>
    <w:p w14:paraId="20D3A98B" w14:textId="77777777" w:rsidR="00CA5040" w:rsidRPr="00BF17B0" w:rsidRDefault="00F36D9C" w:rsidP="000A59A6">
      <w:pPr>
        <w:rPr>
          <w:rFonts w:asciiTheme="minorHAnsi" w:hAnsiTheme="minorHAnsi" w:cstheme="minorHAnsi"/>
        </w:rPr>
      </w:pPr>
      <w:r w:rsidRPr="00BF17B0">
        <w:rPr>
          <w:rFonts w:asciiTheme="minorHAnsi" w:hAnsiTheme="minorHAnsi" w:cstheme="minorHAnsi"/>
        </w:rPr>
        <w:t xml:space="preserve">This section </w:t>
      </w:r>
      <w:r w:rsidR="005E51B1" w:rsidRPr="00BF17B0">
        <w:rPr>
          <w:rFonts w:asciiTheme="minorHAnsi" w:hAnsiTheme="minorHAnsi" w:cstheme="minorHAnsi"/>
        </w:rPr>
        <w:t>presents</w:t>
      </w:r>
      <w:r w:rsidRPr="00BF17B0">
        <w:rPr>
          <w:rFonts w:asciiTheme="minorHAnsi" w:hAnsiTheme="minorHAnsi" w:cstheme="minorHAnsi"/>
        </w:rPr>
        <w:t xml:space="preserve"> the </w:t>
      </w:r>
      <w:r w:rsidR="0050201A" w:rsidRPr="00BF17B0">
        <w:rPr>
          <w:rFonts w:asciiTheme="minorHAnsi" w:hAnsiTheme="minorHAnsi" w:cstheme="minorHAnsi"/>
        </w:rPr>
        <w:t xml:space="preserve">status of implementing the </w:t>
      </w:r>
      <w:r w:rsidR="000058FB" w:rsidRPr="00BF17B0">
        <w:rPr>
          <w:rFonts w:asciiTheme="minorHAnsi" w:hAnsiTheme="minorHAnsi" w:cstheme="minorHAnsi"/>
        </w:rPr>
        <w:t>recommendations of the Mid</w:t>
      </w:r>
      <w:r w:rsidR="000A59A6" w:rsidRPr="00BF17B0">
        <w:rPr>
          <w:rFonts w:asciiTheme="minorHAnsi" w:hAnsiTheme="minorHAnsi" w:cstheme="minorHAnsi"/>
        </w:rPr>
        <w:t>t</w:t>
      </w:r>
      <w:r w:rsidR="000058FB" w:rsidRPr="00BF17B0">
        <w:rPr>
          <w:rFonts w:asciiTheme="minorHAnsi" w:hAnsiTheme="minorHAnsi" w:cstheme="minorHAnsi"/>
        </w:rPr>
        <w:t>erm Review</w:t>
      </w:r>
      <w:r w:rsidRPr="00BF17B0">
        <w:rPr>
          <w:rFonts w:asciiTheme="minorHAnsi" w:hAnsiTheme="minorHAnsi" w:cstheme="minorHAnsi"/>
        </w:rPr>
        <w:t xml:space="preserve"> </w:t>
      </w:r>
      <w:r w:rsidR="000058FB" w:rsidRPr="00BF17B0">
        <w:rPr>
          <w:rFonts w:asciiTheme="minorHAnsi" w:hAnsiTheme="minorHAnsi" w:cstheme="minorHAnsi"/>
        </w:rPr>
        <w:t xml:space="preserve">and </w:t>
      </w:r>
      <w:r w:rsidR="005E51B1" w:rsidRPr="00BF17B0">
        <w:rPr>
          <w:rFonts w:asciiTheme="minorHAnsi" w:hAnsiTheme="minorHAnsi" w:cstheme="minorHAnsi"/>
        </w:rPr>
        <w:t xml:space="preserve">discusses </w:t>
      </w:r>
      <w:r w:rsidR="000058FB" w:rsidRPr="00BF17B0">
        <w:rPr>
          <w:rFonts w:asciiTheme="minorHAnsi" w:hAnsiTheme="minorHAnsi" w:cstheme="minorHAnsi"/>
        </w:rPr>
        <w:t xml:space="preserve">the findings and recommendations from the </w:t>
      </w:r>
      <w:r w:rsidR="00CB2BA5" w:rsidRPr="00BF17B0">
        <w:rPr>
          <w:rFonts w:asciiTheme="minorHAnsi" w:hAnsiTheme="minorHAnsi" w:cstheme="minorHAnsi"/>
        </w:rPr>
        <w:t xml:space="preserve">current </w:t>
      </w:r>
      <w:r w:rsidR="00BF07C4" w:rsidRPr="00BF17B0">
        <w:rPr>
          <w:rFonts w:asciiTheme="minorHAnsi" w:hAnsiTheme="minorHAnsi" w:cstheme="minorHAnsi"/>
        </w:rPr>
        <w:t>report</w:t>
      </w:r>
      <w:r w:rsidR="000058FB" w:rsidRPr="00BF17B0">
        <w:rPr>
          <w:rFonts w:asciiTheme="minorHAnsi" w:hAnsiTheme="minorHAnsi" w:cstheme="minorHAnsi"/>
        </w:rPr>
        <w:t>.</w:t>
      </w:r>
    </w:p>
    <w:p w14:paraId="731BF80F" w14:textId="77777777" w:rsidR="009469C2" w:rsidRPr="00BF17B0" w:rsidRDefault="009469C2" w:rsidP="009469C2">
      <w:pPr>
        <w:rPr>
          <w:rFonts w:asciiTheme="minorHAnsi" w:hAnsiTheme="minorHAnsi" w:cstheme="minorHAnsi"/>
        </w:rPr>
      </w:pPr>
    </w:p>
    <w:p w14:paraId="13084AFE" w14:textId="77777777" w:rsidR="005B4577" w:rsidRPr="00BF17B0" w:rsidRDefault="008263B5" w:rsidP="00633549">
      <w:pPr>
        <w:pStyle w:val="Heading2"/>
        <w:numPr>
          <w:ilvl w:val="0"/>
          <w:numId w:val="13"/>
        </w:numPr>
        <w:rPr>
          <w:rFonts w:asciiTheme="minorHAnsi" w:hAnsiTheme="minorHAnsi" w:cstheme="minorHAnsi"/>
        </w:rPr>
      </w:pPr>
      <w:bookmarkStart w:id="216" w:name="_Toc530054034"/>
      <w:bookmarkStart w:id="217" w:name="_Toc530055091"/>
      <w:bookmarkStart w:id="218" w:name="_Toc530386747"/>
      <w:bookmarkStart w:id="219" w:name="_Toc530054035"/>
      <w:bookmarkStart w:id="220" w:name="_Toc530055092"/>
      <w:bookmarkStart w:id="221" w:name="_Toc530386748"/>
      <w:bookmarkStart w:id="222" w:name="_Toc532994299"/>
      <w:bookmarkEnd w:id="216"/>
      <w:bookmarkEnd w:id="217"/>
      <w:bookmarkEnd w:id="218"/>
      <w:bookmarkEnd w:id="219"/>
      <w:bookmarkEnd w:id="220"/>
      <w:bookmarkEnd w:id="221"/>
      <w:r w:rsidRPr="00BF17B0">
        <w:rPr>
          <w:rFonts w:asciiTheme="minorHAnsi" w:hAnsiTheme="minorHAnsi" w:cstheme="minorHAnsi"/>
        </w:rPr>
        <w:t>Midterm</w:t>
      </w:r>
      <w:r w:rsidR="007A03C9" w:rsidRPr="00BF17B0">
        <w:rPr>
          <w:rFonts w:asciiTheme="minorHAnsi" w:hAnsiTheme="minorHAnsi" w:cstheme="minorHAnsi"/>
        </w:rPr>
        <w:t xml:space="preserve"> Review</w:t>
      </w:r>
      <w:r w:rsidR="006E17EF" w:rsidRPr="00BF17B0">
        <w:rPr>
          <w:rFonts w:asciiTheme="minorHAnsi" w:hAnsiTheme="minorHAnsi" w:cstheme="minorHAnsi"/>
        </w:rPr>
        <w:t xml:space="preserve"> </w:t>
      </w:r>
      <w:r w:rsidR="00B215C7" w:rsidRPr="00BF17B0">
        <w:rPr>
          <w:rFonts w:asciiTheme="minorHAnsi" w:hAnsiTheme="minorHAnsi" w:cstheme="minorHAnsi"/>
        </w:rPr>
        <w:t>Recommendations</w:t>
      </w:r>
      <w:bookmarkEnd w:id="222"/>
    </w:p>
    <w:p w14:paraId="4031A959" w14:textId="77777777" w:rsidR="004A24B8" w:rsidRPr="00BF17B0" w:rsidRDefault="003D5726" w:rsidP="004A24B8">
      <w:pPr>
        <w:rPr>
          <w:rFonts w:asciiTheme="minorHAnsi" w:hAnsiTheme="minorHAnsi" w:cstheme="minorHAnsi"/>
        </w:rPr>
      </w:pPr>
      <w:r w:rsidRPr="00BF17B0">
        <w:rPr>
          <w:rFonts w:asciiTheme="minorHAnsi" w:hAnsiTheme="minorHAnsi" w:cstheme="minorHAnsi"/>
        </w:rPr>
        <w:t xml:space="preserve">Most of the recommendations </w:t>
      </w:r>
      <w:r w:rsidR="00B918B3" w:rsidRPr="00BF17B0">
        <w:rPr>
          <w:rFonts w:asciiTheme="minorHAnsi" w:hAnsiTheme="minorHAnsi" w:cstheme="minorHAnsi"/>
        </w:rPr>
        <w:t xml:space="preserve">of the Midterm Review </w:t>
      </w:r>
      <w:r w:rsidRPr="00BF17B0">
        <w:rPr>
          <w:rFonts w:asciiTheme="minorHAnsi" w:hAnsiTheme="minorHAnsi" w:cstheme="minorHAnsi"/>
        </w:rPr>
        <w:t xml:space="preserve">were </w:t>
      </w:r>
      <w:r w:rsidR="00B918B3" w:rsidRPr="00BF17B0">
        <w:rPr>
          <w:rFonts w:asciiTheme="minorHAnsi" w:hAnsiTheme="minorHAnsi" w:cstheme="minorHAnsi"/>
        </w:rPr>
        <w:t>addressed</w:t>
      </w:r>
      <w:r w:rsidRPr="00BF17B0">
        <w:rPr>
          <w:rFonts w:asciiTheme="minorHAnsi" w:hAnsiTheme="minorHAnsi" w:cstheme="minorHAnsi"/>
        </w:rPr>
        <w:t xml:space="preserve">: </w:t>
      </w:r>
      <w:r w:rsidRPr="00BF17B0">
        <w:rPr>
          <w:rFonts w:asciiTheme="minorHAnsi" w:eastAsiaTheme="minorEastAsia" w:hAnsiTheme="minorHAnsi" w:cstheme="minorHAnsi"/>
          <w:kern w:val="24"/>
        </w:rPr>
        <w:t>t</w:t>
      </w:r>
      <w:r w:rsidR="006E17EF" w:rsidRPr="00BF17B0">
        <w:rPr>
          <w:rFonts w:asciiTheme="minorHAnsi" w:eastAsiaTheme="minorEastAsia" w:hAnsiTheme="minorHAnsi" w:cstheme="minorHAnsi"/>
          <w:kern w:val="24"/>
        </w:rPr>
        <w:t xml:space="preserve">he </w:t>
      </w:r>
      <w:r w:rsidR="00AF79F7" w:rsidRPr="00BF17B0">
        <w:rPr>
          <w:rFonts w:asciiTheme="minorHAnsi" w:eastAsiaTheme="minorEastAsia" w:hAnsiTheme="minorHAnsi" w:cstheme="minorHAnsi"/>
          <w:kern w:val="24"/>
        </w:rPr>
        <w:t>PH-</w:t>
      </w:r>
      <w:r w:rsidR="00A53818" w:rsidRPr="00BF17B0">
        <w:rPr>
          <w:rFonts w:asciiTheme="minorHAnsi" w:eastAsiaTheme="minorEastAsia" w:hAnsiTheme="minorHAnsi" w:cstheme="minorHAnsi"/>
          <w:kern w:val="24"/>
        </w:rPr>
        <w:t>PTF</w:t>
      </w:r>
      <w:r w:rsidR="006E17EF" w:rsidRPr="00BF17B0">
        <w:rPr>
          <w:rFonts w:asciiTheme="minorHAnsi" w:eastAsiaTheme="minorEastAsia" w:hAnsiTheme="minorHAnsi" w:cstheme="minorHAnsi"/>
          <w:kern w:val="24"/>
        </w:rPr>
        <w:t xml:space="preserve"> was extended</w:t>
      </w:r>
      <w:r w:rsidRPr="00BF17B0">
        <w:rPr>
          <w:rFonts w:asciiTheme="minorHAnsi" w:eastAsiaTheme="minorEastAsia" w:hAnsiTheme="minorHAnsi" w:cstheme="minorHAnsi"/>
          <w:kern w:val="24"/>
        </w:rPr>
        <w:t xml:space="preserve">; </w:t>
      </w:r>
      <w:r w:rsidR="006E17EF" w:rsidRPr="00BF17B0">
        <w:rPr>
          <w:rFonts w:asciiTheme="minorHAnsi" w:eastAsiaTheme="minorEastAsia" w:hAnsiTheme="minorHAnsi" w:cstheme="minorHAnsi"/>
          <w:kern w:val="24"/>
        </w:rPr>
        <w:t>a more programmatic approach to project support was adopted</w:t>
      </w:r>
      <w:r w:rsidRPr="00BF17B0">
        <w:rPr>
          <w:rFonts w:asciiTheme="minorHAnsi" w:eastAsiaTheme="minorEastAsia" w:hAnsiTheme="minorHAnsi" w:cstheme="minorHAnsi"/>
          <w:kern w:val="24"/>
        </w:rPr>
        <w:t>;</w:t>
      </w:r>
      <w:r w:rsidR="006E17EF" w:rsidRPr="00BF17B0">
        <w:rPr>
          <w:rFonts w:asciiTheme="minorHAnsi" w:eastAsiaTheme="minorEastAsia" w:hAnsiTheme="minorHAnsi" w:cstheme="minorHAnsi"/>
          <w:kern w:val="24"/>
        </w:rPr>
        <w:t xml:space="preserve"> a results framework was </w:t>
      </w:r>
      <w:r w:rsidRPr="00BF17B0">
        <w:rPr>
          <w:rFonts w:asciiTheme="minorHAnsi" w:eastAsiaTheme="minorEastAsia" w:hAnsiTheme="minorHAnsi" w:cstheme="minorHAnsi"/>
          <w:kern w:val="24"/>
        </w:rPr>
        <w:t>developed;</w:t>
      </w:r>
      <w:r w:rsidR="006E17EF" w:rsidRPr="00BF17B0">
        <w:rPr>
          <w:rFonts w:asciiTheme="minorHAnsi" w:eastAsiaTheme="minorEastAsia" w:hAnsiTheme="minorHAnsi" w:cstheme="minorHAnsi"/>
          <w:kern w:val="24"/>
        </w:rPr>
        <w:t xml:space="preserve"> DFAT visibility </w:t>
      </w:r>
      <w:r w:rsidR="00F36D9C" w:rsidRPr="00BF17B0">
        <w:rPr>
          <w:rFonts w:asciiTheme="minorHAnsi" w:eastAsiaTheme="minorEastAsia" w:hAnsiTheme="minorHAnsi" w:cstheme="minorHAnsi"/>
          <w:kern w:val="24"/>
        </w:rPr>
        <w:t xml:space="preserve">was </w:t>
      </w:r>
      <w:r w:rsidR="006E17EF" w:rsidRPr="00BF17B0">
        <w:rPr>
          <w:rFonts w:asciiTheme="minorHAnsi" w:eastAsiaTheme="minorEastAsia" w:hAnsiTheme="minorHAnsi" w:cstheme="minorHAnsi"/>
          <w:kern w:val="24"/>
        </w:rPr>
        <w:t>improved</w:t>
      </w:r>
      <w:r w:rsidRPr="00BF17B0">
        <w:rPr>
          <w:rFonts w:asciiTheme="minorHAnsi" w:eastAsiaTheme="minorEastAsia" w:hAnsiTheme="minorHAnsi" w:cstheme="minorHAnsi"/>
          <w:kern w:val="24"/>
        </w:rPr>
        <w:t>;</w:t>
      </w:r>
      <w:r w:rsidR="006E17EF" w:rsidRPr="00BF17B0">
        <w:rPr>
          <w:rFonts w:asciiTheme="minorHAnsi" w:eastAsiaTheme="minorEastAsia" w:hAnsiTheme="minorHAnsi" w:cstheme="minorHAnsi"/>
          <w:kern w:val="24"/>
        </w:rPr>
        <w:t xml:space="preserve"> and other stakeholders </w:t>
      </w:r>
      <w:r w:rsidR="001B69F8" w:rsidRPr="00BF17B0">
        <w:rPr>
          <w:rFonts w:asciiTheme="minorHAnsi" w:eastAsiaTheme="minorEastAsia" w:hAnsiTheme="minorHAnsi" w:cstheme="minorHAnsi"/>
          <w:kern w:val="24"/>
        </w:rPr>
        <w:t xml:space="preserve">were </w:t>
      </w:r>
      <w:r w:rsidR="006E17EF" w:rsidRPr="00BF17B0">
        <w:rPr>
          <w:rFonts w:asciiTheme="minorHAnsi" w:eastAsiaTheme="minorEastAsia" w:hAnsiTheme="minorHAnsi" w:cstheme="minorHAnsi"/>
          <w:kern w:val="24"/>
        </w:rPr>
        <w:t>given a greater role</w:t>
      </w:r>
      <w:r w:rsidRPr="00BF17B0">
        <w:rPr>
          <w:rFonts w:asciiTheme="minorHAnsi" w:eastAsiaTheme="minorEastAsia" w:hAnsiTheme="minorHAnsi" w:cstheme="minorHAnsi"/>
          <w:kern w:val="24"/>
        </w:rPr>
        <w:t>.</w:t>
      </w:r>
      <w:r w:rsidR="001C414A" w:rsidRPr="00BF17B0">
        <w:rPr>
          <w:rFonts w:asciiTheme="minorHAnsi" w:eastAsiaTheme="minorEastAsia" w:hAnsiTheme="minorHAnsi" w:cstheme="minorHAnsi"/>
          <w:kern w:val="24"/>
        </w:rPr>
        <w:t xml:space="preserve"> </w:t>
      </w:r>
      <w:r w:rsidR="00922F93" w:rsidRPr="00BF17B0">
        <w:rPr>
          <w:rFonts w:asciiTheme="minorHAnsi" w:eastAsiaTheme="minorEastAsia" w:hAnsiTheme="minorHAnsi" w:cstheme="minorHAnsi"/>
          <w:kern w:val="24"/>
        </w:rPr>
        <w:t xml:space="preserve">The recommendation to involve government in the Steering Committee </w:t>
      </w:r>
      <w:r w:rsidR="006E17EF" w:rsidRPr="00BF17B0">
        <w:rPr>
          <w:rFonts w:asciiTheme="minorHAnsi" w:eastAsiaTheme="minorEastAsia" w:hAnsiTheme="minorHAnsi" w:cstheme="minorHAnsi"/>
          <w:kern w:val="24"/>
        </w:rPr>
        <w:t xml:space="preserve">or </w:t>
      </w:r>
      <w:r w:rsidR="00922F93" w:rsidRPr="00BF17B0">
        <w:rPr>
          <w:rFonts w:asciiTheme="minorHAnsi" w:eastAsiaTheme="minorEastAsia" w:hAnsiTheme="minorHAnsi" w:cstheme="minorHAnsi"/>
          <w:kern w:val="24"/>
        </w:rPr>
        <w:t xml:space="preserve">in </w:t>
      </w:r>
      <w:r w:rsidR="006E17EF" w:rsidRPr="00BF17B0">
        <w:rPr>
          <w:rFonts w:asciiTheme="minorHAnsi" w:eastAsiaTheme="minorEastAsia" w:hAnsiTheme="minorHAnsi" w:cstheme="minorHAnsi"/>
          <w:kern w:val="24"/>
        </w:rPr>
        <w:t>DFAT</w:t>
      </w:r>
      <w:r w:rsidR="00922F93" w:rsidRPr="00BF17B0">
        <w:rPr>
          <w:rFonts w:asciiTheme="minorHAnsi" w:eastAsiaTheme="minorEastAsia" w:hAnsiTheme="minorHAnsi" w:cstheme="minorHAnsi"/>
          <w:kern w:val="24"/>
        </w:rPr>
        <w:t xml:space="preserve"> - </w:t>
      </w:r>
      <w:r w:rsidR="00687594" w:rsidRPr="00BF17B0">
        <w:rPr>
          <w:rFonts w:asciiTheme="minorHAnsi" w:eastAsiaTheme="minorEastAsia" w:hAnsiTheme="minorHAnsi" w:cstheme="minorHAnsi"/>
          <w:kern w:val="24"/>
        </w:rPr>
        <w:t>World Bank</w:t>
      </w:r>
      <w:r w:rsidR="006E17EF" w:rsidRPr="00BF17B0">
        <w:rPr>
          <w:rFonts w:asciiTheme="minorHAnsi" w:eastAsiaTheme="minorEastAsia" w:hAnsiTheme="minorHAnsi" w:cstheme="minorHAnsi"/>
          <w:kern w:val="24"/>
        </w:rPr>
        <w:t xml:space="preserve"> consultations</w:t>
      </w:r>
      <w:r w:rsidR="00E25E25" w:rsidRPr="00BF17B0">
        <w:rPr>
          <w:rFonts w:asciiTheme="minorHAnsi" w:eastAsiaTheme="minorEastAsia" w:hAnsiTheme="minorHAnsi" w:cstheme="minorHAnsi"/>
          <w:kern w:val="24"/>
        </w:rPr>
        <w:t xml:space="preserve"> was not pursued, and this </w:t>
      </w:r>
      <w:r w:rsidR="002E03AB" w:rsidRPr="00BF17B0">
        <w:rPr>
          <w:rFonts w:asciiTheme="minorHAnsi" w:eastAsiaTheme="minorEastAsia" w:hAnsiTheme="minorHAnsi" w:cstheme="minorHAnsi"/>
          <w:kern w:val="24"/>
        </w:rPr>
        <w:t>report</w:t>
      </w:r>
      <w:r w:rsidR="000058FB" w:rsidRPr="00BF17B0">
        <w:rPr>
          <w:rFonts w:asciiTheme="minorHAnsi" w:eastAsiaTheme="minorEastAsia" w:hAnsiTheme="minorHAnsi" w:cstheme="minorHAnsi"/>
          <w:kern w:val="24"/>
        </w:rPr>
        <w:t xml:space="preserve"> endorses </w:t>
      </w:r>
      <w:r w:rsidR="00AF79F7" w:rsidRPr="00BF17B0">
        <w:rPr>
          <w:rFonts w:asciiTheme="minorHAnsi" w:eastAsiaTheme="minorEastAsia" w:hAnsiTheme="minorHAnsi" w:cstheme="minorHAnsi"/>
          <w:kern w:val="24"/>
        </w:rPr>
        <w:t xml:space="preserve">said </w:t>
      </w:r>
      <w:r w:rsidR="000058FB" w:rsidRPr="00BF17B0">
        <w:rPr>
          <w:rFonts w:asciiTheme="minorHAnsi" w:eastAsiaTheme="minorEastAsia" w:hAnsiTheme="minorHAnsi" w:cstheme="minorHAnsi"/>
          <w:kern w:val="24"/>
        </w:rPr>
        <w:t xml:space="preserve">decision </w:t>
      </w:r>
      <w:r w:rsidR="00AF79F7" w:rsidRPr="00BF17B0">
        <w:rPr>
          <w:rFonts w:asciiTheme="minorHAnsi" w:eastAsiaTheme="minorEastAsia" w:hAnsiTheme="minorHAnsi" w:cstheme="minorHAnsi"/>
          <w:kern w:val="24"/>
        </w:rPr>
        <w:t xml:space="preserve">because </w:t>
      </w:r>
      <w:r w:rsidR="000058FB" w:rsidRPr="00BF17B0">
        <w:rPr>
          <w:rFonts w:asciiTheme="minorHAnsi" w:eastAsiaTheme="minorEastAsia" w:hAnsiTheme="minorHAnsi" w:cstheme="minorHAnsi"/>
          <w:kern w:val="24"/>
        </w:rPr>
        <w:t>it is consistent with the agreed PH-PTF governance structure</w:t>
      </w:r>
      <w:r w:rsidR="00E25E25" w:rsidRPr="00BF17B0">
        <w:rPr>
          <w:rFonts w:asciiTheme="minorHAnsi" w:eastAsiaTheme="minorEastAsia" w:hAnsiTheme="minorHAnsi" w:cstheme="minorHAnsi"/>
          <w:kern w:val="24"/>
        </w:rPr>
        <w:t xml:space="preserve">. </w:t>
      </w:r>
    </w:p>
    <w:p w14:paraId="4C3A8237" w14:textId="73FF54C2" w:rsidR="006E17EF" w:rsidRPr="00BF17B0" w:rsidRDefault="006E17EF" w:rsidP="009F359A">
      <w:pPr>
        <w:rPr>
          <w:rFonts w:asciiTheme="minorHAnsi" w:eastAsiaTheme="minorEastAsia" w:hAnsiTheme="minorHAnsi" w:cstheme="minorHAnsi"/>
          <w:kern w:val="24"/>
        </w:rPr>
      </w:pPr>
      <w:r w:rsidRPr="00BF17B0">
        <w:rPr>
          <w:rFonts w:asciiTheme="minorHAnsi" w:eastAsiaTheme="minorEastAsia" w:hAnsiTheme="minorHAnsi" w:cstheme="minorHAnsi"/>
          <w:kern w:val="24"/>
        </w:rPr>
        <w:t>The DFAT budget allocation process did not change, and, as</w:t>
      </w:r>
      <w:r w:rsidR="00F36D9C" w:rsidRPr="00BF17B0">
        <w:rPr>
          <w:rFonts w:asciiTheme="minorHAnsi" w:eastAsiaTheme="minorEastAsia" w:hAnsiTheme="minorHAnsi" w:cstheme="minorHAnsi"/>
          <w:kern w:val="24"/>
        </w:rPr>
        <w:t xml:space="preserve"> </w:t>
      </w:r>
      <w:r w:rsidR="00CB04D8" w:rsidRPr="00BF17B0">
        <w:rPr>
          <w:rFonts w:asciiTheme="minorHAnsi" w:eastAsiaTheme="minorEastAsia" w:hAnsiTheme="minorHAnsi" w:cstheme="minorHAnsi"/>
          <w:kern w:val="24"/>
        </w:rPr>
        <w:t>explained in</w:t>
      </w:r>
      <w:r w:rsidR="00471B5C" w:rsidRPr="00BF17B0">
        <w:rPr>
          <w:rFonts w:asciiTheme="minorHAnsi" w:eastAsiaTheme="minorEastAsia" w:hAnsiTheme="minorHAnsi" w:cstheme="minorHAnsi"/>
          <w:kern w:val="24"/>
        </w:rPr>
        <w:t xml:space="preserve"> Section </w:t>
      </w:r>
      <w:r w:rsidR="00471B5C" w:rsidRPr="00BF17B0">
        <w:rPr>
          <w:rFonts w:asciiTheme="minorHAnsi" w:eastAsiaTheme="minorEastAsia" w:hAnsiTheme="minorHAnsi" w:cstheme="minorHAnsi"/>
          <w:kern w:val="24"/>
        </w:rPr>
        <w:fldChar w:fldCharType="begin"/>
      </w:r>
      <w:r w:rsidR="00471B5C" w:rsidRPr="00BF17B0">
        <w:rPr>
          <w:rFonts w:asciiTheme="minorHAnsi" w:eastAsiaTheme="minorEastAsia" w:hAnsiTheme="minorHAnsi" w:cstheme="minorHAnsi"/>
          <w:kern w:val="24"/>
        </w:rPr>
        <w:instrText xml:space="preserve"> REF _Ref532884626 \r \h </w:instrText>
      </w:r>
      <w:r w:rsidR="00BF17B0">
        <w:rPr>
          <w:rFonts w:asciiTheme="minorHAnsi" w:eastAsiaTheme="minorEastAsia" w:hAnsiTheme="minorHAnsi" w:cstheme="minorHAnsi"/>
          <w:kern w:val="24"/>
        </w:rPr>
        <w:instrText xml:space="preserve"> \* MERGEFORMAT </w:instrText>
      </w:r>
      <w:r w:rsidR="00471B5C" w:rsidRPr="00BF17B0">
        <w:rPr>
          <w:rFonts w:asciiTheme="minorHAnsi" w:eastAsiaTheme="minorEastAsia" w:hAnsiTheme="minorHAnsi" w:cstheme="minorHAnsi"/>
          <w:kern w:val="24"/>
        </w:rPr>
      </w:r>
      <w:r w:rsidR="00471B5C" w:rsidRPr="00BF17B0">
        <w:rPr>
          <w:rFonts w:asciiTheme="minorHAnsi" w:eastAsiaTheme="minorEastAsia" w:hAnsiTheme="minorHAnsi" w:cstheme="minorHAnsi"/>
          <w:kern w:val="24"/>
        </w:rPr>
        <w:fldChar w:fldCharType="separate"/>
      </w:r>
      <w:r w:rsidR="00F338BE">
        <w:rPr>
          <w:rFonts w:asciiTheme="minorHAnsi" w:eastAsiaTheme="minorEastAsia" w:hAnsiTheme="minorHAnsi" w:cstheme="minorHAnsi"/>
          <w:kern w:val="24"/>
        </w:rPr>
        <w:t>3</w:t>
      </w:r>
      <w:r w:rsidR="00471B5C" w:rsidRPr="00BF17B0">
        <w:rPr>
          <w:rFonts w:asciiTheme="minorHAnsi" w:eastAsiaTheme="minorEastAsia" w:hAnsiTheme="minorHAnsi" w:cstheme="minorHAnsi"/>
          <w:kern w:val="24"/>
        </w:rPr>
        <w:fldChar w:fldCharType="end"/>
      </w:r>
      <w:r w:rsidR="00CD75FA" w:rsidRPr="00BF17B0">
        <w:rPr>
          <w:rFonts w:asciiTheme="minorHAnsi" w:eastAsiaTheme="minorEastAsia" w:hAnsiTheme="minorHAnsi" w:cstheme="minorHAnsi"/>
          <w:kern w:val="24"/>
        </w:rPr>
        <w:t xml:space="preserve"> on Sustainability, </w:t>
      </w:r>
      <w:r w:rsidR="009F359A" w:rsidRPr="00BF17B0">
        <w:rPr>
          <w:rFonts w:asciiTheme="minorHAnsi" w:eastAsiaTheme="minorEastAsia" w:hAnsiTheme="minorHAnsi" w:cstheme="minorHAnsi"/>
          <w:kern w:val="24"/>
        </w:rPr>
        <w:t xml:space="preserve">there were </w:t>
      </w:r>
      <w:r w:rsidR="006C5144" w:rsidRPr="00BF17B0">
        <w:rPr>
          <w:rFonts w:asciiTheme="minorHAnsi" w:eastAsiaTheme="minorEastAsia" w:hAnsiTheme="minorHAnsi" w:cstheme="minorHAnsi"/>
          <w:kern w:val="24"/>
        </w:rPr>
        <w:t>weaknesses in the</w:t>
      </w:r>
      <w:r w:rsidRPr="00BF17B0">
        <w:rPr>
          <w:rFonts w:asciiTheme="minorHAnsi" w:eastAsiaTheme="minorEastAsia" w:hAnsiTheme="minorHAnsi" w:cstheme="minorHAnsi"/>
          <w:kern w:val="24"/>
        </w:rPr>
        <w:t xml:space="preserve"> reporting system</w:t>
      </w:r>
      <w:r w:rsidR="006C5144" w:rsidRPr="00BF17B0">
        <w:rPr>
          <w:rFonts w:asciiTheme="minorHAnsi" w:eastAsiaTheme="minorEastAsia" w:hAnsiTheme="minorHAnsi" w:cstheme="minorHAnsi"/>
          <w:kern w:val="24"/>
        </w:rPr>
        <w:t>.</w:t>
      </w:r>
    </w:p>
    <w:p w14:paraId="7BA24B5F" w14:textId="77777777" w:rsidR="009469C2" w:rsidRPr="00BF17B0" w:rsidRDefault="009469C2" w:rsidP="009469C2">
      <w:pPr>
        <w:rPr>
          <w:rFonts w:asciiTheme="minorHAnsi" w:hAnsiTheme="minorHAnsi" w:cstheme="minorHAnsi"/>
        </w:rPr>
      </w:pPr>
    </w:p>
    <w:p w14:paraId="1C328216" w14:textId="77777777" w:rsidR="00123BBE" w:rsidRPr="00BF17B0" w:rsidRDefault="00123BBE" w:rsidP="00BF07C4">
      <w:pPr>
        <w:pStyle w:val="Heading2"/>
        <w:rPr>
          <w:rFonts w:asciiTheme="minorHAnsi" w:hAnsiTheme="minorHAnsi" w:cstheme="minorHAnsi"/>
        </w:rPr>
      </w:pPr>
      <w:bookmarkStart w:id="223" w:name="_Toc532994300"/>
      <w:r w:rsidRPr="00BF17B0">
        <w:rPr>
          <w:rFonts w:asciiTheme="minorHAnsi" w:hAnsiTheme="minorHAnsi" w:cstheme="minorHAnsi"/>
        </w:rPr>
        <w:t>Lessons Learned</w:t>
      </w:r>
      <w:bookmarkEnd w:id="223"/>
    </w:p>
    <w:p w14:paraId="58B54229" w14:textId="77777777" w:rsidR="009469C2" w:rsidRPr="00BF17B0" w:rsidRDefault="00123BBE" w:rsidP="009469C2">
      <w:pPr>
        <w:rPr>
          <w:rFonts w:asciiTheme="minorHAnsi" w:eastAsiaTheme="minorEastAsia" w:hAnsiTheme="minorHAnsi" w:cstheme="minorHAnsi"/>
          <w:kern w:val="24"/>
        </w:rPr>
      </w:pPr>
      <w:r w:rsidRPr="00BF17B0">
        <w:rPr>
          <w:rFonts w:asciiTheme="minorHAnsi" w:eastAsiaTheme="minorEastAsia" w:hAnsiTheme="minorHAnsi" w:cstheme="minorHAnsi"/>
          <w:kern w:val="24"/>
        </w:rPr>
        <w:t xml:space="preserve">The lessons learned from </w:t>
      </w:r>
      <w:r w:rsidR="00DA2996" w:rsidRPr="00BF17B0">
        <w:rPr>
          <w:rFonts w:asciiTheme="minorHAnsi" w:eastAsiaTheme="minorEastAsia" w:hAnsiTheme="minorHAnsi" w:cstheme="minorHAnsi"/>
          <w:kern w:val="24"/>
        </w:rPr>
        <w:t>the</w:t>
      </w:r>
      <w:r w:rsidRPr="00BF17B0">
        <w:rPr>
          <w:rFonts w:asciiTheme="minorHAnsi" w:eastAsiaTheme="minorEastAsia" w:hAnsiTheme="minorHAnsi" w:cstheme="minorHAnsi"/>
          <w:kern w:val="24"/>
        </w:rPr>
        <w:t xml:space="preserve"> </w:t>
      </w:r>
      <w:r w:rsidR="00064A1B" w:rsidRPr="00BF17B0">
        <w:rPr>
          <w:rFonts w:asciiTheme="minorHAnsi" w:eastAsiaTheme="minorEastAsia" w:hAnsiTheme="minorHAnsi" w:cstheme="minorHAnsi"/>
          <w:kern w:val="24"/>
        </w:rPr>
        <w:t>PH-</w:t>
      </w:r>
      <w:r w:rsidR="00A53818" w:rsidRPr="00BF17B0">
        <w:rPr>
          <w:rFonts w:asciiTheme="minorHAnsi" w:eastAsiaTheme="minorEastAsia" w:hAnsiTheme="minorHAnsi" w:cstheme="minorHAnsi"/>
          <w:kern w:val="24"/>
        </w:rPr>
        <w:t>PTF</w:t>
      </w:r>
      <w:r w:rsidRPr="00BF17B0">
        <w:rPr>
          <w:rFonts w:asciiTheme="minorHAnsi" w:eastAsiaTheme="minorEastAsia" w:hAnsiTheme="minorHAnsi" w:cstheme="minorHAnsi"/>
          <w:kern w:val="24"/>
        </w:rPr>
        <w:t xml:space="preserve"> </w:t>
      </w:r>
      <w:r w:rsidR="00DA2996" w:rsidRPr="00BF17B0">
        <w:rPr>
          <w:rFonts w:asciiTheme="minorHAnsi" w:eastAsiaTheme="minorEastAsia" w:hAnsiTheme="minorHAnsi" w:cstheme="minorHAnsi"/>
          <w:kern w:val="24"/>
        </w:rPr>
        <w:t xml:space="preserve">implementation </w:t>
      </w:r>
      <w:r w:rsidRPr="00BF17B0">
        <w:rPr>
          <w:rFonts w:asciiTheme="minorHAnsi" w:eastAsiaTheme="minorEastAsia" w:hAnsiTheme="minorHAnsi" w:cstheme="minorHAnsi"/>
          <w:kern w:val="24"/>
        </w:rPr>
        <w:t xml:space="preserve">will be of particular importance </w:t>
      </w:r>
      <w:r w:rsidR="00E431AB" w:rsidRPr="00BF17B0">
        <w:rPr>
          <w:rFonts w:asciiTheme="minorHAnsi" w:eastAsiaTheme="minorEastAsia" w:hAnsiTheme="minorHAnsi" w:cstheme="minorHAnsi"/>
          <w:kern w:val="24"/>
        </w:rPr>
        <w:t xml:space="preserve">to </w:t>
      </w:r>
      <w:r w:rsidRPr="00BF17B0">
        <w:rPr>
          <w:rFonts w:asciiTheme="minorHAnsi" w:eastAsiaTheme="minorEastAsia" w:hAnsiTheme="minorHAnsi" w:cstheme="minorHAnsi"/>
          <w:kern w:val="24"/>
        </w:rPr>
        <w:t xml:space="preserve">DFAT and the </w:t>
      </w:r>
      <w:r w:rsidR="00687594" w:rsidRPr="00BF17B0">
        <w:rPr>
          <w:rFonts w:asciiTheme="minorHAnsi" w:eastAsiaTheme="minorEastAsia" w:hAnsiTheme="minorHAnsi" w:cstheme="minorHAnsi"/>
          <w:kern w:val="24"/>
        </w:rPr>
        <w:t>World Bank</w:t>
      </w:r>
      <w:r w:rsidRPr="00BF17B0">
        <w:rPr>
          <w:rFonts w:asciiTheme="minorHAnsi" w:eastAsiaTheme="minorEastAsia" w:hAnsiTheme="minorHAnsi" w:cstheme="minorHAnsi"/>
          <w:kern w:val="24"/>
        </w:rPr>
        <w:t xml:space="preserve"> </w:t>
      </w:r>
      <w:r w:rsidR="009F359A" w:rsidRPr="00BF17B0">
        <w:rPr>
          <w:rFonts w:asciiTheme="minorHAnsi" w:eastAsiaTheme="minorEastAsia" w:hAnsiTheme="minorHAnsi" w:cstheme="minorHAnsi"/>
          <w:kern w:val="24"/>
        </w:rPr>
        <w:t>when</w:t>
      </w:r>
      <w:r w:rsidR="00E431AB" w:rsidRPr="00BF17B0">
        <w:rPr>
          <w:rFonts w:asciiTheme="minorHAnsi" w:eastAsiaTheme="minorEastAsia" w:hAnsiTheme="minorHAnsi" w:cstheme="minorHAnsi"/>
          <w:kern w:val="24"/>
        </w:rPr>
        <w:t xml:space="preserve"> they </w:t>
      </w:r>
      <w:r w:rsidRPr="00BF17B0">
        <w:rPr>
          <w:rFonts w:asciiTheme="minorHAnsi" w:eastAsiaTheme="minorEastAsia" w:hAnsiTheme="minorHAnsi" w:cstheme="minorHAnsi"/>
          <w:kern w:val="24"/>
        </w:rPr>
        <w:t>consider a follow</w:t>
      </w:r>
      <w:r w:rsidR="00A40144" w:rsidRPr="00BF17B0">
        <w:rPr>
          <w:rFonts w:asciiTheme="minorHAnsi" w:eastAsiaTheme="minorEastAsia" w:hAnsiTheme="minorHAnsi" w:cstheme="minorHAnsi"/>
          <w:kern w:val="24"/>
        </w:rPr>
        <w:t>-</w:t>
      </w:r>
      <w:r w:rsidRPr="00BF17B0">
        <w:rPr>
          <w:rFonts w:asciiTheme="minorHAnsi" w:eastAsiaTheme="minorEastAsia" w:hAnsiTheme="minorHAnsi" w:cstheme="minorHAnsi"/>
          <w:kern w:val="24"/>
        </w:rPr>
        <w:t xml:space="preserve">up </w:t>
      </w:r>
      <w:r w:rsidR="00FA50F0" w:rsidRPr="00BF17B0">
        <w:rPr>
          <w:rFonts w:asciiTheme="minorHAnsi" w:eastAsiaTheme="minorEastAsia" w:hAnsiTheme="minorHAnsi" w:cstheme="minorHAnsi"/>
          <w:kern w:val="24"/>
        </w:rPr>
        <w:t>programmatic</w:t>
      </w:r>
      <w:r w:rsidRPr="00BF17B0">
        <w:rPr>
          <w:rFonts w:asciiTheme="minorHAnsi" w:eastAsiaTheme="minorEastAsia" w:hAnsiTheme="minorHAnsi" w:cstheme="minorHAnsi"/>
          <w:kern w:val="24"/>
        </w:rPr>
        <w:t xml:space="preserve"> </w:t>
      </w:r>
      <w:r w:rsidR="002872DE" w:rsidRPr="00BF17B0">
        <w:rPr>
          <w:rFonts w:asciiTheme="minorHAnsi" w:eastAsiaTheme="minorEastAsia" w:hAnsiTheme="minorHAnsi" w:cstheme="minorHAnsi"/>
          <w:kern w:val="24"/>
        </w:rPr>
        <w:t>t</w:t>
      </w:r>
      <w:r w:rsidRPr="00BF17B0">
        <w:rPr>
          <w:rFonts w:asciiTheme="minorHAnsi" w:eastAsiaTheme="minorEastAsia" w:hAnsiTheme="minorHAnsi" w:cstheme="minorHAnsi"/>
          <w:kern w:val="24"/>
        </w:rPr>
        <w:t xml:space="preserve">rust </w:t>
      </w:r>
      <w:r w:rsidR="002872DE" w:rsidRPr="00BF17B0">
        <w:rPr>
          <w:rFonts w:asciiTheme="minorHAnsi" w:eastAsiaTheme="minorEastAsia" w:hAnsiTheme="minorHAnsi" w:cstheme="minorHAnsi"/>
          <w:kern w:val="24"/>
        </w:rPr>
        <w:t>f</w:t>
      </w:r>
      <w:r w:rsidRPr="00BF17B0">
        <w:rPr>
          <w:rFonts w:asciiTheme="minorHAnsi" w:eastAsiaTheme="minorEastAsia" w:hAnsiTheme="minorHAnsi" w:cstheme="minorHAnsi"/>
          <w:kern w:val="24"/>
        </w:rPr>
        <w:t>und</w:t>
      </w:r>
      <w:r w:rsidR="00EB211F" w:rsidRPr="00BF17B0">
        <w:rPr>
          <w:rFonts w:asciiTheme="minorHAnsi" w:eastAsiaTheme="minorEastAsia" w:hAnsiTheme="minorHAnsi" w:cstheme="minorHAnsi"/>
          <w:kern w:val="24"/>
        </w:rPr>
        <w:t xml:space="preserve">. </w:t>
      </w:r>
      <w:r w:rsidRPr="00BF17B0">
        <w:rPr>
          <w:rFonts w:asciiTheme="minorHAnsi" w:eastAsiaTheme="minorEastAsia" w:hAnsiTheme="minorHAnsi" w:cstheme="minorHAnsi"/>
          <w:kern w:val="24"/>
        </w:rPr>
        <w:t>The lessons are grouped in</w:t>
      </w:r>
      <w:r w:rsidR="002872DE" w:rsidRPr="00BF17B0">
        <w:rPr>
          <w:rFonts w:asciiTheme="minorHAnsi" w:eastAsiaTheme="minorEastAsia" w:hAnsiTheme="minorHAnsi" w:cstheme="minorHAnsi"/>
          <w:kern w:val="24"/>
        </w:rPr>
        <w:t xml:space="preserve"> </w:t>
      </w:r>
      <w:r w:rsidRPr="00BF17B0">
        <w:rPr>
          <w:rFonts w:asciiTheme="minorHAnsi" w:eastAsiaTheme="minorEastAsia" w:hAnsiTheme="minorHAnsi" w:cstheme="minorHAnsi"/>
          <w:kern w:val="24"/>
        </w:rPr>
        <w:t>two sections</w:t>
      </w:r>
      <w:r w:rsidR="00560BA9" w:rsidRPr="00BF17B0">
        <w:rPr>
          <w:rFonts w:asciiTheme="minorHAnsi" w:eastAsiaTheme="minorEastAsia" w:hAnsiTheme="minorHAnsi" w:cstheme="minorHAnsi"/>
          <w:kern w:val="24"/>
        </w:rPr>
        <w:t xml:space="preserve">: </w:t>
      </w:r>
      <w:r w:rsidRPr="00BF17B0">
        <w:rPr>
          <w:rFonts w:asciiTheme="minorHAnsi" w:eastAsiaTheme="minorEastAsia" w:hAnsiTheme="minorHAnsi" w:cstheme="minorHAnsi"/>
          <w:kern w:val="24"/>
        </w:rPr>
        <w:t>areas of strength that should be maintained in a successor fund</w:t>
      </w:r>
      <w:r w:rsidR="00A40144" w:rsidRPr="00BF17B0">
        <w:rPr>
          <w:rFonts w:asciiTheme="minorHAnsi" w:eastAsiaTheme="minorEastAsia" w:hAnsiTheme="minorHAnsi" w:cstheme="minorHAnsi"/>
          <w:kern w:val="24"/>
        </w:rPr>
        <w:t>,</w:t>
      </w:r>
      <w:r w:rsidRPr="00BF17B0">
        <w:rPr>
          <w:rFonts w:asciiTheme="minorHAnsi" w:eastAsiaTheme="minorEastAsia" w:hAnsiTheme="minorHAnsi" w:cstheme="minorHAnsi"/>
          <w:kern w:val="24"/>
        </w:rPr>
        <w:t xml:space="preserve"> and areas where improvements </w:t>
      </w:r>
      <w:r w:rsidR="00A40144" w:rsidRPr="00BF17B0">
        <w:rPr>
          <w:rFonts w:asciiTheme="minorHAnsi" w:eastAsiaTheme="minorEastAsia" w:hAnsiTheme="minorHAnsi" w:cstheme="minorHAnsi"/>
          <w:kern w:val="24"/>
        </w:rPr>
        <w:t xml:space="preserve">can </w:t>
      </w:r>
      <w:r w:rsidRPr="00BF17B0">
        <w:rPr>
          <w:rFonts w:asciiTheme="minorHAnsi" w:eastAsiaTheme="minorEastAsia" w:hAnsiTheme="minorHAnsi" w:cstheme="minorHAnsi"/>
          <w:kern w:val="24"/>
        </w:rPr>
        <w:t>be introduced.</w:t>
      </w:r>
    </w:p>
    <w:p w14:paraId="3CB7F344" w14:textId="77777777" w:rsidR="00685105" w:rsidRPr="00BF17B0" w:rsidRDefault="00685105" w:rsidP="00685105">
      <w:pPr>
        <w:rPr>
          <w:rFonts w:asciiTheme="minorHAnsi" w:hAnsiTheme="minorHAnsi" w:cstheme="minorHAnsi"/>
        </w:rPr>
      </w:pPr>
    </w:p>
    <w:p w14:paraId="77FC3F68" w14:textId="77777777" w:rsidR="00123BBE" w:rsidRPr="00BF17B0" w:rsidRDefault="00123BBE" w:rsidP="009C79EB">
      <w:pPr>
        <w:pStyle w:val="Heading3"/>
        <w:rPr>
          <w:rFonts w:eastAsiaTheme="minorEastAsia"/>
        </w:rPr>
      </w:pPr>
      <w:r w:rsidRPr="00BF17B0">
        <w:rPr>
          <w:rFonts w:eastAsiaTheme="minorEastAsia"/>
        </w:rPr>
        <w:t>Areas of Strength</w:t>
      </w:r>
    </w:p>
    <w:p w14:paraId="23197278" w14:textId="77777777" w:rsidR="00123BBE" w:rsidRPr="00BF17B0" w:rsidRDefault="00123BBE" w:rsidP="006E17EF">
      <w:pPr>
        <w:rPr>
          <w:rFonts w:asciiTheme="minorHAnsi" w:eastAsiaTheme="minorEastAsia" w:hAnsiTheme="minorHAnsi" w:cstheme="minorHAnsi"/>
          <w:kern w:val="24"/>
        </w:rPr>
      </w:pPr>
      <w:r w:rsidRPr="00BF17B0">
        <w:rPr>
          <w:rFonts w:asciiTheme="minorHAnsi" w:eastAsiaTheme="minorEastAsia" w:hAnsiTheme="minorHAnsi" w:cstheme="minorHAnsi"/>
          <w:kern w:val="24"/>
        </w:rPr>
        <w:t xml:space="preserve">The </w:t>
      </w:r>
      <w:r w:rsidR="00064A1B" w:rsidRPr="00BF17B0">
        <w:rPr>
          <w:rFonts w:asciiTheme="minorHAnsi" w:eastAsiaTheme="minorEastAsia" w:hAnsiTheme="minorHAnsi" w:cstheme="minorHAnsi"/>
          <w:kern w:val="24"/>
        </w:rPr>
        <w:t>PH-</w:t>
      </w:r>
      <w:r w:rsidR="00A53818" w:rsidRPr="00BF17B0">
        <w:rPr>
          <w:rFonts w:asciiTheme="minorHAnsi" w:eastAsiaTheme="minorEastAsia" w:hAnsiTheme="minorHAnsi" w:cstheme="minorHAnsi"/>
          <w:kern w:val="24"/>
        </w:rPr>
        <w:t>PTF</w:t>
      </w:r>
      <w:r w:rsidRPr="00BF17B0">
        <w:rPr>
          <w:rFonts w:asciiTheme="minorHAnsi" w:eastAsiaTheme="minorEastAsia" w:hAnsiTheme="minorHAnsi" w:cstheme="minorHAnsi"/>
          <w:kern w:val="24"/>
        </w:rPr>
        <w:t xml:space="preserve"> facilitated meaningful collaboration between DFAT and the </w:t>
      </w:r>
      <w:r w:rsidR="00687594" w:rsidRPr="00BF17B0">
        <w:rPr>
          <w:rFonts w:asciiTheme="minorHAnsi" w:eastAsiaTheme="minorEastAsia" w:hAnsiTheme="minorHAnsi" w:cstheme="minorHAnsi"/>
          <w:kern w:val="24"/>
        </w:rPr>
        <w:t>World Bank</w:t>
      </w:r>
      <w:r w:rsidR="00A90F1D" w:rsidRPr="00BF17B0">
        <w:rPr>
          <w:rFonts w:asciiTheme="minorHAnsi" w:eastAsiaTheme="minorEastAsia" w:hAnsiTheme="minorHAnsi" w:cstheme="minorHAnsi"/>
          <w:kern w:val="24"/>
        </w:rPr>
        <w:t>,</w:t>
      </w:r>
      <w:r w:rsidRPr="00BF17B0">
        <w:rPr>
          <w:rFonts w:asciiTheme="minorHAnsi" w:eastAsiaTheme="minorEastAsia" w:hAnsiTheme="minorHAnsi" w:cstheme="minorHAnsi"/>
          <w:kern w:val="24"/>
        </w:rPr>
        <w:t xml:space="preserve"> </w:t>
      </w:r>
      <w:r w:rsidR="005E51B1" w:rsidRPr="00BF17B0">
        <w:rPr>
          <w:rFonts w:asciiTheme="minorHAnsi" w:eastAsiaTheme="minorEastAsia" w:hAnsiTheme="minorHAnsi" w:cstheme="minorHAnsi"/>
          <w:kern w:val="24"/>
        </w:rPr>
        <w:t>and this collaboration</w:t>
      </w:r>
      <w:r w:rsidRPr="00BF17B0">
        <w:rPr>
          <w:rFonts w:asciiTheme="minorHAnsi" w:eastAsiaTheme="minorEastAsia" w:hAnsiTheme="minorHAnsi" w:cstheme="minorHAnsi"/>
          <w:kern w:val="24"/>
        </w:rPr>
        <w:t xml:space="preserve"> </w:t>
      </w:r>
      <w:r w:rsidR="002872DE" w:rsidRPr="00BF17B0">
        <w:rPr>
          <w:rFonts w:asciiTheme="minorHAnsi" w:eastAsiaTheme="minorEastAsia" w:hAnsiTheme="minorHAnsi" w:cstheme="minorHAnsi"/>
          <w:kern w:val="24"/>
        </w:rPr>
        <w:t xml:space="preserve">helped achieve </w:t>
      </w:r>
      <w:r w:rsidRPr="00BF17B0">
        <w:rPr>
          <w:rFonts w:asciiTheme="minorHAnsi" w:eastAsiaTheme="minorEastAsia" w:hAnsiTheme="minorHAnsi" w:cstheme="minorHAnsi"/>
          <w:kern w:val="24"/>
        </w:rPr>
        <w:t xml:space="preserve">the </w:t>
      </w:r>
      <w:r w:rsidR="002872DE" w:rsidRPr="00BF17B0">
        <w:rPr>
          <w:rFonts w:asciiTheme="minorHAnsi" w:eastAsiaTheme="minorEastAsia" w:hAnsiTheme="minorHAnsi" w:cstheme="minorHAnsi"/>
          <w:kern w:val="24"/>
        </w:rPr>
        <w:t xml:space="preserve">objectives for </w:t>
      </w:r>
      <w:r w:rsidRPr="00BF17B0">
        <w:rPr>
          <w:rFonts w:asciiTheme="minorHAnsi" w:eastAsiaTheme="minorEastAsia" w:hAnsiTheme="minorHAnsi" w:cstheme="minorHAnsi"/>
          <w:kern w:val="24"/>
        </w:rPr>
        <w:t>effectiveness, efficiency</w:t>
      </w:r>
      <w:r w:rsidR="002872DE" w:rsidRPr="00BF17B0">
        <w:rPr>
          <w:rFonts w:asciiTheme="minorHAnsi" w:eastAsiaTheme="minorEastAsia" w:hAnsiTheme="minorHAnsi" w:cstheme="minorHAnsi"/>
          <w:kern w:val="24"/>
        </w:rPr>
        <w:t>,</w:t>
      </w:r>
      <w:r w:rsidRPr="00BF17B0">
        <w:rPr>
          <w:rFonts w:asciiTheme="minorHAnsi" w:eastAsiaTheme="minorEastAsia" w:hAnsiTheme="minorHAnsi" w:cstheme="minorHAnsi"/>
          <w:kern w:val="24"/>
        </w:rPr>
        <w:t xml:space="preserve"> and relevance.</w:t>
      </w:r>
    </w:p>
    <w:p w14:paraId="22491879" w14:textId="77777777" w:rsidR="004F5479" w:rsidRPr="00BF17B0" w:rsidRDefault="004F5479" w:rsidP="006E17EF">
      <w:pPr>
        <w:rPr>
          <w:rFonts w:asciiTheme="minorHAnsi" w:eastAsiaTheme="minorEastAsia" w:hAnsiTheme="minorHAnsi" w:cstheme="minorHAnsi"/>
          <w:kern w:val="24"/>
        </w:rPr>
      </w:pPr>
      <w:r w:rsidRPr="00BF17B0">
        <w:rPr>
          <w:rFonts w:asciiTheme="minorHAnsi" w:eastAsiaTheme="minorEastAsia" w:hAnsiTheme="minorHAnsi" w:cstheme="minorHAnsi"/>
          <w:kern w:val="24"/>
        </w:rPr>
        <w:t xml:space="preserve">The </w:t>
      </w:r>
      <w:r w:rsidR="009E11CD" w:rsidRPr="00BF17B0">
        <w:rPr>
          <w:rFonts w:asciiTheme="minorHAnsi" w:eastAsiaTheme="minorEastAsia" w:hAnsiTheme="minorHAnsi" w:cstheme="minorHAnsi"/>
          <w:kern w:val="24"/>
        </w:rPr>
        <w:t>g</w:t>
      </w:r>
      <w:r w:rsidRPr="00BF17B0">
        <w:rPr>
          <w:rFonts w:asciiTheme="minorHAnsi" w:eastAsiaTheme="minorEastAsia" w:hAnsiTheme="minorHAnsi" w:cstheme="minorHAnsi"/>
          <w:kern w:val="24"/>
        </w:rPr>
        <w:t xml:space="preserve">overnance structure, as revised following the </w:t>
      </w:r>
      <w:r w:rsidR="009E11CD" w:rsidRPr="00BF17B0">
        <w:rPr>
          <w:rFonts w:asciiTheme="minorHAnsi" w:eastAsiaTheme="minorEastAsia" w:hAnsiTheme="minorHAnsi" w:cstheme="minorHAnsi"/>
          <w:kern w:val="24"/>
        </w:rPr>
        <w:t>Midterm Review</w:t>
      </w:r>
      <w:r w:rsidRPr="00BF17B0">
        <w:rPr>
          <w:rFonts w:asciiTheme="minorHAnsi" w:eastAsiaTheme="minorEastAsia" w:hAnsiTheme="minorHAnsi" w:cstheme="minorHAnsi"/>
          <w:kern w:val="24"/>
        </w:rPr>
        <w:t xml:space="preserve">, </w:t>
      </w:r>
      <w:r w:rsidR="00A54246" w:rsidRPr="00BF17B0">
        <w:rPr>
          <w:rFonts w:asciiTheme="minorHAnsi" w:eastAsiaTheme="minorEastAsia" w:hAnsiTheme="minorHAnsi" w:cstheme="minorHAnsi"/>
          <w:kern w:val="24"/>
        </w:rPr>
        <w:t>wa</w:t>
      </w:r>
      <w:r w:rsidRPr="00BF17B0">
        <w:rPr>
          <w:rFonts w:asciiTheme="minorHAnsi" w:eastAsiaTheme="minorEastAsia" w:hAnsiTheme="minorHAnsi" w:cstheme="minorHAnsi"/>
          <w:kern w:val="24"/>
        </w:rPr>
        <w:t>s well</w:t>
      </w:r>
      <w:r w:rsidR="009E11CD" w:rsidRPr="00BF17B0">
        <w:rPr>
          <w:rFonts w:asciiTheme="minorHAnsi" w:eastAsiaTheme="minorEastAsia" w:hAnsiTheme="minorHAnsi" w:cstheme="minorHAnsi"/>
          <w:kern w:val="24"/>
        </w:rPr>
        <w:t>-</w:t>
      </w:r>
      <w:r w:rsidRPr="00BF17B0">
        <w:rPr>
          <w:rFonts w:asciiTheme="minorHAnsi" w:eastAsiaTheme="minorEastAsia" w:hAnsiTheme="minorHAnsi" w:cstheme="minorHAnsi"/>
          <w:kern w:val="24"/>
        </w:rPr>
        <w:t>designed</w:t>
      </w:r>
      <w:r w:rsidR="0084094E" w:rsidRPr="00BF17B0">
        <w:rPr>
          <w:rFonts w:asciiTheme="minorHAnsi" w:eastAsiaTheme="minorEastAsia" w:hAnsiTheme="minorHAnsi" w:cstheme="minorHAnsi"/>
          <w:kern w:val="24"/>
        </w:rPr>
        <w:t xml:space="preserve">. It </w:t>
      </w:r>
      <w:r w:rsidR="00CE53E7" w:rsidRPr="00BF17B0">
        <w:rPr>
          <w:rFonts w:asciiTheme="minorHAnsi" w:eastAsiaTheme="minorEastAsia" w:hAnsiTheme="minorHAnsi" w:cstheme="minorHAnsi"/>
          <w:kern w:val="24"/>
        </w:rPr>
        <w:t>define</w:t>
      </w:r>
      <w:r w:rsidR="00A54246" w:rsidRPr="00BF17B0">
        <w:rPr>
          <w:rFonts w:asciiTheme="minorHAnsi" w:eastAsiaTheme="minorEastAsia" w:hAnsiTheme="minorHAnsi" w:cstheme="minorHAnsi"/>
          <w:kern w:val="24"/>
        </w:rPr>
        <w:t>d</w:t>
      </w:r>
      <w:r w:rsidR="00CE53E7" w:rsidRPr="00BF17B0">
        <w:rPr>
          <w:rFonts w:asciiTheme="minorHAnsi" w:eastAsiaTheme="minorEastAsia" w:hAnsiTheme="minorHAnsi" w:cstheme="minorHAnsi"/>
          <w:kern w:val="24"/>
        </w:rPr>
        <w:t xml:space="preserve"> the roles </w:t>
      </w:r>
      <w:r w:rsidRPr="00BF17B0">
        <w:rPr>
          <w:rFonts w:asciiTheme="minorHAnsi" w:eastAsiaTheme="minorEastAsia" w:hAnsiTheme="minorHAnsi" w:cstheme="minorHAnsi"/>
          <w:kern w:val="24"/>
        </w:rPr>
        <w:t xml:space="preserve">of the Steering </w:t>
      </w:r>
      <w:r w:rsidR="00CE53E7" w:rsidRPr="00BF17B0">
        <w:rPr>
          <w:rFonts w:asciiTheme="minorHAnsi" w:eastAsiaTheme="minorEastAsia" w:hAnsiTheme="minorHAnsi" w:cstheme="minorHAnsi"/>
          <w:kern w:val="24"/>
        </w:rPr>
        <w:t xml:space="preserve">Committee </w:t>
      </w:r>
      <w:r w:rsidRPr="00BF17B0">
        <w:rPr>
          <w:rFonts w:asciiTheme="minorHAnsi" w:eastAsiaTheme="minorEastAsia" w:hAnsiTheme="minorHAnsi" w:cstheme="minorHAnsi"/>
          <w:kern w:val="24"/>
        </w:rPr>
        <w:t xml:space="preserve">and </w:t>
      </w:r>
      <w:r w:rsidR="005334C0" w:rsidRPr="00BF17B0">
        <w:rPr>
          <w:rFonts w:asciiTheme="minorHAnsi" w:eastAsiaTheme="minorEastAsia" w:hAnsiTheme="minorHAnsi" w:cstheme="minorHAnsi"/>
          <w:kern w:val="24"/>
        </w:rPr>
        <w:t xml:space="preserve">the </w:t>
      </w:r>
      <w:r w:rsidRPr="00BF17B0">
        <w:rPr>
          <w:rFonts w:asciiTheme="minorHAnsi" w:eastAsiaTheme="minorEastAsia" w:hAnsiTheme="minorHAnsi" w:cstheme="minorHAnsi"/>
          <w:kern w:val="24"/>
        </w:rPr>
        <w:t>Technical Committee.</w:t>
      </w:r>
    </w:p>
    <w:p w14:paraId="693C9A3E" w14:textId="66D7E371" w:rsidR="004F5479" w:rsidRPr="00BF17B0" w:rsidRDefault="004F5479" w:rsidP="006E17EF">
      <w:pPr>
        <w:rPr>
          <w:rFonts w:asciiTheme="minorHAnsi" w:eastAsiaTheme="minorEastAsia" w:hAnsiTheme="minorHAnsi" w:cstheme="minorHAnsi"/>
          <w:kern w:val="24"/>
        </w:rPr>
      </w:pPr>
      <w:r w:rsidRPr="00BF17B0">
        <w:rPr>
          <w:rFonts w:asciiTheme="minorHAnsi" w:eastAsiaTheme="minorEastAsia" w:hAnsiTheme="minorHAnsi" w:cstheme="minorHAnsi"/>
          <w:kern w:val="24"/>
        </w:rPr>
        <w:t>Output</w:t>
      </w:r>
      <w:r w:rsidR="00454F52" w:rsidRPr="00BF17B0">
        <w:rPr>
          <w:rFonts w:asciiTheme="minorHAnsi" w:eastAsiaTheme="minorEastAsia" w:hAnsiTheme="minorHAnsi" w:cstheme="minorHAnsi"/>
          <w:kern w:val="24"/>
        </w:rPr>
        <w:t>s</w:t>
      </w:r>
      <w:r w:rsidR="005334C0" w:rsidRPr="00BF17B0">
        <w:rPr>
          <w:rFonts w:asciiTheme="minorHAnsi" w:eastAsiaTheme="minorEastAsia" w:hAnsiTheme="minorHAnsi" w:cstheme="minorHAnsi"/>
          <w:kern w:val="24"/>
        </w:rPr>
        <w:t xml:space="preserve"> </w:t>
      </w:r>
      <w:r w:rsidRPr="00BF17B0">
        <w:rPr>
          <w:rFonts w:asciiTheme="minorHAnsi" w:eastAsiaTheme="minorEastAsia" w:hAnsiTheme="minorHAnsi" w:cstheme="minorHAnsi"/>
          <w:kern w:val="24"/>
        </w:rPr>
        <w:t xml:space="preserve">from the grants supported by the </w:t>
      </w:r>
      <w:r w:rsidR="00064A1B" w:rsidRPr="00BF17B0">
        <w:rPr>
          <w:rFonts w:asciiTheme="minorHAnsi" w:eastAsiaTheme="minorEastAsia" w:hAnsiTheme="minorHAnsi" w:cstheme="minorHAnsi"/>
          <w:kern w:val="24"/>
        </w:rPr>
        <w:t>PH-</w:t>
      </w:r>
      <w:r w:rsidR="00A53818" w:rsidRPr="00BF17B0">
        <w:rPr>
          <w:rFonts w:asciiTheme="minorHAnsi" w:eastAsiaTheme="minorEastAsia" w:hAnsiTheme="minorHAnsi" w:cstheme="minorHAnsi"/>
          <w:kern w:val="24"/>
        </w:rPr>
        <w:t>PTF</w:t>
      </w:r>
      <w:r w:rsidRPr="00BF17B0">
        <w:rPr>
          <w:rFonts w:asciiTheme="minorHAnsi" w:eastAsiaTheme="minorEastAsia" w:hAnsiTheme="minorHAnsi" w:cstheme="minorHAnsi"/>
          <w:kern w:val="24"/>
        </w:rPr>
        <w:t xml:space="preserve"> </w:t>
      </w:r>
      <w:r w:rsidR="00407541" w:rsidRPr="00BF17B0">
        <w:rPr>
          <w:rFonts w:asciiTheme="minorHAnsi" w:eastAsiaTheme="minorEastAsia" w:hAnsiTheme="minorHAnsi" w:cstheme="minorHAnsi"/>
          <w:kern w:val="24"/>
        </w:rPr>
        <w:t xml:space="preserve">were </w:t>
      </w:r>
      <w:r w:rsidRPr="00BF17B0">
        <w:rPr>
          <w:rFonts w:asciiTheme="minorHAnsi" w:eastAsiaTheme="minorEastAsia" w:hAnsiTheme="minorHAnsi" w:cstheme="minorHAnsi"/>
          <w:kern w:val="24"/>
        </w:rPr>
        <w:t>generally timely, of high quality, often innovative</w:t>
      </w:r>
      <w:r w:rsidR="004A6AF8" w:rsidRPr="00BF17B0">
        <w:rPr>
          <w:rFonts w:asciiTheme="minorHAnsi" w:eastAsiaTheme="minorEastAsia" w:hAnsiTheme="minorHAnsi" w:cstheme="minorHAnsi"/>
          <w:kern w:val="24"/>
        </w:rPr>
        <w:t>, usually sustainable</w:t>
      </w:r>
      <w:r w:rsidR="005334C0" w:rsidRPr="00BF17B0">
        <w:rPr>
          <w:rFonts w:asciiTheme="minorHAnsi" w:eastAsiaTheme="minorEastAsia" w:hAnsiTheme="minorHAnsi" w:cstheme="minorHAnsi"/>
          <w:kern w:val="24"/>
        </w:rPr>
        <w:t>,</w:t>
      </w:r>
      <w:r w:rsidRPr="00BF17B0">
        <w:rPr>
          <w:rFonts w:asciiTheme="minorHAnsi" w:eastAsiaTheme="minorEastAsia" w:hAnsiTheme="minorHAnsi" w:cstheme="minorHAnsi"/>
          <w:kern w:val="24"/>
        </w:rPr>
        <w:t xml:space="preserve"> and contributed to the achievement of overall </w:t>
      </w:r>
      <w:r w:rsidR="00582D8E">
        <w:rPr>
          <w:rFonts w:asciiTheme="minorHAnsi" w:eastAsiaTheme="minorEastAsia" w:hAnsiTheme="minorHAnsi" w:cstheme="minorHAnsi"/>
          <w:kern w:val="24"/>
        </w:rPr>
        <w:t>PH-</w:t>
      </w:r>
      <w:r w:rsidR="00A53818" w:rsidRPr="00BF17B0">
        <w:rPr>
          <w:rFonts w:asciiTheme="minorHAnsi" w:eastAsiaTheme="minorEastAsia" w:hAnsiTheme="minorHAnsi" w:cstheme="minorHAnsi"/>
          <w:kern w:val="24"/>
        </w:rPr>
        <w:t>PTF</w:t>
      </w:r>
      <w:r w:rsidRPr="00BF17B0">
        <w:rPr>
          <w:rFonts w:asciiTheme="minorHAnsi" w:eastAsiaTheme="minorEastAsia" w:hAnsiTheme="minorHAnsi" w:cstheme="minorHAnsi"/>
          <w:kern w:val="24"/>
        </w:rPr>
        <w:t xml:space="preserve"> objectives</w:t>
      </w:r>
      <w:r w:rsidR="00EB211F" w:rsidRPr="00BF17B0">
        <w:rPr>
          <w:rFonts w:asciiTheme="minorHAnsi" w:eastAsiaTheme="minorEastAsia" w:hAnsiTheme="minorHAnsi" w:cstheme="minorHAnsi"/>
          <w:kern w:val="24"/>
        </w:rPr>
        <w:t xml:space="preserve">. </w:t>
      </w:r>
      <w:r w:rsidRPr="00BF17B0">
        <w:rPr>
          <w:rFonts w:asciiTheme="minorHAnsi" w:eastAsiaTheme="minorEastAsia" w:hAnsiTheme="minorHAnsi" w:cstheme="minorHAnsi"/>
          <w:kern w:val="24"/>
        </w:rPr>
        <w:t xml:space="preserve">Some of the grants made a major contribution to the substantial </w:t>
      </w:r>
      <w:r w:rsidR="000B64AF" w:rsidRPr="00BF17B0">
        <w:rPr>
          <w:rFonts w:asciiTheme="minorHAnsi" w:eastAsiaTheme="minorEastAsia" w:hAnsiTheme="minorHAnsi" w:cstheme="minorHAnsi"/>
          <w:kern w:val="24"/>
        </w:rPr>
        <w:t xml:space="preserve">improvement in the quality of </w:t>
      </w:r>
      <w:r w:rsidRPr="00BF17B0">
        <w:rPr>
          <w:rFonts w:asciiTheme="minorHAnsi" w:eastAsiaTheme="minorEastAsia" w:hAnsiTheme="minorHAnsi" w:cstheme="minorHAnsi"/>
          <w:kern w:val="24"/>
        </w:rPr>
        <w:t xml:space="preserve">life </w:t>
      </w:r>
      <w:r w:rsidR="000B64AF" w:rsidRPr="00BF17B0">
        <w:rPr>
          <w:rFonts w:asciiTheme="minorHAnsi" w:eastAsiaTheme="minorEastAsia" w:hAnsiTheme="minorHAnsi" w:cstheme="minorHAnsi"/>
          <w:kern w:val="24"/>
        </w:rPr>
        <w:t xml:space="preserve">of </w:t>
      </w:r>
      <w:r w:rsidRPr="00BF17B0">
        <w:rPr>
          <w:rFonts w:asciiTheme="minorHAnsi" w:eastAsiaTheme="minorEastAsia" w:hAnsiTheme="minorHAnsi" w:cstheme="minorHAnsi"/>
          <w:kern w:val="24"/>
        </w:rPr>
        <w:t>beneficiaries.</w:t>
      </w:r>
      <w:r w:rsidR="00407541" w:rsidRPr="00BF17B0">
        <w:rPr>
          <w:rFonts w:asciiTheme="minorHAnsi" w:eastAsiaTheme="minorEastAsia" w:hAnsiTheme="minorHAnsi" w:cstheme="minorHAnsi"/>
          <w:kern w:val="24"/>
        </w:rPr>
        <w:t xml:space="preserve"> </w:t>
      </w:r>
    </w:p>
    <w:p w14:paraId="54F636E1" w14:textId="34E3F559" w:rsidR="004F5479" w:rsidRPr="00BF17B0" w:rsidRDefault="004F5479" w:rsidP="006E17EF">
      <w:pPr>
        <w:rPr>
          <w:rFonts w:asciiTheme="minorHAnsi" w:eastAsiaTheme="minorEastAsia" w:hAnsiTheme="minorHAnsi" w:cstheme="minorHAnsi"/>
          <w:kern w:val="24"/>
        </w:rPr>
      </w:pPr>
      <w:r w:rsidRPr="00BF17B0">
        <w:rPr>
          <w:rFonts w:asciiTheme="minorHAnsi" w:eastAsiaTheme="minorEastAsia" w:hAnsiTheme="minorHAnsi" w:cstheme="minorHAnsi"/>
          <w:kern w:val="24"/>
        </w:rPr>
        <w:t>The “</w:t>
      </w:r>
      <w:r w:rsidR="00FA50F0" w:rsidRPr="00BF17B0">
        <w:rPr>
          <w:rFonts w:asciiTheme="minorHAnsi" w:eastAsiaTheme="minorEastAsia" w:hAnsiTheme="minorHAnsi" w:cstheme="minorHAnsi"/>
          <w:kern w:val="24"/>
        </w:rPr>
        <w:t>programmatic</w:t>
      </w:r>
      <w:r w:rsidRPr="00BF17B0">
        <w:rPr>
          <w:rFonts w:asciiTheme="minorHAnsi" w:eastAsiaTheme="minorEastAsia" w:hAnsiTheme="minorHAnsi" w:cstheme="minorHAnsi"/>
          <w:kern w:val="24"/>
        </w:rPr>
        <w:t xml:space="preserve"> fund” </w:t>
      </w:r>
      <w:r w:rsidR="00B51D79">
        <w:rPr>
          <w:rFonts w:asciiTheme="minorHAnsi" w:eastAsiaTheme="minorEastAsia" w:hAnsiTheme="minorHAnsi" w:cstheme="minorHAnsi"/>
          <w:kern w:val="24"/>
        </w:rPr>
        <w:t xml:space="preserve">modality </w:t>
      </w:r>
      <w:r w:rsidR="00113D42" w:rsidRPr="00BF17B0">
        <w:rPr>
          <w:rFonts w:asciiTheme="minorHAnsi" w:eastAsiaTheme="minorEastAsia" w:hAnsiTheme="minorHAnsi" w:cstheme="minorHAnsi"/>
          <w:kern w:val="24"/>
        </w:rPr>
        <w:t xml:space="preserve">is </w:t>
      </w:r>
      <w:r w:rsidRPr="00BF17B0">
        <w:rPr>
          <w:rFonts w:asciiTheme="minorHAnsi" w:eastAsiaTheme="minorEastAsia" w:hAnsiTheme="minorHAnsi" w:cstheme="minorHAnsi"/>
          <w:kern w:val="24"/>
        </w:rPr>
        <w:t>the most effective means of achieving the partnership objectives.</w:t>
      </w:r>
    </w:p>
    <w:p w14:paraId="04A44755" w14:textId="77777777" w:rsidR="004F5479" w:rsidRPr="00BF17B0" w:rsidRDefault="002D66E1" w:rsidP="006E17EF">
      <w:pPr>
        <w:rPr>
          <w:rFonts w:asciiTheme="minorHAnsi" w:eastAsiaTheme="minorEastAsia" w:hAnsiTheme="minorHAnsi" w:cstheme="minorHAnsi"/>
          <w:kern w:val="24"/>
        </w:rPr>
      </w:pPr>
      <w:r w:rsidRPr="00BF17B0">
        <w:rPr>
          <w:rFonts w:asciiTheme="minorHAnsi" w:eastAsiaTheme="minorEastAsia" w:hAnsiTheme="minorHAnsi" w:cstheme="minorHAnsi"/>
          <w:kern w:val="24"/>
        </w:rPr>
        <w:t>F</w:t>
      </w:r>
      <w:r w:rsidR="004F5479" w:rsidRPr="00BF17B0">
        <w:rPr>
          <w:rFonts w:asciiTheme="minorHAnsi" w:eastAsiaTheme="minorEastAsia" w:hAnsiTheme="minorHAnsi" w:cstheme="minorHAnsi"/>
          <w:kern w:val="24"/>
        </w:rPr>
        <w:t xml:space="preserve">lexibility </w:t>
      </w:r>
      <w:r w:rsidRPr="00BF17B0">
        <w:rPr>
          <w:rFonts w:asciiTheme="minorHAnsi" w:eastAsiaTheme="minorEastAsia" w:hAnsiTheme="minorHAnsi" w:cstheme="minorHAnsi"/>
          <w:kern w:val="24"/>
        </w:rPr>
        <w:t>wa</w:t>
      </w:r>
      <w:r w:rsidR="004E747A" w:rsidRPr="00BF17B0">
        <w:rPr>
          <w:rFonts w:asciiTheme="minorHAnsi" w:eastAsiaTheme="minorEastAsia" w:hAnsiTheme="minorHAnsi" w:cstheme="minorHAnsi"/>
          <w:kern w:val="24"/>
        </w:rPr>
        <w:t>s</w:t>
      </w:r>
      <w:r w:rsidR="002872DE" w:rsidRPr="00BF17B0">
        <w:rPr>
          <w:rFonts w:asciiTheme="minorHAnsi" w:eastAsiaTheme="minorEastAsia" w:hAnsiTheme="minorHAnsi" w:cstheme="minorHAnsi"/>
          <w:kern w:val="24"/>
        </w:rPr>
        <w:t xml:space="preserve"> </w:t>
      </w:r>
      <w:r w:rsidR="00640156" w:rsidRPr="00BF17B0">
        <w:rPr>
          <w:rFonts w:asciiTheme="minorHAnsi" w:eastAsiaTheme="minorEastAsia" w:hAnsiTheme="minorHAnsi" w:cstheme="minorHAnsi"/>
          <w:kern w:val="24"/>
        </w:rPr>
        <w:t xml:space="preserve">one </w:t>
      </w:r>
      <w:r w:rsidR="004F5479" w:rsidRPr="00BF17B0">
        <w:rPr>
          <w:rFonts w:asciiTheme="minorHAnsi" w:eastAsiaTheme="minorEastAsia" w:hAnsiTheme="minorHAnsi" w:cstheme="minorHAnsi"/>
          <w:kern w:val="24"/>
        </w:rPr>
        <w:t xml:space="preserve">of </w:t>
      </w:r>
      <w:r w:rsidRPr="00BF17B0">
        <w:rPr>
          <w:rFonts w:asciiTheme="minorHAnsi" w:eastAsiaTheme="minorEastAsia" w:hAnsiTheme="minorHAnsi" w:cstheme="minorHAnsi"/>
          <w:kern w:val="24"/>
        </w:rPr>
        <w:t xml:space="preserve">PH-PTF’s </w:t>
      </w:r>
      <w:r w:rsidR="004F5479" w:rsidRPr="00BF17B0">
        <w:rPr>
          <w:rFonts w:asciiTheme="minorHAnsi" w:eastAsiaTheme="minorEastAsia" w:hAnsiTheme="minorHAnsi" w:cstheme="minorHAnsi"/>
          <w:kern w:val="24"/>
        </w:rPr>
        <w:t xml:space="preserve">strengths, as the </w:t>
      </w:r>
      <w:r w:rsidR="00640156" w:rsidRPr="00BF17B0">
        <w:rPr>
          <w:rFonts w:asciiTheme="minorHAnsi" w:eastAsiaTheme="minorEastAsia" w:hAnsiTheme="minorHAnsi" w:cstheme="minorHAnsi"/>
          <w:kern w:val="24"/>
        </w:rPr>
        <w:t>Midterm Review noted</w:t>
      </w:r>
      <w:r w:rsidR="00EB211F" w:rsidRPr="00BF17B0">
        <w:rPr>
          <w:rFonts w:asciiTheme="minorHAnsi" w:eastAsiaTheme="minorEastAsia" w:hAnsiTheme="minorHAnsi" w:cstheme="minorHAnsi"/>
          <w:kern w:val="24"/>
        </w:rPr>
        <w:t xml:space="preserve">. </w:t>
      </w:r>
      <w:r w:rsidR="004F5479" w:rsidRPr="00BF17B0">
        <w:rPr>
          <w:rFonts w:asciiTheme="minorHAnsi" w:eastAsiaTheme="minorEastAsia" w:hAnsiTheme="minorHAnsi" w:cstheme="minorHAnsi"/>
          <w:kern w:val="24"/>
        </w:rPr>
        <w:t xml:space="preserve">The ability to respond quickly and effectively to changing </w:t>
      </w:r>
      <w:r w:rsidR="00640156" w:rsidRPr="00BF17B0">
        <w:rPr>
          <w:rFonts w:asciiTheme="minorHAnsi" w:eastAsiaTheme="minorEastAsia" w:hAnsiTheme="minorHAnsi" w:cstheme="minorHAnsi"/>
          <w:kern w:val="24"/>
        </w:rPr>
        <w:t>needs</w:t>
      </w:r>
      <w:r w:rsidR="004F5479" w:rsidRPr="00BF17B0">
        <w:rPr>
          <w:rFonts w:asciiTheme="minorHAnsi" w:eastAsiaTheme="minorEastAsia" w:hAnsiTheme="minorHAnsi" w:cstheme="minorHAnsi"/>
          <w:kern w:val="24"/>
        </w:rPr>
        <w:t xml:space="preserve"> </w:t>
      </w:r>
      <w:r w:rsidR="00417EE8" w:rsidRPr="00BF17B0">
        <w:rPr>
          <w:rFonts w:asciiTheme="minorHAnsi" w:eastAsiaTheme="minorEastAsia" w:hAnsiTheme="minorHAnsi" w:cstheme="minorHAnsi"/>
          <w:kern w:val="24"/>
        </w:rPr>
        <w:t>demonstrate</w:t>
      </w:r>
      <w:r w:rsidRPr="00BF17B0">
        <w:rPr>
          <w:rFonts w:asciiTheme="minorHAnsi" w:eastAsiaTheme="minorEastAsia" w:hAnsiTheme="minorHAnsi" w:cstheme="minorHAnsi"/>
          <w:kern w:val="24"/>
        </w:rPr>
        <w:t>d</w:t>
      </w:r>
      <w:r w:rsidR="00417EE8" w:rsidRPr="00BF17B0">
        <w:rPr>
          <w:rFonts w:asciiTheme="minorHAnsi" w:eastAsiaTheme="minorEastAsia" w:hAnsiTheme="minorHAnsi" w:cstheme="minorHAnsi"/>
          <w:kern w:val="24"/>
        </w:rPr>
        <w:t xml:space="preserve"> </w:t>
      </w:r>
      <w:r w:rsidR="004F5479" w:rsidRPr="00BF17B0">
        <w:rPr>
          <w:rFonts w:asciiTheme="minorHAnsi" w:eastAsiaTheme="minorEastAsia" w:hAnsiTheme="minorHAnsi" w:cstheme="minorHAnsi"/>
          <w:kern w:val="24"/>
        </w:rPr>
        <w:t xml:space="preserve">that a collaboration framework supported by a flexible programmatic trust fund structure </w:t>
      </w:r>
      <w:r w:rsidR="004E747A" w:rsidRPr="00BF17B0">
        <w:rPr>
          <w:rFonts w:asciiTheme="minorHAnsi" w:eastAsiaTheme="minorEastAsia" w:hAnsiTheme="minorHAnsi" w:cstheme="minorHAnsi"/>
          <w:kern w:val="24"/>
        </w:rPr>
        <w:t>c</w:t>
      </w:r>
      <w:r w:rsidRPr="00BF17B0">
        <w:rPr>
          <w:rFonts w:asciiTheme="minorHAnsi" w:eastAsiaTheme="minorEastAsia" w:hAnsiTheme="minorHAnsi" w:cstheme="minorHAnsi"/>
          <w:kern w:val="24"/>
        </w:rPr>
        <w:t xml:space="preserve">ould </w:t>
      </w:r>
      <w:r w:rsidR="004F5479" w:rsidRPr="00BF17B0">
        <w:rPr>
          <w:rFonts w:asciiTheme="minorHAnsi" w:eastAsiaTheme="minorEastAsia" w:hAnsiTheme="minorHAnsi" w:cstheme="minorHAnsi"/>
          <w:kern w:val="24"/>
        </w:rPr>
        <w:t>make a substantial contribution to the Philippine</w:t>
      </w:r>
      <w:r w:rsidR="00417EE8" w:rsidRPr="00BF17B0">
        <w:rPr>
          <w:rFonts w:asciiTheme="minorHAnsi" w:eastAsiaTheme="minorEastAsia" w:hAnsiTheme="minorHAnsi" w:cstheme="minorHAnsi"/>
          <w:kern w:val="24"/>
        </w:rPr>
        <w:t xml:space="preserve"> </w:t>
      </w:r>
      <w:r w:rsidR="004F5479" w:rsidRPr="00BF17B0">
        <w:rPr>
          <w:rFonts w:asciiTheme="minorHAnsi" w:eastAsiaTheme="minorEastAsia" w:hAnsiTheme="minorHAnsi" w:cstheme="minorHAnsi"/>
          <w:kern w:val="24"/>
        </w:rPr>
        <w:t>policy agenda.</w:t>
      </w:r>
    </w:p>
    <w:p w14:paraId="2D514971" w14:textId="77777777" w:rsidR="00DA3E0B" w:rsidRPr="00BF17B0" w:rsidRDefault="00DA3E0B" w:rsidP="006E17EF">
      <w:pPr>
        <w:rPr>
          <w:rFonts w:asciiTheme="minorHAnsi" w:eastAsiaTheme="minorEastAsia" w:hAnsiTheme="minorHAnsi" w:cstheme="minorHAnsi"/>
          <w:kern w:val="24"/>
        </w:rPr>
      </w:pPr>
      <w:r w:rsidRPr="00BF17B0">
        <w:rPr>
          <w:rFonts w:asciiTheme="minorHAnsi" w:eastAsiaTheme="minorEastAsia" w:hAnsiTheme="minorHAnsi" w:cstheme="minorHAnsi"/>
          <w:kern w:val="24"/>
        </w:rPr>
        <w:t xml:space="preserve">Competitive approaches to grant allocation </w:t>
      </w:r>
      <w:r w:rsidR="002D66E1" w:rsidRPr="00BF17B0">
        <w:rPr>
          <w:rFonts w:asciiTheme="minorHAnsi" w:eastAsiaTheme="minorEastAsia" w:hAnsiTheme="minorHAnsi" w:cstheme="minorHAnsi"/>
          <w:kern w:val="24"/>
        </w:rPr>
        <w:t>we</w:t>
      </w:r>
      <w:r w:rsidR="004E747A" w:rsidRPr="00BF17B0">
        <w:rPr>
          <w:rFonts w:asciiTheme="minorHAnsi" w:eastAsiaTheme="minorEastAsia" w:hAnsiTheme="minorHAnsi" w:cstheme="minorHAnsi"/>
          <w:kern w:val="24"/>
        </w:rPr>
        <w:t xml:space="preserve">re </w:t>
      </w:r>
      <w:r w:rsidR="00417EE8" w:rsidRPr="00BF17B0">
        <w:rPr>
          <w:rFonts w:asciiTheme="minorHAnsi" w:eastAsiaTheme="minorEastAsia" w:hAnsiTheme="minorHAnsi" w:cstheme="minorHAnsi"/>
          <w:kern w:val="24"/>
        </w:rPr>
        <w:t>an</w:t>
      </w:r>
      <w:r w:rsidRPr="00BF17B0">
        <w:rPr>
          <w:rFonts w:asciiTheme="minorHAnsi" w:eastAsiaTheme="minorEastAsia" w:hAnsiTheme="minorHAnsi" w:cstheme="minorHAnsi"/>
          <w:kern w:val="24"/>
        </w:rPr>
        <w:t xml:space="preserve"> effective means of selecting activities to be supported by the </w:t>
      </w:r>
      <w:r w:rsidR="00064A1B" w:rsidRPr="00BF17B0">
        <w:rPr>
          <w:rFonts w:asciiTheme="minorHAnsi" w:eastAsiaTheme="minorEastAsia" w:hAnsiTheme="minorHAnsi" w:cstheme="minorHAnsi"/>
          <w:kern w:val="24"/>
        </w:rPr>
        <w:t>PH-</w:t>
      </w:r>
      <w:r w:rsidR="00A53818" w:rsidRPr="00BF17B0">
        <w:rPr>
          <w:rFonts w:asciiTheme="minorHAnsi" w:eastAsiaTheme="minorEastAsia" w:hAnsiTheme="minorHAnsi" w:cstheme="minorHAnsi"/>
          <w:kern w:val="24"/>
        </w:rPr>
        <w:t>PTF</w:t>
      </w:r>
      <w:r w:rsidRPr="00BF17B0">
        <w:rPr>
          <w:rFonts w:asciiTheme="minorHAnsi" w:eastAsiaTheme="minorEastAsia" w:hAnsiTheme="minorHAnsi" w:cstheme="minorHAnsi"/>
          <w:kern w:val="24"/>
        </w:rPr>
        <w:t>.</w:t>
      </w:r>
    </w:p>
    <w:p w14:paraId="227B4B6B" w14:textId="77777777" w:rsidR="007E65E1" w:rsidRPr="00BF17B0" w:rsidRDefault="004A6AF8" w:rsidP="006E17EF">
      <w:pPr>
        <w:rPr>
          <w:rFonts w:asciiTheme="minorHAnsi" w:eastAsiaTheme="minorEastAsia" w:hAnsiTheme="minorHAnsi" w:cstheme="minorHAnsi"/>
          <w:kern w:val="24"/>
        </w:rPr>
      </w:pPr>
      <w:r w:rsidRPr="00BF17B0">
        <w:rPr>
          <w:rFonts w:asciiTheme="minorHAnsi" w:eastAsiaTheme="minorEastAsia" w:hAnsiTheme="minorHAnsi" w:cstheme="minorHAnsi"/>
          <w:kern w:val="24"/>
        </w:rPr>
        <w:t xml:space="preserve">Although cross-cutting issues were not addressed in the </w:t>
      </w:r>
      <w:r w:rsidR="00417EE8" w:rsidRPr="00BF17B0">
        <w:rPr>
          <w:rFonts w:asciiTheme="minorHAnsi" w:eastAsiaTheme="minorEastAsia" w:hAnsiTheme="minorHAnsi" w:cstheme="minorHAnsi"/>
          <w:kern w:val="24"/>
        </w:rPr>
        <w:t>administration agreement</w:t>
      </w:r>
      <w:r w:rsidRPr="00BF17B0">
        <w:rPr>
          <w:rFonts w:asciiTheme="minorHAnsi" w:eastAsiaTheme="minorEastAsia" w:hAnsiTheme="minorHAnsi" w:cstheme="minorHAnsi"/>
          <w:kern w:val="24"/>
        </w:rPr>
        <w:t xml:space="preserve">, and only occasionally </w:t>
      </w:r>
      <w:r w:rsidR="002D66E1" w:rsidRPr="00BF17B0">
        <w:rPr>
          <w:rFonts w:asciiTheme="minorHAnsi" w:eastAsiaTheme="minorEastAsia" w:hAnsiTheme="minorHAnsi" w:cstheme="minorHAnsi"/>
          <w:kern w:val="24"/>
        </w:rPr>
        <w:t xml:space="preserve">and </w:t>
      </w:r>
      <w:r w:rsidRPr="00BF17B0">
        <w:rPr>
          <w:rFonts w:asciiTheme="minorHAnsi" w:eastAsiaTheme="minorEastAsia" w:hAnsiTheme="minorHAnsi" w:cstheme="minorHAnsi"/>
          <w:kern w:val="24"/>
        </w:rPr>
        <w:t xml:space="preserve">formally introduced by the </w:t>
      </w:r>
      <w:r w:rsidR="00417EE8" w:rsidRPr="00BF17B0">
        <w:rPr>
          <w:rFonts w:asciiTheme="minorHAnsi" w:eastAsiaTheme="minorEastAsia" w:hAnsiTheme="minorHAnsi" w:cstheme="minorHAnsi"/>
          <w:kern w:val="24"/>
        </w:rPr>
        <w:t>Steering Committee</w:t>
      </w:r>
      <w:r w:rsidRPr="00BF17B0">
        <w:rPr>
          <w:rFonts w:asciiTheme="minorHAnsi" w:eastAsiaTheme="minorEastAsia" w:hAnsiTheme="minorHAnsi" w:cstheme="minorHAnsi"/>
          <w:kern w:val="24"/>
        </w:rPr>
        <w:t xml:space="preserve">, </w:t>
      </w:r>
      <w:r w:rsidR="00064A1B" w:rsidRPr="00BF17B0">
        <w:rPr>
          <w:rFonts w:asciiTheme="minorHAnsi" w:eastAsiaTheme="minorEastAsia" w:hAnsiTheme="minorHAnsi" w:cstheme="minorHAnsi"/>
          <w:kern w:val="24"/>
        </w:rPr>
        <w:t>PH-</w:t>
      </w:r>
      <w:r w:rsidR="00A53818" w:rsidRPr="00BF17B0">
        <w:rPr>
          <w:rFonts w:asciiTheme="minorHAnsi" w:eastAsiaTheme="minorEastAsia" w:hAnsiTheme="minorHAnsi" w:cstheme="minorHAnsi"/>
          <w:kern w:val="24"/>
        </w:rPr>
        <w:t>PTF</w:t>
      </w:r>
      <w:r w:rsidR="00804FD7" w:rsidRPr="00BF17B0">
        <w:rPr>
          <w:rFonts w:asciiTheme="minorHAnsi" w:eastAsiaTheme="minorEastAsia" w:hAnsiTheme="minorHAnsi" w:cstheme="minorHAnsi"/>
          <w:kern w:val="24"/>
        </w:rPr>
        <w:t>-</w:t>
      </w:r>
      <w:r w:rsidRPr="00BF17B0">
        <w:rPr>
          <w:rFonts w:asciiTheme="minorHAnsi" w:eastAsiaTheme="minorEastAsia" w:hAnsiTheme="minorHAnsi" w:cstheme="minorHAnsi"/>
          <w:kern w:val="24"/>
        </w:rPr>
        <w:t xml:space="preserve">supported grants </w:t>
      </w:r>
      <w:r w:rsidR="002D66E1" w:rsidRPr="00BF17B0">
        <w:rPr>
          <w:rFonts w:asciiTheme="minorHAnsi" w:eastAsiaTheme="minorEastAsia" w:hAnsiTheme="minorHAnsi" w:cstheme="minorHAnsi"/>
          <w:kern w:val="24"/>
        </w:rPr>
        <w:t>we</w:t>
      </w:r>
      <w:r w:rsidR="00417EE8" w:rsidRPr="00BF17B0">
        <w:rPr>
          <w:rFonts w:asciiTheme="minorHAnsi" w:eastAsiaTheme="minorEastAsia" w:hAnsiTheme="minorHAnsi" w:cstheme="minorHAnsi"/>
          <w:kern w:val="24"/>
        </w:rPr>
        <w:t xml:space="preserve">re </w:t>
      </w:r>
      <w:r w:rsidRPr="00BF17B0">
        <w:rPr>
          <w:rFonts w:asciiTheme="minorHAnsi" w:eastAsiaTheme="minorEastAsia" w:hAnsiTheme="minorHAnsi" w:cstheme="minorHAnsi"/>
          <w:kern w:val="24"/>
        </w:rPr>
        <w:t xml:space="preserve">often </w:t>
      </w:r>
      <w:r w:rsidR="001B69F8" w:rsidRPr="00BF17B0">
        <w:rPr>
          <w:rFonts w:asciiTheme="minorHAnsi" w:eastAsiaTheme="minorEastAsia" w:hAnsiTheme="minorHAnsi" w:cstheme="minorHAnsi"/>
          <w:kern w:val="24"/>
        </w:rPr>
        <w:t>innovative,</w:t>
      </w:r>
      <w:r w:rsidRPr="00BF17B0">
        <w:rPr>
          <w:rFonts w:asciiTheme="minorHAnsi" w:eastAsiaTheme="minorEastAsia" w:hAnsiTheme="minorHAnsi" w:cstheme="minorHAnsi"/>
          <w:kern w:val="24"/>
        </w:rPr>
        <w:t xml:space="preserve"> and some </w:t>
      </w:r>
      <w:r w:rsidR="004E747A" w:rsidRPr="00BF17B0">
        <w:rPr>
          <w:rFonts w:asciiTheme="minorHAnsi" w:eastAsiaTheme="minorEastAsia" w:hAnsiTheme="minorHAnsi" w:cstheme="minorHAnsi"/>
          <w:kern w:val="24"/>
        </w:rPr>
        <w:t xml:space="preserve">contributed significantly in </w:t>
      </w:r>
      <w:r w:rsidR="00417EE8" w:rsidRPr="00BF17B0">
        <w:rPr>
          <w:rFonts w:asciiTheme="minorHAnsi" w:eastAsiaTheme="minorEastAsia" w:hAnsiTheme="minorHAnsi" w:cstheme="minorHAnsi"/>
          <w:kern w:val="24"/>
        </w:rPr>
        <w:t xml:space="preserve">addressing issues related to </w:t>
      </w:r>
      <w:r w:rsidRPr="00BF17B0">
        <w:rPr>
          <w:rFonts w:asciiTheme="minorHAnsi" w:eastAsiaTheme="minorEastAsia" w:hAnsiTheme="minorHAnsi" w:cstheme="minorHAnsi"/>
          <w:kern w:val="24"/>
        </w:rPr>
        <w:t xml:space="preserve">gender, </w:t>
      </w:r>
      <w:r w:rsidR="00417EE8" w:rsidRPr="00BF17B0">
        <w:rPr>
          <w:rFonts w:asciiTheme="minorHAnsi" w:eastAsiaTheme="minorEastAsia" w:hAnsiTheme="minorHAnsi" w:cstheme="minorHAnsi"/>
          <w:kern w:val="24"/>
        </w:rPr>
        <w:t xml:space="preserve">indigenous peoples, </w:t>
      </w:r>
      <w:r w:rsidRPr="00BF17B0">
        <w:rPr>
          <w:rFonts w:asciiTheme="minorHAnsi" w:eastAsiaTheme="minorEastAsia" w:hAnsiTheme="minorHAnsi" w:cstheme="minorHAnsi"/>
          <w:kern w:val="24"/>
        </w:rPr>
        <w:t>climate change and disasters.</w:t>
      </w:r>
    </w:p>
    <w:p w14:paraId="6F0919C4" w14:textId="284818D2" w:rsidR="004A6AF8" w:rsidRDefault="007E65E1" w:rsidP="006E17EF">
      <w:pPr>
        <w:rPr>
          <w:rFonts w:asciiTheme="minorHAnsi" w:eastAsiaTheme="minorEastAsia" w:hAnsiTheme="minorHAnsi" w:cstheme="minorHAnsi"/>
          <w:kern w:val="24"/>
        </w:rPr>
      </w:pPr>
      <w:r w:rsidRPr="00BF17B0">
        <w:rPr>
          <w:rFonts w:asciiTheme="minorHAnsi" w:eastAsiaTheme="minorEastAsia" w:hAnsiTheme="minorHAnsi" w:cstheme="minorHAnsi"/>
          <w:kern w:val="24"/>
        </w:rPr>
        <w:t>Recipient</w:t>
      </w:r>
      <w:r w:rsidR="00417EE8" w:rsidRPr="00BF17B0">
        <w:rPr>
          <w:rFonts w:asciiTheme="minorHAnsi" w:eastAsiaTheme="minorEastAsia" w:hAnsiTheme="minorHAnsi" w:cstheme="minorHAnsi"/>
          <w:kern w:val="24"/>
        </w:rPr>
        <w:t>-</w:t>
      </w:r>
      <w:r w:rsidRPr="00BF17B0">
        <w:rPr>
          <w:rFonts w:asciiTheme="minorHAnsi" w:eastAsiaTheme="minorEastAsia" w:hAnsiTheme="minorHAnsi" w:cstheme="minorHAnsi"/>
          <w:kern w:val="24"/>
        </w:rPr>
        <w:t>executed grants were slow to</w:t>
      </w:r>
      <w:r w:rsidR="004A6AF8" w:rsidRPr="00BF17B0">
        <w:rPr>
          <w:rFonts w:asciiTheme="minorHAnsi" w:eastAsiaTheme="minorEastAsia" w:hAnsiTheme="minorHAnsi" w:cstheme="minorHAnsi"/>
          <w:kern w:val="24"/>
        </w:rPr>
        <w:t xml:space="preserve"> </w:t>
      </w:r>
      <w:r w:rsidRPr="00BF17B0">
        <w:rPr>
          <w:rFonts w:asciiTheme="minorHAnsi" w:eastAsiaTheme="minorEastAsia" w:hAnsiTheme="minorHAnsi" w:cstheme="minorHAnsi"/>
          <w:kern w:val="24"/>
        </w:rPr>
        <w:t>disburse</w:t>
      </w:r>
      <w:r w:rsidR="000D0E82" w:rsidRPr="00BF17B0">
        <w:rPr>
          <w:rFonts w:asciiTheme="minorHAnsi" w:eastAsiaTheme="minorEastAsia" w:hAnsiTheme="minorHAnsi" w:cstheme="minorHAnsi"/>
          <w:kern w:val="24"/>
        </w:rPr>
        <w:t>,</w:t>
      </w:r>
      <w:r w:rsidRPr="00BF17B0">
        <w:rPr>
          <w:rFonts w:asciiTheme="minorHAnsi" w:eastAsiaTheme="minorEastAsia" w:hAnsiTheme="minorHAnsi" w:cstheme="minorHAnsi"/>
          <w:kern w:val="24"/>
        </w:rPr>
        <w:t xml:space="preserve"> but the major grants met or exceeded their output targets and achieved sustainable outcomes.</w:t>
      </w:r>
    </w:p>
    <w:p w14:paraId="70ED00AF" w14:textId="77777777" w:rsidR="00B51D79" w:rsidRPr="00BF17B0" w:rsidRDefault="00B51D79" w:rsidP="006E17EF">
      <w:pPr>
        <w:rPr>
          <w:rFonts w:asciiTheme="minorHAnsi" w:eastAsiaTheme="minorEastAsia" w:hAnsiTheme="minorHAnsi" w:cstheme="minorHAnsi"/>
          <w:kern w:val="24"/>
        </w:rPr>
      </w:pPr>
    </w:p>
    <w:p w14:paraId="4B2E627F" w14:textId="77777777" w:rsidR="004F5479" w:rsidRPr="00BF17B0" w:rsidRDefault="007E65E1" w:rsidP="009C79EB">
      <w:pPr>
        <w:pStyle w:val="Heading3"/>
        <w:rPr>
          <w:rFonts w:eastAsiaTheme="minorEastAsia"/>
        </w:rPr>
      </w:pPr>
      <w:r w:rsidRPr="00BF17B0">
        <w:rPr>
          <w:rFonts w:eastAsiaTheme="minorEastAsia"/>
        </w:rPr>
        <w:t>Opportunities for Improvement</w:t>
      </w:r>
    </w:p>
    <w:p w14:paraId="4D858A5D" w14:textId="77777777" w:rsidR="007E65E1" w:rsidRPr="00BF17B0" w:rsidRDefault="00EF5847" w:rsidP="006E17EF">
      <w:pPr>
        <w:rPr>
          <w:rFonts w:asciiTheme="minorHAnsi" w:eastAsiaTheme="minorEastAsia" w:hAnsiTheme="minorHAnsi" w:cstheme="minorHAnsi"/>
          <w:kern w:val="24"/>
        </w:rPr>
      </w:pPr>
      <w:r w:rsidRPr="00BF17B0">
        <w:rPr>
          <w:rFonts w:asciiTheme="minorHAnsi" w:eastAsiaTheme="minorEastAsia" w:hAnsiTheme="minorHAnsi" w:cstheme="minorHAnsi"/>
          <w:kern w:val="24"/>
        </w:rPr>
        <w:t>While the agreed governance framework</w:t>
      </w:r>
      <w:r w:rsidR="008502A9" w:rsidRPr="00BF17B0">
        <w:rPr>
          <w:rFonts w:asciiTheme="minorHAnsi" w:eastAsiaTheme="minorEastAsia" w:hAnsiTheme="minorHAnsi" w:cstheme="minorHAnsi"/>
          <w:kern w:val="24"/>
        </w:rPr>
        <w:t xml:space="preserve">—as </w:t>
      </w:r>
      <w:r w:rsidRPr="00BF17B0">
        <w:rPr>
          <w:rFonts w:asciiTheme="minorHAnsi" w:eastAsiaTheme="minorEastAsia" w:hAnsiTheme="minorHAnsi" w:cstheme="minorHAnsi"/>
          <w:kern w:val="24"/>
        </w:rPr>
        <w:t xml:space="preserve">revised following the </w:t>
      </w:r>
      <w:r w:rsidR="0057134E" w:rsidRPr="00BF17B0">
        <w:rPr>
          <w:rFonts w:asciiTheme="minorHAnsi" w:eastAsiaTheme="minorEastAsia" w:hAnsiTheme="minorHAnsi" w:cstheme="minorHAnsi"/>
          <w:kern w:val="24"/>
        </w:rPr>
        <w:t>Midterm Review</w:t>
      </w:r>
      <w:r w:rsidR="008502A9" w:rsidRPr="00BF17B0">
        <w:rPr>
          <w:rFonts w:asciiTheme="minorHAnsi" w:eastAsiaTheme="minorEastAsia" w:hAnsiTheme="minorHAnsi" w:cstheme="minorHAnsi"/>
          <w:kern w:val="24"/>
        </w:rPr>
        <w:t>—</w:t>
      </w:r>
      <w:r w:rsidR="00360335" w:rsidRPr="00BF17B0">
        <w:rPr>
          <w:rFonts w:asciiTheme="minorHAnsi" w:eastAsiaTheme="minorEastAsia" w:hAnsiTheme="minorHAnsi" w:cstheme="minorHAnsi"/>
          <w:kern w:val="24"/>
        </w:rPr>
        <w:t>wa</w:t>
      </w:r>
      <w:r w:rsidR="008502A9" w:rsidRPr="00BF17B0">
        <w:rPr>
          <w:rFonts w:asciiTheme="minorHAnsi" w:eastAsiaTheme="minorEastAsia" w:hAnsiTheme="minorHAnsi" w:cstheme="minorHAnsi"/>
          <w:kern w:val="24"/>
        </w:rPr>
        <w:t xml:space="preserve">s </w:t>
      </w:r>
      <w:r w:rsidRPr="00BF17B0">
        <w:rPr>
          <w:rFonts w:asciiTheme="minorHAnsi" w:eastAsiaTheme="minorEastAsia" w:hAnsiTheme="minorHAnsi" w:cstheme="minorHAnsi"/>
          <w:kern w:val="24"/>
        </w:rPr>
        <w:t>well</w:t>
      </w:r>
      <w:r w:rsidR="008502A9" w:rsidRPr="00BF17B0">
        <w:rPr>
          <w:rFonts w:asciiTheme="minorHAnsi" w:eastAsiaTheme="minorEastAsia" w:hAnsiTheme="minorHAnsi" w:cstheme="minorHAnsi"/>
          <w:kern w:val="24"/>
        </w:rPr>
        <w:t>-</w:t>
      </w:r>
      <w:r w:rsidRPr="00BF17B0">
        <w:rPr>
          <w:rFonts w:asciiTheme="minorHAnsi" w:eastAsiaTheme="minorEastAsia" w:hAnsiTheme="minorHAnsi" w:cstheme="minorHAnsi"/>
          <w:kern w:val="24"/>
        </w:rPr>
        <w:t>designed</w:t>
      </w:r>
      <w:r w:rsidR="008502A9" w:rsidRPr="00BF17B0">
        <w:rPr>
          <w:rFonts w:asciiTheme="minorHAnsi" w:eastAsiaTheme="minorEastAsia" w:hAnsiTheme="minorHAnsi" w:cstheme="minorHAnsi"/>
          <w:kern w:val="24"/>
        </w:rPr>
        <w:t>,</w:t>
      </w:r>
      <w:r w:rsidRPr="00BF17B0">
        <w:rPr>
          <w:rFonts w:asciiTheme="minorHAnsi" w:eastAsiaTheme="minorEastAsia" w:hAnsiTheme="minorHAnsi" w:cstheme="minorHAnsi"/>
          <w:kern w:val="24"/>
        </w:rPr>
        <w:t xml:space="preserve"> it was not always followed</w:t>
      </w:r>
      <w:r w:rsidR="00EB211F" w:rsidRPr="00BF17B0">
        <w:rPr>
          <w:rFonts w:asciiTheme="minorHAnsi" w:eastAsiaTheme="minorEastAsia" w:hAnsiTheme="minorHAnsi" w:cstheme="minorHAnsi"/>
          <w:kern w:val="24"/>
        </w:rPr>
        <w:t xml:space="preserve">. </w:t>
      </w:r>
      <w:r w:rsidR="00DA3E0B" w:rsidRPr="00BF17B0">
        <w:rPr>
          <w:rFonts w:asciiTheme="minorHAnsi" w:eastAsiaTheme="minorEastAsia" w:hAnsiTheme="minorHAnsi" w:cstheme="minorHAnsi"/>
          <w:kern w:val="24"/>
        </w:rPr>
        <w:t xml:space="preserve">Meetings of the Steering </w:t>
      </w:r>
      <w:r w:rsidR="007F2A65" w:rsidRPr="00BF17B0">
        <w:rPr>
          <w:rFonts w:asciiTheme="minorHAnsi" w:eastAsiaTheme="minorEastAsia" w:hAnsiTheme="minorHAnsi" w:cstheme="minorHAnsi"/>
          <w:kern w:val="24"/>
        </w:rPr>
        <w:t xml:space="preserve">Committee </w:t>
      </w:r>
      <w:r w:rsidR="00DA3E0B" w:rsidRPr="00BF17B0">
        <w:rPr>
          <w:rFonts w:asciiTheme="minorHAnsi" w:eastAsiaTheme="minorEastAsia" w:hAnsiTheme="minorHAnsi" w:cstheme="minorHAnsi"/>
          <w:kern w:val="24"/>
        </w:rPr>
        <w:t xml:space="preserve">and </w:t>
      </w:r>
      <w:r w:rsidR="005933E2" w:rsidRPr="00BF17B0">
        <w:rPr>
          <w:rFonts w:asciiTheme="minorHAnsi" w:eastAsiaTheme="minorEastAsia" w:hAnsiTheme="minorHAnsi" w:cstheme="minorHAnsi"/>
          <w:kern w:val="24"/>
        </w:rPr>
        <w:t xml:space="preserve">Operations </w:t>
      </w:r>
      <w:r w:rsidR="007F2A65" w:rsidRPr="00BF17B0">
        <w:rPr>
          <w:rFonts w:asciiTheme="minorHAnsi" w:eastAsiaTheme="minorEastAsia" w:hAnsiTheme="minorHAnsi" w:cstheme="minorHAnsi"/>
          <w:kern w:val="24"/>
        </w:rPr>
        <w:t xml:space="preserve">Committee </w:t>
      </w:r>
      <w:r w:rsidR="00DA3E0B" w:rsidRPr="00BF17B0">
        <w:rPr>
          <w:rFonts w:asciiTheme="minorHAnsi" w:eastAsiaTheme="minorEastAsia" w:hAnsiTheme="minorHAnsi" w:cstheme="minorHAnsi"/>
          <w:kern w:val="24"/>
        </w:rPr>
        <w:t xml:space="preserve">should take place </w:t>
      </w:r>
      <w:r w:rsidR="000E2864" w:rsidRPr="00BF17B0">
        <w:rPr>
          <w:rFonts w:asciiTheme="minorHAnsi" w:eastAsiaTheme="minorEastAsia" w:hAnsiTheme="minorHAnsi" w:cstheme="minorHAnsi"/>
          <w:kern w:val="24"/>
        </w:rPr>
        <w:t xml:space="preserve">following </w:t>
      </w:r>
      <w:r w:rsidR="00DA3E0B" w:rsidRPr="00BF17B0">
        <w:rPr>
          <w:rFonts w:asciiTheme="minorHAnsi" w:eastAsiaTheme="minorEastAsia" w:hAnsiTheme="minorHAnsi" w:cstheme="minorHAnsi"/>
          <w:kern w:val="24"/>
        </w:rPr>
        <w:t xml:space="preserve">the </w:t>
      </w:r>
      <w:r w:rsidR="00E94291" w:rsidRPr="00BF17B0">
        <w:rPr>
          <w:rFonts w:asciiTheme="minorHAnsi" w:eastAsiaTheme="minorEastAsia" w:hAnsiTheme="minorHAnsi" w:cstheme="minorHAnsi"/>
          <w:kern w:val="24"/>
        </w:rPr>
        <w:t xml:space="preserve">frequency indicated in the </w:t>
      </w:r>
      <w:r w:rsidR="000E2864" w:rsidRPr="00BF17B0">
        <w:rPr>
          <w:rFonts w:asciiTheme="minorHAnsi" w:eastAsiaTheme="minorEastAsia" w:hAnsiTheme="minorHAnsi" w:cstheme="minorHAnsi"/>
          <w:kern w:val="24"/>
        </w:rPr>
        <w:t>agreement</w:t>
      </w:r>
      <w:r w:rsidR="00DA3E0B" w:rsidRPr="00BF17B0">
        <w:rPr>
          <w:rFonts w:asciiTheme="minorHAnsi" w:eastAsiaTheme="minorEastAsia" w:hAnsiTheme="minorHAnsi" w:cstheme="minorHAnsi"/>
          <w:kern w:val="24"/>
        </w:rPr>
        <w:t>.</w:t>
      </w:r>
    </w:p>
    <w:p w14:paraId="1719DEAA" w14:textId="77777777" w:rsidR="004F5479" w:rsidRPr="00BF17B0" w:rsidRDefault="00EF5847" w:rsidP="006E17EF">
      <w:pPr>
        <w:rPr>
          <w:rFonts w:asciiTheme="minorHAnsi" w:eastAsiaTheme="minorEastAsia" w:hAnsiTheme="minorHAnsi" w:cstheme="minorHAnsi"/>
          <w:kern w:val="24"/>
        </w:rPr>
      </w:pPr>
      <w:r w:rsidRPr="00BF17B0">
        <w:rPr>
          <w:rFonts w:asciiTheme="minorHAnsi" w:eastAsiaTheme="minorEastAsia" w:hAnsiTheme="minorHAnsi" w:cstheme="minorHAnsi"/>
          <w:kern w:val="24"/>
        </w:rPr>
        <w:t xml:space="preserve">Some cross-cutting issues </w:t>
      </w:r>
      <w:r w:rsidR="0093155A" w:rsidRPr="00BF17B0">
        <w:rPr>
          <w:rFonts w:asciiTheme="minorHAnsi" w:eastAsiaTheme="minorEastAsia" w:hAnsiTheme="minorHAnsi" w:cstheme="minorHAnsi"/>
          <w:kern w:val="24"/>
        </w:rPr>
        <w:t>we</w:t>
      </w:r>
      <w:r w:rsidRPr="00BF17B0">
        <w:rPr>
          <w:rFonts w:asciiTheme="minorHAnsi" w:eastAsiaTheme="minorEastAsia" w:hAnsiTheme="minorHAnsi" w:cstheme="minorHAnsi"/>
          <w:kern w:val="24"/>
        </w:rPr>
        <w:t xml:space="preserve">re clearly </w:t>
      </w:r>
      <w:r w:rsidR="0093155A" w:rsidRPr="00BF17B0">
        <w:rPr>
          <w:rFonts w:asciiTheme="minorHAnsi" w:eastAsiaTheme="minorEastAsia" w:hAnsiTheme="minorHAnsi" w:cstheme="minorHAnsi"/>
          <w:kern w:val="24"/>
        </w:rPr>
        <w:t xml:space="preserve">important </w:t>
      </w:r>
      <w:r w:rsidRPr="00BF17B0">
        <w:rPr>
          <w:rFonts w:asciiTheme="minorHAnsi" w:eastAsiaTheme="minorEastAsia" w:hAnsiTheme="minorHAnsi" w:cstheme="minorHAnsi"/>
          <w:kern w:val="24"/>
        </w:rPr>
        <w:t xml:space="preserve">to DFAT and </w:t>
      </w:r>
      <w:r w:rsidR="00063409" w:rsidRPr="00BF17B0">
        <w:rPr>
          <w:rFonts w:asciiTheme="minorHAnsi" w:eastAsiaTheme="minorEastAsia" w:hAnsiTheme="minorHAnsi" w:cstheme="minorHAnsi"/>
          <w:kern w:val="24"/>
        </w:rPr>
        <w:t>the World Bank</w:t>
      </w:r>
      <w:r w:rsidR="0093155A" w:rsidRPr="00BF17B0">
        <w:rPr>
          <w:rFonts w:asciiTheme="minorHAnsi" w:eastAsiaTheme="minorEastAsia" w:hAnsiTheme="minorHAnsi" w:cstheme="minorHAnsi"/>
          <w:kern w:val="24"/>
        </w:rPr>
        <w:t>,</w:t>
      </w:r>
      <w:r w:rsidRPr="00BF17B0">
        <w:rPr>
          <w:rFonts w:asciiTheme="minorHAnsi" w:eastAsiaTheme="minorEastAsia" w:hAnsiTheme="minorHAnsi" w:cstheme="minorHAnsi"/>
          <w:kern w:val="24"/>
        </w:rPr>
        <w:t xml:space="preserve"> but they were not reflected in the </w:t>
      </w:r>
      <w:r w:rsidR="00064A1B" w:rsidRPr="00BF17B0">
        <w:rPr>
          <w:rFonts w:asciiTheme="minorHAnsi" w:eastAsiaTheme="minorEastAsia" w:hAnsiTheme="minorHAnsi" w:cstheme="minorHAnsi"/>
          <w:kern w:val="24"/>
        </w:rPr>
        <w:t>PH-</w:t>
      </w:r>
      <w:r w:rsidR="00A53818" w:rsidRPr="00BF17B0">
        <w:rPr>
          <w:rFonts w:asciiTheme="minorHAnsi" w:eastAsiaTheme="minorEastAsia" w:hAnsiTheme="minorHAnsi" w:cstheme="minorHAnsi"/>
          <w:kern w:val="24"/>
        </w:rPr>
        <w:t>PTF</w:t>
      </w:r>
      <w:r w:rsidRPr="00BF17B0">
        <w:rPr>
          <w:rFonts w:asciiTheme="minorHAnsi" w:eastAsiaTheme="minorEastAsia" w:hAnsiTheme="minorHAnsi" w:cstheme="minorHAnsi"/>
          <w:kern w:val="24"/>
        </w:rPr>
        <w:t xml:space="preserve"> </w:t>
      </w:r>
      <w:r w:rsidR="0093155A" w:rsidRPr="00BF17B0">
        <w:rPr>
          <w:rFonts w:asciiTheme="minorHAnsi" w:eastAsiaTheme="minorEastAsia" w:hAnsiTheme="minorHAnsi" w:cstheme="minorHAnsi"/>
          <w:kern w:val="24"/>
        </w:rPr>
        <w:t>administration agreement</w:t>
      </w:r>
      <w:r w:rsidR="00EB211F" w:rsidRPr="00BF17B0">
        <w:rPr>
          <w:rFonts w:asciiTheme="minorHAnsi" w:eastAsiaTheme="minorEastAsia" w:hAnsiTheme="minorHAnsi" w:cstheme="minorHAnsi"/>
          <w:kern w:val="24"/>
        </w:rPr>
        <w:t xml:space="preserve">. </w:t>
      </w:r>
      <w:r w:rsidR="00C662E9" w:rsidRPr="00BF17B0">
        <w:rPr>
          <w:rFonts w:asciiTheme="minorHAnsi" w:eastAsiaTheme="minorEastAsia" w:hAnsiTheme="minorHAnsi" w:cstheme="minorHAnsi"/>
          <w:kern w:val="24"/>
        </w:rPr>
        <w:t xml:space="preserve">In the future, such </w:t>
      </w:r>
      <w:r w:rsidR="00DA3E0B" w:rsidRPr="00BF17B0">
        <w:rPr>
          <w:rFonts w:asciiTheme="minorHAnsi" w:eastAsiaTheme="minorEastAsia" w:hAnsiTheme="minorHAnsi" w:cstheme="minorHAnsi"/>
          <w:kern w:val="24"/>
        </w:rPr>
        <w:t xml:space="preserve">cross-cutting issues should be </w:t>
      </w:r>
      <w:r w:rsidR="00C662E9" w:rsidRPr="00BF17B0">
        <w:rPr>
          <w:rFonts w:asciiTheme="minorHAnsi" w:eastAsiaTheme="minorEastAsia" w:hAnsiTheme="minorHAnsi" w:cstheme="minorHAnsi"/>
          <w:kern w:val="24"/>
        </w:rPr>
        <w:t xml:space="preserve">stated </w:t>
      </w:r>
      <w:r w:rsidR="00DA3E0B" w:rsidRPr="00BF17B0">
        <w:rPr>
          <w:rFonts w:asciiTheme="minorHAnsi" w:eastAsiaTheme="minorEastAsia" w:hAnsiTheme="minorHAnsi" w:cstheme="minorHAnsi"/>
          <w:kern w:val="24"/>
        </w:rPr>
        <w:t xml:space="preserve">in </w:t>
      </w:r>
      <w:r w:rsidR="00C662E9" w:rsidRPr="00BF17B0">
        <w:rPr>
          <w:rFonts w:asciiTheme="minorHAnsi" w:eastAsiaTheme="minorEastAsia" w:hAnsiTheme="minorHAnsi" w:cstheme="minorHAnsi"/>
          <w:kern w:val="24"/>
        </w:rPr>
        <w:t xml:space="preserve">the </w:t>
      </w:r>
      <w:r w:rsidR="005933E2" w:rsidRPr="00BF17B0">
        <w:rPr>
          <w:rFonts w:asciiTheme="minorHAnsi" w:eastAsiaTheme="minorEastAsia" w:hAnsiTheme="minorHAnsi" w:cstheme="minorHAnsi"/>
          <w:kern w:val="24"/>
        </w:rPr>
        <w:t xml:space="preserve">legal </w:t>
      </w:r>
      <w:r w:rsidR="00C662E9" w:rsidRPr="00BF17B0">
        <w:rPr>
          <w:rFonts w:asciiTheme="minorHAnsi" w:eastAsiaTheme="minorEastAsia" w:hAnsiTheme="minorHAnsi" w:cstheme="minorHAnsi"/>
          <w:kern w:val="24"/>
        </w:rPr>
        <w:t xml:space="preserve">agreement </w:t>
      </w:r>
      <w:r w:rsidR="00DA3E0B" w:rsidRPr="00BF17B0">
        <w:rPr>
          <w:rFonts w:asciiTheme="minorHAnsi" w:eastAsiaTheme="minorEastAsia" w:hAnsiTheme="minorHAnsi" w:cstheme="minorHAnsi"/>
          <w:kern w:val="24"/>
        </w:rPr>
        <w:t xml:space="preserve">and </w:t>
      </w:r>
      <w:r w:rsidR="00C22E13" w:rsidRPr="00BF17B0">
        <w:rPr>
          <w:rFonts w:asciiTheme="minorHAnsi" w:eastAsiaTheme="minorEastAsia" w:hAnsiTheme="minorHAnsi" w:cstheme="minorHAnsi"/>
          <w:kern w:val="24"/>
        </w:rPr>
        <w:t xml:space="preserve">referred to </w:t>
      </w:r>
      <w:r w:rsidR="00DA3E0B" w:rsidRPr="00BF17B0">
        <w:rPr>
          <w:rFonts w:asciiTheme="minorHAnsi" w:eastAsiaTheme="minorEastAsia" w:hAnsiTheme="minorHAnsi" w:cstheme="minorHAnsi"/>
          <w:kern w:val="24"/>
        </w:rPr>
        <w:t xml:space="preserve">in the </w:t>
      </w:r>
      <w:r w:rsidR="00085BD9" w:rsidRPr="00BF17B0">
        <w:rPr>
          <w:rFonts w:asciiTheme="minorHAnsi" w:eastAsiaTheme="minorEastAsia" w:hAnsiTheme="minorHAnsi" w:cstheme="minorHAnsi"/>
          <w:kern w:val="24"/>
        </w:rPr>
        <w:t>g</w:t>
      </w:r>
      <w:r w:rsidR="00DA3E0B" w:rsidRPr="00BF17B0">
        <w:rPr>
          <w:rFonts w:asciiTheme="minorHAnsi" w:eastAsiaTheme="minorEastAsia" w:hAnsiTheme="minorHAnsi" w:cstheme="minorHAnsi"/>
          <w:kern w:val="24"/>
        </w:rPr>
        <w:t xml:space="preserve">rant </w:t>
      </w:r>
      <w:r w:rsidR="00085BD9" w:rsidRPr="00BF17B0">
        <w:rPr>
          <w:rFonts w:asciiTheme="minorHAnsi" w:eastAsiaTheme="minorEastAsia" w:hAnsiTheme="minorHAnsi" w:cstheme="minorHAnsi"/>
          <w:kern w:val="24"/>
        </w:rPr>
        <w:t>f</w:t>
      </w:r>
      <w:r w:rsidR="00DA3E0B" w:rsidRPr="00BF17B0">
        <w:rPr>
          <w:rFonts w:asciiTheme="minorHAnsi" w:eastAsiaTheme="minorEastAsia" w:hAnsiTheme="minorHAnsi" w:cstheme="minorHAnsi"/>
          <w:kern w:val="24"/>
        </w:rPr>
        <w:t xml:space="preserve">unding </w:t>
      </w:r>
      <w:r w:rsidR="00085BD9" w:rsidRPr="00BF17B0">
        <w:rPr>
          <w:rFonts w:asciiTheme="minorHAnsi" w:eastAsiaTheme="minorEastAsia" w:hAnsiTheme="minorHAnsi" w:cstheme="minorHAnsi"/>
          <w:kern w:val="24"/>
        </w:rPr>
        <w:t>r</w:t>
      </w:r>
      <w:r w:rsidR="00DA3E0B" w:rsidRPr="00BF17B0">
        <w:rPr>
          <w:rFonts w:asciiTheme="minorHAnsi" w:eastAsiaTheme="minorEastAsia" w:hAnsiTheme="minorHAnsi" w:cstheme="minorHAnsi"/>
          <w:kern w:val="24"/>
        </w:rPr>
        <w:t xml:space="preserve">equest </w:t>
      </w:r>
      <w:r w:rsidR="005933E2" w:rsidRPr="00BF17B0">
        <w:rPr>
          <w:rFonts w:asciiTheme="minorHAnsi" w:eastAsiaTheme="minorEastAsia" w:hAnsiTheme="minorHAnsi" w:cstheme="minorHAnsi"/>
          <w:kern w:val="24"/>
        </w:rPr>
        <w:t xml:space="preserve">template </w:t>
      </w:r>
      <w:r w:rsidR="00DA3E0B" w:rsidRPr="00BF17B0">
        <w:rPr>
          <w:rFonts w:asciiTheme="minorHAnsi" w:eastAsiaTheme="minorEastAsia" w:hAnsiTheme="minorHAnsi" w:cstheme="minorHAnsi"/>
          <w:kern w:val="24"/>
        </w:rPr>
        <w:t xml:space="preserve">so that </w:t>
      </w:r>
      <w:r w:rsidR="00C22E13" w:rsidRPr="00BF17B0">
        <w:rPr>
          <w:rFonts w:asciiTheme="minorHAnsi" w:eastAsiaTheme="minorEastAsia" w:hAnsiTheme="minorHAnsi" w:cstheme="minorHAnsi"/>
          <w:kern w:val="24"/>
        </w:rPr>
        <w:t xml:space="preserve">task team leaders </w:t>
      </w:r>
      <w:r w:rsidR="00DA3E0B" w:rsidRPr="00BF17B0">
        <w:rPr>
          <w:rFonts w:asciiTheme="minorHAnsi" w:eastAsiaTheme="minorEastAsia" w:hAnsiTheme="minorHAnsi" w:cstheme="minorHAnsi"/>
          <w:kern w:val="24"/>
        </w:rPr>
        <w:t>are aware that the</w:t>
      </w:r>
      <w:r w:rsidR="00366991" w:rsidRPr="00BF17B0">
        <w:rPr>
          <w:rFonts w:asciiTheme="minorHAnsi" w:eastAsiaTheme="minorEastAsia" w:hAnsiTheme="minorHAnsi" w:cstheme="minorHAnsi"/>
          <w:kern w:val="24"/>
        </w:rPr>
        <w:t xml:space="preserve"> issues</w:t>
      </w:r>
      <w:r w:rsidR="00DA3E0B" w:rsidRPr="00BF17B0">
        <w:rPr>
          <w:rFonts w:asciiTheme="minorHAnsi" w:eastAsiaTheme="minorEastAsia" w:hAnsiTheme="minorHAnsi" w:cstheme="minorHAnsi"/>
          <w:kern w:val="24"/>
        </w:rPr>
        <w:t xml:space="preserve"> need to be explicitly addressed.</w:t>
      </w:r>
    </w:p>
    <w:p w14:paraId="567FE12B" w14:textId="77777777" w:rsidR="00DA3E0B" w:rsidRPr="00BF17B0" w:rsidRDefault="00DA3E0B" w:rsidP="006E17EF">
      <w:pPr>
        <w:rPr>
          <w:rFonts w:asciiTheme="minorHAnsi" w:eastAsiaTheme="minorEastAsia" w:hAnsiTheme="minorHAnsi" w:cstheme="minorHAnsi"/>
          <w:kern w:val="24"/>
        </w:rPr>
      </w:pPr>
      <w:r w:rsidRPr="00BF17B0">
        <w:rPr>
          <w:rFonts w:asciiTheme="minorHAnsi" w:eastAsiaTheme="minorEastAsia" w:hAnsiTheme="minorHAnsi" w:cstheme="minorHAnsi"/>
          <w:kern w:val="24"/>
        </w:rPr>
        <w:t xml:space="preserve">Where the </w:t>
      </w:r>
      <w:r w:rsidR="00C22E13" w:rsidRPr="00BF17B0">
        <w:rPr>
          <w:rFonts w:asciiTheme="minorHAnsi" w:eastAsiaTheme="minorEastAsia" w:hAnsiTheme="minorHAnsi" w:cstheme="minorHAnsi"/>
          <w:kern w:val="24"/>
        </w:rPr>
        <w:t xml:space="preserve">Steering Committee </w:t>
      </w:r>
      <w:r w:rsidRPr="00BF17B0">
        <w:rPr>
          <w:rFonts w:asciiTheme="minorHAnsi" w:eastAsiaTheme="minorEastAsia" w:hAnsiTheme="minorHAnsi" w:cstheme="minorHAnsi"/>
          <w:kern w:val="24"/>
        </w:rPr>
        <w:t>needs to take rapid decisions on new or existing</w:t>
      </w:r>
      <w:r w:rsidR="005473B7" w:rsidRPr="00BF17B0">
        <w:rPr>
          <w:rFonts w:asciiTheme="minorHAnsi" w:eastAsiaTheme="minorEastAsia" w:hAnsiTheme="minorHAnsi" w:cstheme="minorHAnsi"/>
          <w:kern w:val="24"/>
        </w:rPr>
        <w:t xml:space="preserve"> </w:t>
      </w:r>
      <w:r w:rsidRPr="00BF17B0">
        <w:rPr>
          <w:rFonts w:asciiTheme="minorHAnsi" w:eastAsiaTheme="minorEastAsia" w:hAnsiTheme="minorHAnsi" w:cstheme="minorHAnsi"/>
          <w:kern w:val="24"/>
        </w:rPr>
        <w:t>grants rather than</w:t>
      </w:r>
      <w:r w:rsidR="005473B7" w:rsidRPr="00BF17B0">
        <w:rPr>
          <w:rFonts w:asciiTheme="minorHAnsi" w:eastAsiaTheme="minorEastAsia" w:hAnsiTheme="minorHAnsi" w:cstheme="minorHAnsi"/>
          <w:kern w:val="24"/>
        </w:rPr>
        <w:t xml:space="preserve"> call for a </w:t>
      </w:r>
      <w:r w:rsidRPr="00BF17B0">
        <w:rPr>
          <w:rFonts w:asciiTheme="minorHAnsi" w:eastAsiaTheme="minorEastAsia" w:hAnsiTheme="minorHAnsi" w:cstheme="minorHAnsi"/>
          <w:kern w:val="24"/>
        </w:rPr>
        <w:t>round of competitive</w:t>
      </w:r>
      <w:r w:rsidR="00052B3D" w:rsidRPr="00BF17B0">
        <w:rPr>
          <w:rFonts w:asciiTheme="minorHAnsi" w:eastAsiaTheme="minorEastAsia" w:hAnsiTheme="minorHAnsi" w:cstheme="minorHAnsi"/>
          <w:kern w:val="24"/>
        </w:rPr>
        <w:t xml:space="preserve"> </w:t>
      </w:r>
      <w:r w:rsidR="005933E2" w:rsidRPr="00BF17B0">
        <w:rPr>
          <w:rFonts w:asciiTheme="minorHAnsi" w:eastAsiaTheme="minorEastAsia" w:hAnsiTheme="minorHAnsi" w:cstheme="minorHAnsi"/>
          <w:kern w:val="24"/>
        </w:rPr>
        <w:t>proposals</w:t>
      </w:r>
      <w:r w:rsidRPr="00BF17B0">
        <w:rPr>
          <w:rFonts w:asciiTheme="minorHAnsi" w:eastAsiaTheme="minorEastAsia" w:hAnsiTheme="minorHAnsi" w:cstheme="minorHAnsi"/>
          <w:kern w:val="24"/>
        </w:rPr>
        <w:t xml:space="preserve">, the process should be transparent and </w:t>
      </w:r>
      <w:r w:rsidR="00366991" w:rsidRPr="00BF17B0">
        <w:rPr>
          <w:rFonts w:asciiTheme="minorHAnsi" w:eastAsiaTheme="minorEastAsia" w:hAnsiTheme="minorHAnsi" w:cstheme="minorHAnsi"/>
          <w:kern w:val="24"/>
        </w:rPr>
        <w:t>properly</w:t>
      </w:r>
      <w:r w:rsidRPr="00BF17B0">
        <w:rPr>
          <w:rFonts w:asciiTheme="minorHAnsi" w:eastAsiaTheme="minorEastAsia" w:hAnsiTheme="minorHAnsi" w:cstheme="minorHAnsi"/>
          <w:kern w:val="24"/>
        </w:rPr>
        <w:t xml:space="preserve"> communicated to stakeholders.</w:t>
      </w:r>
    </w:p>
    <w:p w14:paraId="02EE1E6B" w14:textId="77777777" w:rsidR="00C801F1" w:rsidRPr="00BF17B0" w:rsidRDefault="00C801F1" w:rsidP="006E17EF">
      <w:pPr>
        <w:rPr>
          <w:rFonts w:asciiTheme="minorHAnsi" w:eastAsiaTheme="minorEastAsia" w:hAnsiTheme="minorHAnsi" w:cstheme="minorHAnsi"/>
          <w:kern w:val="24"/>
        </w:rPr>
      </w:pPr>
      <w:r w:rsidRPr="00BF17B0">
        <w:rPr>
          <w:rFonts w:asciiTheme="minorHAnsi" w:eastAsiaTheme="minorEastAsia" w:hAnsiTheme="minorHAnsi" w:cstheme="minorHAnsi"/>
          <w:kern w:val="24"/>
        </w:rPr>
        <w:t xml:space="preserve">The </w:t>
      </w:r>
      <w:r w:rsidR="006D1856" w:rsidRPr="00BF17B0">
        <w:rPr>
          <w:rFonts w:asciiTheme="minorHAnsi" w:eastAsiaTheme="minorEastAsia" w:hAnsiTheme="minorHAnsi" w:cstheme="minorHAnsi"/>
          <w:kern w:val="24"/>
        </w:rPr>
        <w:t>PH-PTF</w:t>
      </w:r>
      <w:r w:rsidRPr="00BF17B0">
        <w:rPr>
          <w:rFonts w:asciiTheme="minorHAnsi" w:eastAsiaTheme="minorEastAsia" w:hAnsiTheme="minorHAnsi" w:cstheme="minorHAnsi"/>
          <w:kern w:val="24"/>
        </w:rPr>
        <w:t xml:space="preserve"> </w:t>
      </w:r>
      <w:r w:rsidR="00D27A2A" w:rsidRPr="00BF17B0">
        <w:rPr>
          <w:rFonts w:asciiTheme="minorHAnsi" w:eastAsiaTheme="minorEastAsia" w:hAnsiTheme="minorHAnsi" w:cstheme="minorHAnsi"/>
          <w:kern w:val="24"/>
        </w:rPr>
        <w:t xml:space="preserve">administration agreement </w:t>
      </w:r>
      <w:r w:rsidRPr="00BF17B0">
        <w:rPr>
          <w:rFonts w:asciiTheme="minorHAnsi" w:eastAsiaTheme="minorEastAsia" w:hAnsiTheme="minorHAnsi" w:cstheme="minorHAnsi"/>
          <w:kern w:val="24"/>
        </w:rPr>
        <w:t xml:space="preserve">had no restrictions on the scope of </w:t>
      </w:r>
      <w:r w:rsidR="00D27A2A" w:rsidRPr="00BF17B0">
        <w:rPr>
          <w:rFonts w:asciiTheme="minorHAnsi" w:eastAsiaTheme="minorEastAsia" w:hAnsiTheme="minorHAnsi" w:cstheme="minorHAnsi"/>
          <w:kern w:val="24"/>
        </w:rPr>
        <w:t xml:space="preserve">recipient-executed </w:t>
      </w:r>
      <w:r w:rsidRPr="00BF17B0">
        <w:rPr>
          <w:rFonts w:asciiTheme="minorHAnsi" w:eastAsiaTheme="minorEastAsia" w:hAnsiTheme="minorHAnsi" w:cstheme="minorHAnsi"/>
          <w:kern w:val="24"/>
        </w:rPr>
        <w:t xml:space="preserve">grants and, as the </w:t>
      </w:r>
      <w:r w:rsidR="00D27A2A" w:rsidRPr="00BF17B0">
        <w:rPr>
          <w:rFonts w:asciiTheme="minorHAnsi" w:eastAsiaTheme="minorEastAsia" w:hAnsiTheme="minorHAnsi" w:cstheme="minorHAnsi"/>
          <w:kern w:val="24"/>
        </w:rPr>
        <w:t xml:space="preserve">Midterm Review </w:t>
      </w:r>
      <w:r w:rsidRPr="00BF17B0">
        <w:rPr>
          <w:rFonts w:asciiTheme="minorHAnsi" w:eastAsiaTheme="minorEastAsia" w:hAnsiTheme="minorHAnsi" w:cstheme="minorHAnsi"/>
          <w:kern w:val="24"/>
        </w:rPr>
        <w:t xml:space="preserve">observed, </w:t>
      </w:r>
      <w:r w:rsidR="000D54C9" w:rsidRPr="00BF17B0">
        <w:rPr>
          <w:rFonts w:asciiTheme="minorHAnsi" w:eastAsiaTheme="minorEastAsia" w:hAnsiTheme="minorHAnsi" w:cstheme="minorHAnsi"/>
          <w:kern w:val="24"/>
        </w:rPr>
        <w:t xml:space="preserve">such grants </w:t>
      </w:r>
      <w:r w:rsidRPr="00BF17B0">
        <w:rPr>
          <w:rFonts w:asciiTheme="minorHAnsi" w:eastAsiaTheme="minorEastAsia" w:hAnsiTheme="minorHAnsi" w:cstheme="minorHAnsi"/>
          <w:kern w:val="24"/>
        </w:rPr>
        <w:t xml:space="preserve">may </w:t>
      </w:r>
      <w:r w:rsidR="000D54C9" w:rsidRPr="00BF17B0">
        <w:rPr>
          <w:rFonts w:asciiTheme="minorHAnsi" w:eastAsiaTheme="minorEastAsia" w:hAnsiTheme="minorHAnsi" w:cstheme="minorHAnsi"/>
          <w:kern w:val="24"/>
        </w:rPr>
        <w:t xml:space="preserve">not be </w:t>
      </w:r>
      <w:r w:rsidRPr="00BF17B0">
        <w:rPr>
          <w:rFonts w:asciiTheme="minorHAnsi" w:eastAsiaTheme="minorEastAsia" w:hAnsiTheme="minorHAnsi" w:cstheme="minorHAnsi"/>
          <w:kern w:val="24"/>
        </w:rPr>
        <w:t>appropriate for infrastructure construction</w:t>
      </w:r>
      <w:r w:rsidR="00EB211F" w:rsidRPr="00BF17B0">
        <w:rPr>
          <w:rFonts w:asciiTheme="minorHAnsi" w:eastAsiaTheme="minorEastAsia" w:hAnsiTheme="minorHAnsi" w:cstheme="minorHAnsi"/>
          <w:kern w:val="24"/>
        </w:rPr>
        <w:t xml:space="preserve">. </w:t>
      </w:r>
      <w:r w:rsidRPr="00BF17B0">
        <w:rPr>
          <w:rFonts w:asciiTheme="minorHAnsi" w:eastAsiaTheme="minorEastAsia" w:hAnsiTheme="minorHAnsi" w:cstheme="minorHAnsi"/>
          <w:kern w:val="24"/>
        </w:rPr>
        <w:t xml:space="preserve">The </w:t>
      </w:r>
      <w:r w:rsidR="000D54C9" w:rsidRPr="00BF17B0">
        <w:rPr>
          <w:rFonts w:asciiTheme="minorHAnsi" w:eastAsiaTheme="minorEastAsia" w:hAnsiTheme="minorHAnsi" w:cstheme="minorHAnsi"/>
          <w:kern w:val="24"/>
        </w:rPr>
        <w:t xml:space="preserve">recipient-executed </w:t>
      </w:r>
      <w:r w:rsidR="005933E2" w:rsidRPr="00BF17B0">
        <w:rPr>
          <w:rFonts w:asciiTheme="minorHAnsi" w:eastAsiaTheme="minorEastAsia" w:hAnsiTheme="minorHAnsi" w:cstheme="minorHAnsi"/>
          <w:kern w:val="24"/>
        </w:rPr>
        <w:t xml:space="preserve">technical assistance </w:t>
      </w:r>
      <w:r w:rsidRPr="00BF17B0">
        <w:rPr>
          <w:rFonts w:asciiTheme="minorHAnsi" w:eastAsiaTheme="minorEastAsia" w:hAnsiTheme="minorHAnsi" w:cstheme="minorHAnsi"/>
          <w:kern w:val="24"/>
        </w:rPr>
        <w:t xml:space="preserve">and feasibility study activities financed under the Mindanao </w:t>
      </w:r>
      <w:r w:rsidR="00DE2CF0" w:rsidRPr="00BF17B0">
        <w:rPr>
          <w:rFonts w:asciiTheme="minorHAnsi" w:eastAsiaTheme="minorEastAsia" w:hAnsiTheme="minorHAnsi" w:cstheme="minorHAnsi"/>
          <w:kern w:val="24"/>
        </w:rPr>
        <w:t xml:space="preserve">Rural Development Project </w:t>
      </w:r>
      <w:r w:rsidR="0061597D" w:rsidRPr="00BF17B0">
        <w:rPr>
          <w:rFonts w:asciiTheme="minorHAnsi" w:eastAsiaTheme="minorEastAsia" w:hAnsiTheme="minorHAnsi" w:cstheme="minorHAnsi"/>
          <w:kern w:val="24"/>
        </w:rPr>
        <w:t>Phase II</w:t>
      </w:r>
      <w:r w:rsidRPr="00BF17B0">
        <w:rPr>
          <w:rFonts w:asciiTheme="minorHAnsi" w:eastAsiaTheme="minorEastAsia" w:hAnsiTheme="minorHAnsi" w:cstheme="minorHAnsi"/>
          <w:kern w:val="24"/>
        </w:rPr>
        <w:t xml:space="preserve"> and </w:t>
      </w:r>
      <w:r w:rsidR="005933E2" w:rsidRPr="00BF17B0">
        <w:rPr>
          <w:rFonts w:asciiTheme="minorHAnsi" w:eastAsiaTheme="minorEastAsia" w:hAnsiTheme="minorHAnsi" w:cstheme="minorHAnsi"/>
          <w:kern w:val="24"/>
        </w:rPr>
        <w:t xml:space="preserve">Metro Manila </w:t>
      </w:r>
      <w:r w:rsidRPr="00BF17B0">
        <w:rPr>
          <w:rFonts w:asciiTheme="minorHAnsi" w:eastAsiaTheme="minorEastAsia" w:hAnsiTheme="minorHAnsi" w:cstheme="minorHAnsi"/>
          <w:kern w:val="24"/>
        </w:rPr>
        <w:t xml:space="preserve">Flood Prevention </w:t>
      </w:r>
      <w:r w:rsidR="00DE2CF0" w:rsidRPr="00BF17B0">
        <w:rPr>
          <w:rFonts w:asciiTheme="minorHAnsi" w:eastAsiaTheme="minorEastAsia" w:hAnsiTheme="minorHAnsi" w:cstheme="minorHAnsi"/>
          <w:kern w:val="24"/>
        </w:rPr>
        <w:t>Project</w:t>
      </w:r>
      <w:r w:rsidR="00645E9A" w:rsidRPr="00BF17B0">
        <w:rPr>
          <w:rFonts w:asciiTheme="minorHAnsi" w:eastAsiaTheme="minorEastAsia" w:hAnsiTheme="minorHAnsi" w:cstheme="minorHAnsi"/>
          <w:kern w:val="24"/>
        </w:rPr>
        <w:t xml:space="preserve"> </w:t>
      </w:r>
      <w:r w:rsidRPr="00BF17B0">
        <w:rPr>
          <w:rFonts w:asciiTheme="minorHAnsi" w:eastAsiaTheme="minorEastAsia" w:hAnsiTheme="minorHAnsi" w:cstheme="minorHAnsi"/>
          <w:kern w:val="24"/>
        </w:rPr>
        <w:t>seem</w:t>
      </w:r>
      <w:r w:rsidR="00366991" w:rsidRPr="00BF17B0">
        <w:rPr>
          <w:rFonts w:asciiTheme="minorHAnsi" w:eastAsiaTheme="minorEastAsia" w:hAnsiTheme="minorHAnsi" w:cstheme="minorHAnsi"/>
          <w:kern w:val="24"/>
        </w:rPr>
        <w:t>ed</w:t>
      </w:r>
      <w:r w:rsidRPr="00BF17B0">
        <w:rPr>
          <w:rFonts w:asciiTheme="minorHAnsi" w:eastAsiaTheme="minorEastAsia" w:hAnsiTheme="minorHAnsi" w:cstheme="minorHAnsi"/>
          <w:kern w:val="24"/>
        </w:rPr>
        <w:t xml:space="preserve"> more appropriate</w:t>
      </w:r>
      <w:r w:rsidR="00DE2CF0" w:rsidRPr="00BF17B0">
        <w:rPr>
          <w:rFonts w:asciiTheme="minorHAnsi" w:eastAsiaTheme="minorEastAsia" w:hAnsiTheme="minorHAnsi" w:cstheme="minorHAnsi"/>
          <w:kern w:val="24"/>
        </w:rPr>
        <w:t>,</w:t>
      </w:r>
      <w:r w:rsidRPr="00BF17B0">
        <w:rPr>
          <w:rFonts w:asciiTheme="minorHAnsi" w:eastAsiaTheme="minorEastAsia" w:hAnsiTheme="minorHAnsi" w:cstheme="minorHAnsi"/>
          <w:kern w:val="24"/>
        </w:rPr>
        <w:t xml:space="preserve"> and the new </w:t>
      </w:r>
      <w:r w:rsidR="00DE2CF0" w:rsidRPr="00BF17B0">
        <w:rPr>
          <w:rFonts w:asciiTheme="minorHAnsi" w:eastAsiaTheme="minorEastAsia" w:hAnsiTheme="minorHAnsi" w:cstheme="minorHAnsi"/>
          <w:kern w:val="24"/>
        </w:rPr>
        <w:t xml:space="preserve">administration agreement should </w:t>
      </w:r>
      <w:r w:rsidRPr="00BF17B0">
        <w:rPr>
          <w:rFonts w:asciiTheme="minorHAnsi" w:eastAsiaTheme="minorEastAsia" w:hAnsiTheme="minorHAnsi" w:cstheme="minorHAnsi"/>
          <w:kern w:val="24"/>
        </w:rPr>
        <w:t xml:space="preserve">include clear agreement on the areas </w:t>
      </w:r>
      <w:r w:rsidR="002C13C4" w:rsidRPr="00BF17B0">
        <w:rPr>
          <w:rFonts w:asciiTheme="minorHAnsi" w:eastAsiaTheme="minorEastAsia" w:hAnsiTheme="minorHAnsi" w:cstheme="minorHAnsi"/>
          <w:kern w:val="24"/>
        </w:rPr>
        <w:t xml:space="preserve">where recipient-executed </w:t>
      </w:r>
      <w:r w:rsidRPr="00BF17B0">
        <w:rPr>
          <w:rFonts w:asciiTheme="minorHAnsi" w:eastAsiaTheme="minorEastAsia" w:hAnsiTheme="minorHAnsi" w:cstheme="minorHAnsi"/>
          <w:kern w:val="24"/>
        </w:rPr>
        <w:t>activities can be financed.</w:t>
      </w:r>
    </w:p>
    <w:p w14:paraId="0411A2A7" w14:textId="77777777" w:rsidR="00EF5847" w:rsidRPr="00BF17B0" w:rsidRDefault="00EF5847" w:rsidP="006E17EF">
      <w:pPr>
        <w:rPr>
          <w:rFonts w:asciiTheme="minorHAnsi" w:eastAsiaTheme="minorEastAsia" w:hAnsiTheme="minorHAnsi" w:cstheme="minorHAnsi"/>
          <w:kern w:val="24"/>
        </w:rPr>
      </w:pPr>
      <w:r w:rsidRPr="00BF17B0">
        <w:rPr>
          <w:rFonts w:asciiTheme="minorHAnsi" w:eastAsiaTheme="minorEastAsia" w:hAnsiTheme="minorHAnsi" w:cstheme="minorHAnsi"/>
          <w:kern w:val="24"/>
        </w:rPr>
        <w:t xml:space="preserve">The cost recovery arrangements under the </w:t>
      </w:r>
      <w:r w:rsidR="008E26DF" w:rsidRPr="00BF17B0">
        <w:rPr>
          <w:rFonts w:asciiTheme="minorHAnsi" w:eastAsiaTheme="minorEastAsia" w:hAnsiTheme="minorHAnsi" w:cstheme="minorHAnsi"/>
          <w:kern w:val="24"/>
        </w:rPr>
        <w:t>PH-</w:t>
      </w:r>
      <w:r w:rsidR="00A53818" w:rsidRPr="00BF17B0">
        <w:rPr>
          <w:rFonts w:asciiTheme="minorHAnsi" w:eastAsiaTheme="minorEastAsia" w:hAnsiTheme="minorHAnsi" w:cstheme="minorHAnsi"/>
          <w:kern w:val="24"/>
        </w:rPr>
        <w:t>PTF</w:t>
      </w:r>
      <w:r w:rsidR="00B802A0" w:rsidRPr="00BF17B0">
        <w:rPr>
          <w:rFonts w:asciiTheme="minorHAnsi" w:eastAsiaTheme="minorEastAsia" w:hAnsiTheme="minorHAnsi" w:cstheme="minorHAnsi"/>
          <w:kern w:val="24"/>
        </w:rPr>
        <w:t xml:space="preserve"> did not recover </w:t>
      </w:r>
      <w:r w:rsidRPr="00BF17B0">
        <w:rPr>
          <w:rFonts w:asciiTheme="minorHAnsi" w:eastAsiaTheme="minorEastAsia" w:hAnsiTheme="minorHAnsi" w:cstheme="minorHAnsi"/>
          <w:kern w:val="24"/>
        </w:rPr>
        <w:t xml:space="preserve">the full costs incurred by the </w:t>
      </w:r>
      <w:r w:rsidR="00687594" w:rsidRPr="00BF17B0">
        <w:rPr>
          <w:rFonts w:asciiTheme="minorHAnsi" w:eastAsiaTheme="minorEastAsia" w:hAnsiTheme="minorHAnsi" w:cstheme="minorHAnsi"/>
          <w:kern w:val="24"/>
        </w:rPr>
        <w:t>World Bank</w:t>
      </w:r>
      <w:r w:rsidR="00EB211F" w:rsidRPr="00BF17B0">
        <w:rPr>
          <w:rFonts w:asciiTheme="minorHAnsi" w:eastAsiaTheme="minorEastAsia" w:hAnsiTheme="minorHAnsi" w:cstheme="minorHAnsi"/>
          <w:kern w:val="24"/>
        </w:rPr>
        <w:t xml:space="preserve">. </w:t>
      </w:r>
      <w:r w:rsidRPr="00BF17B0">
        <w:rPr>
          <w:rFonts w:asciiTheme="minorHAnsi" w:eastAsiaTheme="minorEastAsia" w:hAnsiTheme="minorHAnsi" w:cstheme="minorHAnsi"/>
          <w:kern w:val="24"/>
        </w:rPr>
        <w:t xml:space="preserve">This </w:t>
      </w:r>
      <w:r w:rsidR="008B65B9" w:rsidRPr="00BF17B0">
        <w:rPr>
          <w:rFonts w:asciiTheme="minorHAnsi" w:eastAsiaTheme="minorEastAsia" w:hAnsiTheme="minorHAnsi" w:cstheme="minorHAnsi"/>
          <w:kern w:val="24"/>
        </w:rPr>
        <w:t xml:space="preserve">situation </w:t>
      </w:r>
      <w:r w:rsidRPr="00BF17B0">
        <w:rPr>
          <w:rFonts w:asciiTheme="minorHAnsi" w:eastAsiaTheme="minorEastAsia" w:hAnsiTheme="minorHAnsi" w:cstheme="minorHAnsi"/>
          <w:kern w:val="24"/>
        </w:rPr>
        <w:t xml:space="preserve">will be addressed </w:t>
      </w:r>
      <w:r w:rsidR="008B65B9" w:rsidRPr="00BF17B0">
        <w:rPr>
          <w:rFonts w:asciiTheme="minorHAnsi" w:eastAsiaTheme="minorEastAsia" w:hAnsiTheme="minorHAnsi" w:cstheme="minorHAnsi"/>
          <w:kern w:val="24"/>
        </w:rPr>
        <w:t xml:space="preserve">in future </w:t>
      </w:r>
      <w:r w:rsidRPr="00BF17B0">
        <w:rPr>
          <w:rFonts w:asciiTheme="minorHAnsi" w:eastAsiaTheme="minorEastAsia" w:hAnsiTheme="minorHAnsi" w:cstheme="minorHAnsi"/>
          <w:kern w:val="24"/>
        </w:rPr>
        <w:t>fund</w:t>
      </w:r>
      <w:r w:rsidR="008B65B9" w:rsidRPr="00BF17B0">
        <w:rPr>
          <w:rFonts w:asciiTheme="minorHAnsi" w:eastAsiaTheme="minorEastAsia" w:hAnsiTheme="minorHAnsi" w:cstheme="minorHAnsi"/>
          <w:kern w:val="24"/>
        </w:rPr>
        <w:t>s</w:t>
      </w:r>
      <w:r w:rsidRPr="00BF17B0">
        <w:rPr>
          <w:rFonts w:asciiTheme="minorHAnsi" w:eastAsiaTheme="minorEastAsia" w:hAnsiTheme="minorHAnsi" w:cstheme="minorHAnsi"/>
          <w:kern w:val="24"/>
        </w:rPr>
        <w:t xml:space="preserve"> </w:t>
      </w:r>
      <w:r w:rsidR="008B65B9" w:rsidRPr="00BF17B0">
        <w:rPr>
          <w:rFonts w:asciiTheme="minorHAnsi" w:eastAsiaTheme="minorEastAsia" w:hAnsiTheme="minorHAnsi" w:cstheme="minorHAnsi"/>
          <w:kern w:val="24"/>
        </w:rPr>
        <w:t xml:space="preserve">through </w:t>
      </w:r>
      <w:r w:rsidRPr="00BF17B0">
        <w:rPr>
          <w:rFonts w:asciiTheme="minorHAnsi" w:eastAsiaTheme="minorEastAsia" w:hAnsiTheme="minorHAnsi" w:cstheme="minorHAnsi"/>
          <w:kern w:val="24"/>
        </w:rPr>
        <w:t xml:space="preserve">the </w:t>
      </w:r>
      <w:r w:rsidR="00687594" w:rsidRPr="00BF17B0">
        <w:rPr>
          <w:rFonts w:asciiTheme="minorHAnsi" w:eastAsiaTheme="minorEastAsia" w:hAnsiTheme="minorHAnsi" w:cstheme="minorHAnsi"/>
          <w:kern w:val="24"/>
        </w:rPr>
        <w:t>World Bank</w:t>
      </w:r>
      <w:r w:rsidRPr="00BF17B0">
        <w:rPr>
          <w:rFonts w:asciiTheme="minorHAnsi" w:eastAsiaTheme="minorEastAsia" w:hAnsiTheme="minorHAnsi" w:cstheme="minorHAnsi"/>
          <w:kern w:val="24"/>
        </w:rPr>
        <w:t xml:space="preserve">’s new </w:t>
      </w:r>
      <w:r w:rsidR="005933E2" w:rsidRPr="00BF17B0">
        <w:rPr>
          <w:rFonts w:asciiTheme="minorHAnsi" w:eastAsiaTheme="minorEastAsia" w:hAnsiTheme="minorHAnsi" w:cstheme="minorHAnsi"/>
          <w:kern w:val="24"/>
        </w:rPr>
        <w:t xml:space="preserve">trust fund </w:t>
      </w:r>
      <w:r w:rsidRPr="00BF17B0">
        <w:rPr>
          <w:rFonts w:asciiTheme="minorHAnsi" w:eastAsiaTheme="minorEastAsia" w:hAnsiTheme="minorHAnsi" w:cstheme="minorHAnsi"/>
          <w:kern w:val="24"/>
        </w:rPr>
        <w:t>cost recovery requirements.</w:t>
      </w:r>
    </w:p>
    <w:p w14:paraId="3399817D" w14:textId="77777777" w:rsidR="00EF5847" w:rsidRPr="00BF17B0" w:rsidRDefault="00EF5847" w:rsidP="00EF5847">
      <w:pPr>
        <w:rPr>
          <w:rFonts w:asciiTheme="minorHAnsi" w:eastAsiaTheme="minorEastAsia" w:hAnsiTheme="minorHAnsi" w:cstheme="minorHAnsi"/>
          <w:kern w:val="24"/>
        </w:rPr>
      </w:pPr>
      <w:r w:rsidRPr="00BF17B0">
        <w:rPr>
          <w:rFonts w:asciiTheme="minorHAnsi" w:eastAsiaTheme="minorEastAsia" w:hAnsiTheme="minorHAnsi" w:cstheme="minorHAnsi"/>
          <w:kern w:val="24"/>
        </w:rPr>
        <w:t xml:space="preserve">A </w:t>
      </w:r>
      <w:r w:rsidR="008B65B9" w:rsidRPr="00BF17B0">
        <w:rPr>
          <w:rFonts w:asciiTheme="minorHAnsi" w:eastAsiaTheme="minorEastAsia" w:hAnsiTheme="minorHAnsi" w:cstheme="minorHAnsi"/>
          <w:kern w:val="24"/>
        </w:rPr>
        <w:t>r</w:t>
      </w:r>
      <w:r w:rsidRPr="00BF17B0">
        <w:rPr>
          <w:rFonts w:asciiTheme="minorHAnsi" w:eastAsiaTheme="minorEastAsia" w:hAnsiTheme="minorHAnsi" w:cstheme="minorHAnsi"/>
          <w:kern w:val="24"/>
        </w:rPr>
        <w:t xml:space="preserve">esults </w:t>
      </w:r>
      <w:r w:rsidR="008B65B9" w:rsidRPr="00BF17B0">
        <w:rPr>
          <w:rFonts w:asciiTheme="minorHAnsi" w:eastAsiaTheme="minorEastAsia" w:hAnsiTheme="minorHAnsi" w:cstheme="minorHAnsi"/>
          <w:kern w:val="24"/>
        </w:rPr>
        <w:t>f</w:t>
      </w:r>
      <w:r w:rsidRPr="00BF17B0">
        <w:rPr>
          <w:rFonts w:asciiTheme="minorHAnsi" w:eastAsiaTheme="minorEastAsia" w:hAnsiTheme="minorHAnsi" w:cstheme="minorHAnsi"/>
          <w:kern w:val="24"/>
        </w:rPr>
        <w:t xml:space="preserve">ramework should be prepared at the </w:t>
      </w:r>
      <w:r w:rsidR="00F45409" w:rsidRPr="00BF17B0">
        <w:rPr>
          <w:rFonts w:asciiTheme="minorHAnsi" w:eastAsiaTheme="minorEastAsia" w:hAnsiTheme="minorHAnsi" w:cstheme="minorHAnsi"/>
          <w:kern w:val="24"/>
        </w:rPr>
        <w:t xml:space="preserve">beginning </w:t>
      </w:r>
      <w:r w:rsidRPr="00BF17B0">
        <w:rPr>
          <w:rFonts w:asciiTheme="minorHAnsi" w:eastAsiaTheme="minorEastAsia" w:hAnsiTheme="minorHAnsi" w:cstheme="minorHAnsi"/>
          <w:kern w:val="24"/>
        </w:rPr>
        <w:t xml:space="preserve">of a new </w:t>
      </w:r>
      <w:r w:rsidR="00FA50F0" w:rsidRPr="00BF17B0">
        <w:rPr>
          <w:rFonts w:asciiTheme="minorHAnsi" w:eastAsiaTheme="minorEastAsia" w:hAnsiTheme="minorHAnsi" w:cstheme="minorHAnsi"/>
          <w:kern w:val="24"/>
        </w:rPr>
        <w:t>programmatic</w:t>
      </w:r>
      <w:r w:rsidRPr="00BF17B0">
        <w:rPr>
          <w:rFonts w:asciiTheme="minorHAnsi" w:eastAsiaTheme="minorEastAsia" w:hAnsiTheme="minorHAnsi" w:cstheme="minorHAnsi"/>
          <w:kern w:val="24"/>
        </w:rPr>
        <w:t xml:space="preserve"> fund and then updated at regular</w:t>
      </w:r>
      <w:r w:rsidR="00382432" w:rsidRPr="00BF17B0">
        <w:rPr>
          <w:rFonts w:asciiTheme="minorHAnsi" w:eastAsiaTheme="minorEastAsia" w:hAnsiTheme="minorHAnsi" w:cstheme="minorHAnsi"/>
          <w:kern w:val="24"/>
        </w:rPr>
        <w:t xml:space="preserve"> intervals, </w:t>
      </w:r>
      <w:r w:rsidR="00A31764" w:rsidRPr="00BF17B0">
        <w:rPr>
          <w:rFonts w:asciiTheme="minorHAnsi" w:eastAsiaTheme="minorEastAsia" w:hAnsiTheme="minorHAnsi" w:cstheme="minorHAnsi"/>
          <w:kern w:val="24"/>
        </w:rPr>
        <w:t xml:space="preserve">possibly </w:t>
      </w:r>
      <w:r w:rsidRPr="00BF17B0">
        <w:rPr>
          <w:rFonts w:asciiTheme="minorHAnsi" w:eastAsiaTheme="minorEastAsia" w:hAnsiTheme="minorHAnsi" w:cstheme="minorHAnsi"/>
          <w:kern w:val="24"/>
        </w:rPr>
        <w:t>annual</w:t>
      </w:r>
      <w:r w:rsidR="00382432" w:rsidRPr="00BF17B0">
        <w:rPr>
          <w:rFonts w:asciiTheme="minorHAnsi" w:eastAsiaTheme="minorEastAsia" w:hAnsiTheme="minorHAnsi" w:cstheme="minorHAnsi"/>
          <w:kern w:val="24"/>
        </w:rPr>
        <w:t xml:space="preserve">, </w:t>
      </w:r>
      <w:r w:rsidRPr="00BF17B0">
        <w:rPr>
          <w:rFonts w:asciiTheme="minorHAnsi" w:eastAsiaTheme="minorEastAsia" w:hAnsiTheme="minorHAnsi" w:cstheme="minorHAnsi"/>
          <w:kern w:val="24"/>
        </w:rPr>
        <w:t>so that it becomes an effective tool to support progress monitoring and evaluation.</w:t>
      </w:r>
    </w:p>
    <w:p w14:paraId="23097850" w14:textId="77777777" w:rsidR="00EF5847" w:rsidRPr="00BF17B0" w:rsidRDefault="00EF5847" w:rsidP="00EF5847">
      <w:pPr>
        <w:rPr>
          <w:rFonts w:asciiTheme="minorHAnsi" w:eastAsiaTheme="minorEastAsia" w:hAnsiTheme="minorHAnsi" w:cstheme="minorHAnsi"/>
          <w:kern w:val="24"/>
        </w:rPr>
      </w:pPr>
      <w:r w:rsidRPr="00BF17B0">
        <w:rPr>
          <w:rFonts w:asciiTheme="minorHAnsi" w:eastAsiaTheme="minorEastAsia" w:hAnsiTheme="minorHAnsi" w:cstheme="minorHAnsi"/>
          <w:kern w:val="24"/>
        </w:rPr>
        <w:t xml:space="preserve">Annual reports on overall </w:t>
      </w:r>
      <w:r w:rsidR="00FA50F0" w:rsidRPr="00BF17B0">
        <w:rPr>
          <w:rFonts w:asciiTheme="minorHAnsi" w:eastAsiaTheme="minorEastAsia" w:hAnsiTheme="minorHAnsi" w:cstheme="minorHAnsi"/>
          <w:kern w:val="24"/>
        </w:rPr>
        <w:t>programmatic</w:t>
      </w:r>
      <w:r w:rsidRPr="00BF17B0">
        <w:rPr>
          <w:rFonts w:asciiTheme="minorHAnsi" w:eastAsiaTheme="minorEastAsia" w:hAnsiTheme="minorHAnsi" w:cstheme="minorHAnsi"/>
          <w:kern w:val="24"/>
        </w:rPr>
        <w:t xml:space="preserve"> fund finances and progress should be produced.</w:t>
      </w:r>
    </w:p>
    <w:p w14:paraId="3D594C79" w14:textId="77777777" w:rsidR="00742891" w:rsidRPr="00BF17B0" w:rsidRDefault="00EF5847" w:rsidP="00BC49F8">
      <w:pPr>
        <w:rPr>
          <w:rFonts w:asciiTheme="minorHAnsi" w:eastAsiaTheme="minorEastAsia" w:hAnsiTheme="minorHAnsi" w:cstheme="minorHAnsi"/>
          <w:kern w:val="24"/>
        </w:rPr>
      </w:pPr>
      <w:r w:rsidRPr="00BF17B0">
        <w:rPr>
          <w:rFonts w:asciiTheme="minorHAnsi" w:eastAsiaTheme="minorEastAsia" w:hAnsiTheme="minorHAnsi" w:cstheme="minorHAnsi"/>
          <w:kern w:val="24"/>
        </w:rPr>
        <w:t xml:space="preserve">If DFAT can make longer term fund allocations </w:t>
      </w:r>
      <w:r w:rsidR="00BC49F8" w:rsidRPr="00BF17B0">
        <w:rPr>
          <w:rFonts w:asciiTheme="minorHAnsi" w:eastAsiaTheme="minorEastAsia" w:hAnsiTheme="minorHAnsi" w:cstheme="minorHAnsi"/>
          <w:kern w:val="24"/>
        </w:rPr>
        <w:t xml:space="preserve">for </w:t>
      </w:r>
      <w:r w:rsidRPr="00BF17B0">
        <w:rPr>
          <w:rFonts w:asciiTheme="minorHAnsi" w:eastAsiaTheme="minorEastAsia" w:hAnsiTheme="minorHAnsi" w:cstheme="minorHAnsi"/>
          <w:kern w:val="24"/>
        </w:rPr>
        <w:t>grants</w:t>
      </w:r>
      <w:r w:rsidR="00BC49F8" w:rsidRPr="00BF17B0">
        <w:rPr>
          <w:rFonts w:asciiTheme="minorHAnsi" w:eastAsiaTheme="minorEastAsia" w:hAnsiTheme="minorHAnsi" w:cstheme="minorHAnsi"/>
          <w:kern w:val="24"/>
        </w:rPr>
        <w:t>,</w:t>
      </w:r>
      <w:r w:rsidRPr="00BF17B0">
        <w:rPr>
          <w:rFonts w:asciiTheme="minorHAnsi" w:eastAsiaTheme="minorEastAsia" w:hAnsiTheme="minorHAnsi" w:cstheme="minorHAnsi"/>
          <w:kern w:val="24"/>
        </w:rPr>
        <w:t xml:space="preserve"> the risk of unexpected changes leading to cancellation of planned activities</w:t>
      </w:r>
      <w:r w:rsidR="00BC49F8" w:rsidRPr="00BF17B0">
        <w:rPr>
          <w:rFonts w:asciiTheme="minorHAnsi" w:eastAsiaTheme="minorEastAsia" w:hAnsiTheme="minorHAnsi" w:cstheme="minorHAnsi"/>
          <w:kern w:val="24"/>
        </w:rPr>
        <w:t xml:space="preserve"> can be reduced</w:t>
      </w:r>
      <w:r w:rsidRPr="00BF17B0">
        <w:rPr>
          <w:rFonts w:asciiTheme="minorHAnsi" w:eastAsiaTheme="minorEastAsia" w:hAnsiTheme="minorHAnsi" w:cstheme="minorHAnsi"/>
          <w:kern w:val="24"/>
        </w:rPr>
        <w:t>.</w:t>
      </w:r>
    </w:p>
    <w:p w14:paraId="25D79104" w14:textId="77777777" w:rsidR="009469C2" w:rsidRPr="00BF17B0" w:rsidRDefault="009469C2" w:rsidP="00015A04">
      <w:pPr>
        <w:rPr>
          <w:rFonts w:asciiTheme="minorHAnsi" w:hAnsiTheme="minorHAnsi" w:cstheme="minorHAnsi"/>
        </w:rPr>
      </w:pPr>
      <w:bookmarkStart w:id="224" w:name="_Toc530386753"/>
      <w:bookmarkStart w:id="225" w:name="_Toc530386754"/>
      <w:bookmarkStart w:id="226" w:name="_Ref531033726"/>
      <w:bookmarkStart w:id="227" w:name="_Ref531033730"/>
      <w:bookmarkStart w:id="228" w:name="_Ref531033761"/>
      <w:bookmarkStart w:id="229" w:name="_Ref531033786"/>
      <w:bookmarkStart w:id="230" w:name="_Ref531033793"/>
      <w:bookmarkEnd w:id="224"/>
      <w:bookmarkEnd w:id="225"/>
    </w:p>
    <w:p w14:paraId="59E31A85" w14:textId="68D1994E" w:rsidR="00554902" w:rsidRPr="00BF17B0" w:rsidRDefault="00742891" w:rsidP="005D6AB2">
      <w:pPr>
        <w:pStyle w:val="Caption"/>
        <w:rPr>
          <w:rFonts w:asciiTheme="minorHAnsi" w:hAnsiTheme="minorHAnsi" w:cstheme="minorHAnsi"/>
        </w:rPr>
      </w:pPr>
      <w:bookmarkStart w:id="231" w:name="_Ref530064030"/>
      <w:bookmarkStart w:id="232" w:name="_Toc532885880"/>
      <w:bookmarkEnd w:id="226"/>
      <w:bookmarkEnd w:id="227"/>
      <w:bookmarkEnd w:id="228"/>
      <w:bookmarkEnd w:id="229"/>
      <w:bookmarkEnd w:id="230"/>
      <w:r w:rsidRPr="00BF17B0">
        <w:rPr>
          <w:rFonts w:asciiTheme="minorHAnsi" w:hAnsiTheme="minorHAnsi" w:cstheme="minorHAnsi"/>
        </w:rPr>
        <w:t xml:space="preserve">Table </w:t>
      </w:r>
      <w:r w:rsidRPr="00BF17B0">
        <w:rPr>
          <w:rFonts w:asciiTheme="minorHAnsi" w:hAnsiTheme="minorHAnsi" w:cstheme="minorHAnsi"/>
        </w:rPr>
        <w:fldChar w:fldCharType="begin"/>
      </w:r>
      <w:r w:rsidRPr="00BF17B0">
        <w:rPr>
          <w:rFonts w:asciiTheme="minorHAnsi" w:hAnsiTheme="minorHAnsi" w:cstheme="minorHAnsi"/>
        </w:rPr>
        <w:instrText xml:space="preserve"> STYLEREF 1 \s </w:instrText>
      </w:r>
      <w:r w:rsidRPr="00BF17B0">
        <w:rPr>
          <w:rFonts w:asciiTheme="minorHAnsi" w:hAnsiTheme="minorHAnsi" w:cstheme="minorHAnsi"/>
        </w:rPr>
        <w:fldChar w:fldCharType="separate"/>
      </w:r>
      <w:r w:rsidR="00F338BE">
        <w:rPr>
          <w:rFonts w:asciiTheme="minorHAnsi" w:hAnsiTheme="minorHAnsi" w:cstheme="minorHAnsi"/>
          <w:noProof/>
        </w:rPr>
        <w:t>4</w:t>
      </w:r>
      <w:r w:rsidRPr="00BF17B0">
        <w:rPr>
          <w:rFonts w:asciiTheme="minorHAnsi" w:hAnsiTheme="minorHAnsi" w:cstheme="minorHAnsi"/>
        </w:rPr>
        <w:fldChar w:fldCharType="end"/>
      </w:r>
      <w:r w:rsidRPr="00BF17B0">
        <w:rPr>
          <w:rFonts w:asciiTheme="minorHAnsi" w:hAnsiTheme="minorHAnsi" w:cstheme="minorHAnsi"/>
        </w:rPr>
        <w:noBreakHyphen/>
      </w:r>
      <w:r w:rsidRPr="00BF17B0">
        <w:rPr>
          <w:rFonts w:asciiTheme="minorHAnsi" w:hAnsiTheme="minorHAnsi" w:cstheme="minorHAnsi"/>
        </w:rPr>
        <w:fldChar w:fldCharType="begin"/>
      </w:r>
      <w:r w:rsidRPr="00BF17B0">
        <w:rPr>
          <w:rFonts w:asciiTheme="minorHAnsi" w:hAnsiTheme="minorHAnsi" w:cstheme="minorHAnsi"/>
        </w:rPr>
        <w:instrText xml:space="preserve"> SEQ Table \* ARABIC \s 1 </w:instrText>
      </w:r>
      <w:r w:rsidRPr="00BF17B0">
        <w:rPr>
          <w:rFonts w:asciiTheme="minorHAnsi" w:hAnsiTheme="minorHAnsi" w:cstheme="minorHAnsi"/>
        </w:rPr>
        <w:fldChar w:fldCharType="separate"/>
      </w:r>
      <w:r w:rsidR="00F338BE">
        <w:rPr>
          <w:rFonts w:asciiTheme="minorHAnsi" w:hAnsiTheme="minorHAnsi" w:cstheme="minorHAnsi"/>
          <w:noProof/>
        </w:rPr>
        <w:t>1</w:t>
      </w:r>
      <w:r w:rsidRPr="00BF17B0">
        <w:rPr>
          <w:rFonts w:asciiTheme="minorHAnsi" w:hAnsiTheme="minorHAnsi" w:cstheme="minorHAnsi"/>
        </w:rPr>
        <w:fldChar w:fldCharType="end"/>
      </w:r>
      <w:bookmarkEnd w:id="231"/>
      <w:r w:rsidR="00CE1DAD" w:rsidRPr="00BF17B0">
        <w:rPr>
          <w:rFonts w:asciiTheme="minorHAnsi" w:hAnsiTheme="minorHAnsi" w:cstheme="minorHAnsi"/>
        </w:rPr>
        <w:t>.</w:t>
      </w:r>
      <w:r w:rsidRPr="00BF17B0">
        <w:rPr>
          <w:rFonts w:asciiTheme="minorHAnsi" w:hAnsiTheme="minorHAnsi" w:cstheme="minorHAnsi"/>
        </w:rPr>
        <w:t xml:space="preserve"> </w:t>
      </w:r>
      <w:r w:rsidR="005D6AB2" w:rsidRPr="00BF17B0">
        <w:rPr>
          <w:rFonts w:asciiTheme="minorHAnsi" w:hAnsiTheme="minorHAnsi" w:cstheme="minorHAnsi"/>
        </w:rPr>
        <w:t xml:space="preserve">Issues, Challenges, </w:t>
      </w:r>
      <w:r w:rsidRPr="00BF17B0">
        <w:rPr>
          <w:rFonts w:asciiTheme="minorHAnsi" w:hAnsiTheme="minorHAnsi" w:cstheme="minorHAnsi"/>
        </w:rPr>
        <w:t>and Recommendations</w:t>
      </w:r>
      <w:bookmarkEnd w:id="232"/>
    </w:p>
    <w:tbl>
      <w:tblPr>
        <w:tblStyle w:val="TableGrid1"/>
        <w:tblW w:w="0" w:type="auto"/>
        <w:jc w:val="center"/>
        <w:tblLook w:val="04A0" w:firstRow="1" w:lastRow="0" w:firstColumn="1" w:lastColumn="0" w:noHBand="0" w:noVBand="1"/>
      </w:tblPr>
      <w:tblGrid>
        <w:gridCol w:w="3552"/>
        <w:gridCol w:w="5464"/>
      </w:tblGrid>
      <w:tr w:rsidR="00BA3D34" w:rsidRPr="00BF17B0" w14:paraId="627E8616" w14:textId="77777777" w:rsidTr="00EF59EA">
        <w:trPr>
          <w:tblHeader/>
          <w:jc w:val="center"/>
        </w:trPr>
        <w:tc>
          <w:tcPr>
            <w:tcW w:w="3711" w:type="dxa"/>
            <w:vAlign w:val="center"/>
          </w:tcPr>
          <w:p w14:paraId="0C64F3C9" w14:textId="77777777" w:rsidR="00BA3D34" w:rsidRPr="00BF17B0" w:rsidRDefault="00BA3D34" w:rsidP="00EF59EA">
            <w:pPr>
              <w:pStyle w:val="TableText"/>
              <w:jc w:val="center"/>
              <w:rPr>
                <w:b/>
              </w:rPr>
            </w:pPr>
            <w:r w:rsidRPr="00BF17B0">
              <w:rPr>
                <w:b/>
              </w:rPr>
              <w:t>Issues and Challenges</w:t>
            </w:r>
          </w:p>
        </w:tc>
        <w:tc>
          <w:tcPr>
            <w:tcW w:w="5760" w:type="dxa"/>
            <w:vAlign w:val="center"/>
          </w:tcPr>
          <w:p w14:paraId="17E90C03" w14:textId="77777777" w:rsidR="00BA3D34" w:rsidRPr="00BF17B0" w:rsidRDefault="00BA3D34" w:rsidP="00EF59EA">
            <w:pPr>
              <w:pStyle w:val="TableText"/>
              <w:jc w:val="center"/>
              <w:rPr>
                <w:b/>
              </w:rPr>
            </w:pPr>
            <w:r w:rsidRPr="00BF17B0">
              <w:rPr>
                <w:b/>
              </w:rPr>
              <w:t>Recommendations</w:t>
            </w:r>
          </w:p>
        </w:tc>
      </w:tr>
      <w:tr w:rsidR="00BA3D34" w:rsidRPr="00BF17B0" w14:paraId="1D2CC9F7" w14:textId="77777777" w:rsidTr="00EF59EA">
        <w:trPr>
          <w:jc w:val="center"/>
        </w:trPr>
        <w:tc>
          <w:tcPr>
            <w:tcW w:w="3711" w:type="dxa"/>
          </w:tcPr>
          <w:p w14:paraId="2AEAE045" w14:textId="77777777" w:rsidR="00BA3D34" w:rsidRPr="00BF17B0" w:rsidRDefault="00BA3D34" w:rsidP="00EF59EA">
            <w:pPr>
              <w:pStyle w:val="TableText"/>
            </w:pPr>
            <w:r w:rsidRPr="00BF17B0">
              <w:t xml:space="preserve">The </w:t>
            </w:r>
            <w:r>
              <w:t>PH-PTF</w:t>
            </w:r>
            <w:r w:rsidRPr="00BF17B0">
              <w:t xml:space="preserve"> was effective in enabling DFAT and the World Bank achieve intended outcomes.</w:t>
            </w:r>
          </w:p>
        </w:tc>
        <w:tc>
          <w:tcPr>
            <w:tcW w:w="5760" w:type="dxa"/>
          </w:tcPr>
          <w:p w14:paraId="0FAA8E96" w14:textId="55271238" w:rsidR="00BA3D34" w:rsidRPr="00BF17B0" w:rsidRDefault="00BA3D34" w:rsidP="00EF59EA">
            <w:pPr>
              <w:pStyle w:val="TableText"/>
            </w:pPr>
            <w:r w:rsidRPr="00BF17B0">
              <w:t xml:space="preserve">DFAT and the World Bank should consider a follow-up fund to replicate and build on the successes of the </w:t>
            </w:r>
            <w:r w:rsidR="00E90149">
              <w:t>PH-PTF</w:t>
            </w:r>
            <w:r w:rsidRPr="00BF17B0">
              <w:t>.</w:t>
            </w:r>
          </w:p>
        </w:tc>
      </w:tr>
      <w:tr w:rsidR="00BA3D34" w:rsidRPr="00BF17B0" w14:paraId="0E67DFAB" w14:textId="77777777" w:rsidTr="00EF59EA">
        <w:trPr>
          <w:jc w:val="center"/>
        </w:trPr>
        <w:tc>
          <w:tcPr>
            <w:tcW w:w="3711" w:type="dxa"/>
          </w:tcPr>
          <w:p w14:paraId="5A4CC86B" w14:textId="77777777" w:rsidR="00BA3D34" w:rsidRPr="00BF17B0" w:rsidRDefault="00BA3D34" w:rsidP="00EF59EA">
            <w:pPr>
              <w:pStyle w:val="TableText"/>
            </w:pPr>
            <w:r w:rsidRPr="00BF17B0">
              <w:t>The governance structure worked well but it needs to be improved to guide implementation and operations in the future.</w:t>
            </w:r>
          </w:p>
        </w:tc>
        <w:tc>
          <w:tcPr>
            <w:tcW w:w="5760" w:type="dxa"/>
          </w:tcPr>
          <w:p w14:paraId="4EB199D8" w14:textId="77777777" w:rsidR="00BA3D34" w:rsidRPr="00BF17B0" w:rsidRDefault="00BA3D34" w:rsidP="00EF59EA">
            <w:pPr>
              <w:pStyle w:val="TableText"/>
            </w:pPr>
            <w:r w:rsidRPr="00BF17B0">
              <w:rPr>
                <w:bCs/>
              </w:rPr>
              <w:t>DFAT and the World Bank should agree on a more detailed governance framework</w:t>
            </w:r>
            <w:r w:rsidRPr="00BF17B0">
              <w:t>. Regular meetings—at least annual—of the Steering Committee to review the strategy and overall progress should be complemented by at least semi-annual meetings of the Operations Committee. Meetings among technical counterparts in World Bank and DFAT should be encouraged. This arrangement should be clearly stated in the Operations Guidelines.</w:t>
            </w:r>
          </w:p>
        </w:tc>
      </w:tr>
      <w:tr w:rsidR="00BA3D34" w:rsidRPr="00BF17B0" w14:paraId="37FBD299" w14:textId="77777777" w:rsidTr="00EF59EA">
        <w:trPr>
          <w:trHeight w:val="3275"/>
          <w:jc w:val="center"/>
        </w:trPr>
        <w:tc>
          <w:tcPr>
            <w:tcW w:w="3711" w:type="dxa"/>
          </w:tcPr>
          <w:p w14:paraId="41FC61B0" w14:textId="77777777" w:rsidR="00BA3D34" w:rsidRPr="00BF17B0" w:rsidRDefault="00BA3D34" w:rsidP="00EF59EA">
            <w:pPr>
              <w:pStyle w:val="TableText"/>
            </w:pPr>
            <w:r w:rsidRPr="00BF17B0">
              <w:t xml:space="preserve">The results framework for the </w:t>
            </w:r>
            <w:r>
              <w:t>PH-PTF</w:t>
            </w:r>
            <w:r w:rsidRPr="00BF17B0">
              <w:t xml:space="preserve"> was not an effective monitoring tool.</w:t>
            </w:r>
          </w:p>
        </w:tc>
        <w:tc>
          <w:tcPr>
            <w:tcW w:w="5760" w:type="dxa"/>
          </w:tcPr>
          <w:p w14:paraId="0A3C6A1E" w14:textId="77777777" w:rsidR="00BA3D34" w:rsidRPr="00BF17B0" w:rsidRDefault="00BA3D34" w:rsidP="00EF59EA">
            <w:pPr>
              <w:pStyle w:val="TableText"/>
            </w:pPr>
            <w:r w:rsidRPr="00BF17B0">
              <w:rPr>
                <w:bCs/>
              </w:rPr>
              <w:t xml:space="preserve">World Bank and DFAT should establish a results framework </w:t>
            </w:r>
            <w:r w:rsidRPr="00BF17B0">
              <w:t>at the outset, with initially agreed strategic focus areas. Continued flexibility should be ensured by authorizing the Steering Committee to add other focus areas. The results framework should be a living document, with details of approved grants and their intended outputs and outcomes added every year. The results framework can then be used to track progress annually.</w:t>
            </w:r>
          </w:p>
          <w:p w14:paraId="4ABFB7D2" w14:textId="77777777" w:rsidR="00BA3D34" w:rsidRPr="00BF17B0" w:rsidRDefault="00BA3D34" w:rsidP="00EF59EA">
            <w:pPr>
              <w:pStyle w:val="TableText"/>
            </w:pPr>
            <w:r w:rsidRPr="00BF17B0">
              <w:rPr>
                <w:bCs/>
              </w:rPr>
              <w:t xml:space="preserve">To facilitate the use of the results framework, the World Bank should ensure that grant funding requests include expected quantified </w:t>
            </w:r>
            <w:r w:rsidRPr="00BF17B0">
              <w:t>outputs</w:t>
            </w:r>
            <w:r w:rsidRPr="00BF17B0">
              <w:rPr>
                <w:bCs/>
              </w:rPr>
              <w:t xml:space="preserve"> and outcomes.</w:t>
            </w:r>
          </w:p>
        </w:tc>
      </w:tr>
      <w:tr w:rsidR="00BA3D34" w:rsidRPr="00BF17B0" w14:paraId="354FE40C" w14:textId="77777777" w:rsidTr="00EF59EA">
        <w:trPr>
          <w:jc w:val="center"/>
        </w:trPr>
        <w:tc>
          <w:tcPr>
            <w:tcW w:w="3711" w:type="dxa"/>
          </w:tcPr>
          <w:p w14:paraId="52CB1338" w14:textId="5867E0B3" w:rsidR="00BA3D34" w:rsidRPr="00BF17B0" w:rsidRDefault="00BA3D34" w:rsidP="00EF59EA">
            <w:pPr>
              <w:pStyle w:val="TableText"/>
            </w:pPr>
            <w:r w:rsidRPr="00BF17B0">
              <w:t xml:space="preserve">The administration agreement for the </w:t>
            </w:r>
            <w:r w:rsidR="00E90149">
              <w:t>PH-PTF</w:t>
            </w:r>
            <w:r w:rsidRPr="00BF17B0">
              <w:t xml:space="preserve"> did not specify any cross-cutting areas that required special attention.</w:t>
            </w:r>
          </w:p>
        </w:tc>
        <w:tc>
          <w:tcPr>
            <w:tcW w:w="5760" w:type="dxa"/>
          </w:tcPr>
          <w:p w14:paraId="53AD2ACD" w14:textId="77777777" w:rsidR="00BA3D34" w:rsidRPr="00BF17B0" w:rsidRDefault="00BA3D34" w:rsidP="00EF59EA">
            <w:pPr>
              <w:pStyle w:val="TableText"/>
            </w:pPr>
            <w:r w:rsidRPr="00BF17B0">
              <w:rPr>
                <w:bCs/>
              </w:rPr>
              <w:t>DFAT and the World Bank should agree upfront on any cross-cutting issues that are to be addressed by grants supported by the trust fund. Once the cross-cutting areas are agreed upon, World Bank should ensure that these are reflected in the Operations Manual and grant funding requests give attention to such areas.</w:t>
            </w:r>
            <w:r w:rsidRPr="00BF17B0">
              <w:t xml:space="preserve"> </w:t>
            </w:r>
          </w:p>
        </w:tc>
      </w:tr>
      <w:tr w:rsidR="00BA3D34" w:rsidRPr="00BF17B0" w14:paraId="3124ABBF" w14:textId="77777777" w:rsidTr="00EF59EA">
        <w:trPr>
          <w:jc w:val="center"/>
        </w:trPr>
        <w:tc>
          <w:tcPr>
            <w:tcW w:w="3711" w:type="dxa"/>
          </w:tcPr>
          <w:p w14:paraId="54EC7793" w14:textId="77777777" w:rsidR="00BA3D34" w:rsidRPr="00BF17B0" w:rsidRDefault="00BA3D34" w:rsidP="00EF59EA">
            <w:pPr>
              <w:pStyle w:val="TableText"/>
            </w:pPr>
            <w:r w:rsidRPr="00BF17B0">
              <w:t>Competitive approaches to grant allocation were valued, but the decision-making process was not always clear to all stakeholders.</w:t>
            </w:r>
          </w:p>
        </w:tc>
        <w:tc>
          <w:tcPr>
            <w:tcW w:w="5760" w:type="dxa"/>
          </w:tcPr>
          <w:p w14:paraId="0EB42CBB" w14:textId="77777777" w:rsidR="00BA3D34" w:rsidRPr="00BF17B0" w:rsidRDefault="00BA3D34" w:rsidP="00EF59EA">
            <w:pPr>
              <w:pStyle w:val="TableText"/>
            </w:pPr>
            <w:r w:rsidRPr="00BF17B0">
              <w:t xml:space="preserve">The default approach to fund allocation should be to use competitive rounds of bidding within certain parameters, specifically the results framework strategic focus areas. </w:t>
            </w:r>
          </w:p>
        </w:tc>
      </w:tr>
      <w:tr w:rsidR="00BA3D34" w:rsidRPr="00BF17B0" w14:paraId="41B5647F" w14:textId="77777777" w:rsidTr="00EF59EA">
        <w:trPr>
          <w:jc w:val="center"/>
        </w:trPr>
        <w:tc>
          <w:tcPr>
            <w:tcW w:w="3711" w:type="dxa"/>
          </w:tcPr>
          <w:p w14:paraId="66DD7F7F" w14:textId="698CCF12" w:rsidR="00BA3D34" w:rsidRPr="00BF17B0" w:rsidRDefault="00BA3D34" w:rsidP="00EF59EA">
            <w:pPr>
              <w:pStyle w:val="TableText"/>
            </w:pPr>
            <w:r w:rsidRPr="00BF17B0">
              <w:t xml:space="preserve">One of the major strengths of the </w:t>
            </w:r>
            <w:r w:rsidR="00E90149">
              <w:t>PH-PTF</w:t>
            </w:r>
            <w:r w:rsidRPr="00BF17B0">
              <w:t xml:space="preserve"> was its flexibility and timeliness in responding to changing circumstances.</w:t>
            </w:r>
          </w:p>
        </w:tc>
        <w:tc>
          <w:tcPr>
            <w:tcW w:w="5760" w:type="dxa"/>
          </w:tcPr>
          <w:p w14:paraId="5A71256B" w14:textId="77777777" w:rsidR="00BA3D34" w:rsidRPr="00BF17B0" w:rsidRDefault="00BA3D34" w:rsidP="00EF59EA">
            <w:pPr>
              <w:pStyle w:val="TableText"/>
            </w:pPr>
            <w:r w:rsidRPr="00BF17B0">
              <w:t>The Steering Committee should be given the discretion to respond rapidly to events. The decisions made in such circumstances should be transparent and should be explained to key stakeholders.</w:t>
            </w:r>
          </w:p>
        </w:tc>
      </w:tr>
      <w:tr w:rsidR="00BA3D34" w:rsidRPr="00BF17B0" w14:paraId="31E63B93" w14:textId="77777777" w:rsidTr="00EF59EA">
        <w:trPr>
          <w:jc w:val="center"/>
        </w:trPr>
        <w:tc>
          <w:tcPr>
            <w:tcW w:w="3711" w:type="dxa"/>
          </w:tcPr>
          <w:p w14:paraId="66DD21D1" w14:textId="06F47A7A" w:rsidR="00BA3D34" w:rsidRPr="00BF17B0" w:rsidRDefault="00BA3D34" w:rsidP="00EF59EA">
            <w:pPr>
              <w:pStyle w:val="TableText"/>
            </w:pPr>
            <w:r w:rsidRPr="00BF17B0">
              <w:t xml:space="preserve">There was no systematic annual reporting of </w:t>
            </w:r>
            <w:r w:rsidR="00E90149">
              <w:t>PH-PTF</w:t>
            </w:r>
            <w:r w:rsidRPr="00BF17B0">
              <w:t xml:space="preserve"> progress.</w:t>
            </w:r>
          </w:p>
        </w:tc>
        <w:tc>
          <w:tcPr>
            <w:tcW w:w="5760" w:type="dxa"/>
          </w:tcPr>
          <w:p w14:paraId="4C674C48" w14:textId="77777777" w:rsidR="00BA3D34" w:rsidRPr="00BF17B0" w:rsidRDefault="00BA3D34" w:rsidP="00EF59EA">
            <w:pPr>
              <w:pStyle w:val="TableText"/>
            </w:pPr>
            <w:r w:rsidRPr="00BF17B0">
              <w:t>Annual financial and operational progress reports should be prepared. To ensure that this recommendation and the results framework recommendations are addressed, resources for monitoring and evaluation should be earmarked.</w:t>
            </w:r>
          </w:p>
        </w:tc>
      </w:tr>
      <w:tr w:rsidR="00BA3D34" w:rsidRPr="00BF17B0" w14:paraId="615C841C" w14:textId="77777777" w:rsidTr="00EF59EA">
        <w:trPr>
          <w:jc w:val="center"/>
        </w:trPr>
        <w:tc>
          <w:tcPr>
            <w:tcW w:w="3711" w:type="dxa"/>
          </w:tcPr>
          <w:p w14:paraId="688852F0" w14:textId="77777777" w:rsidR="00BA3D34" w:rsidRPr="00BF17B0" w:rsidRDefault="00BA3D34" w:rsidP="00EF59EA">
            <w:pPr>
              <w:pStyle w:val="TableText"/>
            </w:pPr>
            <w:r w:rsidRPr="00BF17B0">
              <w:t>As noted in the Midterm Review, the annual allocations process used by DFAT added uncertainty to program planning and at times caused difficulties when task team leaders had to cancel plann</w:t>
            </w:r>
            <w:bookmarkStart w:id="233" w:name="_GoBack"/>
            <w:bookmarkEnd w:id="233"/>
            <w:r w:rsidRPr="00BF17B0">
              <w:t>ed activities.</w:t>
            </w:r>
          </w:p>
        </w:tc>
        <w:tc>
          <w:tcPr>
            <w:tcW w:w="5760" w:type="dxa"/>
          </w:tcPr>
          <w:p w14:paraId="50E2A78A" w14:textId="77777777" w:rsidR="00BA3D34" w:rsidRPr="00BF17B0" w:rsidRDefault="00BA3D34" w:rsidP="00EF59EA">
            <w:pPr>
              <w:pStyle w:val="TableText"/>
            </w:pPr>
            <w:r w:rsidRPr="00BF17B0">
              <w:rPr>
                <w:bCs/>
              </w:rPr>
              <w:t xml:space="preserve">DFAT should consider changing the allocation process </w:t>
            </w:r>
            <w:r w:rsidRPr="00BF17B0">
              <w:t>so that agreed grants have guaranteed multi-year resources.</w:t>
            </w:r>
          </w:p>
          <w:p w14:paraId="2242379F" w14:textId="77777777" w:rsidR="00BA3D34" w:rsidRPr="00BF17B0" w:rsidRDefault="00BA3D34" w:rsidP="00EF59EA">
            <w:pPr>
              <w:pStyle w:val="TableText"/>
            </w:pPr>
          </w:p>
        </w:tc>
      </w:tr>
      <w:tr w:rsidR="00BA3D34" w:rsidRPr="00BF17B0" w14:paraId="097643DD" w14:textId="77777777" w:rsidTr="00EF59EA">
        <w:trPr>
          <w:trHeight w:val="916"/>
          <w:jc w:val="center"/>
        </w:trPr>
        <w:tc>
          <w:tcPr>
            <w:tcW w:w="3711" w:type="dxa"/>
          </w:tcPr>
          <w:p w14:paraId="35450C9A" w14:textId="77777777" w:rsidR="00BA3D34" w:rsidRPr="00BF17B0" w:rsidRDefault="00BA3D34" w:rsidP="00EF59EA">
            <w:pPr>
              <w:pStyle w:val="TableText"/>
            </w:pPr>
            <w:r w:rsidRPr="00BF17B0">
              <w:t>Recipient-executed grants were slow to disburse, although several grants delivered excellent outcomes.</w:t>
            </w:r>
          </w:p>
        </w:tc>
        <w:tc>
          <w:tcPr>
            <w:tcW w:w="5760" w:type="dxa"/>
          </w:tcPr>
          <w:p w14:paraId="35012F09" w14:textId="77777777" w:rsidR="00BA3D34" w:rsidRPr="00BF17B0" w:rsidRDefault="00BA3D34" w:rsidP="00EF59EA">
            <w:pPr>
              <w:pStyle w:val="TableText"/>
            </w:pPr>
            <w:r w:rsidRPr="00BF17B0">
              <w:rPr>
                <w:bCs/>
              </w:rPr>
              <w:t xml:space="preserve">World Bank and DFAT should continue to allow for both recipient-executed and Bank-executed activities. </w:t>
            </w:r>
          </w:p>
        </w:tc>
      </w:tr>
      <w:tr w:rsidR="00BA3D34" w:rsidRPr="00BF17B0" w14:paraId="22651411" w14:textId="77777777" w:rsidTr="00EF59EA">
        <w:trPr>
          <w:jc w:val="center"/>
        </w:trPr>
        <w:tc>
          <w:tcPr>
            <w:tcW w:w="3711" w:type="dxa"/>
          </w:tcPr>
          <w:p w14:paraId="191635BA" w14:textId="77777777" w:rsidR="00BA3D34" w:rsidRPr="00BF17B0" w:rsidRDefault="00BA3D34" w:rsidP="00EF59EA">
            <w:pPr>
              <w:pStyle w:val="TableText"/>
            </w:pPr>
            <w:r w:rsidRPr="00BF17B0">
              <w:t xml:space="preserve">Bank-executed grants were sometimes closely linked to loans such as the CCT, MRDP, and CDD; at other times, to more free-standing technical assistance. In both instances, there were some very significant outcomes. </w:t>
            </w:r>
          </w:p>
        </w:tc>
        <w:tc>
          <w:tcPr>
            <w:tcW w:w="5760" w:type="dxa"/>
          </w:tcPr>
          <w:p w14:paraId="0417DC24" w14:textId="77777777" w:rsidR="00BA3D34" w:rsidRPr="00BF17B0" w:rsidRDefault="00BA3D34" w:rsidP="00EF59EA">
            <w:pPr>
              <w:pStyle w:val="TableText"/>
              <w:rPr>
                <w:bCs/>
              </w:rPr>
            </w:pPr>
            <w:r w:rsidRPr="00BF17B0">
              <w:rPr>
                <w:bCs/>
              </w:rPr>
              <w:t>World Bank and DFAT should continue to be flexible in funding Bank-executed grants. Their relevance to agreed priorities is more important than linkage to ongoing lending activities.</w:t>
            </w:r>
          </w:p>
        </w:tc>
      </w:tr>
      <w:tr w:rsidR="00BA3D34" w:rsidRPr="00BF17B0" w14:paraId="01741C5A" w14:textId="77777777" w:rsidTr="00EF59EA">
        <w:trPr>
          <w:jc w:val="center"/>
        </w:trPr>
        <w:tc>
          <w:tcPr>
            <w:tcW w:w="3711" w:type="dxa"/>
          </w:tcPr>
          <w:p w14:paraId="1ABF927D" w14:textId="77777777" w:rsidR="00BA3D34" w:rsidRPr="00BF17B0" w:rsidRDefault="00BA3D34" w:rsidP="00EF59EA">
            <w:pPr>
              <w:pStyle w:val="TableText"/>
            </w:pPr>
            <w:r w:rsidRPr="00BF17B0">
              <w:t>The Programmatic AAAs provided a more coordinated structure for planning, managing and reporting about advisory services and analytics a</w:t>
            </w:r>
            <w:r>
              <w:t xml:space="preserve">ctivities, but failed to report </w:t>
            </w:r>
            <w:r w:rsidRPr="00BF17B0">
              <w:t xml:space="preserve">adequately on </w:t>
            </w:r>
            <w:r>
              <w:t xml:space="preserve">the details of specific </w:t>
            </w:r>
            <w:r w:rsidRPr="00BF17B0">
              <w:t>trust fund</w:t>
            </w:r>
            <w:r>
              <w:t>ed</w:t>
            </w:r>
            <w:r w:rsidRPr="00BF17B0">
              <w:t xml:space="preserve"> activities.</w:t>
            </w:r>
          </w:p>
        </w:tc>
        <w:tc>
          <w:tcPr>
            <w:tcW w:w="5760" w:type="dxa"/>
          </w:tcPr>
          <w:p w14:paraId="426395BC" w14:textId="0C6AF4F1" w:rsidR="00BA3D34" w:rsidRPr="00BF17B0" w:rsidRDefault="00BA3D34" w:rsidP="00EF59EA">
            <w:pPr>
              <w:pStyle w:val="TableText"/>
            </w:pPr>
            <w:r w:rsidRPr="00BF17B0">
              <w:rPr>
                <w:bCs/>
              </w:rPr>
              <w:t xml:space="preserve">World Bank should review the use of PAAA reporting arrangements for </w:t>
            </w:r>
            <w:r w:rsidR="00ED6084">
              <w:rPr>
                <w:bCs/>
              </w:rPr>
              <w:t xml:space="preserve">trust </w:t>
            </w:r>
            <w:r w:rsidRPr="00BF17B0">
              <w:rPr>
                <w:bCs/>
              </w:rPr>
              <w:t xml:space="preserve">funded activities, </w:t>
            </w:r>
            <w:r w:rsidRPr="00BF17B0">
              <w:t>because they do not provide</w:t>
            </w:r>
            <w:r>
              <w:t xml:space="preserve"> sufficient details on the outputs</w:t>
            </w:r>
            <w:r w:rsidR="00ED6084">
              <w:t xml:space="preserve"> and results supported by the trust funds</w:t>
            </w:r>
            <w:r w:rsidRPr="00BF17B0">
              <w:t xml:space="preserve">. </w:t>
            </w:r>
            <w:r>
              <w:t xml:space="preserve">Where multiple funding sources are used for </w:t>
            </w:r>
            <w:r w:rsidRPr="00BF17B0">
              <w:t>PAAA</w:t>
            </w:r>
            <w:r>
              <w:t xml:space="preserve">s, </w:t>
            </w:r>
            <w:r w:rsidRPr="00BF17B0">
              <w:t xml:space="preserve">reports should clearly identify the contributions of each </w:t>
            </w:r>
            <w:r>
              <w:t>funding source</w:t>
            </w:r>
            <w:r w:rsidRPr="00BF17B0">
              <w:t xml:space="preserve"> to PAAA activities and </w:t>
            </w:r>
            <w:r>
              <w:t>outputs to ensure traceability of donor resources</w:t>
            </w:r>
            <w:r w:rsidRPr="00BF17B0">
              <w:t xml:space="preserve">. </w:t>
            </w:r>
            <w:r>
              <w:t xml:space="preserve"> To the extent possible, </w:t>
            </w:r>
            <w:r w:rsidRPr="00BF17B0">
              <w:t xml:space="preserve">PAAA rating systems should be compatible with those used in other trust funds and operational reports. If activities financed through trust funds move in or out of a PAAA, </w:t>
            </w:r>
            <w:r>
              <w:t xml:space="preserve">reports should keep donors </w:t>
            </w:r>
            <w:r w:rsidRPr="00BF17B0">
              <w:t>fully informed o</w:t>
            </w:r>
            <w:r>
              <w:t>n</w:t>
            </w:r>
            <w:r w:rsidRPr="00BF17B0">
              <w:t xml:space="preserve"> the use of the funds they contributed. </w:t>
            </w:r>
          </w:p>
        </w:tc>
      </w:tr>
    </w:tbl>
    <w:p w14:paraId="4B78C451" w14:textId="77777777" w:rsidR="00530431" w:rsidRPr="00BF17B0" w:rsidRDefault="00530431" w:rsidP="00530431">
      <w:pPr>
        <w:rPr>
          <w:rFonts w:asciiTheme="minorHAnsi" w:hAnsiTheme="minorHAnsi" w:cstheme="minorHAnsi"/>
        </w:rPr>
      </w:pPr>
    </w:p>
    <w:p w14:paraId="7310408C" w14:textId="77777777" w:rsidR="009103B6" w:rsidRPr="00BF17B0" w:rsidRDefault="009103B6" w:rsidP="009103B6">
      <w:pPr>
        <w:rPr>
          <w:rFonts w:asciiTheme="minorHAnsi" w:hAnsiTheme="minorHAnsi" w:cstheme="minorHAnsi"/>
        </w:rPr>
      </w:pPr>
    </w:p>
    <w:p w14:paraId="518934FE" w14:textId="77777777" w:rsidR="009103B6" w:rsidRPr="00BF17B0" w:rsidRDefault="009103B6" w:rsidP="009103B6">
      <w:pPr>
        <w:rPr>
          <w:rFonts w:asciiTheme="minorHAnsi" w:hAnsiTheme="minorHAnsi" w:cstheme="minorHAnsi"/>
        </w:rPr>
      </w:pPr>
    </w:p>
    <w:p w14:paraId="17C2D11D" w14:textId="77777777" w:rsidR="009103B6" w:rsidRPr="00BF17B0" w:rsidRDefault="009103B6" w:rsidP="009103B6">
      <w:pPr>
        <w:rPr>
          <w:rFonts w:asciiTheme="minorHAnsi" w:hAnsiTheme="minorHAnsi" w:cstheme="minorHAnsi"/>
        </w:rPr>
      </w:pPr>
    </w:p>
    <w:p w14:paraId="27DCFB09" w14:textId="77777777" w:rsidR="009103B6" w:rsidRPr="00BF17B0" w:rsidRDefault="009103B6" w:rsidP="009103B6">
      <w:pPr>
        <w:rPr>
          <w:rFonts w:asciiTheme="minorHAnsi" w:hAnsiTheme="minorHAnsi" w:cstheme="minorHAnsi"/>
        </w:rPr>
      </w:pPr>
    </w:p>
    <w:p w14:paraId="63975645" w14:textId="77777777" w:rsidR="009469C2" w:rsidRPr="00BF17B0" w:rsidRDefault="009469C2">
      <w:pPr>
        <w:spacing w:before="0" w:line="259" w:lineRule="auto"/>
        <w:rPr>
          <w:rFonts w:asciiTheme="minorHAnsi" w:hAnsiTheme="minorHAnsi" w:cstheme="minorHAnsi"/>
          <w:b/>
          <w:sz w:val="32"/>
          <w:szCs w:val="32"/>
        </w:rPr>
      </w:pPr>
      <w:bookmarkStart w:id="234" w:name="_Toc531672626"/>
      <w:r w:rsidRPr="00BF17B0">
        <w:rPr>
          <w:rFonts w:asciiTheme="minorHAnsi" w:hAnsiTheme="minorHAnsi" w:cstheme="minorHAnsi"/>
        </w:rPr>
        <w:br w:type="page"/>
      </w:r>
    </w:p>
    <w:p w14:paraId="3FD57247" w14:textId="186B393E" w:rsidR="000E03AA" w:rsidRPr="00BF17B0" w:rsidRDefault="006364FA" w:rsidP="00355A3C">
      <w:pPr>
        <w:pStyle w:val="Heading1"/>
        <w:numPr>
          <w:ilvl w:val="0"/>
          <w:numId w:val="0"/>
        </w:numPr>
        <w:rPr>
          <w:rFonts w:asciiTheme="minorHAnsi" w:hAnsiTheme="minorHAnsi" w:cstheme="minorHAnsi"/>
        </w:rPr>
      </w:pPr>
      <w:bookmarkStart w:id="235" w:name="_Toc532994301"/>
      <w:r w:rsidRPr="00BF17B0">
        <w:rPr>
          <w:rFonts w:asciiTheme="minorHAnsi" w:hAnsiTheme="minorHAnsi" w:cstheme="minorHAnsi"/>
        </w:rPr>
        <w:t>A</w:t>
      </w:r>
      <w:r w:rsidR="000E03AA" w:rsidRPr="00BF17B0">
        <w:rPr>
          <w:rFonts w:asciiTheme="minorHAnsi" w:hAnsiTheme="minorHAnsi" w:cstheme="minorHAnsi"/>
        </w:rPr>
        <w:t>nnex</w:t>
      </w:r>
      <w:bookmarkEnd w:id="234"/>
      <w:bookmarkEnd w:id="235"/>
    </w:p>
    <w:p w14:paraId="7A8DE621" w14:textId="77777777" w:rsidR="00401E7F" w:rsidRPr="00BF17B0" w:rsidRDefault="00BC5ED8" w:rsidP="00BF17B0">
      <w:pPr>
        <w:pStyle w:val="AnnexHead2"/>
        <w:numPr>
          <w:ilvl w:val="0"/>
          <w:numId w:val="0"/>
        </w:numPr>
        <w:ind w:left="1440" w:hanging="1440"/>
      </w:pPr>
      <w:bookmarkStart w:id="236" w:name="_Toc531672627"/>
      <w:bookmarkStart w:id="237" w:name="_Toc532994302"/>
      <w:r w:rsidRPr="00BF17B0">
        <w:t>Approved Grants by Results Framework Strategic Focus</w:t>
      </w:r>
      <w:r w:rsidR="009469C2" w:rsidRPr="00BF17B0">
        <w:t xml:space="preserve"> </w:t>
      </w:r>
      <w:r w:rsidRPr="00BF17B0">
        <w:t>Area</w:t>
      </w:r>
      <w:bookmarkEnd w:id="236"/>
      <w:bookmarkEnd w:id="237"/>
    </w:p>
    <w:tbl>
      <w:tblPr>
        <w:tblW w:w="9318" w:type="dxa"/>
        <w:tblLook w:val="04A0" w:firstRow="1" w:lastRow="0" w:firstColumn="1" w:lastColumn="0" w:noHBand="0" w:noVBand="1"/>
      </w:tblPr>
      <w:tblGrid>
        <w:gridCol w:w="1383"/>
        <w:gridCol w:w="2879"/>
        <w:gridCol w:w="736"/>
        <w:gridCol w:w="928"/>
        <w:gridCol w:w="1031"/>
        <w:gridCol w:w="1217"/>
        <w:gridCol w:w="9"/>
        <w:gridCol w:w="1231"/>
      </w:tblGrid>
      <w:tr w:rsidR="00E24556" w:rsidRPr="00BF17B0" w14:paraId="70F68D87" w14:textId="77777777" w:rsidTr="00E86018">
        <w:trPr>
          <w:trHeight w:val="765"/>
          <w:tblHeader/>
        </w:trPr>
        <w:tc>
          <w:tcPr>
            <w:tcW w:w="1383" w:type="dxa"/>
            <w:tcBorders>
              <w:top w:val="single" w:sz="4" w:space="0" w:color="auto"/>
              <w:left w:val="single" w:sz="4" w:space="0" w:color="auto"/>
              <w:bottom w:val="single" w:sz="4" w:space="0" w:color="auto"/>
              <w:right w:val="single" w:sz="4" w:space="0" w:color="auto"/>
            </w:tcBorders>
            <w:shd w:val="clear" w:color="000000" w:fill="99CCFF"/>
            <w:hideMark/>
          </w:tcPr>
          <w:p w14:paraId="30C2861C" w14:textId="77777777" w:rsidR="00E24556" w:rsidRPr="00BF17B0" w:rsidRDefault="00E24556" w:rsidP="004946CD">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Grant Number</w:t>
            </w:r>
          </w:p>
        </w:tc>
        <w:tc>
          <w:tcPr>
            <w:tcW w:w="2879" w:type="dxa"/>
            <w:tcBorders>
              <w:top w:val="single" w:sz="4" w:space="0" w:color="auto"/>
              <w:left w:val="nil"/>
              <w:bottom w:val="single" w:sz="4" w:space="0" w:color="auto"/>
              <w:right w:val="single" w:sz="4" w:space="0" w:color="auto"/>
            </w:tcBorders>
            <w:shd w:val="clear" w:color="000000" w:fill="99CCFF"/>
            <w:hideMark/>
          </w:tcPr>
          <w:p w14:paraId="319FBF68" w14:textId="77777777" w:rsidR="00E24556" w:rsidRPr="00BF17B0" w:rsidRDefault="00E24556" w:rsidP="004946CD">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Grant Name</w:t>
            </w:r>
          </w:p>
        </w:tc>
        <w:tc>
          <w:tcPr>
            <w:tcW w:w="718" w:type="dxa"/>
            <w:tcBorders>
              <w:top w:val="single" w:sz="4" w:space="0" w:color="auto"/>
              <w:left w:val="nil"/>
              <w:bottom w:val="single" w:sz="4" w:space="0" w:color="auto"/>
              <w:right w:val="single" w:sz="4" w:space="0" w:color="auto"/>
            </w:tcBorders>
            <w:shd w:val="clear" w:color="000000" w:fill="99CCFF"/>
            <w:hideMark/>
          </w:tcPr>
          <w:p w14:paraId="587ECD73" w14:textId="77777777" w:rsidR="00E24556" w:rsidRPr="00BF17B0" w:rsidRDefault="00E24556" w:rsidP="004946CD">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Status</w:t>
            </w:r>
          </w:p>
        </w:tc>
        <w:tc>
          <w:tcPr>
            <w:tcW w:w="881" w:type="dxa"/>
            <w:tcBorders>
              <w:top w:val="single" w:sz="4" w:space="0" w:color="auto"/>
              <w:left w:val="nil"/>
              <w:bottom w:val="single" w:sz="4" w:space="0" w:color="auto"/>
              <w:right w:val="single" w:sz="4" w:space="0" w:color="auto"/>
            </w:tcBorders>
            <w:shd w:val="clear" w:color="000000" w:fill="99CCFF"/>
            <w:hideMark/>
          </w:tcPr>
          <w:p w14:paraId="139C985C" w14:textId="77777777" w:rsidR="00E24556" w:rsidRPr="00BF17B0" w:rsidRDefault="00E24556" w:rsidP="004946CD">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Project ID</w:t>
            </w:r>
          </w:p>
        </w:tc>
        <w:tc>
          <w:tcPr>
            <w:tcW w:w="1000" w:type="dxa"/>
            <w:tcBorders>
              <w:top w:val="single" w:sz="4" w:space="0" w:color="auto"/>
              <w:left w:val="nil"/>
              <w:bottom w:val="single" w:sz="4" w:space="0" w:color="auto"/>
              <w:right w:val="single" w:sz="4" w:space="0" w:color="auto"/>
            </w:tcBorders>
            <w:shd w:val="clear" w:color="000000" w:fill="99CCFF"/>
            <w:hideMark/>
          </w:tcPr>
          <w:p w14:paraId="798DC441" w14:textId="77777777" w:rsidR="00E24556" w:rsidRPr="00BF17B0" w:rsidRDefault="00E24556" w:rsidP="004946CD">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Execution</w:t>
            </w:r>
          </w:p>
        </w:tc>
        <w:tc>
          <w:tcPr>
            <w:tcW w:w="1217" w:type="dxa"/>
            <w:tcBorders>
              <w:top w:val="single" w:sz="4" w:space="0" w:color="auto"/>
              <w:left w:val="nil"/>
              <w:bottom w:val="single" w:sz="4" w:space="0" w:color="auto"/>
              <w:right w:val="single" w:sz="4" w:space="0" w:color="auto"/>
            </w:tcBorders>
            <w:shd w:val="clear" w:color="000000" w:fill="99CCFF"/>
            <w:hideMark/>
          </w:tcPr>
          <w:p w14:paraId="4EAEF2B7" w14:textId="77777777" w:rsidR="00E24556" w:rsidRPr="00BF17B0" w:rsidRDefault="00E24556" w:rsidP="004946CD">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Approved Grant Amount</w:t>
            </w:r>
          </w:p>
        </w:tc>
        <w:tc>
          <w:tcPr>
            <w:tcW w:w="1240" w:type="dxa"/>
            <w:gridSpan w:val="2"/>
            <w:tcBorders>
              <w:top w:val="single" w:sz="4" w:space="0" w:color="auto"/>
              <w:left w:val="nil"/>
              <w:bottom w:val="single" w:sz="4" w:space="0" w:color="auto"/>
              <w:right w:val="single" w:sz="4" w:space="0" w:color="auto"/>
            </w:tcBorders>
            <w:shd w:val="clear" w:color="000000" w:fill="99CCFF"/>
            <w:hideMark/>
          </w:tcPr>
          <w:p w14:paraId="28A22F1F" w14:textId="03BFAA8F" w:rsidR="00E24556" w:rsidRPr="00BF17B0" w:rsidRDefault="000F774A" w:rsidP="004946CD">
            <w:pPr>
              <w:spacing w:after="0"/>
              <w:jc w:val="center"/>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Disbursed</w:t>
            </w:r>
            <w:r w:rsidR="006B1779">
              <w:rPr>
                <w:rFonts w:asciiTheme="minorHAnsi" w:eastAsia="Times New Roman" w:hAnsiTheme="minorHAnsi" w:cstheme="minorHAnsi"/>
                <w:b/>
                <w:bCs/>
                <w:sz w:val="20"/>
                <w:szCs w:val="20"/>
                <w:lang w:eastAsia="en-GB"/>
              </w:rPr>
              <w:t xml:space="preserve"> Amount at Closing</w:t>
            </w:r>
          </w:p>
        </w:tc>
      </w:tr>
      <w:tr w:rsidR="00401E7F" w:rsidRPr="00BF17B0" w14:paraId="2F86ADFC" w14:textId="77777777" w:rsidTr="00382432">
        <w:trPr>
          <w:trHeight w:val="255"/>
        </w:trPr>
        <w:tc>
          <w:tcPr>
            <w:tcW w:w="5861" w:type="dxa"/>
            <w:gridSpan w:val="4"/>
            <w:tcBorders>
              <w:top w:val="single" w:sz="4" w:space="0" w:color="auto"/>
              <w:left w:val="single" w:sz="4" w:space="0" w:color="auto"/>
              <w:bottom w:val="single" w:sz="4" w:space="0" w:color="auto"/>
              <w:right w:val="single" w:sz="4" w:space="0" w:color="000000"/>
            </w:tcBorders>
            <w:shd w:val="clear" w:color="000000" w:fill="99CCFF"/>
            <w:hideMark/>
          </w:tcPr>
          <w:p w14:paraId="3DA06902" w14:textId="77777777" w:rsidR="00401E7F" w:rsidRPr="00BF17B0" w:rsidRDefault="00401E7F" w:rsidP="00382432">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1. Stable Macroeconomy and Good Governance</w:t>
            </w:r>
          </w:p>
        </w:tc>
        <w:tc>
          <w:tcPr>
            <w:tcW w:w="1000" w:type="dxa"/>
            <w:tcBorders>
              <w:top w:val="nil"/>
              <w:left w:val="nil"/>
              <w:bottom w:val="single" w:sz="4" w:space="0" w:color="auto"/>
              <w:right w:val="single" w:sz="4" w:space="0" w:color="auto"/>
            </w:tcBorders>
            <w:shd w:val="clear" w:color="000000" w:fill="99CCFF"/>
            <w:hideMark/>
          </w:tcPr>
          <w:p w14:paraId="4DE93A08"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17" w:type="dxa"/>
            <w:tcBorders>
              <w:top w:val="nil"/>
              <w:left w:val="nil"/>
              <w:bottom w:val="single" w:sz="4" w:space="0" w:color="auto"/>
              <w:right w:val="single" w:sz="4" w:space="0" w:color="auto"/>
            </w:tcBorders>
            <w:shd w:val="clear" w:color="000000" w:fill="99CCFF"/>
            <w:hideMark/>
          </w:tcPr>
          <w:p w14:paraId="0764299D" w14:textId="77777777" w:rsidR="00401E7F" w:rsidRPr="00BF17B0" w:rsidRDefault="00401E7F" w:rsidP="00382432">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40" w:type="dxa"/>
            <w:gridSpan w:val="2"/>
            <w:tcBorders>
              <w:top w:val="nil"/>
              <w:left w:val="nil"/>
              <w:bottom w:val="single" w:sz="4" w:space="0" w:color="auto"/>
              <w:right w:val="single" w:sz="4" w:space="0" w:color="auto"/>
            </w:tcBorders>
            <w:shd w:val="clear" w:color="000000" w:fill="99CCFF"/>
            <w:hideMark/>
          </w:tcPr>
          <w:p w14:paraId="289D244F"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r>
      <w:tr w:rsidR="00401E7F" w:rsidRPr="00BF17B0" w14:paraId="550495EC" w14:textId="77777777" w:rsidTr="00382432">
        <w:trPr>
          <w:trHeight w:val="255"/>
        </w:trPr>
        <w:tc>
          <w:tcPr>
            <w:tcW w:w="5861" w:type="dxa"/>
            <w:gridSpan w:val="4"/>
            <w:tcBorders>
              <w:top w:val="single" w:sz="4" w:space="0" w:color="auto"/>
              <w:left w:val="single" w:sz="4" w:space="0" w:color="auto"/>
              <w:bottom w:val="single" w:sz="4" w:space="0" w:color="auto"/>
              <w:right w:val="single" w:sz="4" w:space="0" w:color="000000"/>
            </w:tcBorders>
            <w:shd w:val="clear" w:color="000000" w:fill="99CCFF"/>
            <w:hideMark/>
          </w:tcPr>
          <w:p w14:paraId="5CCD7ABB" w14:textId="77777777" w:rsidR="00401E7F" w:rsidRPr="00BF17B0" w:rsidRDefault="00401E7F" w:rsidP="00382432">
            <w:pPr>
              <w:spacing w:after="0"/>
              <w:ind w:firstLine="25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1.1 Strengthened revenue, debt and risk management</w:t>
            </w:r>
          </w:p>
        </w:tc>
        <w:tc>
          <w:tcPr>
            <w:tcW w:w="1000" w:type="dxa"/>
            <w:tcBorders>
              <w:top w:val="nil"/>
              <w:left w:val="nil"/>
              <w:bottom w:val="single" w:sz="4" w:space="0" w:color="auto"/>
              <w:right w:val="single" w:sz="4" w:space="0" w:color="auto"/>
            </w:tcBorders>
            <w:shd w:val="clear" w:color="000000" w:fill="99CCFF"/>
            <w:hideMark/>
          </w:tcPr>
          <w:p w14:paraId="51EA3E23"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17" w:type="dxa"/>
            <w:tcBorders>
              <w:top w:val="nil"/>
              <w:left w:val="nil"/>
              <w:bottom w:val="single" w:sz="4" w:space="0" w:color="auto"/>
              <w:right w:val="single" w:sz="4" w:space="0" w:color="auto"/>
            </w:tcBorders>
            <w:shd w:val="clear" w:color="000000" w:fill="99CCFF"/>
            <w:hideMark/>
          </w:tcPr>
          <w:p w14:paraId="225E9544" w14:textId="77777777" w:rsidR="00401E7F" w:rsidRPr="00BF17B0" w:rsidRDefault="00401E7F" w:rsidP="00382432">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40" w:type="dxa"/>
            <w:gridSpan w:val="2"/>
            <w:tcBorders>
              <w:top w:val="nil"/>
              <w:left w:val="nil"/>
              <w:bottom w:val="single" w:sz="4" w:space="0" w:color="auto"/>
              <w:right w:val="single" w:sz="4" w:space="0" w:color="auto"/>
            </w:tcBorders>
            <w:shd w:val="clear" w:color="000000" w:fill="99CCFF"/>
            <w:hideMark/>
          </w:tcPr>
          <w:p w14:paraId="21910F4C"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r>
      <w:tr w:rsidR="00401E7F" w:rsidRPr="00BF17B0" w14:paraId="7FF1FF41" w14:textId="77777777" w:rsidTr="00382432">
        <w:trPr>
          <w:trHeight w:val="510"/>
        </w:trPr>
        <w:tc>
          <w:tcPr>
            <w:tcW w:w="1383" w:type="dxa"/>
            <w:tcBorders>
              <w:top w:val="nil"/>
              <w:left w:val="single" w:sz="4" w:space="0" w:color="auto"/>
              <w:bottom w:val="single" w:sz="4" w:space="0" w:color="auto"/>
              <w:right w:val="single" w:sz="4" w:space="0" w:color="auto"/>
            </w:tcBorders>
            <w:shd w:val="clear" w:color="auto" w:fill="auto"/>
            <w:noWrap/>
            <w:hideMark/>
          </w:tcPr>
          <w:p w14:paraId="2BF86B3B"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TF014839</w:t>
            </w:r>
          </w:p>
        </w:tc>
        <w:tc>
          <w:tcPr>
            <w:tcW w:w="2879" w:type="dxa"/>
            <w:tcBorders>
              <w:top w:val="nil"/>
              <w:left w:val="nil"/>
              <w:bottom w:val="single" w:sz="4" w:space="0" w:color="auto"/>
              <w:right w:val="single" w:sz="4" w:space="0" w:color="auto"/>
            </w:tcBorders>
            <w:shd w:val="clear" w:color="auto" w:fill="auto"/>
            <w:hideMark/>
          </w:tcPr>
          <w:p w14:paraId="743690DF"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Philippines Revenue Policy and Administration Reform Support</w:t>
            </w:r>
          </w:p>
        </w:tc>
        <w:tc>
          <w:tcPr>
            <w:tcW w:w="718" w:type="dxa"/>
            <w:tcBorders>
              <w:top w:val="nil"/>
              <w:left w:val="nil"/>
              <w:bottom w:val="single" w:sz="4" w:space="0" w:color="auto"/>
              <w:right w:val="single" w:sz="4" w:space="0" w:color="auto"/>
            </w:tcBorders>
            <w:shd w:val="clear" w:color="auto" w:fill="auto"/>
            <w:noWrap/>
            <w:hideMark/>
          </w:tcPr>
          <w:p w14:paraId="6C609E11"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519CD11C"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P145121</w:t>
            </w:r>
          </w:p>
        </w:tc>
        <w:tc>
          <w:tcPr>
            <w:tcW w:w="1000" w:type="dxa"/>
            <w:tcBorders>
              <w:top w:val="nil"/>
              <w:left w:val="nil"/>
              <w:bottom w:val="single" w:sz="4" w:space="0" w:color="auto"/>
              <w:right w:val="single" w:sz="4" w:space="0" w:color="auto"/>
            </w:tcBorders>
            <w:shd w:val="clear" w:color="auto" w:fill="auto"/>
            <w:noWrap/>
            <w:hideMark/>
          </w:tcPr>
          <w:p w14:paraId="080EFE69"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4242B073" w14:textId="77777777" w:rsidR="00401E7F" w:rsidRPr="00BF17B0" w:rsidRDefault="00401E7F" w:rsidP="00382432">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478,000 </w:t>
            </w:r>
          </w:p>
        </w:tc>
        <w:tc>
          <w:tcPr>
            <w:tcW w:w="1240" w:type="dxa"/>
            <w:gridSpan w:val="2"/>
            <w:tcBorders>
              <w:top w:val="nil"/>
              <w:left w:val="nil"/>
              <w:bottom w:val="single" w:sz="4" w:space="0" w:color="auto"/>
              <w:right w:val="single" w:sz="4" w:space="0" w:color="auto"/>
            </w:tcBorders>
            <w:shd w:val="clear" w:color="auto" w:fill="auto"/>
            <w:noWrap/>
            <w:hideMark/>
          </w:tcPr>
          <w:p w14:paraId="13780F5C" w14:textId="3201B000"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465,197 </w:t>
            </w:r>
          </w:p>
        </w:tc>
      </w:tr>
      <w:tr w:rsidR="00401E7F" w:rsidRPr="00BF17B0" w14:paraId="32B15FC6"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01DA61B8"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TF099839</w:t>
            </w:r>
          </w:p>
        </w:tc>
        <w:tc>
          <w:tcPr>
            <w:tcW w:w="2879" w:type="dxa"/>
            <w:tcBorders>
              <w:top w:val="nil"/>
              <w:left w:val="nil"/>
              <w:bottom w:val="single" w:sz="4" w:space="0" w:color="auto"/>
              <w:right w:val="single" w:sz="4" w:space="0" w:color="auto"/>
            </w:tcBorders>
            <w:shd w:val="clear" w:color="auto" w:fill="auto"/>
            <w:hideMark/>
          </w:tcPr>
          <w:p w14:paraId="31E3821F"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Philippines: Strengthening Public Finances</w:t>
            </w:r>
          </w:p>
        </w:tc>
        <w:tc>
          <w:tcPr>
            <w:tcW w:w="718" w:type="dxa"/>
            <w:tcBorders>
              <w:top w:val="nil"/>
              <w:left w:val="nil"/>
              <w:bottom w:val="single" w:sz="4" w:space="0" w:color="auto"/>
              <w:right w:val="single" w:sz="4" w:space="0" w:color="auto"/>
            </w:tcBorders>
            <w:shd w:val="clear" w:color="auto" w:fill="auto"/>
            <w:noWrap/>
            <w:hideMark/>
          </w:tcPr>
          <w:p w14:paraId="0003B489"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2931AB03"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P126760</w:t>
            </w:r>
          </w:p>
        </w:tc>
        <w:tc>
          <w:tcPr>
            <w:tcW w:w="1000" w:type="dxa"/>
            <w:tcBorders>
              <w:top w:val="nil"/>
              <w:left w:val="nil"/>
              <w:bottom w:val="single" w:sz="4" w:space="0" w:color="auto"/>
              <w:right w:val="single" w:sz="4" w:space="0" w:color="auto"/>
            </w:tcBorders>
            <w:shd w:val="clear" w:color="auto" w:fill="auto"/>
            <w:noWrap/>
            <w:hideMark/>
          </w:tcPr>
          <w:p w14:paraId="717A5141"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7C8C16FE" w14:textId="77777777" w:rsidR="00401E7F" w:rsidRPr="00BF17B0" w:rsidRDefault="00401E7F" w:rsidP="00382432">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250,000 </w:t>
            </w:r>
          </w:p>
        </w:tc>
        <w:tc>
          <w:tcPr>
            <w:tcW w:w="1240" w:type="dxa"/>
            <w:gridSpan w:val="2"/>
            <w:tcBorders>
              <w:top w:val="nil"/>
              <w:left w:val="nil"/>
              <w:bottom w:val="single" w:sz="4" w:space="0" w:color="auto"/>
              <w:right w:val="single" w:sz="4" w:space="0" w:color="auto"/>
            </w:tcBorders>
            <w:shd w:val="clear" w:color="auto" w:fill="auto"/>
            <w:noWrap/>
            <w:hideMark/>
          </w:tcPr>
          <w:p w14:paraId="255B17EB" w14:textId="29583E75"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224,733 </w:t>
            </w:r>
          </w:p>
        </w:tc>
      </w:tr>
      <w:tr w:rsidR="00401E7F" w:rsidRPr="00BF17B0" w14:paraId="5F765FF2" w14:textId="77777777" w:rsidTr="00382432">
        <w:trPr>
          <w:trHeight w:val="255"/>
        </w:trPr>
        <w:tc>
          <w:tcPr>
            <w:tcW w:w="1383" w:type="dxa"/>
            <w:tcBorders>
              <w:top w:val="nil"/>
              <w:left w:val="single" w:sz="4" w:space="0" w:color="auto"/>
              <w:bottom w:val="single" w:sz="4" w:space="0" w:color="auto"/>
              <w:right w:val="nil"/>
            </w:tcBorders>
            <w:shd w:val="clear" w:color="000000" w:fill="99CCFF"/>
            <w:hideMark/>
          </w:tcPr>
          <w:p w14:paraId="59B3FAC2"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Subtotals</w:t>
            </w:r>
          </w:p>
        </w:tc>
        <w:tc>
          <w:tcPr>
            <w:tcW w:w="2879" w:type="dxa"/>
            <w:tcBorders>
              <w:top w:val="nil"/>
              <w:left w:val="nil"/>
              <w:bottom w:val="single" w:sz="4" w:space="0" w:color="auto"/>
              <w:right w:val="nil"/>
            </w:tcBorders>
            <w:shd w:val="clear" w:color="auto" w:fill="auto"/>
            <w:hideMark/>
          </w:tcPr>
          <w:p w14:paraId="68A7B76C"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718" w:type="dxa"/>
            <w:tcBorders>
              <w:top w:val="nil"/>
              <w:left w:val="nil"/>
              <w:bottom w:val="single" w:sz="4" w:space="0" w:color="auto"/>
              <w:right w:val="nil"/>
            </w:tcBorders>
            <w:shd w:val="clear" w:color="auto" w:fill="auto"/>
            <w:hideMark/>
          </w:tcPr>
          <w:p w14:paraId="05348700"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881" w:type="dxa"/>
            <w:tcBorders>
              <w:top w:val="nil"/>
              <w:left w:val="nil"/>
              <w:bottom w:val="single" w:sz="4" w:space="0" w:color="auto"/>
              <w:right w:val="single" w:sz="4" w:space="0" w:color="auto"/>
            </w:tcBorders>
            <w:shd w:val="clear" w:color="auto" w:fill="auto"/>
            <w:hideMark/>
          </w:tcPr>
          <w:p w14:paraId="4B2BB988"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000" w:type="dxa"/>
            <w:tcBorders>
              <w:top w:val="nil"/>
              <w:left w:val="nil"/>
              <w:bottom w:val="single" w:sz="4" w:space="0" w:color="auto"/>
              <w:right w:val="single" w:sz="4" w:space="0" w:color="auto"/>
            </w:tcBorders>
            <w:shd w:val="clear" w:color="000000" w:fill="99CCFF"/>
            <w:hideMark/>
          </w:tcPr>
          <w:p w14:paraId="67796887"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17" w:type="dxa"/>
            <w:tcBorders>
              <w:top w:val="nil"/>
              <w:left w:val="nil"/>
              <w:bottom w:val="single" w:sz="4" w:space="0" w:color="auto"/>
              <w:right w:val="single" w:sz="4" w:space="0" w:color="auto"/>
            </w:tcBorders>
            <w:shd w:val="clear" w:color="000000" w:fill="99CCFF"/>
            <w:hideMark/>
          </w:tcPr>
          <w:p w14:paraId="37ABDFE1" w14:textId="77777777" w:rsidR="00401E7F" w:rsidRPr="00BF17B0" w:rsidRDefault="00401E7F" w:rsidP="00CF7A1A">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728,000 </w:t>
            </w:r>
          </w:p>
        </w:tc>
        <w:tc>
          <w:tcPr>
            <w:tcW w:w="1240" w:type="dxa"/>
            <w:gridSpan w:val="2"/>
            <w:tcBorders>
              <w:top w:val="nil"/>
              <w:left w:val="nil"/>
              <w:bottom w:val="single" w:sz="4" w:space="0" w:color="auto"/>
              <w:right w:val="single" w:sz="4" w:space="0" w:color="auto"/>
            </w:tcBorders>
            <w:shd w:val="clear" w:color="000000" w:fill="99CCFF"/>
            <w:hideMark/>
          </w:tcPr>
          <w:p w14:paraId="57B89699"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689,930 </w:t>
            </w:r>
          </w:p>
        </w:tc>
      </w:tr>
      <w:tr w:rsidR="00401E7F" w:rsidRPr="00BF17B0" w14:paraId="51ABCEAF" w14:textId="77777777" w:rsidTr="00382432">
        <w:trPr>
          <w:trHeight w:val="255"/>
        </w:trPr>
        <w:tc>
          <w:tcPr>
            <w:tcW w:w="5861" w:type="dxa"/>
            <w:gridSpan w:val="4"/>
            <w:tcBorders>
              <w:top w:val="single" w:sz="4" w:space="0" w:color="auto"/>
              <w:left w:val="single" w:sz="4" w:space="0" w:color="auto"/>
              <w:bottom w:val="single" w:sz="4" w:space="0" w:color="auto"/>
              <w:right w:val="single" w:sz="4" w:space="0" w:color="000000"/>
            </w:tcBorders>
            <w:shd w:val="clear" w:color="000000" w:fill="99CCFF"/>
            <w:hideMark/>
          </w:tcPr>
          <w:p w14:paraId="5B4BA420" w14:textId="77777777" w:rsidR="00401E7F" w:rsidRPr="00BF17B0" w:rsidRDefault="00401E7F" w:rsidP="00CF7A1A">
            <w:pPr>
              <w:spacing w:after="0"/>
              <w:ind w:firstLine="25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1.2 Enhanced public sector delivery performance</w:t>
            </w:r>
          </w:p>
        </w:tc>
        <w:tc>
          <w:tcPr>
            <w:tcW w:w="1000" w:type="dxa"/>
            <w:tcBorders>
              <w:top w:val="nil"/>
              <w:left w:val="nil"/>
              <w:bottom w:val="single" w:sz="4" w:space="0" w:color="auto"/>
              <w:right w:val="single" w:sz="4" w:space="0" w:color="auto"/>
            </w:tcBorders>
            <w:shd w:val="clear" w:color="000000" w:fill="99CCFF"/>
            <w:hideMark/>
          </w:tcPr>
          <w:p w14:paraId="7FE437F6"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17" w:type="dxa"/>
            <w:tcBorders>
              <w:top w:val="nil"/>
              <w:left w:val="nil"/>
              <w:bottom w:val="single" w:sz="4" w:space="0" w:color="auto"/>
              <w:right w:val="single" w:sz="4" w:space="0" w:color="auto"/>
            </w:tcBorders>
            <w:shd w:val="clear" w:color="000000" w:fill="99CCFF"/>
            <w:hideMark/>
          </w:tcPr>
          <w:p w14:paraId="7143DE7C" w14:textId="77777777" w:rsidR="00401E7F" w:rsidRPr="00BF17B0" w:rsidRDefault="00401E7F" w:rsidP="00CF7A1A">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40" w:type="dxa"/>
            <w:gridSpan w:val="2"/>
            <w:tcBorders>
              <w:top w:val="nil"/>
              <w:left w:val="nil"/>
              <w:bottom w:val="single" w:sz="4" w:space="0" w:color="auto"/>
              <w:right w:val="single" w:sz="4" w:space="0" w:color="auto"/>
            </w:tcBorders>
            <w:shd w:val="clear" w:color="000000" w:fill="99CCFF"/>
            <w:hideMark/>
          </w:tcPr>
          <w:p w14:paraId="53BB40A5"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r>
      <w:tr w:rsidR="00401E7F" w:rsidRPr="00BF17B0" w14:paraId="25A6AAF5"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4724FA1F"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TF014838</w:t>
            </w:r>
          </w:p>
        </w:tc>
        <w:tc>
          <w:tcPr>
            <w:tcW w:w="2879" w:type="dxa"/>
            <w:tcBorders>
              <w:top w:val="nil"/>
              <w:left w:val="nil"/>
              <w:bottom w:val="single" w:sz="4" w:space="0" w:color="auto"/>
              <w:right w:val="single" w:sz="4" w:space="0" w:color="auto"/>
            </w:tcBorders>
            <w:shd w:val="clear" w:color="auto" w:fill="auto"/>
            <w:hideMark/>
          </w:tcPr>
          <w:p w14:paraId="709C5C56" w14:textId="77777777" w:rsidR="00401E7F" w:rsidRPr="00BF17B0" w:rsidRDefault="006364FA"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Flagship</w:t>
            </w:r>
            <w:r w:rsidR="00401E7F" w:rsidRPr="00BF17B0">
              <w:rPr>
                <w:rFonts w:asciiTheme="minorHAnsi" w:eastAsia="Times New Roman" w:hAnsiTheme="minorHAnsi" w:cstheme="minorHAnsi"/>
                <w:sz w:val="20"/>
                <w:szCs w:val="20"/>
                <w:lang w:eastAsia="en-GB"/>
              </w:rPr>
              <w:t xml:space="preserve"> Program/Budget Execution Analysis</w:t>
            </w:r>
          </w:p>
        </w:tc>
        <w:tc>
          <w:tcPr>
            <w:tcW w:w="718" w:type="dxa"/>
            <w:tcBorders>
              <w:top w:val="nil"/>
              <w:left w:val="nil"/>
              <w:bottom w:val="single" w:sz="4" w:space="0" w:color="auto"/>
              <w:right w:val="single" w:sz="4" w:space="0" w:color="auto"/>
            </w:tcBorders>
            <w:shd w:val="clear" w:color="auto" w:fill="auto"/>
            <w:noWrap/>
            <w:hideMark/>
          </w:tcPr>
          <w:p w14:paraId="398F50B8"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4A1877E3"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P145122</w:t>
            </w:r>
          </w:p>
        </w:tc>
        <w:tc>
          <w:tcPr>
            <w:tcW w:w="1000" w:type="dxa"/>
            <w:tcBorders>
              <w:top w:val="nil"/>
              <w:left w:val="nil"/>
              <w:bottom w:val="single" w:sz="4" w:space="0" w:color="auto"/>
              <w:right w:val="single" w:sz="4" w:space="0" w:color="auto"/>
            </w:tcBorders>
            <w:shd w:val="clear" w:color="auto" w:fill="auto"/>
            <w:noWrap/>
            <w:hideMark/>
          </w:tcPr>
          <w:p w14:paraId="27BC1F86"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77122C45" w14:textId="77777777" w:rsidR="00401E7F" w:rsidRPr="00BF17B0" w:rsidRDefault="00401E7F" w:rsidP="00CF7A1A">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523,977 </w:t>
            </w:r>
          </w:p>
        </w:tc>
        <w:tc>
          <w:tcPr>
            <w:tcW w:w="1240" w:type="dxa"/>
            <w:gridSpan w:val="2"/>
            <w:tcBorders>
              <w:top w:val="nil"/>
              <w:left w:val="nil"/>
              <w:bottom w:val="single" w:sz="4" w:space="0" w:color="auto"/>
              <w:right w:val="single" w:sz="4" w:space="0" w:color="auto"/>
            </w:tcBorders>
            <w:shd w:val="clear" w:color="auto" w:fill="auto"/>
            <w:noWrap/>
            <w:hideMark/>
          </w:tcPr>
          <w:p w14:paraId="0F39560B" w14:textId="5141ED4E"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520,155 </w:t>
            </w:r>
          </w:p>
        </w:tc>
      </w:tr>
      <w:tr w:rsidR="00401E7F" w:rsidRPr="00BF17B0" w14:paraId="3A0882F5" w14:textId="77777777" w:rsidTr="00382432">
        <w:trPr>
          <w:trHeight w:val="255"/>
        </w:trPr>
        <w:tc>
          <w:tcPr>
            <w:tcW w:w="1383" w:type="dxa"/>
            <w:tcBorders>
              <w:top w:val="nil"/>
              <w:left w:val="single" w:sz="4" w:space="0" w:color="auto"/>
              <w:bottom w:val="single" w:sz="4" w:space="0" w:color="auto"/>
              <w:right w:val="nil"/>
            </w:tcBorders>
            <w:shd w:val="clear" w:color="000000" w:fill="99CCFF"/>
            <w:hideMark/>
          </w:tcPr>
          <w:p w14:paraId="05F92D02"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Subtotals</w:t>
            </w:r>
          </w:p>
        </w:tc>
        <w:tc>
          <w:tcPr>
            <w:tcW w:w="2879" w:type="dxa"/>
            <w:tcBorders>
              <w:top w:val="nil"/>
              <w:left w:val="nil"/>
              <w:bottom w:val="single" w:sz="4" w:space="0" w:color="auto"/>
              <w:right w:val="nil"/>
            </w:tcBorders>
            <w:shd w:val="clear" w:color="auto" w:fill="auto"/>
            <w:hideMark/>
          </w:tcPr>
          <w:p w14:paraId="43405B73"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718" w:type="dxa"/>
            <w:tcBorders>
              <w:top w:val="nil"/>
              <w:left w:val="nil"/>
              <w:bottom w:val="single" w:sz="4" w:space="0" w:color="auto"/>
              <w:right w:val="nil"/>
            </w:tcBorders>
            <w:shd w:val="clear" w:color="auto" w:fill="auto"/>
            <w:hideMark/>
          </w:tcPr>
          <w:p w14:paraId="17012DAF"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881" w:type="dxa"/>
            <w:tcBorders>
              <w:top w:val="nil"/>
              <w:left w:val="nil"/>
              <w:bottom w:val="single" w:sz="4" w:space="0" w:color="auto"/>
              <w:right w:val="single" w:sz="4" w:space="0" w:color="auto"/>
            </w:tcBorders>
            <w:shd w:val="clear" w:color="auto" w:fill="auto"/>
            <w:hideMark/>
          </w:tcPr>
          <w:p w14:paraId="2342636D"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000" w:type="dxa"/>
            <w:tcBorders>
              <w:top w:val="nil"/>
              <w:left w:val="nil"/>
              <w:bottom w:val="single" w:sz="4" w:space="0" w:color="auto"/>
              <w:right w:val="single" w:sz="4" w:space="0" w:color="auto"/>
            </w:tcBorders>
            <w:shd w:val="clear" w:color="000000" w:fill="99CCFF"/>
            <w:hideMark/>
          </w:tcPr>
          <w:p w14:paraId="44ECFFB3"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17" w:type="dxa"/>
            <w:tcBorders>
              <w:top w:val="nil"/>
              <w:left w:val="nil"/>
              <w:bottom w:val="single" w:sz="4" w:space="0" w:color="auto"/>
              <w:right w:val="single" w:sz="4" w:space="0" w:color="auto"/>
            </w:tcBorders>
            <w:shd w:val="clear" w:color="000000" w:fill="99CCFF"/>
            <w:hideMark/>
          </w:tcPr>
          <w:p w14:paraId="531A4B38" w14:textId="77777777"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523,977 </w:t>
            </w:r>
          </w:p>
        </w:tc>
        <w:tc>
          <w:tcPr>
            <w:tcW w:w="1240" w:type="dxa"/>
            <w:gridSpan w:val="2"/>
            <w:tcBorders>
              <w:top w:val="nil"/>
              <w:left w:val="nil"/>
              <w:bottom w:val="single" w:sz="4" w:space="0" w:color="auto"/>
              <w:right w:val="single" w:sz="4" w:space="0" w:color="auto"/>
            </w:tcBorders>
            <w:shd w:val="clear" w:color="000000" w:fill="99CCFF"/>
            <w:hideMark/>
          </w:tcPr>
          <w:p w14:paraId="32C49157" w14:textId="77777777"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520,155 </w:t>
            </w:r>
          </w:p>
        </w:tc>
      </w:tr>
      <w:tr w:rsidR="00401E7F" w:rsidRPr="00BF17B0" w14:paraId="0738C547" w14:textId="77777777" w:rsidTr="00382432">
        <w:trPr>
          <w:trHeight w:val="255"/>
        </w:trPr>
        <w:tc>
          <w:tcPr>
            <w:tcW w:w="5861" w:type="dxa"/>
            <w:gridSpan w:val="4"/>
            <w:tcBorders>
              <w:top w:val="single" w:sz="4" w:space="0" w:color="auto"/>
              <w:left w:val="single" w:sz="4" w:space="0" w:color="auto"/>
              <w:bottom w:val="single" w:sz="4" w:space="0" w:color="auto"/>
              <w:right w:val="single" w:sz="4" w:space="0" w:color="000000"/>
            </w:tcBorders>
            <w:shd w:val="clear" w:color="000000" w:fill="99CCFF"/>
            <w:hideMark/>
          </w:tcPr>
          <w:p w14:paraId="7394CE5D" w14:textId="77777777" w:rsidR="00401E7F" w:rsidRPr="00BF17B0" w:rsidRDefault="00401E7F" w:rsidP="00635659">
            <w:pPr>
              <w:spacing w:after="0"/>
              <w:ind w:firstLine="25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1.3 Improved public sector accountability and transparency</w:t>
            </w:r>
          </w:p>
        </w:tc>
        <w:tc>
          <w:tcPr>
            <w:tcW w:w="1000" w:type="dxa"/>
            <w:tcBorders>
              <w:top w:val="nil"/>
              <w:left w:val="nil"/>
              <w:bottom w:val="single" w:sz="4" w:space="0" w:color="auto"/>
              <w:right w:val="single" w:sz="4" w:space="0" w:color="auto"/>
            </w:tcBorders>
            <w:shd w:val="clear" w:color="000000" w:fill="99CCFF"/>
            <w:hideMark/>
          </w:tcPr>
          <w:p w14:paraId="2EBDAC10"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17" w:type="dxa"/>
            <w:tcBorders>
              <w:top w:val="nil"/>
              <w:left w:val="nil"/>
              <w:bottom w:val="single" w:sz="4" w:space="0" w:color="auto"/>
              <w:right w:val="single" w:sz="4" w:space="0" w:color="auto"/>
            </w:tcBorders>
            <w:shd w:val="clear" w:color="000000" w:fill="99CCFF"/>
            <w:hideMark/>
          </w:tcPr>
          <w:p w14:paraId="3D7EB967" w14:textId="77777777"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40" w:type="dxa"/>
            <w:gridSpan w:val="2"/>
            <w:tcBorders>
              <w:top w:val="nil"/>
              <w:left w:val="nil"/>
              <w:bottom w:val="single" w:sz="4" w:space="0" w:color="auto"/>
              <w:right w:val="single" w:sz="4" w:space="0" w:color="auto"/>
            </w:tcBorders>
            <w:shd w:val="clear" w:color="000000" w:fill="99CCFF"/>
            <w:hideMark/>
          </w:tcPr>
          <w:p w14:paraId="419B8B38"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r>
      <w:tr w:rsidR="00401E7F" w:rsidRPr="00BF17B0" w14:paraId="15E15927"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27F4F7C8"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TF014936</w:t>
            </w:r>
          </w:p>
        </w:tc>
        <w:tc>
          <w:tcPr>
            <w:tcW w:w="2879" w:type="dxa"/>
            <w:tcBorders>
              <w:top w:val="nil"/>
              <w:left w:val="nil"/>
              <w:bottom w:val="single" w:sz="4" w:space="0" w:color="auto"/>
              <w:right w:val="single" w:sz="4" w:space="0" w:color="auto"/>
            </w:tcBorders>
            <w:shd w:val="clear" w:color="auto" w:fill="auto"/>
            <w:hideMark/>
          </w:tcPr>
          <w:p w14:paraId="7BD275F7"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Philippines PFM Action Plan Implementation Support</w:t>
            </w:r>
          </w:p>
        </w:tc>
        <w:tc>
          <w:tcPr>
            <w:tcW w:w="718" w:type="dxa"/>
            <w:tcBorders>
              <w:top w:val="nil"/>
              <w:left w:val="nil"/>
              <w:bottom w:val="single" w:sz="4" w:space="0" w:color="auto"/>
              <w:right w:val="single" w:sz="4" w:space="0" w:color="auto"/>
            </w:tcBorders>
            <w:shd w:val="clear" w:color="auto" w:fill="auto"/>
            <w:noWrap/>
            <w:hideMark/>
          </w:tcPr>
          <w:p w14:paraId="54047B6A"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4AFF86EC"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P145123</w:t>
            </w:r>
          </w:p>
        </w:tc>
        <w:tc>
          <w:tcPr>
            <w:tcW w:w="1000" w:type="dxa"/>
            <w:tcBorders>
              <w:top w:val="nil"/>
              <w:left w:val="nil"/>
              <w:bottom w:val="single" w:sz="4" w:space="0" w:color="auto"/>
              <w:right w:val="single" w:sz="4" w:space="0" w:color="auto"/>
            </w:tcBorders>
            <w:shd w:val="clear" w:color="auto" w:fill="auto"/>
            <w:noWrap/>
            <w:hideMark/>
          </w:tcPr>
          <w:p w14:paraId="47E7D769"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243FC285" w14:textId="77777777"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707,971 </w:t>
            </w:r>
          </w:p>
        </w:tc>
        <w:tc>
          <w:tcPr>
            <w:tcW w:w="1240" w:type="dxa"/>
            <w:gridSpan w:val="2"/>
            <w:tcBorders>
              <w:top w:val="nil"/>
              <w:left w:val="nil"/>
              <w:bottom w:val="single" w:sz="4" w:space="0" w:color="auto"/>
              <w:right w:val="single" w:sz="4" w:space="0" w:color="auto"/>
            </w:tcBorders>
            <w:shd w:val="clear" w:color="auto" w:fill="auto"/>
            <w:noWrap/>
            <w:hideMark/>
          </w:tcPr>
          <w:p w14:paraId="3D1626F5" w14:textId="6588CC3F"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707,032 </w:t>
            </w:r>
          </w:p>
        </w:tc>
      </w:tr>
      <w:tr w:rsidR="00401E7F" w:rsidRPr="00BF17B0" w14:paraId="00A51F93"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0125DFF9"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TF096219</w:t>
            </w:r>
          </w:p>
        </w:tc>
        <w:tc>
          <w:tcPr>
            <w:tcW w:w="2879" w:type="dxa"/>
            <w:tcBorders>
              <w:top w:val="nil"/>
              <w:left w:val="nil"/>
              <w:bottom w:val="single" w:sz="4" w:space="0" w:color="auto"/>
              <w:right w:val="single" w:sz="4" w:space="0" w:color="auto"/>
            </w:tcBorders>
            <w:shd w:val="clear" w:color="auto" w:fill="auto"/>
            <w:hideMark/>
          </w:tcPr>
          <w:p w14:paraId="250E0CC7"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Agency PFM Benchmarking Assessment</w:t>
            </w:r>
          </w:p>
        </w:tc>
        <w:tc>
          <w:tcPr>
            <w:tcW w:w="718" w:type="dxa"/>
            <w:tcBorders>
              <w:top w:val="nil"/>
              <w:left w:val="nil"/>
              <w:bottom w:val="single" w:sz="4" w:space="0" w:color="auto"/>
              <w:right w:val="single" w:sz="4" w:space="0" w:color="auto"/>
            </w:tcBorders>
            <w:shd w:val="clear" w:color="auto" w:fill="auto"/>
            <w:noWrap/>
            <w:hideMark/>
          </w:tcPr>
          <w:p w14:paraId="270D0669"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39BBC080"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P117605</w:t>
            </w:r>
          </w:p>
        </w:tc>
        <w:tc>
          <w:tcPr>
            <w:tcW w:w="1000" w:type="dxa"/>
            <w:tcBorders>
              <w:top w:val="nil"/>
              <w:left w:val="nil"/>
              <w:bottom w:val="single" w:sz="4" w:space="0" w:color="auto"/>
              <w:right w:val="single" w:sz="4" w:space="0" w:color="auto"/>
            </w:tcBorders>
            <w:shd w:val="clear" w:color="auto" w:fill="auto"/>
            <w:noWrap/>
            <w:hideMark/>
          </w:tcPr>
          <w:p w14:paraId="72D4C23B"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672C3DC7" w14:textId="77777777"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370,000 </w:t>
            </w:r>
          </w:p>
        </w:tc>
        <w:tc>
          <w:tcPr>
            <w:tcW w:w="1240" w:type="dxa"/>
            <w:gridSpan w:val="2"/>
            <w:tcBorders>
              <w:top w:val="nil"/>
              <w:left w:val="nil"/>
              <w:bottom w:val="single" w:sz="4" w:space="0" w:color="auto"/>
              <w:right w:val="single" w:sz="4" w:space="0" w:color="auto"/>
            </w:tcBorders>
            <w:shd w:val="clear" w:color="auto" w:fill="auto"/>
            <w:noWrap/>
            <w:hideMark/>
          </w:tcPr>
          <w:p w14:paraId="274AEE4F" w14:textId="30946D74"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364,174 </w:t>
            </w:r>
          </w:p>
        </w:tc>
      </w:tr>
      <w:tr w:rsidR="00401E7F" w:rsidRPr="00BF17B0" w14:paraId="35C4F2B4"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59B8F9D5"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TF014837</w:t>
            </w:r>
          </w:p>
        </w:tc>
        <w:tc>
          <w:tcPr>
            <w:tcW w:w="2879" w:type="dxa"/>
            <w:tcBorders>
              <w:top w:val="nil"/>
              <w:left w:val="nil"/>
              <w:bottom w:val="single" w:sz="4" w:space="0" w:color="auto"/>
              <w:right w:val="single" w:sz="4" w:space="0" w:color="auto"/>
            </w:tcBorders>
            <w:shd w:val="clear" w:color="auto" w:fill="auto"/>
            <w:hideMark/>
          </w:tcPr>
          <w:p w14:paraId="28553966"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Philippines Strengthening Bureaucratic Performance</w:t>
            </w:r>
          </w:p>
        </w:tc>
        <w:tc>
          <w:tcPr>
            <w:tcW w:w="718" w:type="dxa"/>
            <w:tcBorders>
              <w:top w:val="nil"/>
              <w:left w:val="nil"/>
              <w:bottom w:val="single" w:sz="4" w:space="0" w:color="auto"/>
              <w:right w:val="single" w:sz="4" w:space="0" w:color="auto"/>
            </w:tcBorders>
            <w:shd w:val="clear" w:color="auto" w:fill="auto"/>
            <w:noWrap/>
            <w:hideMark/>
          </w:tcPr>
          <w:p w14:paraId="6887B4E6"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3933DA42"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P144558</w:t>
            </w:r>
          </w:p>
        </w:tc>
        <w:tc>
          <w:tcPr>
            <w:tcW w:w="1000" w:type="dxa"/>
            <w:tcBorders>
              <w:top w:val="nil"/>
              <w:left w:val="nil"/>
              <w:bottom w:val="single" w:sz="4" w:space="0" w:color="auto"/>
              <w:right w:val="single" w:sz="4" w:space="0" w:color="auto"/>
            </w:tcBorders>
            <w:shd w:val="clear" w:color="auto" w:fill="auto"/>
            <w:noWrap/>
            <w:hideMark/>
          </w:tcPr>
          <w:p w14:paraId="1548F5BD"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2B080C62" w14:textId="77777777"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200,000 </w:t>
            </w:r>
          </w:p>
        </w:tc>
        <w:tc>
          <w:tcPr>
            <w:tcW w:w="1240" w:type="dxa"/>
            <w:gridSpan w:val="2"/>
            <w:tcBorders>
              <w:top w:val="nil"/>
              <w:left w:val="nil"/>
              <w:bottom w:val="single" w:sz="4" w:space="0" w:color="auto"/>
              <w:right w:val="single" w:sz="4" w:space="0" w:color="auto"/>
            </w:tcBorders>
            <w:shd w:val="clear" w:color="auto" w:fill="auto"/>
            <w:noWrap/>
            <w:hideMark/>
          </w:tcPr>
          <w:p w14:paraId="6ECFD255" w14:textId="7BD32B4B"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192,770 </w:t>
            </w:r>
          </w:p>
        </w:tc>
      </w:tr>
      <w:tr w:rsidR="00401E7F" w:rsidRPr="00BF17B0" w14:paraId="6696749E"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5F9FA58D"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TF099527</w:t>
            </w:r>
          </w:p>
        </w:tc>
        <w:tc>
          <w:tcPr>
            <w:tcW w:w="2879" w:type="dxa"/>
            <w:tcBorders>
              <w:top w:val="nil"/>
              <w:left w:val="nil"/>
              <w:bottom w:val="single" w:sz="4" w:space="0" w:color="auto"/>
              <w:right w:val="single" w:sz="4" w:space="0" w:color="auto"/>
            </w:tcBorders>
            <w:shd w:val="clear" w:color="auto" w:fill="auto"/>
            <w:hideMark/>
          </w:tcPr>
          <w:p w14:paraId="0A9EFAFA"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Public Revenue and Expenditure Review</w:t>
            </w:r>
          </w:p>
        </w:tc>
        <w:tc>
          <w:tcPr>
            <w:tcW w:w="718" w:type="dxa"/>
            <w:tcBorders>
              <w:top w:val="nil"/>
              <w:left w:val="nil"/>
              <w:bottom w:val="single" w:sz="4" w:space="0" w:color="auto"/>
              <w:right w:val="single" w:sz="4" w:space="0" w:color="auto"/>
            </w:tcBorders>
            <w:shd w:val="clear" w:color="auto" w:fill="auto"/>
            <w:noWrap/>
            <w:hideMark/>
          </w:tcPr>
          <w:p w14:paraId="100EF9C0"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299005AE"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P122574</w:t>
            </w:r>
          </w:p>
        </w:tc>
        <w:tc>
          <w:tcPr>
            <w:tcW w:w="1000" w:type="dxa"/>
            <w:tcBorders>
              <w:top w:val="nil"/>
              <w:left w:val="nil"/>
              <w:bottom w:val="single" w:sz="4" w:space="0" w:color="auto"/>
              <w:right w:val="single" w:sz="4" w:space="0" w:color="auto"/>
            </w:tcBorders>
            <w:shd w:val="clear" w:color="auto" w:fill="auto"/>
            <w:noWrap/>
            <w:hideMark/>
          </w:tcPr>
          <w:p w14:paraId="1536B044"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6E14E230" w14:textId="77777777"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200,000 </w:t>
            </w:r>
          </w:p>
        </w:tc>
        <w:tc>
          <w:tcPr>
            <w:tcW w:w="1240" w:type="dxa"/>
            <w:gridSpan w:val="2"/>
            <w:tcBorders>
              <w:top w:val="nil"/>
              <w:left w:val="nil"/>
              <w:bottom w:val="single" w:sz="4" w:space="0" w:color="auto"/>
              <w:right w:val="single" w:sz="4" w:space="0" w:color="auto"/>
            </w:tcBorders>
            <w:shd w:val="clear" w:color="auto" w:fill="auto"/>
            <w:noWrap/>
            <w:hideMark/>
          </w:tcPr>
          <w:p w14:paraId="32364233" w14:textId="4232462E"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199,583 </w:t>
            </w:r>
          </w:p>
        </w:tc>
      </w:tr>
      <w:tr w:rsidR="00401E7F" w:rsidRPr="00BF17B0" w14:paraId="60C4E5A6" w14:textId="77777777" w:rsidTr="00382432">
        <w:trPr>
          <w:trHeight w:val="510"/>
        </w:trPr>
        <w:tc>
          <w:tcPr>
            <w:tcW w:w="1383" w:type="dxa"/>
            <w:tcBorders>
              <w:top w:val="nil"/>
              <w:left w:val="single" w:sz="4" w:space="0" w:color="auto"/>
              <w:bottom w:val="single" w:sz="4" w:space="0" w:color="auto"/>
              <w:right w:val="single" w:sz="4" w:space="0" w:color="auto"/>
            </w:tcBorders>
            <w:shd w:val="clear" w:color="auto" w:fill="auto"/>
            <w:noWrap/>
            <w:hideMark/>
          </w:tcPr>
          <w:p w14:paraId="3504C64A"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TF014836</w:t>
            </w:r>
          </w:p>
        </w:tc>
        <w:tc>
          <w:tcPr>
            <w:tcW w:w="2879" w:type="dxa"/>
            <w:tcBorders>
              <w:top w:val="nil"/>
              <w:left w:val="nil"/>
              <w:bottom w:val="single" w:sz="4" w:space="0" w:color="auto"/>
              <w:right w:val="single" w:sz="4" w:space="0" w:color="auto"/>
            </w:tcBorders>
            <w:shd w:val="clear" w:color="auto" w:fill="auto"/>
            <w:hideMark/>
          </w:tcPr>
          <w:p w14:paraId="1337C626"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ARMM Public Expenditure &amp; Institutional Review (PEIR) for Education</w:t>
            </w:r>
          </w:p>
        </w:tc>
        <w:tc>
          <w:tcPr>
            <w:tcW w:w="718" w:type="dxa"/>
            <w:tcBorders>
              <w:top w:val="nil"/>
              <w:left w:val="nil"/>
              <w:bottom w:val="single" w:sz="4" w:space="0" w:color="auto"/>
              <w:right w:val="single" w:sz="4" w:space="0" w:color="auto"/>
            </w:tcBorders>
            <w:shd w:val="clear" w:color="auto" w:fill="auto"/>
            <w:noWrap/>
            <w:hideMark/>
          </w:tcPr>
          <w:p w14:paraId="5DB95B4C"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2AF054FE"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P144796</w:t>
            </w:r>
          </w:p>
        </w:tc>
        <w:tc>
          <w:tcPr>
            <w:tcW w:w="1000" w:type="dxa"/>
            <w:tcBorders>
              <w:top w:val="nil"/>
              <w:left w:val="nil"/>
              <w:bottom w:val="single" w:sz="4" w:space="0" w:color="auto"/>
              <w:right w:val="single" w:sz="4" w:space="0" w:color="auto"/>
            </w:tcBorders>
            <w:shd w:val="clear" w:color="auto" w:fill="auto"/>
            <w:noWrap/>
            <w:hideMark/>
          </w:tcPr>
          <w:p w14:paraId="60F95AB4"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5919A1B4" w14:textId="77777777"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150,000 </w:t>
            </w:r>
          </w:p>
        </w:tc>
        <w:tc>
          <w:tcPr>
            <w:tcW w:w="1240" w:type="dxa"/>
            <w:gridSpan w:val="2"/>
            <w:tcBorders>
              <w:top w:val="nil"/>
              <w:left w:val="nil"/>
              <w:bottom w:val="single" w:sz="4" w:space="0" w:color="auto"/>
              <w:right w:val="single" w:sz="4" w:space="0" w:color="auto"/>
            </w:tcBorders>
            <w:shd w:val="clear" w:color="auto" w:fill="auto"/>
            <w:noWrap/>
            <w:hideMark/>
          </w:tcPr>
          <w:p w14:paraId="475D48F6" w14:textId="3091EFEE"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136,265 </w:t>
            </w:r>
          </w:p>
        </w:tc>
      </w:tr>
      <w:tr w:rsidR="00401E7F" w:rsidRPr="00BF17B0" w14:paraId="62385246"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7CAAFACD"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TF096272</w:t>
            </w:r>
          </w:p>
        </w:tc>
        <w:tc>
          <w:tcPr>
            <w:tcW w:w="2879" w:type="dxa"/>
            <w:tcBorders>
              <w:top w:val="nil"/>
              <w:left w:val="nil"/>
              <w:bottom w:val="single" w:sz="4" w:space="0" w:color="auto"/>
              <w:right w:val="single" w:sz="4" w:space="0" w:color="auto"/>
            </w:tcBorders>
            <w:shd w:val="clear" w:color="auto" w:fill="auto"/>
            <w:hideMark/>
          </w:tcPr>
          <w:p w14:paraId="46648116"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PUBLIC EXPENDITURE REVIEW</w:t>
            </w:r>
          </w:p>
        </w:tc>
        <w:tc>
          <w:tcPr>
            <w:tcW w:w="718" w:type="dxa"/>
            <w:tcBorders>
              <w:top w:val="nil"/>
              <w:left w:val="nil"/>
              <w:bottom w:val="single" w:sz="4" w:space="0" w:color="auto"/>
              <w:right w:val="single" w:sz="4" w:space="0" w:color="auto"/>
            </w:tcBorders>
            <w:shd w:val="clear" w:color="auto" w:fill="auto"/>
            <w:noWrap/>
            <w:hideMark/>
          </w:tcPr>
          <w:p w14:paraId="18B8F127"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0A081593"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P118517</w:t>
            </w:r>
          </w:p>
        </w:tc>
        <w:tc>
          <w:tcPr>
            <w:tcW w:w="1000" w:type="dxa"/>
            <w:tcBorders>
              <w:top w:val="nil"/>
              <w:left w:val="nil"/>
              <w:bottom w:val="single" w:sz="4" w:space="0" w:color="auto"/>
              <w:right w:val="single" w:sz="4" w:space="0" w:color="auto"/>
            </w:tcBorders>
            <w:shd w:val="clear" w:color="auto" w:fill="auto"/>
            <w:noWrap/>
            <w:hideMark/>
          </w:tcPr>
          <w:p w14:paraId="733068EA"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2335C1E9" w14:textId="77777777"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90,000 </w:t>
            </w:r>
          </w:p>
        </w:tc>
        <w:tc>
          <w:tcPr>
            <w:tcW w:w="1240" w:type="dxa"/>
            <w:gridSpan w:val="2"/>
            <w:tcBorders>
              <w:top w:val="nil"/>
              <w:left w:val="nil"/>
              <w:bottom w:val="single" w:sz="4" w:space="0" w:color="auto"/>
              <w:right w:val="single" w:sz="4" w:space="0" w:color="auto"/>
            </w:tcBorders>
            <w:shd w:val="clear" w:color="auto" w:fill="auto"/>
            <w:noWrap/>
            <w:hideMark/>
          </w:tcPr>
          <w:p w14:paraId="605CC682" w14:textId="5F77C0BB"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83,578 </w:t>
            </w:r>
          </w:p>
        </w:tc>
      </w:tr>
      <w:tr w:rsidR="00401E7F" w:rsidRPr="00BF17B0" w14:paraId="5D968326" w14:textId="77777777" w:rsidTr="00382432">
        <w:trPr>
          <w:trHeight w:val="510"/>
        </w:trPr>
        <w:tc>
          <w:tcPr>
            <w:tcW w:w="1383" w:type="dxa"/>
            <w:tcBorders>
              <w:top w:val="nil"/>
              <w:left w:val="single" w:sz="4" w:space="0" w:color="auto"/>
              <w:bottom w:val="single" w:sz="4" w:space="0" w:color="auto"/>
              <w:right w:val="single" w:sz="4" w:space="0" w:color="auto"/>
            </w:tcBorders>
            <w:shd w:val="clear" w:color="auto" w:fill="auto"/>
            <w:noWrap/>
            <w:hideMark/>
          </w:tcPr>
          <w:p w14:paraId="25B93A99"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TF099774</w:t>
            </w:r>
          </w:p>
        </w:tc>
        <w:tc>
          <w:tcPr>
            <w:tcW w:w="2879" w:type="dxa"/>
            <w:tcBorders>
              <w:top w:val="nil"/>
              <w:left w:val="nil"/>
              <w:bottom w:val="single" w:sz="4" w:space="0" w:color="auto"/>
              <w:right w:val="single" w:sz="4" w:space="0" w:color="auto"/>
            </w:tcBorders>
            <w:shd w:val="clear" w:color="auto" w:fill="auto"/>
            <w:hideMark/>
          </w:tcPr>
          <w:p w14:paraId="4E09BA07"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Government Integrated Financial Management Information System (GIFMIS) Learning Activities</w:t>
            </w:r>
          </w:p>
        </w:tc>
        <w:tc>
          <w:tcPr>
            <w:tcW w:w="718" w:type="dxa"/>
            <w:tcBorders>
              <w:top w:val="nil"/>
              <w:left w:val="nil"/>
              <w:bottom w:val="single" w:sz="4" w:space="0" w:color="auto"/>
              <w:right w:val="single" w:sz="4" w:space="0" w:color="auto"/>
            </w:tcBorders>
            <w:shd w:val="clear" w:color="auto" w:fill="auto"/>
            <w:noWrap/>
            <w:hideMark/>
          </w:tcPr>
          <w:p w14:paraId="66326C17"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3769AE7C"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P117605</w:t>
            </w:r>
          </w:p>
        </w:tc>
        <w:tc>
          <w:tcPr>
            <w:tcW w:w="1000" w:type="dxa"/>
            <w:tcBorders>
              <w:top w:val="nil"/>
              <w:left w:val="nil"/>
              <w:bottom w:val="single" w:sz="4" w:space="0" w:color="auto"/>
              <w:right w:val="single" w:sz="4" w:space="0" w:color="auto"/>
            </w:tcBorders>
            <w:shd w:val="clear" w:color="auto" w:fill="auto"/>
            <w:noWrap/>
            <w:hideMark/>
          </w:tcPr>
          <w:p w14:paraId="6C5795BF"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7718C442" w14:textId="77777777"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99,963 </w:t>
            </w:r>
          </w:p>
        </w:tc>
        <w:tc>
          <w:tcPr>
            <w:tcW w:w="1240" w:type="dxa"/>
            <w:gridSpan w:val="2"/>
            <w:tcBorders>
              <w:top w:val="nil"/>
              <w:left w:val="nil"/>
              <w:bottom w:val="single" w:sz="4" w:space="0" w:color="auto"/>
              <w:right w:val="single" w:sz="4" w:space="0" w:color="auto"/>
            </w:tcBorders>
            <w:shd w:val="clear" w:color="auto" w:fill="auto"/>
            <w:noWrap/>
            <w:hideMark/>
          </w:tcPr>
          <w:p w14:paraId="0C2E0C32" w14:textId="29FFA84A"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88,842 </w:t>
            </w:r>
          </w:p>
        </w:tc>
      </w:tr>
      <w:tr w:rsidR="00401E7F" w:rsidRPr="00BF17B0" w14:paraId="60D8CFC6"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7232305A"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TF015030</w:t>
            </w:r>
          </w:p>
        </w:tc>
        <w:tc>
          <w:tcPr>
            <w:tcW w:w="2879" w:type="dxa"/>
            <w:tcBorders>
              <w:top w:val="nil"/>
              <w:left w:val="nil"/>
              <w:bottom w:val="single" w:sz="4" w:space="0" w:color="auto"/>
              <w:right w:val="single" w:sz="4" w:space="0" w:color="auto"/>
            </w:tcBorders>
            <w:shd w:val="clear" w:color="auto" w:fill="auto"/>
            <w:hideMark/>
          </w:tcPr>
          <w:p w14:paraId="648D45E9" w14:textId="77777777" w:rsidR="00401E7F"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eGovernment Transformation</w:t>
            </w:r>
          </w:p>
          <w:p w14:paraId="0A75EDF3" w14:textId="65074FCD" w:rsidR="006B1779" w:rsidRPr="00BF17B0" w:rsidRDefault="006B1779" w:rsidP="00D373B0">
            <w:pPr>
              <w:spacing w:after="0"/>
              <w:rPr>
                <w:rFonts w:asciiTheme="minorHAnsi" w:eastAsia="Times New Roman" w:hAnsiTheme="minorHAnsi" w:cstheme="minorHAnsi"/>
                <w:sz w:val="20"/>
                <w:szCs w:val="20"/>
                <w:lang w:eastAsia="en-GB"/>
              </w:rPr>
            </w:pPr>
          </w:p>
        </w:tc>
        <w:tc>
          <w:tcPr>
            <w:tcW w:w="718" w:type="dxa"/>
            <w:tcBorders>
              <w:top w:val="nil"/>
              <w:left w:val="nil"/>
              <w:bottom w:val="single" w:sz="4" w:space="0" w:color="auto"/>
              <w:right w:val="single" w:sz="4" w:space="0" w:color="auto"/>
            </w:tcBorders>
            <w:shd w:val="clear" w:color="auto" w:fill="auto"/>
            <w:noWrap/>
            <w:hideMark/>
          </w:tcPr>
          <w:p w14:paraId="6936437D"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61C805CC"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P145127</w:t>
            </w:r>
          </w:p>
        </w:tc>
        <w:tc>
          <w:tcPr>
            <w:tcW w:w="1000" w:type="dxa"/>
            <w:tcBorders>
              <w:top w:val="nil"/>
              <w:left w:val="nil"/>
              <w:bottom w:val="single" w:sz="4" w:space="0" w:color="auto"/>
              <w:right w:val="single" w:sz="4" w:space="0" w:color="auto"/>
            </w:tcBorders>
            <w:shd w:val="clear" w:color="auto" w:fill="auto"/>
            <w:noWrap/>
            <w:hideMark/>
          </w:tcPr>
          <w:p w14:paraId="519358D2"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1CC357D8" w14:textId="77777777"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325,000 </w:t>
            </w:r>
          </w:p>
        </w:tc>
        <w:tc>
          <w:tcPr>
            <w:tcW w:w="1240" w:type="dxa"/>
            <w:gridSpan w:val="2"/>
            <w:tcBorders>
              <w:top w:val="nil"/>
              <w:left w:val="nil"/>
              <w:bottom w:val="single" w:sz="4" w:space="0" w:color="auto"/>
              <w:right w:val="single" w:sz="4" w:space="0" w:color="auto"/>
            </w:tcBorders>
            <w:shd w:val="clear" w:color="auto" w:fill="auto"/>
            <w:noWrap/>
            <w:hideMark/>
          </w:tcPr>
          <w:p w14:paraId="0D0DADFF" w14:textId="100CF09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320,279 </w:t>
            </w:r>
          </w:p>
        </w:tc>
      </w:tr>
      <w:tr w:rsidR="00401E7F" w:rsidRPr="00BF17B0" w14:paraId="2E12359B"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78A7CB59"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TF018948</w:t>
            </w:r>
          </w:p>
        </w:tc>
        <w:tc>
          <w:tcPr>
            <w:tcW w:w="2879" w:type="dxa"/>
            <w:tcBorders>
              <w:top w:val="nil"/>
              <w:left w:val="nil"/>
              <w:bottom w:val="single" w:sz="4" w:space="0" w:color="auto"/>
              <w:right w:val="single" w:sz="4" w:space="0" w:color="auto"/>
            </w:tcBorders>
            <w:shd w:val="clear" w:color="auto" w:fill="auto"/>
            <w:hideMark/>
          </w:tcPr>
          <w:p w14:paraId="05E95FA7" w14:textId="77777777" w:rsidR="00401E7F"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Philippines Open Government Phase II</w:t>
            </w:r>
          </w:p>
          <w:p w14:paraId="58310F2A" w14:textId="0925B04E" w:rsidR="006B1779" w:rsidRPr="00BF17B0" w:rsidRDefault="006B1779" w:rsidP="00D373B0">
            <w:pPr>
              <w:spacing w:after="0"/>
              <w:rPr>
                <w:rFonts w:asciiTheme="minorHAnsi" w:eastAsia="Times New Roman" w:hAnsiTheme="minorHAnsi" w:cstheme="minorHAnsi"/>
                <w:sz w:val="20"/>
                <w:szCs w:val="20"/>
                <w:lang w:eastAsia="en-GB"/>
              </w:rPr>
            </w:pPr>
          </w:p>
        </w:tc>
        <w:tc>
          <w:tcPr>
            <w:tcW w:w="718" w:type="dxa"/>
            <w:tcBorders>
              <w:top w:val="nil"/>
              <w:left w:val="nil"/>
              <w:bottom w:val="single" w:sz="4" w:space="0" w:color="auto"/>
              <w:right w:val="single" w:sz="4" w:space="0" w:color="auto"/>
            </w:tcBorders>
            <w:shd w:val="clear" w:color="auto" w:fill="auto"/>
            <w:noWrap/>
            <w:hideMark/>
          </w:tcPr>
          <w:p w14:paraId="6D1FA595"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72203179"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P154297</w:t>
            </w:r>
          </w:p>
        </w:tc>
        <w:tc>
          <w:tcPr>
            <w:tcW w:w="1000" w:type="dxa"/>
            <w:tcBorders>
              <w:top w:val="nil"/>
              <w:left w:val="nil"/>
              <w:bottom w:val="single" w:sz="4" w:space="0" w:color="auto"/>
              <w:right w:val="single" w:sz="4" w:space="0" w:color="auto"/>
            </w:tcBorders>
            <w:shd w:val="clear" w:color="auto" w:fill="auto"/>
            <w:noWrap/>
            <w:hideMark/>
          </w:tcPr>
          <w:p w14:paraId="5816E1F9"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00E7E068" w14:textId="77777777"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1,251,092 </w:t>
            </w:r>
          </w:p>
        </w:tc>
        <w:tc>
          <w:tcPr>
            <w:tcW w:w="1240" w:type="dxa"/>
            <w:gridSpan w:val="2"/>
            <w:tcBorders>
              <w:top w:val="nil"/>
              <w:left w:val="nil"/>
              <w:bottom w:val="single" w:sz="4" w:space="0" w:color="auto"/>
              <w:right w:val="single" w:sz="4" w:space="0" w:color="auto"/>
            </w:tcBorders>
            <w:shd w:val="clear" w:color="auto" w:fill="auto"/>
            <w:noWrap/>
            <w:hideMark/>
          </w:tcPr>
          <w:p w14:paraId="5A98AC2E" w14:textId="3E2B6044"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1,179,108 </w:t>
            </w:r>
          </w:p>
        </w:tc>
      </w:tr>
      <w:tr w:rsidR="00401E7F" w:rsidRPr="00BF17B0" w14:paraId="51F9810C"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0B9F58E6"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TF0A1358</w:t>
            </w:r>
          </w:p>
        </w:tc>
        <w:tc>
          <w:tcPr>
            <w:tcW w:w="2879" w:type="dxa"/>
            <w:tcBorders>
              <w:top w:val="nil"/>
              <w:left w:val="nil"/>
              <w:bottom w:val="single" w:sz="4" w:space="0" w:color="auto"/>
              <w:right w:val="single" w:sz="4" w:space="0" w:color="auto"/>
            </w:tcBorders>
            <w:shd w:val="clear" w:color="auto" w:fill="auto"/>
            <w:hideMark/>
          </w:tcPr>
          <w:p w14:paraId="3B5D662D" w14:textId="77777777" w:rsidR="00401E7F"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Philippines Program for Good Governance</w:t>
            </w:r>
          </w:p>
          <w:p w14:paraId="7B221E02" w14:textId="33CC3015" w:rsidR="006B1779" w:rsidRPr="00BF17B0" w:rsidRDefault="006B1779" w:rsidP="00D373B0">
            <w:pPr>
              <w:spacing w:after="0"/>
              <w:rPr>
                <w:rFonts w:asciiTheme="minorHAnsi" w:eastAsia="Times New Roman" w:hAnsiTheme="minorHAnsi" w:cstheme="minorHAnsi"/>
                <w:sz w:val="20"/>
                <w:szCs w:val="20"/>
                <w:lang w:eastAsia="en-GB"/>
              </w:rPr>
            </w:pPr>
          </w:p>
        </w:tc>
        <w:tc>
          <w:tcPr>
            <w:tcW w:w="718" w:type="dxa"/>
            <w:tcBorders>
              <w:top w:val="nil"/>
              <w:left w:val="nil"/>
              <w:bottom w:val="single" w:sz="4" w:space="0" w:color="auto"/>
              <w:right w:val="single" w:sz="4" w:space="0" w:color="auto"/>
            </w:tcBorders>
            <w:shd w:val="clear" w:color="auto" w:fill="auto"/>
            <w:noWrap/>
            <w:hideMark/>
          </w:tcPr>
          <w:p w14:paraId="66E6243E"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26093F8F"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P154860</w:t>
            </w:r>
          </w:p>
        </w:tc>
        <w:tc>
          <w:tcPr>
            <w:tcW w:w="1000" w:type="dxa"/>
            <w:tcBorders>
              <w:top w:val="nil"/>
              <w:left w:val="nil"/>
              <w:bottom w:val="single" w:sz="4" w:space="0" w:color="auto"/>
              <w:right w:val="single" w:sz="4" w:space="0" w:color="auto"/>
            </w:tcBorders>
            <w:shd w:val="clear" w:color="auto" w:fill="auto"/>
            <w:noWrap/>
            <w:hideMark/>
          </w:tcPr>
          <w:p w14:paraId="4BD80D0B"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3A792C66" w14:textId="77777777"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1,047,585 </w:t>
            </w:r>
          </w:p>
        </w:tc>
        <w:tc>
          <w:tcPr>
            <w:tcW w:w="1240" w:type="dxa"/>
            <w:gridSpan w:val="2"/>
            <w:tcBorders>
              <w:top w:val="nil"/>
              <w:left w:val="nil"/>
              <w:bottom w:val="single" w:sz="4" w:space="0" w:color="auto"/>
              <w:right w:val="single" w:sz="4" w:space="0" w:color="auto"/>
            </w:tcBorders>
            <w:shd w:val="clear" w:color="auto" w:fill="auto"/>
            <w:noWrap/>
            <w:hideMark/>
          </w:tcPr>
          <w:p w14:paraId="55A910E2" w14:textId="55017B9F"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919,500 </w:t>
            </w:r>
          </w:p>
        </w:tc>
      </w:tr>
      <w:tr w:rsidR="00401E7F" w:rsidRPr="00BF17B0" w14:paraId="061A2B55" w14:textId="77777777" w:rsidTr="00382432">
        <w:trPr>
          <w:trHeight w:val="255"/>
        </w:trPr>
        <w:tc>
          <w:tcPr>
            <w:tcW w:w="1383" w:type="dxa"/>
            <w:tcBorders>
              <w:top w:val="nil"/>
              <w:left w:val="single" w:sz="4" w:space="0" w:color="auto"/>
              <w:bottom w:val="single" w:sz="4" w:space="0" w:color="auto"/>
              <w:right w:val="nil"/>
            </w:tcBorders>
            <w:shd w:val="clear" w:color="000000" w:fill="99CCFF"/>
            <w:hideMark/>
          </w:tcPr>
          <w:p w14:paraId="6BD8861E"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Subtotals</w:t>
            </w:r>
          </w:p>
        </w:tc>
        <w:tc>
          <w:tcPr>
            <w:tcW w:w="2879" w:type="dxa"/>
            <w:tcBorders>
              <w:top w:val="nil"/>
              <w:left w:val="nil"/>
              <w:bottom w:val="single" w:sz="4" w:space="0" w:color="auto"/>
              <w:right w:val="nil"/>
            </w:tcBorders>
            <w:shd w:val="clear" w:color="auto" w:fill="auto"/>
            <w:hideMark/>
          </w:tcPr>
          <w:p w14:paraId="6C9E2827"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718" w:type="dxa"/>
            <w:tcBorders>
              <w:top w:val="nil"/>
              <w:left w:val="nil"/>
              <w:bottom w:val="single" w:sz="4" w:space="0" w:color="auto"/>
              <w:right w:val="nil"/>
            </w:tcBorders>
            <w:shd w:val="clear" w:color="auto" w:fill="auto"/>
            <w:hideMark/>
          </w:tcPr>
          <w:p w14:paraId="0A7758BB"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881" w:type="dxa"/>
            <w:tcBorders>
              <w:top w:val="nil"/>
              <w:left w:val="nil"/>
              <w:bottom w:val="single" w:sz="4" w:space="0" w:color="auto"/>
              <w:right w:val="single" w:sz="4" w:space="0" w:color="auto"/>
            </w:tcBorders>
            <w:shd w:val="clear" w:color="auto" w:fill="auto"/>
            <w:hideMark/>
          </w:tcPr>
          <w:p w14:paraId="1F93BB74"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000" w:type="dxa"/>
            <w:tcBorders>
              <w:top w:val="nil"/>
              <w:left w:val="nil"/>
              <w:bottom w:val="single" w:sz="4" w:space="0" w:color="auto"/>
              <w:right w:val="single" w:sz="4" w:space="0" w:color="auto"/>
            </w:tcBorders>
            <w:shd w:val="clear" w:color="000000" w:fill="99CCFF"/>
            <w:hideMark/>
          </w:tcPr>
          <w:p w14:paraId="018B097E"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17" w:type="dxa"/>
            <w:tcBorders>
              <w:top w:val="nil"/>
              <w:left w:val="nil"/>
              <w:bottom w:val="single" w:sz="4" w:space="0" w:color="auto"/>
              <w:right w:val="single" w:sz="4" w:space="0" w:color="auto"/>
            </w:tcBorders>
            <w:shd w:val="clear" w:color="000000" w:fill="99CCFF"/>
            <w:hideMark/>
          </w:tcPr>
          <w:p w14:paraId="4DF7CAAA" w14:textId="77777777"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4,441,611 </w:t>
            </w:r>
          </w:p>
        </w:tc>
        <w:tc>
          <w:tcPr>
            <w:tcW w:w="1240" w:type="dxa"/>
            <w:gridSpan w:val="2"/>
            <w:tcBorders>
              <w:top w:val="nil"/>
              <w:left w:val="nil"/>
              <w:bottom w:val="single" w:sz="4" w:space="0" w:color="auto"/>
              <w:right w:val="single" w:sz="4" w:space="0" w:color="auto"/>
            </w:tcBorders>
            <w:shd w:val="clear" w:color="000000" w:fill="99CCFF"/>
            <w:hideMark/>
          </w:tcPr>
          <w:p w14:paraId="3626B5D3" w14:textId="77777777"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4,</w:t>
            </w:r>
            <w:r w:rsidRPr="00BF17B0">
              <w:rPr>
                <w:rFonts w:asciiTheme="minorHAnsi" w:eastAsia="Times New Roman" w:hAnsiTheme="minorHAnsi" w:cstheme="minorHAnsi"/>
                <w:sz w:val="20"/>
                <w:szCs w:val="20"/>
                <w:lang w:eastAsia="en-GB"/>
              </w:rPr>
              <w:t>191</w:t>
            </w:r>
            <w:r w:rsidRPr="00BF17B0">
              <w:rPr>
                <w:rFonts w:asciiTheme="minorHAnsi" w:eastAsia="Times New Roman" w:hAnsiTheme="minorHAnsi" w:cstheme="minorHAnsi"/>
                <w:b/>
                <w:bCs/>
                <w:sz w:val="20"/>
                <w:szCs w:val="20"/>
                <w:lang w:eastAsia="en-GB"/>
              </w:rPr>
              <w:t xml:space="preserve">,130 </w:t>
            </w:r>
          </w:p>
        </w:tc>
      </w:tr>
      <w:tr w:rsidR="00B13CF3" w:rsidRPr="00BF17B0" w14:paraId="02DFEFE7" w14:textId="77777777" w:rsidTr="00382432">
        <w:trPr>
          <w:trHeight w:val="512"/>
        </w:trPr>
        <w:tc>
          <w:tcPr>
            <w:tcW w:w="6861" w:type="dxa"/>
            <w:gridSpan w:val="5"/>
            <w:tcBorders>
              <w:top w:val="single" w:sz="4" w:space="0" w:color="auto"/>
              <w:left w:val="single" w:sz="4" w:space="0" w:color="auto"/>
              <w:bottom w:val="single" w:sz="4" w:space="0" w:color="auto"/>
              <w:right w:val="single" w:sz="4" w:space="0" w:color="auto"/>
            </w:tcBorders>
            <w:shd w:val="clear" w:color="000000" w:fill="99CCFF"/>
            <w:hideMark/>
          </w:tcPr>
          <w:p w14:paraId="34FD20E4" w14:textId="77777777" w:rsidR="00B13CF3" w:rsidRPr="00BF17B0" w:rsidRDefault="00B13CF3" w:rsidP="00635659">
            <w:pPr>
              <w:spacing w:after="0"/>
              <w:ind w:left="520" w:hanging="27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1.4 Improved capacity and efficiency of the statistical system for relevant and timely information dissemination </w:t>
            </w:r>
          </w:p>
        </w:tc>
        <w:tc>
          <w:tcPr>
            <w:tcW w:w="1217" w:type="dxa"/>
            <w:tcBorders>
              <w:top w:val="nil"/>
              <w:left w:val="nil"/>
              <w:bottom w:val="single" w:sz="4" w:space="0" w:color="auto"/>
              <w:right w:val="single" w:sz="4" w:space="0" w:color="auto"/>
            </w:tcBorders>
            <w:shd w:val="clear" w:color="000000" w:fill="99CCFF"/>
            <w:hideMark/>
          </w:tcPr>
          <w:p w14:paraId="6DE38977" w14:textId="77777777" w:rsidR="00B13CF3" w:rsidRPr="00BF17B0" w:rsidRDefault="00B13CF3"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40" w:type="dxa"/>
            <w:gridSpan w:val="2"/>
            <w:tcBorders>
              <w:top w:val="nil"/>
              <w:left w:val="nil"/>
              <w:bottom w:val="single" w:sz="4" w:space="0" w:color="auto"/>
              <w:right w:val="single" w:sz="4" w:space="0" w:color="auto"/>
            </w:tcBorders>
            <w:shd w:val="clear" w:color="000000" w:fill="99CCFF"/>
            <w:hideMark/>
          </w:tcPr>
          <w:p w14:paraId="4D1D94BD" w14:textId="77777777" w:rsidR="00B13CF3" w:rsidRPr="00BF17B0" w:rsidRDefault="00B13CF3"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r>
      <w:tr w:rsidR="00401E7F" w:rsidRPr="00BF17B0" w14:paraId="62A6730A"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64033134"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TF097103</w:t>
            </w:r>
          </w:p>
        </w:tc>
        <w:tc>
          <w:tcPr>
            <w:tcW w:w="2879" w:type="dxa"/>
            <w:tcBorders>
              <w:top w:val="nil"/>
              <w:left w:val="nil"/>
              <w:bottom w:val="single" w:sz="4" w:space="0" w:color="auto"/>
              <w:right w:val="single" w:sz="4" w:space="0" w:color="auto"/>
            </w:tcBorders>
            <w:shd w:val="clear" w:color="auto" w:fill="auto"/>
            <w:hideMark/>
          </w:tcPr>
          <w:p w14:paraId="69839240"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Improving Poverty and Social Statistics</w:t>
            </w:r>
          </w:p>
        </w:tc>
        <w:tc>
          <w:tcPr>
            <w:tcW w:w="718" w:type="dxa"/>
            <w:tcBorders>
              <w:top w:val="nil"/>
              <w:left w:val="nil"/>
              <w:bottom w:val="single" w:sz="4" w:space="0" w:color="auto"/>
              <w:right w:val="single" w:sz="4" w:space="0" w:color="auto"/>
            </w:tcBorders>
            <w:shd w:val="clear" w:color="auto" w:fill="auto"/>
            <w:noWrap/>
            <w:hideMark/>
          </w:tcPr>
          <w:p w14:paraId="778E837A"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3156E48B"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P118853</w:t>
            </w:r>
          </w:p>
        </w:tc>
        <w:tc>
          <w:tcPr>
            <w:tcW w:w="1000" w:type="dxa"/>
            <w:tcBorders>
              <w:top w:val="nil"/>
              <w:left w:val="nil"/>
              <w:bottom w:val="single" w:sz="4" w:space="0" w:color="auto"/>
              <w:right w:val="single" w:sz="4" w:space="0" w:color="auto"/>
            </w:tcBorders>
            <w:shd w:val="clear" w:color="auto" w:fill="auto"/>
            <w:noWrap/>
            <w:hideMark/>
          </w:tcPr>
          <w:p w14:paraId="6D8A80D6"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757D717F" w14:textId="71E4859C"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120,000 </w:t>
            </w:r>
          </w:p>
        </w:tc>
        <w:tc>
          <w:tcPr>
            <w:tcW w:w="1240" w:type="dxa"/>
            <w:gridSpan w:val="2"/>
            <w:tcBorders>
              <w:top w:val="nil"/>
              <w:left w:val="nil"/>
              <w:bottom w:val="single" w:sz="4" w:space="0" w:color="auto"/>
              <w:right w:val="single" w:sz="4" w:space="0" w:color="auto"/>
            </w:tcBorders>
            <w:shd w:val="clear" w:color="auto" w:fill="auto"/>
            <w:noWrap/>
            <w:hideMark/>
          </w:tcPr>
          <w:p w14:paraId="68781ABB" w14:textId="0761CBFD"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114,776 </w:t>
            </w:r>
          </w:p>
        </w:tc>
      </w:tr>
      <w:tr w:rsidR="00401E7F" w:rsidRPr="00BF17B0" w14:paraId="7697D02E" w14:textId="77777777" w:rsidTr="00382432">
        <w:trPr>
          <w:trHeight w:val="765"/>
        </w:trPr>
        <w:tc>
          <w:tcPr>
            <w:tcW w:w="1383" w:type="dxa"/>
            <w:tcBorders>
              <w:top w:val="nil"/>
              <w:left w:val="single" w:sz="4" w:space="0" w:color="auto"/>
              <w:bottom w:val="single" w:sz="4" w:space="0" w:color="auto"/>
              <w:right w:val="single" w:sz="4" w:space="0" w:color="auto"/>
            </w:tcBorders>
            <w:shd w:val="clear" w:color="auto" w:fill="auto"/>
            <w:noWrap/>
            <w:hideMark/>
          </w:tcPr>
          <w:p w14:paraId="2698312F"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TF098613</w:t>
            </w:r>
          </w:p>
        </w:tc>
        <w:tc>
          <w:tcPr>
            <w:tcW w:w="2879" w:type="dxa"/>
            <w:tcBorders>
              <w:top w:val="nil"/>
              <w:left w:val="nil"/>
              <w:bottom w:val="single" w:sz="4" w:space="0" w:color="auto"/>
              <w:right w:val="single" w:sz="4" w:space="0" w:color="auto"/>
            </w:tcBorders>
            <w:shd w:val="clear" w:color="auto" w:fill="auto"/>
            <w:hideMark/>
          </w:tcPr>
          <w:p w14:paraId="37A396CA"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Improving data coverage and quality of surveys in support of the Philippine system of national accounts (PSNA) # Phase II</w:t>
            </w:r>
          </w:p>
        </w:tc>
        <w:tc>
          <w:tcPr>
            <w:tcW w:w="718" w:type="dxa"/>
            <w:tcBorders>
              <w:top w:val="nil"/>
              <w:left w:val="nil"/>
              <w:bottom w:val="single" w:sz="4" w:space="0" w:color="auto"/>
              <w:right w:val="single" w:sz="4" w:space="0" w:color="auto"/>
            </w:tcBorders>
            <w:shd w:val="clear" w:color="auto" w:fill="auto"/>
            <w:noWrap/>
            <w:hideMark/>
          </w:tcPr>
          <w:p w14:paraId="19DC9E80"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3FB9432E"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P117504</w:t>
            </w:r>
          </w:p>
        </w:tc>
        <w:tc>
          <w:tcPr>
            <w:tcW w:w="1000" w:type="dxa"/>
            <w:tcBorders>
              <w:top w:val="nil"/>
              <w:left w:val="nil"/>
              <w:bottom w:val="single" w:sz="4" w:space="0" w:color="auto"/>
              <w:right w:val="single" w:sz="4" w:space="0" w:color="auto"/>
            </w:tcBorders>
            <w:shd w:val="clear" w:color="auto" w:fill="auto"/>
            <w:noWrap/>
            <w:hideMark/>
          </w:tcPr>
          <w:p w14:paraId="41531BC5"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RE</w:t>
            </w:r>
          </w:p>
        </w:tc>
        <w:tc>
          <w:tcPr>
            <w:tcW w:w="1217" w:type="dxa"/>
            <w:tcBorders>
              <w:top w:val="nil"/>
              <w:left w:val="nil"/>
              <w:bottom w:val="single" w:sz="4" w:space="0" w:color="auto"/>
              <w:right w:val="single" w:sz="4" w:space="0" w:color="auto"/>
            </w:tcBorders>
            <w:shd w:val="clear" w:color="auto" w:fill="auto"/>
            <w:noWrap/>
            <w:hideMark/>
          </w:tcPr>
          <w:p w14:paraId="2C5D2929" w14:textId="3ACCD580"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250,000 </w:t>
            </w:r>
          </w:p>
        </w:tc>
        <w:tc>
          <w:tcPr>
            <w:tcW w:w="1240" w:type="dxa"/>
            <w:gridSpan w:val="2"/>
            <w:tcBorders>
              <w:top w:val="nil"/>
              <w:left w:val="nil"/>
              <w:bottom w:val="single" w:sz="4" w:space="0" w:color="auto"/>
              <w:right w:val="single" w:sz="4" w:space="0" w:color="auto"/>
            </w:tcBorders>
            <w:shd w:val="clear" w:color="auto" w:fill="auto"/>
            <w:noWrap/>
            <w:hideMark/>
          </w:tcPr>
          <w:p w14:paraId="0D00E682" w14:textId="0499B072"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180,748 </w:t>
            </w:r>
          </w:p>
        </w:tc>
      </w:tr>
      <w:tr w:rsidR="00401E7F" w:rsidRPr="00BF17B0" w14:paraId="25C73560" w14:textId="77777777" w:rsidTr="00382432">
        <w:trPr>
          <w:trHeight w:val="510"/>
        </w:trPr>
        <w:tc>
          <w:tcPr>
            <w:tcW w:w="1383" w:type="dxa"/>
            <w:tcBorders>
              <w:top w:val="nil"/>
              <w:left w:val="single" w:sz="4" w:space="0" w:color="auto"/>
              <w:bottom w:val="single" w:sz="4" w:space="0" w:color="auto"/>
              <w:right w:val="single" w:sz="4" w:space="0" w:color="auto"/>
            </w:tcBorders>
            <w:shd w:val="clear" w:color="auto" w:fill="auto"/>
            <w:noWrap/>
            <w:hideMark/>
          </w:tcPr>
          <w:p w14:paraId="391A7570"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TF096234</w:t>
            </w:r>
          </w:p>
        </w:tc>
        <w:tc>
          <w:tcPr>
            <w:tcW w:w="2879" w:type="dxa"/>
            <w:tcBorders>
              <w:top w:val="nil"/>
              <w:left w:val="nil"/>
              <w:bottom w:val="single" w:sz="4" w:space="0" w:color="auto"/>
              <w:right w:val="single" w:sz="4" w:space="0" w:color="auto"/>
            </w:tcBorders>
            <w:shd w:val="clear" w:color="auto" w:fill="auto"/>
            <w:hideMark/>
          </w:tcPr>
          <w:p w14:paraId="471825ED"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Improving data coverage and quality of surveys in support of the PSNA</w:t>
            </w:r>
          </w:p>
        </w:tc>
        <w:tc>
          <w:tcPr>
            <w:tcW w:w="718" w:type="dxa"/>
            <w:tcBorders>
              <w:top w:val="nil"/>
              <w:left w:val="nil"/>
              <w:bottom w:val="single" w:sz="4" w:space="0" w:color="auto"/>
              <w:right w:val="single" w:sz="4" w:space="0" w:color="auto"/>
            </w:tcBorders>
            <w:shd w:val="clear" w:color="auto" w:fill="auto"/>
            <w:noWrap/>
            <w:hideMark/>
          </w:tcPr>
          <w:p w14:paraId="0473BF95"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6789595E"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P117504</w:t>
            </w:r>
          </w:p>
        </w:tc>
        <w:tc>
          <w:tcPr>
            <w:tcW w:w="1000" w:type="dxa"/>
            <w:tcBorders>
              <w:top w:val="nil"/>
              <w:left w:val="nil"/>
              <w:bottom w:val="single" w:sz="4" w:space="0" w:color="auto"/>
              <w:right w:val="single" w:sz="4" w:space="0" w:color="auto"/>
            </w:tcBorders>
            <w:shd w:val="clear" w:color="auto" w:fill="auto"/>
            <w:noWrap/>
            <w:hideMark/>
          </w:tcPr>
          <w:p w14:paraId="1B366BBA"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11CF8CB9" w14:textId="46B018F4"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50,000 </w:t>
            </w:r>
          </w:p>
        </w:tc>
        <w:tc>
          <w:tcPr>
            <w:tcW w:w="1240" w:type="dxa"/>
            <w:gridSpan w:val="2"/>
            <w:tcBorders>
              <w:top w:val="nil"/>
              <w:left w:val="nil"/>
              <w:bottom w:val="single" w:sz="4" w:space="0" w:color="auto"/>
              <w:right w:val="single" w:sz="4" w:space="0" w:color="auto"/>
            </w:tcBorders>
            <w:shd w:val="clear" w:color="auto" w:fill="auto"/>
            <w:noWrap/>
            <w:hideMark/>
          </w:tcPr>
          <w:p w14:paraId="625659FD" w14:textId="3C67B33E"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43,189 </w:t>
            </w:r>
          </w:p>
        </w:tc>
      </w:tr>
      <w:tr w:rsidR="00401E7F" w:rsidRPr="00BF17B0" w14:paraId="5414F60A"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66575E04"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TF016896</w:t>
            </w:r>
          </w:p>
        </w:tc>
        <w:tc>
          <w:tcPr>
            <w:tcW w:w="2879" w:type="dxa"/>
            <w:tcBorders>
              <w:top w:val="nil"/>
              <w:left w:val="nil"/>
              <w:bottom w:val="single" w:sz="4" w:space="0" w:color="auto"/>
              <w:right w:val="single" w:sz="4" w:space="0" w:color="auto"/>
            </w:tcBorders>
            <w:shd w:val="clear" w:color="auto" w:fill="auto"/>
            <w:hideMark/>
          </w:tcPr>
          <w:p w14:paraId="40BEBDDC"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Improving statistics</w:t>
            </w:r>
          </w:p>
        </w:tc>
        <w:tc>
          <w:tcPr>
            <w:tcW w:w="718" w:type="dxa"/>
            <w:tcBorders>
              <w:top w:val="nil"/>
              <w:left w:val="nil"/>
              <w:bottom w:val="single" w:sz="4" w:space="0" w:color="auto"/>
              <w:right w:val="single" w:sz="4" w:space="0" w:color="auto"/>
            </w:tcBorders>
            <w:shd w:val="clear" w:color="auto" w:fill="auto"/>
            <w:noWrap/>
            <w:hideMark/>
          </w:tcPr>
          <w:p w14:paraId="708664CE"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6ED62267"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P149002</w:t>
            </w:r>
          </w:p>
        </w:tc>
        <w:tc>
          <w:tcPr>
            <w:tcW w:w="1000" w:type="dxa"/>
            <w:tcBorders>
              <w:top w:val="nil"/>
              <w:left w:val="nil"/>
              <w:bottom w:val="single" w:sz="4" w:space="0" w:color="auto"/>
              <w:right w:val="single" w:sz="4" w:space="0" w:color="auto"/>
            </w:tcBorders>
            <w:shd w:val="clear" w:color="auto" w:fill="auto"/>
            <w:noWrap/>
            <w:hideMark/>
          </w:tcPr>
          <w:p w14:paraId="27F2B517"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251A0DF2" w14:textId="45891B06"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200,000 </w:t>
            </w:r>
          </w:p>
        </w:tc>
        <w:tc>
          <w:tcPr>
            <w:tcW w:w="1240" w:type="dxa"/>
            <w:gridSpan w:val="2"/>
            <w:tcBorders>
              <w:top w:val="nil"/>
              <w:left w:val="nil"/>
              <w:bottom w:val="single" w:sz="4" w:space="0" w:color="auto"/>
              <w:right w:val="single" w:sz="4" w:space="0" w:color="auto"/>
            </w:tcBorders>
            <w:shd w:val="clear" w:color="auto" w:fill="auto"/>
            <w:noWrap/>
            <w:hideMark/>
          </w:tcPr>
          <w:p w14:paraId="7395C78A" w14:textId="72DEE4EE"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199,982 </w:t>
            </w:r>
          </w:p>
        </w:tc>
      </w:tr>
      <w:tr w:rsidR="00401E7F" w:rsidRPr="00BF17B0" w14:paraId="23E39B18" w14:textId="77777777" w:rsidTr="00382432">
        <w:trPr>
          <w:trHeight w:val="255"/>
        </w:trPr>
        <w:tc>
          <w:tcPr>
            <w:tcW w:w="1383" w:type="dxa"/>
            <w:tcBorders>
              <w:top w:val="nil"/>
              <w:left w:val="single" w:sz="4" w:space="0" w:color="auto"/>
              <w:bottom w:val="single" w:sz="4" w:space="0" w:color="auto"/>
              <w:right w:val="nil"/>
            </w:tcBorders>
            <w:shd w:val="clear" w:color="000000" w:fill="99CCFF"/>
            <w:hideMark/>
          </w:tcPr>
          <w:p w14:paraId="432FAFAE"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Subtotals</w:t>
            </w:r>
          </w:p>
        </w:tc>
        <w:tc>
          <w:tcPr>
            <w:tcW w:w="2879" w:type="dxa"/>
            <w:tcBorders>
              <w:top w:val="nil"/>
              <w:left w:val="nil"/>
              <w:bottom w:val="single" w:sz="4" w:space="0" w:color="auto"/>
              <w:right w:val="nil"/>
            </w:tcBorders>
            <w:shd w:val="clear" w:color="auto" w:fill="auto"/>
            <w:hideMark/>
          </w:tcPr>
          <w:p w14:paraId="17737C15"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718" w:type="dxa"/>
            <w:tcBorders>
              <w:top w:val="nil"/>
              <w:left w:val="nil"/>
              <w:bottom w:val="single" w:sz="4" w:space="0" w:color="auto"/>
              <w:right w:val="nil"/>
            </w:tcBorders>
            <w:shd w:val="clear" w:color="auto" w:fill="auto"/>
            <w:hideMark/>
          </w:tcPr>
          <w:p w14:paraId="446BEB40"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881" w:type="dxa"/>
            <w:tcBorders>
              <w:top w:val="nil"/>
              <w:left w:val="nil"/>
              <w:bottom w:val="single" w:sz="4" w:space="0" w:color="auto"/>
              <w:right w:val="single" w:sz="4" w:space="0" w:color="auto"/>
            </w:tcBorders>
            <w:shd w:val="clear" w:color="auto" w:fill="auto"/>
            <w:hideMark/>
          </w:tcPr>
          <w:p w14:paraId="7B2CC3DF"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000" w:type="dxa"/>
            <w:tcBorders>
              <w:top w:val="nil"/>
              <w:left w:val="nil"/>
              <w:bottom w:val="single" w:sz="4" w:space="0" w:color="auto"/>
              <w:right w:val="single" w:sz="4" w:space="0" w:color="auto"/>
            </w:tcBorders>
            <w:shd w:val="clear" w:color="000000" w:fill="99CCFF"/>
            <w:hideMark/>
          </w:tcPr>
          <w:p w14:paraId="7F63491B"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17" w:type="dxa"/>
            <w:tcBorders>
              <w:top w:val="nil"/>
              <w:left w:val="nil"/>
              <w:bottom w:val="single" w:sz="4" w:space="0" w:color="auto"/>
              <w:right w:val="single" w:sz="4" w:space="0" w:color="auto"/>
            </w:tcBorders>
            <w:shd w:val="clear" w:color="000000" w:fill="99CCFF"/>
            <w:hideMark/>
          </w:tcPr>
          <w:p w14:paraId="1EF87DD5" w14:textId="77777777"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620,000 </w:t>
            </w:r>
          </w:p>
        </w:tc>
        <w:tc>
          <w:tcPr>
            <w:tcW w:w="1240" w:type="dxa"/>
            <w:gridSpan w:val="2"/>
            <w:tcBorders>
              <w:top w:val="nil"/>
              <w:left w:val="nil"/>
              <w:bottom w:val="single" w:sz="4" w:space="0" w:color="auto"/>
              <w:right w:val="single" w:sz="4" w:space="0" w:color="auto"/>
            </w:tcBorders>
            <w:shd w:val="clear" w:color="000000" w:fill="99CCFF"/>
            <w:hideMark/>
          </w:tcPr>
          <w:p w14:paraId="3E0012F2" w14:textId="77777777" w:rsidR="00401E7F" w:rsidRPr="00BF17B0" w:rsidRDefault="00401E7F" w:rsidP="00E86018">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538,694</w:t>
            </w:r>
          </w:p>
        </w:tc>
      </w:tr>
      <w:tr w:rsidR="00401E7F" w:rsidRPr="00BF17B0" w14:paraId="00FBD37F" w14:textId="77777777" w:rsidTr="00382432">
        <w:trPr>
          <w:trHeight w:val="255"/>
        </w:trPr>
        <w:tc>
          <w:tcPr>
            <w:tcW w:w="5861" w:type="dxa"/>
            <w:gridSpan w:val="4"/>
            <w:tcBorders>
              <w:top w:val="single" w:sz="4" w:space="0" w:color="auto"/>
              <w:left w:val="single" w:sz="4" w:space="0" w:color="auto"/>
              <w:bottom w:val="single" w:sz="4" w:space="0" w:color="auto"/>
              <w:right w:val="single" w:sz="4" w:space="0" w:color="000000"/>
            </w:tcBorders>
            <w:shd w:val="clear" w:color="000000" w:fill="99CCFF"/>
            <w:hideMark/>
          </w:tcPr>
          <w:p w14:paraId="6DC19EA4"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1.5 Improved analytical underpinnings for policy reform</w:t>
            </w:r>
          </w:p>
        </w:tc>
        <w:tc>
          <w:tcPr>
            <w:tcW w:w="1000" w:type="dxa"/>
            <w:tcBorders>
              <w:top w:val="nil"/>
              <w:left w:val="nil"/>
              <w:bottom w:val="single" w:sz="4" w:space="0" w:color="auto"/>
              <w:right w:val="single" w:sz="4" w:space="0" w:color="auto"/>
            </w:tcBorders>
            <w:shd w:val="clear" w:color="000000" w:fill="99CCFF"/>
            <w:hideMark/>
          </w:tcPr>
          <w:p w14:paraId="37EFD8E3"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17" w:type="dxa"/>
            <w:tcBorders>
              <w:top w:val="nil"/>
              <w:left w:val="nil"/>
              <w:bottom w:val="single" w:sz="4" w:space="0" w:color="auto"/>
              <w:right w:val="single" w:sz="4" w:space="0" w:color="auto"/>
            </w:tcBorders>
            <w:shd w:val="clear" w:color="000000" w:fill="99CCFF"/>
            <w:hideMark/>
          </w:tcPr>
          <w:p w14:paraId="0760581B" w14:textId="77777777"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40" w:type="dxa"/>
            <w:gridSpan w:val="2"/>
            <w:tcBorders>
              <w:top w:val="nil"/>
              <w:left w:val="nil"/>
              <w:bottom w:val="single" w:sz="4" w:space="0" w:color="auto"/>
              <w:right w:val="single" w:sz="4" w:space="0" w:color="auto"/>
            </w:tcBorders>
            <w:shd w:val="clear" w:color="000000" w:fill="99CCFF"/>
            <w:hideMark/>
          </w:tcPr>
          <w:p w14:paraId="1620BCE8"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r>
      <w:tr w:rsidR="00401E7F" w:rsidRPr="00BF17B0" w14:paraId="47510FA9"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57ED5FFD"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TF016895</w:t>
            </w:r>
          </w:p>
        </w:tc>
        <w:tc>
          <w:tcPr>
            <w:tcW w:w="2879" w:type="dxa"/>
            <w:tcBorders>
              <w:top w:val="nil"/>
              <w:left w:val="nil"/>
              <w:bottom w:val="single" w:sz="4" w:space="0" w:color="auto"/>
              <w:right w:val="single" w:sz="4" w:space="0" w:color="auto"/>
            </w:tcBorders>
            <w:shd w:val="clear" w:color="auto" w:fill="auto"/>
            <w:hideMark/>
          </w:tcPr>
          <w:p w14:paraId="4888573C"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Inclusive economic institutions</w:t>
            </w:r>
          </w:p>
        </w:tc>
        <w:tc>
          <w:tcPr>
            <w:tcW w:w="718" w:type="dxa"/>
            <w:tcBorders>
              <w:top w:val="nil"/>
              <w:left w:val="nil"/>
              <w:bottom w:val="single" w:sz="4" w:space="0" w:color="auto"/>
              <w:right w:val="single" w:sz="4" w:space="0" w:color="auto"/>
            </w:tcBorders>
            <w:shd w:val="clear" w:color="auto" w:fill="auto"/>
            <w:noWrap/>
            <w:hideMark/>
          </w:tcPr>
          <w:p w14:paraId="3187746F"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348AA5C9"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P144809</w:t>
            </w:r>
          </w:p>
        </w:tc>
        <w:tc>
          <w:tcPr>
            <w:tcW w:w="1000" w:type="dxa"/>
            <w:tcBorders>
              <w:top w:val="nil"/>
              <w:left w:val="nil"/>
              <w:bottom w:val="single" w:sz="4" w:space="0" w:color="auto"/>
              <w:right w:val="single" w:sz="4" w:space="0" w:color="auto"/>
            </w:tcBorders>
            <w:shd w:val="clear" w:color="auto" w:fill="auto"/>
            <w:noWrap/>
            <w:hideMark/>
          </w:tcPr>
          <w:p w14:paraId="4606D33B"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0EE255A7" w14:textId="77777777"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300,000 </w:t>
            </w:r>
          </w:p>
        </w:tc>
        <w:tc>
          <w:tcPr>
            <w:tcW w:w="1240" w:type="dxa"/>
            <w:gridSpan w:val="2"/>
            <w:tcBorders>
              <w:top w:val="nil"/>
              <w:left w:val="nil"/>
              <w:bottom w:val="single" w:sz="4" w:space="0" w:color="auto"/>
              <w:right w:val="single" w:sz="4" w:space="0" w:color="auto"/>
            </w:tcBorders>
            <w:shd w:val="clear" w:color="auto" w:fill="auto"/>
            <w:noWrap/>
            <w:hideMark/>
          </w:tcPr>
          <w:p w14:paraId="1BFCABA1" w14:textId="0F1D6040"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299,965 </w:t>
            </w:r>
          </w:p>
        </w:tc>
      </w:tr>
      <w:tr w:rsidR="00401E7F" w:rsidRPr="00BF17B0" w14:paraId="68CED1D5" w14:textId="77777777" w:rsidTr="006B1779">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0BD2ADE0"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TF0A4267</w:t>
            </w:r>
          </w:p>
        </w:tc>
        <w:tc>
          <w:tcPr>
            <w:tcW w:w="2879" w:type="dxa"/>
            <w:tcBorders>
              <w:top w:val="nil"/>
              <w:left w:val="nil"/>
              <w:bottom w:val="single" w:sz="4" w:space="0" w:color="auto"/>
              <w:right w:val="single" w:sz="4" w:space="0" w:color="auto"/>
            </w:tcBorders>
            <w:shd w:val="clear" w:color="auto" w:fill="auto"/>
            <w:hideMark/>
          </w:tcPr>
          <w:p w14:paraId="2C6517EF"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Game Changer MFM</w:t>
            </w:r>
          </w:p>
        </w:tc>
        <w:tc>
          <w:tcPr>
            <w:tcW w:w="718" w:type="dxa"/>
            <w:tcBorders>
              <w:top w:val="nil"/>
              <w:left w:val="nil"/>
              <w:bottom w:val="single" w:sz="4" w:space="0" w:color="auto"/>
              <w:right w:val="single" w:sz="4" w:space="0" w:color="auto"/>
            </w:tcBorders>
            <w:shd w:val="clear" w:color="auto" w:fill="auto"/>
            <w:noWrap/>
            <w:hideMark/>
          </w:tcPr>
          <w:p w14:paraId="3D53F016"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ACTV</w:t>
            </w:r>
          </w:p>
        </w:tc>
        <w:tc>
          <w:tcPr>
            <w:tcW w:w="881" w:type="dxa"/>
            <w:tcBorders>
              <w:top w:val="nil"/>
              <w:left w:val="nil"/>
              <w:bottom w:val="single" w:sz="4" w:space="0" w:color="auto"/>
              <w:right w:val="single" w:sz="4" w:space="0" w:color="auto"/>
            </w:tcBorders>
            <w:shd w:val="clear" w:color="auto" w:fill="auto"/>
            <w:noWrap/>
            <w:hideMark/>
          </w:tcPr>
          <w:p w14:paraId="582E41AD"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P159649</w:t>
            </w:r>
          </w:p>
        </w:tc>
        <w:tc>
          <w:tcPr>
            <w:tcW w:w="1000" w:type="dxa"/>
            <w:tcBorders>
              <w:top w:val="nil"/>
              <w:left w:val="nil"/>
              <w:bottom w:val="single" w:sz="4" w:space="0" w:color="auto"/>
              <w:right w:val="single" w:sz="4" w:space="0" w:color="auto"/>
            </w:tcBorders>
            <w:shd w:val="clear" w:color="auto" w:fill="auto"/>
            <w:noWrap/>
            <w:hideMark/>
          </w:tcPr>
          <w:p w14:paraId="019A60D8"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1A81ED87" w14:textId="77777777"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1,674,000 </w:t>
            </w:r>
          </w:p>
        </w:tc>
        <w:tc>
          <w:tcPr>
            <w:tcW w:w="1240" w:type="dxa"/>
            <w:gridSpan w:val="2"/>
            <w:tcBorders>
              <w:top w:val="nil"/>
              <w:left w:val="nil"/>
              <w:bottom w:val="single" w:sz="4" w:space="0" w:color="auto"/>
              <w:right w:val="single" w:sz="4" w:space="0" w:color="auto"/>
            </w:tcBorders>
            <w:shd w:val="clear" w:color="auto" w:fill="auto"/>
            <w:noWrap/>
          </w:tcPr>
          <w:p w14:paraId="05820A39" w14:textId="6AFEEE96" w:rsidR="00401E7F" w:rsidRPr="00BF17B0" w:rsidRDefault="00401E7F" w:rsidP="00D373B0">
            <w:pPr>
              <w:spacing w:after="0"/>
              <w:rPr>
                <w:rFonts w:asciiTheme="minorHAnsi" w:eastAsia="Times New Roman" w:hAnsiTheme="minorHAnsi" w:cstheme="minorHAnsi"/>
                <w:sz w:val="20"/>
                <w:szCs w:val="20"/>
                <w:lang w:eastAsia="en-GB"/>
              </w:rPr>
            </w:pPr>
          </w:p>
        </w:tc>
      </w:tr>
      <w:tr w:rsidR="00401E7F" w:rsidRPr="00BF17B0" w14:paraId="0AB0E3C8" w14:textId="77777777" w:rsidTr="00382432">
        <w:trPr>
          <w:trHeight w:val="255"/>
        </w:trPr>
        <w:tc>
          <w:tcPr>
            <w:tcW w:w="1383" w:type="dxa"/>
            <w:tcBorders>
              <w:top w:val="nil"/>
              <w:left w:val="nil"/>
              <w:bottom w:val="nil"/>
              <w:right w:val="nil"/>
            </w:tcBorders>
            <w:shd w:val="clear" w:color="000000" w:fill="99CCFF"/>
            <w:hideMark/>
          </w:tcPr>
          <w:p w14:paraId="6154C583"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Subtotals</w:t>
            </w:r>
          </w:p>
        </w:tc>
        <w:tc>
          <w:tcPr>
            <w:tcW w:w="2879" w:type="dxa"/>
            <w:tcBorders>
              <w:top w:val="nil"/>
              <w:left w:val="nil"/>
              <w:bottom w:val="single" w:sz="4" w:space="0" w:color="auto"/>
              <w:right w:val="nil"/>
            </w:tcBorders>
            <w:shd w:val="clear" w:color="auto" w:fill="auto"/>
            <w:hideMark/>
          </w:tcPr>
          <w:p w14:paraId="0C2A0EC1"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718" w:type="dxa"/>
            <w:tcBorders>
              <w:top w:val="nil"/>
              <w:left w:val="nil"/>
              <w:bottom w:val="single" w:sz="4" w:space="0" w:color="auto"/>
              <w:right w:val="nil"/>
            </w:tcBorders>
            <w:shd w:val="clear" w:color="auto" w:fill="auto"/>
            <w:hideMark/>
          </w:tcPr>
          <w:p w14:paraId="4484C5A0"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881" w:type="dxa"/>
            <w:tcBorders>
              <w:top w:val="nil"/>
              <w:left w:val="nil"/>
              <w:bottom w:val="single" w:sz="4" w:space="0" w:color="auto"/>
              <w:right w:val="single" w:sz="4" w:space="0" w:color="auto"/>
            </w:tcBorders>
            <w:shd w:val="clear" w:color="auto" w:fill="auto"/>
            <w:hideMark/>
          </w:tcPr>
          <w:p w14:paraId="349E57DA"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000" w:type="dxa"/>
            <w:tcBorders>
              <w:top w:val="nil"/>
              <w:left w:val="nil"/>
              <w:bottom w:val="single" w:sz="4" w:space="0" w:color="auto"/>
              <w:right w:val="single" w:sz="4" w:space="0" w:color="auto"/>
            </w:tcBorders>
            <w:shd w:val="clear" w:color="000000" w:fill="99CCFF"/>
            <w:hideMark/>
          </w:tcPr>
          <w:p w14:paraId="399D2009"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17" w:type="dxa"/>
            <w:tcBorders>
              <w:top w:val="nil"/>
              <w:left w:val="nil"/>
              <w:bottom w:val="single" w:sz="4" w:space="0" w:color="auto"/>
              <w:right w:val="single" w:sz="4" w:space="0" w:color="auto"/>
            </w:tcBorders>
            <w:shd w:val="clear" w:color="000000" w:fill="99CCFF"/>
            <w:hideMark/>
          </w:tcPr>
          <w:p w14:paraId="5BE2CAF1" w14:textId="16C5C08C"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1,974,000 </w:t>
            </w:r>
          </w:p>
        </w:tc>
        <w:tc>
          <w:tcPr>
            <w:tcW w:w="1240" w:type="dxa"/>
            <w:gridSpan w:val="2"/>
            <w:tcBorders>
              <w:top w:val="nil"/>
              <w:left w:val="nil"/>
              <w:bottom w:val="single" w:sz="4" w:space="0" w:color="auto"/>
              <w:right w:val="single" w:sz="4" w:space="0" w:color="auto"/>
            </w:tcBorders>
            <w:shd w:val="clear" w:color="000000" w:fill="99CCFF"/>
            <w:hideMark/>
          </w:tcPr>
          <w:p w14:paraId="269058F1" w14:textId="221A186B"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w:t>
            </w:r>
            <w:r w:rsidR="00383730">
              <w:rPr>
                <w:rFonts w:asciiTheme="minorHAnsi" w:eastAsia="Times New Roman" w:hAnsiTheme="minorHAnsi" w:cstheme="minorHAnsi"/>
                <w:b/>
                <w:bCs/>
                <w:sz w:val="20"/>
                <w:szCs w:val="20"/>
                <w:lang w:eastAsia="en-GB"/>
              </w:rPr>
              <w:t>299</w:t>
            </w:r>
            <w:r w:rsidRPr="00BF17B0">
              <w:rPr>
                <w:rFonts w:asciiTheme="minorHAnsi" w:eastAsia="Times New Roman" w:hAnsiTheme="minorHAnsi" w:cstheme="minorHAnsi"/>
                <w:b/>
                <w:bCs/>
                <w:sz w:val="20"/>
                <w:szCs w:val="20"/>
                <w:lang w:eastAsia="en-GB"/>
              </w:rPr>
              <w:t xml:space="preserve">,965 </w:t>
            </w:r>
          </w:p>
        </w:tc>
      </w:tr>
      <w:tr w:rsidR="00401E7F" w:rsidRPr="00BF17B0" w14:paraId="06D84F66" w14:textId="77777777" w:rsidTr="00382432">
        <w:trPr>
          <w:trHeight w:val="255"/>
        </w:trPr>
        <w:tc>
          <w:tcPr>
            <w:tcW w:w="1383" w:type="dxa"/>
            <w:tcBorders>
              <w:top w:val="nil"/>
              <w:left w:val="nil"/>
              <w:bottom w:val="nil"/>
              <w:right w:val="nil"/>
            </w:tcBorders>
            <w:shd w:val="clear" w:color="000000" w:fill="9BC2E6"/>
            <w:hideMark/>
          </w:tcPr>
          <w:p w14:paraId="3F1F150C"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2879" w:type="dxa"/>
            <w:tcBorders>
              <w:top w:val="nil"/>
              <w:left w:val="nil"/>
              <w:bottom w:val="single" w:sz="4" w:space="0" w:color="auto"/>
              <w:right w:val="nil"/>
            </w:tcBorders>
            <w:shd w:val="clear" w:color="000000" w:fill="9BC2E6"/>
            <w:hideMark/>
          </w:tcPr>
          <w:p w14:paraId="26773957"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Focus Area 1 Totals</w:t>
            </w:r>
          </w:p>
        </w:tc>
        <w:tc>
          <w:tcPr>
            <w:tcW w:w="718" w:type="dxa"/>
            <w:tcBorders>
              <w:top w:val="nil"/>
              <w:left w:val="nil"/>
              <w:bottom w:val="single" w:sz="4" w:space="0" w:color="auto"/>
              <w:right w:val="nil"/>
            </w:tcBorders>
            <w:shd w:val="clear" w:color="000000" w:fill="9BC2E6"/>
            <w:hideMark/>
          </w:tcPr>
          <w:p w14:paraId="46DF7920"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881" w:type="dxa"/>
            <w:tcBorders>
              <w:top w:val="nil"/>
              <w:left w:val="nil"/>
              <w:bottom w:val="single" w:sz="4" w:space="0" w:color="auto"/>
              <w:right w:val="single" w:sz="4" w:space="0" w:color="auto"/>
            </w:tcBorders>
            <w:shd w:val="clear" w:color="000000" w:fill="9BC2E6"/>
            <w:hideMark/>
          </w:tcPr>
          <w:p w14:paraId="06369526"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000" w:type="dxa"/>
            <w:tcBorders>
              <w:top w:val="nil"/>
              <w:left w:val="nil"/>
              <w:bottom w:val="single" w:sz="4" w:space="0" w:color="auto"/>
              <w:right w:val="single" w:sz="4" w:space="0" w:color="auto"/>
            </w:tcBorders>
            <w:shd w:val="clear" w:color="000000" w:fill="9BC2E6"/>
            <w:hideMark/>
          </w:tcPr>
          <w:p w14:paraId="77048215"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17" w:type="dxa"/>
            <w:tcBorders>
              <w:top w:val="nil"/>
              <w:left w:val="nil"/>
              <w:bottom w:val="single" w:sz="4" w:space="0" w:color="auto"/>
              <w:right w:val="single" w:sz="4" w:space="0" w:color="auto"/>
            </w:tcBorders>
            <w:shd w:val="clear" w:color="000000" w:fill="9BC2E6"/>
            <w:hideMark/>
          </w:tcPr>
          <w:p w14:paraId="02FF5113" w14:textId="76733F4E"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8,287,588 </w:t>
            </w:r>
          </w:p>
        </w:tc>
        <w:tc>
          <w:tcPr>
            <w:tcW w:w="1240" w:type="dxa"/>
            <w:gridSpan w:val="2"/>
            <w:tcBorders>
              <w:top w:val="nil"/>
              <w:left w:val="nil"/>
              <w:bottom w:val="single" w:sz="4" w:space="0" w:color="auto"/>
              <w:right w:val="single" w:sz="4" w:space="0" w:color="auto"/>
            </w:tcBorders>
            <w:shd w:val="clear" w:color="000000" w:fill="99CCFF"/>
            <w:hideMark/>
          </w:tcPr>
          <w:p w14:paraId="17D5F9AE" w14:textId="7E6742A9" w:rsidR="00401E7F" w:rsidRPr="00BF17B0" w:rsidRDefault="00AF5DD8" w:rsidP="00D373B0">
            <w:pPr>
              <w:spacing w:after="0"/>
              <w:jc w:val="center"/>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 xml:space="preserve">    6,239</w:t>
            </w:r>
            <w:r w:rsidR="00401E7F" w:rsidRPr="00BF17B0">
              <w:rPr>
                <w:rFonts w:asciiTheme="minorHAnsi" w:eastAsia="Times New Roman" w:hAnsiTheme="minorHAnsi" w:cstheme="minorHAnsi"/>
                <w:b/>
                <w:bCs/>
                <w:sz w:val="20"/>
                <w:szCs w:val="20"/>
                <w:lang w:eastAsia="en-GB"/>
              </w:rPr>
              <w:t xml:space="preserve">,876 </w:t>
            </w:r>
          </w:p>
        </w:tc>
      </w:tr>
      <w:tr w:rsidR="00401E7F" w:rsidRPr="00BF17B0" w14:paraId="14F179B2" w14:textId="77777777" w:rsidTr="00382432">
        <w:trPr>
          <w:trHeight w:val="255"/>
        </w:trPr>
        <w:tc>
          <w:tcPr>
            <w:tcW w:w="5861" w:type="dxa"/>
            <w:gridSpan w:val="4"/>
            <w:tcBorders>
              <w:top w:val="nil"/>
              <w:left w:val="nil"/>
              <w:bottom w:val="single" w:sz="4" w:space="0" w:color="auto"/>
              <w:right w:val="single" w:sz="4" w:space="0" w:color="000000"/>
            </w:tcBorders>
            <w:shd w:val="clear" w:color="000000" w:fill="9BC2E6"/>
            <w:hideMark/>
          </w:tcPr>
          <w:p w14:paraId="336AB59A" w14:textId="77777777" w:rsidR="00401E7F" w:rsidRPr="00BF17B0" w:rsidRDefault="00401E7F" w:rsidP="00635659">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2. Improved conditions for peace and security</w:t>
            </w:r>
          </w:p>
        </w:tc>
        <w:tc>
          <w:tcPr>
            <w:tcW w:w="1000" w:type="dxa"/>
            <w:tcBorders>
              <w:top w:val="nil"/>
              <w:left w:val="nil"/>
              <w:bottom w:val="single" w:sz="4" w:space="0" w:color="auto"/>
              <w:right w:val="single" w:sz="4" w:space="0" w:color="auto"/>
            </w:tcBorders>
            <w:shd w:val="clear" w:color="000000" w:fill="9BC2E6"/>
            <w:hideMark/>
          </w:tcPr>
          <w:p w14:paraId="1FC59B9B"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17" w:type="dxa"/>
            <w:tcBorders>
              <w:top w:val="nil"/>
              <w:left w:val="nil"/>
              <w:bottom w:val="single" w:sz="4" w:space="0" w:color="auto"/>
              <w:right w:val="single" w:sz="4" w:space="0" w:color="auto"/>
            </w:tcBorders>
            <w:shd w:val="clear" w:color="000000" w:fill="9BC2E6"/>
            <w:hideMark/>
          </w:tcPr>
          <w:p w14:paraId="7AEF47CC" w14:textId="77777777"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40" w:type="dxa"/>
            <w:gridSpan w:val="2"/>
            <w:tcBorders>
              <w:top w:val="nil"/>
              <w:left w:val="nil"/>
              <w:bottom w:val="single" w:sz="4" w:space="0" w:color="auto"/>
              <w:right w:val="single" w:sz="4" w:space="0" w:color="auto"/>
            </w:tcBorders>
            <w:shd w:val="clear" w:color="000000" w:fill="99CCFF"/>
            <w:hideMark/>
          </w:tcPr>
          <w:p w14:paraId="48A249AE"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r>
      <w:tr w:rsidR="00401E7F" w:rsidRPr="00BF17B0" w14:paraId="4D1D9289" w14:textId="77777777" w:rsidTr="00382432">
        <w:trPr>
          <w:trHeight w:val="255"/>
        </w:trPr>
        <w:tc>
          <w:tcPr>
            <w:tcW w:w="8087" w:type="dxa"/>
            <w:gridSpan w:val="7"/>
            <w:tcBorders>
              <w:top w:val="single" w:sz="4" w:space="0" w:color="auto"/>
              <w:left w:val="nil"/>
              <w:bottom w:val="single" w:sz="4" w:space="0" w:color="auto"/>
              <w:right w:val="single" w:sz="4" w:space="0" w:color="000000"/>
            </w:tcBorders>
            <w:shd w:val="clear" w:color="000000" w:fill="9BC2E6"/>
            <w:hideMark/>
          </w:tcPr>
          <w:p w14:paraId="0ED66135" w14:textId="77777777"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2.1 Strengthened capacity of institutions to deliver justice and jobs in conflict affected areas</w:t>
            </w:r>
          </w:p>
        </w:tc>
        <w:tc>
          <w:tcPr>
            <w:tcW w:w="1231" w:type="dxa"/>
            <w:tcBorders>
              <w:top w:val="nil"/>
              <w:left w:val="nil"/>
              <w:bottom w:val="single" w:sz="4" w:space="0" w:color="auto"/>
              <w:right w:val="single" w:sz="4" w:space="0" w:color="auto"/>
            </w:tcBorders>
            <w:shd w:val="clear" w:color="000000" w:fill="99CCFF"/>
            <w:hideMark/>
          </w:tcPr>
          <w:p w14:paraId="515BE2EE"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r>
      <w:tr w:rsidR="00401E7F" w:rsidRPr="00BF17B0" w14:paraId="48EAA2DF" w14:textId="77777777" w:rsidTr="00382432">
        <w:trPr>
          <w:trHeight w:val="765"/>
        </w:trPr>
        <w:tc>
          <w:tcPr>
            <w:tcW w:w="1383" w:type="dxa"/>
            <w:tcBorders>
              <w:top w:val="nil"/>
              <w:left w:val="single" w:sz="4" w:space="0" w:color="auto"/>
              <w:bottom w:val="single" w:sz="4" w:space="0" w:color="auto"/>
              <w:right w:val="single" w:sz="4" w:space="0" w:color="auto"/>
            </w:tcBorders>
            <w:shd w:val="clear" w:color="auto" w:fill="auto"/>
            <w:noWrap/>
            <w:hideMark/>
          </w:tcPr>
          <w:p w14:paraId="028B75F4"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TF015119</w:t>
            </w:r>
          </w:p>
        </w:tc>
        <w:tc>
          <w:tcPr>
            <w:tcW w:w="2879" w:type="dxa"/>
            <w:tcBorders>
              <w:top w:val="nil"/>
              <w:left w:val="nil"/>
              <w:bottom w:val="single" w:sz="4" w:space="0" w:color="auto"/>
              <w:right w:val="single" w:sz="4" w:space="0" w:color="auto"/>
            </w:tcBorders>
            <w:shd w:val="clear" w:color="auto" w:fill="auto"/>
            <w:hideMark/>
          </w:tcPr>
          <w:p w14:paraId="3B38BF7F"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Analysis and Preparatory work Supporting the National Community Driven Development Program in the Autonomous Region in Muslim Mindanao</w:t>
            </w:r>
          </w:p>
        </w:tc>
        <w:tc>
          <w:tcPr>
            <w:tcW w:w="718" w:type="dxa"/>
            <w:tcBorders>
              <w:top w:val="nil"/>
              <w:left w:val="nil"/>
              <w:bottom w:val="single" w:sz="4" w:space="0" w:color="auto"/>
              <w:right w:val="single" w:sz="4" w:space="0" w:color="auto"/>
            </w:tcBorders>
            <w:shd w:val="clear" w:color="auto" w:fill="auto"/>
            <w:noWrap/>
            <w:hideMark/>
          </w:tcPr>
          <w:p w14:paraId="0B174B47"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17AF88A2"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P127741</w:t>
            </w:r>
          </w:p>
        </w:tc>
        <w:tc>
          <w:tcPr>
            <w:tcW w:w="1000" w:type="dxa"/>
            <w:tcBorders>
              <w:top w:val="nil"/>
              <w:left w:val="nil"/>
              <w:bottom w:val="single" w:sz="4" w:space="0" w:color="auto"/>
              <w:right w:val="single" w:sz="4" w:space="0" w:color="auto"/>
            </w:tcBorders>
            <w:shd w:val="clear" w:color="auto" w:fill="auto"/>
            <w:noWrap/>
            <w:hideMark/>
          </w:tcPr>
          <w:p w14:paraId="44197E47"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210E31F3" w14:textId="77777777"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183,000 </w:t>
            </w:r>
          </w:p>
        </w:tc>
        <w:tc>
          <w:tcPr>
            <w:tcW w:w="1240" w:type="dxa"/>
            <w:gridSpan w:val="2"/>
            <w:tcBorders>
              <w:top w:val="nil"/>
              <w:left w:val="nil"/>
              <w:bottom w:val="single" w:sz="4" w:space="0" w:color="auto"/>
              <w:right w:val="single" w:sz="4" w:space="0" w:color="auto"/>
            </w:tcBorders>
            <w:shd w:val="clear" w:color="auto" w:fill="auto"/>
            <w:noWrap/>
            <w:hideMark/>
          </w:tcPr>
          <w:p w14:paraId="389F0E0C" w14:textId="323C1DD9"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182,497 </w:t>
            </w:r>
          </w:p>
        </w:tc>
      </w:tr>
      <w:tr w:rsidR="00401E7F" w:rsidRPr="00BF17B0" w14:paraId="10F003D1"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6C772DE9"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TF0A0257</w:t>
            </w:r>
          </w:p>
        </w:tc>
        <w:tc>
          <w:tcPr>
            <w:tcW w:w="2879" w:type="dxa"/>
            <w:tcBorders>
              <w:top w:val="nil"/>
              <w:left w:val="nil"/>
              <w:bottom w:val="single" w:sz="4" w:space="0" w:color="auto"/>
              <w:right w:val="single" w:sz="4" w:space="0" w:color="auto"/>
            </w:tcBorders>
            <w:shd w:val="clear" w:color="auto" w:fill="auto"/>
            <w:hideMark/>
          </w:tcPr>
          <w:p w14:paraId="332928E0"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Mindanao jobs report</w:t>
            </w:r>
          </w:p>
        </w:tc>
        <w:tc>
          <w:tcPr>
            <w:tcW w:w="718" w:type="dxa"/>
            <w:tcBorders>
              <w:top w:val="nil"/>
              <w:left w:val="nil"/>
              <w:bottom w:val="single" w:sz="4" w:space="0" w:color="auto"/>
              <w:right w:val="single" w:sz="4" w:space="0" w:color="auto"/>
            </w:tcBorders>
            <w:shd w:val="clear" w:color="auto" w:fill="auto"/>
            <w:noWrap/>
            <w:hideMark/>
          </w:tcPr>
          <w:p w14:paraId="4D11DC23"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4136FE7C"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P149004</w:t>
            </w:r>
          </w:p>
        </w:tc>
        <w:tc>
          <w:tcPr>
            <w:tcW w:w="1000" w:type="dxa"/>
            <w:tcBorders>
              <w:top w:val="nil"/>
              <w:left w:val="nil"/>
              <w:bottom w:val="single" w:sz="4" w:space="0" w:color="auto"/>
              <w:right w:val="single" w:sz="4" w:space="0" w:color="auto"/>
            </w:tcBorders>
            <w:shd w:val="clear" w:color="auto" w:fill="auto"/>
            <w:noWrap/>
            <w:hideMark/>
          </w:tcPr>
          <w:p w14:paraId="75CDB7BB"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700E7538" w14:textId="288B4D30"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760,995 </w:t>
            </w:r>
          </w:p>
        </w:tc>
        <w:tc>
          <w:tcPr>
            <w:tcW w:w="1240" w:type="dxa"/>
            <w:gridSpan w:val="2"/>
            <w:tcBorders>
              <w:top w:val="nil"/>
              <w:left w:val="nil"/>
              <w:bottom w:val="single" w:sz="4" w:space="0" w:color="auto"/>
              <w:right w:val="single" w:sz="4" w:space="0" w:color="auto"/>
            </w:tcBorders>
            <w:shd w:val="clear" w:color="auto" w:fill="auto"/>
            <w:noWrap/>
            <w:hideMark/>
          </w:tcPr>
          <w:p w14:paraId="75B3E1F2" w14:textId="0AA75010"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491,798 </w:t>
            </w:r>
          </w:p>
        </w:tc>
      </w:tr>
      <w:tr w:rsidR="00401E7F" w:rsidRPr="00BF17B0" w14:paraId="41C12FD4"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62CF28FD"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TF0A0930</w:t>
            </w:r>
          </w:p>
        </w:tc>
        <w:tc>
          <w:tcPr>
            <w:tcW w:w="2879" w:type="dxa"/>
            <w:tcBorders>
              <w:top w:val="nil"/>
              <w:left w:val="nil"/>
              <w:bottom w:val="single" w:sz="4" w:space="0" w:color="auto"/>
              <w:right w:val="single" w:sz="4" w:space="0" w:color="auto"/>
            </w:tcBorders>
            <w:shd w:val="clear" w:color="auto" w:fill="auto"/>
            <w:hideMark/>
          </w:tcPr>
          <w:p w14:paraId="4064575D"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Philippines: Land Conflict in Mindanao</w:t>
            </w:r>
          </w:p>
        </w:tc>
        <w:tc>
          <w:tcPr>
            <w:tcW w:w="718" w:type="dxa"/>
            <w:tcBorders>
              <w:top w:val="nil"/>
              <w:left w:val="nil"/>
              <w:bottom w:val="single" w:sz="4" w:space="0" w:color="auto"/>
              <w:right w:val="single" w:sz="4" w:space="0" w:color="auto"/>
            </w:tcBorders>
            <w:shd w:val="clear" w:color="auto" w:fill="auto"/>
            <w:noWrap/>
            <w:hideMark/>
          </w:tcPr>
          <w:p w14:paraId="64786260"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7962E3AC"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P156212</w:t>
            </w:r>
          </w:p>
        </w:tc>
        <w:tc>
          <w:tcPr>
            <w:tcW w:w="1000" w:type="dxa"/>
            <w:tcBorders>
              <w:top w:val="nil"/>
              <w:left w:val="nil"/>
              <w:bottom w:val="single" w:sz="4" w:space="0" w:color="auto"/>
              <w:right w:val="single" w:sz="4" w:space="0" w:color="auto"/>
            </w:tcBorders>
            <w:shd w:val="clear" w:color="auto" w:fill="auto"/>
            <w:noWrap/>
            <w:hideMark/>
          </w:tcPr>
          <w:p w14:paraId="61C545C7"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6812CCB7" w14:textId="4366E5A4"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264,550 </w:t>
            </w:r>
          </w:p>
        </w:tc>
        <w:tc>
          <w:tcPr>
            <w:tcW w:w="1240" w:type="dxa"/>
            <w:gridSpan w:val="2"/>
            <w:tcBorders>
              <w:top w:val="nil"/>
              <w:left w:val="nil"/>
              <w:bottom w:val="single" w:sz="4" w:space="0" w:color="auto"/>
              <w:right w:val="single" w:sz="4" w:space="0" w:color="auto"/>
            </w:tcBorders>
            <w:shd w:val="clear" w:color="auto" w:fill="auto"/>
            <w:noWrap/>
            <w:hideMark/>
          </w:tcPr>
          <w:p w14:paraId="34447820" w14:textId="41E6D5C1"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208,369 </w:t>
            </w:r>
          </w:p>
        </w:tc>
      </w:tr>
      <w:tr w:rsidR="00401E7F" w:rsidRPr="00BF17B0" w14:paraId="3B552F27"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2B54A771"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TF0A1398</w:t>
            </w:r>
          </w:p>
        </w:tc>
        <w:tc>
          <w:tcPr>
            <w:tcW w:w="2879" w:type="dxa"/>
            <w:tcBorders>
              <w:top w:val="nil"/>
              <w:left w:val="nil"/>
              <w:bottom w:val="single" w:sz="4" w:space="0" w:color="auto"/>
              <w:right w:val="single" w:sz="4" w:space="0" w:color="auto"/>
            </w:tcBorders>
            <w:shd w:val="clear" w:color="auto" w:fill="auto"/>
            <w:hideMark/>
          </w:tcPr>
          <w:p w14:paraId="69A86234" w14:textId="77777777" w:rsidR="00401E7F" w:rsidRPr="00F338BE" w:rsidRDefault="00401E7F" w:rsidP="00D373B0">
            <w:pPr>
              <w:spacing w:after="0"/>
              <w:rPr>
                <w:rFonts w:asciiTheme="minorHAnsi" w:eastAsia="Times New Roman" w:hAnsiTheme="minorHAnsi" w:cstheme="minorHAnsi"/>
                <w:sz w:val="20"/>
                <w:szCs w:val="20"/>
                <w:lang w:val="fr-FR" w:eastAsia="en-GB"/>
              </w:rPr>
            </w:pPr>
            <w:r w:rsidRPr="00F338BE">
              <w:rPr>
                <w:rFonts w:asciiTheme="minorHAnsi" w:eastAsia="Times New Roman" w:hAnsiTheme="minorHAnsi" w:cstheme="minorHAnsi"/>
                <w:sz w:val="20"/>
                <w:szCs w:val="20"/>
                <w:lang w:val="fr-FR" w:eastAsia="en-GB"/>
              </w:rPr>
              <w:t>MILF Ex-Combatants Needs Assessment</w:t>
            </w:r>
          </w:p>
        </w:tc>
        <w:tc>
          <w:tcPr>
            <w:tcW w:w="718" w:type="dxa"/>
            <w:tcBorders>
              <w:top w:val="nil"/>
              <w:left w:val="nil"/>
              <w:bottom w:val="single" w:sz="4" w:space="0" w:color="auto"/>
              <w:right w:val="single" w:sz="4" w:space="0" w:color="auto"/>
            </w:tcBorders>
            <w:shd w:val="clear" w:color="auto" w:fill="auto"/>
            <w:noWrap/>
            <w:hideMark/>
          </w:tcPr>
          <w:p w14:paraId="7BCC6204"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6AD940B1"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P157106</w:t>
            </w:r>
          </w:p>
        </w:tc>
        <w:tc>
          <w:tcPr>
            <w:tcW w:w="1000" w:type="dxa"/>
            <w:tcBorders>
              <w:top w:val="nil"/>
              <w:left w:val="nil"/>
              <w:bottom w:val="single" w:sz="4" w:space="0" w:color="auto"/>
              <w:right w:val="single" w:sz="4" w:space="0" w:color="auto"/>
            </w:tcBorders>
            <w:shd w:val="clear" w:color="auto" w:fill="auto"/>
            <w:noWrap/>
            <w:hideMark/>
          </w:tcPr>
          <w:p w14:paraId="2B93AF47"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5BB7FCB3" w14:textId="3ED58A70"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90,000 </w:t>
            </w:r>
          </w:p>
        </w:tc>
        <w:tc>
          <w:tcPr>
            <w:tcW w:w="1240" w:type="dxa"/>
            <w:gridSpan w:val="2"/>
            <w:tcBorders>
              <w:top w:val="nil"/>
              <w:left w:val="nil"/>
              <w:bottom w:val="single" w:sz="4" w:space="0" w:color="auto"/>
              <w:right w:val="single" w:sz="4" w:space="0" w:color="auto"/>
            </w:tcBorders>
            <w:shd w:val="clear" w:color="auto" w:fill="auto"/>
            <w:noWrap/>
            <w:hideMark/>
          </w:tcPr>
          <w:p w14:paraId="3C664AED" w14:textId="4BB05568"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86,480 </w:t>
            </w:r>
          </w:p>
        </w:tc>
      </w:tr>
      <w:tr w:rsidR="00401E7F" w:rsidRPr="00BF17B0" w14:paraId="25C44786" w14:textId="77777777" w:rsidTr="00382432">
        <w:trPr>
          <w:trHeight w:val="765"/>
        </w:trPr>
        <w:tc>
          <w:tcPr>
            <w:tcW w:w="1383" w:type="dxa"/>
            <w:tcBorders>
              <w:top w:val="nil"/>
              <w:left w:val="single" w:sz="4" w:space="0" w:color="auto"/>
              <w:bottom w:val="single" w:sz="4" w:space="0" w:color="auto"/>
              <w:right w:val="single" w:sz="4" w:space="0" w:color="auto"/>
            </w:tcBorders>
            <w:shd w:val="clear" w:color="auto" w:fill="auto"/>
            <w:noWrap/>
            <w:hideMark/>
          </w:tcPr>
          <w:p w14:paraId="4DFEC8D4"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TF0A6357</w:t>
            </w:r>
          </w:p>
        </w:tc>
        <w:tc>
          <w:tcPr>
            <w:tcW w:w="2879" w:type="dxa"/>
            <w:tcBorders>
              <w:top w:val="nil"/>
              <w:left w:val="nil"/>
              <w:bottom w:val="single" w:sz="4" w:space="0" w:color="auto"/>
              <w:right w:val="single" w:sz="4" w:space="0" w:color="auto"/>
            </w:tcBorders>
            <w:shd w:val="clear" w:color="auto" w:fill="auto"/>
            <w:hideMark/>
          </w:tcPr>
          <w:p w14:paraId="426B48CE"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Dissemination and communications plan for the Mindanao Jobs Report and the World Bank Strategy for Mindanao Regional Development</w:t>
            </w:r>
          </w:p>
        </w:tc>
        <w:tc>
          <w:tcPr>
            <w:tcW w:w="718" w:type="dxa"/>
            <w:tcBorders>
              <w:top w:val="nil"/>
              <w:left w:val="nil"/>
              <w:bottom w:val="single" w:sz="4" w:space="0" w:color="auto"/>
              <w:right w:val="single" w:sz="4" w:space="0" w:color="auto"/>
            </w:tcBorders>
            <w:shd w:val="clear" w:color="auto" w:fill="auto"/>
            <w:noWrap/>
            <w:hideMark/>
          </w:tcPr>
          <w:p w14:paraId="28D4CDDF"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ACTV</w:t>
            </w:r>
          </w:p>
        </w:tc>
        <w:tc>
          <w:tcPr>
            <w:tcW w:w="881" w:type="dxa"/>
            <w:tcBorders>
              <w:top w:val="nil"/>
              <w:left w:val="nil"/>
              <w:bottom w:val="single" w:sz="4" w:space="0" w:color="auto"/>
              <w:right w:val="single" w:sz="4" w:space="0" w:color="auto"/>
            </w:tcBorders>
            <w:shd w:val="clear" w:color="auto" w:fill="auto"/>
            <w:noWrap/>
            <w:hideMark/>
          </w:tcPr>
          <w:p w14:paraId="06EA9EFC"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P166421</w:t>
            </w:r>
          </w:p>
        </w:tc>
        <w:tc>
          <w:tcPr>
            <w:tcW w:w="1000" w:type="dxa"/>
            <w:tcBorders>
              <w:top w:val="nil"/>
              <w:left w:val="nil"/>
              <w:bottom w:val="single" w:sz="4" w:space="0" w:color="auto"/>
              <w:right w:val="single" w:sz="4" w:space="0" w:color="auto"/>
            </w:tcBorders>
            <w:shd w:val="clear" w:color="auto" w:fill="auto"/>
            <w:noWrap/>
            <w:hideMark/>
          </w:tcPr>
          <w:p w14:paraId="71E1DB26"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00A12417" w14:textId="352969CC"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170,000 </w:t>
            </w:r>
          </w:p>
        </w:tc>
        <w:tc>
          <w:tcPr>
            <w:tcW w:w="1240" w:type="dxa"/>
            <w:gridSpan w:val="2"/>
            <w:tcBorders>
              <w:top w:val="nil"/>
              <w:left w:val="nil"/>
              <w:bottom w:val="single" w:sz="4" w:space="0" w:color="auto"/>
              <w:right w:val="single" w:sz="4" w:space="0" w:color="auto"/>
            </w:tcBorders>
            <w:shd w:val="clear" w:color="auto" w:fill="auto"/>
            <w:noWrap/>
            <w:hideMark/>
          </w:tcPr>
          <w:p w14:paraId="40F22D65" w14:textId="5113EB00"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w:t>
            </w:r>
          </w:p>
        </w:tc>
      </w:tr>
      <w:tr w:rsidR="00401E7F" w:rsidRPr="00BF17B0" w14:paraId="63E00EE7" w14:textId="77777777" w:rsidTr="00382432">
        <w:trPr>
          <w:trHeight w:val="510"/>
        </w:trPr>
        <w:tc>
          <w:tcPr>
            <w:tcW w:w="1383" w:type="dxa"/>
            <w:tcBorders>
              <w:top w:val="nil"/>
              <w:left w:val="single" w:sz="4" w:space="0" w:color="auto"/>
              <w:bottom w:val="single" w:sz="4" w:space="0" w:color="auto"/>
              <w:right w:val="single" w:sz="4" w:space="0" w:color="auto"/>
            </w:tcBorders>
            <w:shd w:val="clear" w:color="auto" w:fill="auto"/>
            <w:noWrap/>
            <w:hideMark/>
          </w:tcPr>
          <w:p w14:paraId="75F897B9"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TF0A6571</w:t>
            </w:r>
          </w:p>
        </w:tc>
        <w:tc>
          <w:tcPr>
            <w:tcW w:w="2879" w:type="dxa"/>
            <w:tcBorders>
              <w:top w:val="nil"/>
              <w:left w:val="nil"/>
              <w:bottom w:val="single" w:sz="4" w:space="0" w:color="auto"/>
              <w:right w:val="single" w:sz="4" w:space="0" w:color="auto"/>
            </w:tcBorders>
            <w:shd w:val="clear" w:color="auto" w:fill="auto"/>
            <w:hideMark/>
          </w:tcPr>
          <w:p w14:paraId="4DCF57D0" w14:textId="77777777" w:rsidR="00401E7F"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Skills &amp; Employment for Filipino Youths with Focus on Mindanao</w:t>
            </w:r>
          </w:p>
          <w:p w14:paraId="1593CFF7" w14:textId="77777777" w:rsidR="006B1779" w:rsidRDefault="006B1779" w:rsidP="00D373B0">
            <w:pPr>
              <w:spacing w:after="0"/>
              <w:rPr>
                <w:rFonts w:asciiTheme="minorHAnsi" w:eastAsia="Times New Roman" w:hAnsiTheme="minorHAnsi" w:cstheme="minorHAnsi"/>
                <w:sz w:val="20"/>
                <w:szCs w:val="20"/>
                <w:lang w:eastAsia="en-GB"/>
              </w:rPr>
            </w:pPr>
          </w:p>
          <w:p w14:paraId="5CE18F50" w14:textId="266897C9" w:rsidR="006B1779" w:rsidRPr="00BF17B0" w:rsidRDefault="006B1779" w:rsidP="00D373B0">
            <w:pPr>
              <w:spacing w:after="0"/>
              <w:rPr>
                <w:rFonts w:asciiTheme="minorHAnsi" w:eastAsia="Times New Roman" w:hAnsiTheme="minorHAnsi" w:cstheme="minorHAnsi"/>
                <w:sz w:val="20"/>
                <w:szCs w:val="20"/>
                <w:lang w:eastAsia="en-GB"/>
              </w:rPr>
            </w:pPr>
          </w:p>
        </w:tc>
        <w:tc>
          <w:tcPr>
            <w:tcW w:w="718" w:type="dxa"/>
            <w:tcBorders>
              <w:top w:val="nil"/>
              <w:left w:val="nil"/>
              <w:bottom w:val="single" w:sz="4" w:space="0" w:color="auto"/>
              <w:right w:val="single" w:sz="4" w:space="0" w:color="auto"/>
            </w:tcBorders>
            <w:shd w:val="clear" w:color="auto" w:fill="auto"/>
            <w:noWrap/>
            <w:hideMark/>
          </w:tcPr>
          <w:p w14:paraId="5443DAAF"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ACTV</w:t>
            </w:r>
          </w:p>
        </w:tc>
        <w:tc>
          <w:tcPr>
            <w:tcW w:w="881" w:type="dxa"/>
            <w:tcBorders>
              <w:top w:val="nil"/>
              <w:left w:val="nil"/>
              <w:bottom w:val="single" w:sz="4" w:space="0" w:color="auto"/>
              <w:right w:val="single" w:sz="4" w:space="0" w:color="auto"/>
            </w:tcBorders>
            <w:shd w:val="clear" w:color="auto" w:fill="auto"/>
            <w:noWrap/>
            <w:hideMark/>
          </w:tcPr>
          <w:p w14:paraId="4A29579F"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P162673</w:t>
            </w:r>
          </w:p>
        </w:tc>
        <w:tc>
          <w:tcPr>
            <w:tcW w:w="1000" w:type="dxa"/>
            <w:tcBorders>
              <w:top w:val="nil"/>
              <w:left w:val="nil"/>
              <w:bottom w:val="single" w:sz="4" w:space="0" w:color="auto"/>
              <w:right w:val="single" w:sz="4" w:space="0" w:color="auto"/>
            </w:tcBorders>
            <w:shd w:val="clear" w:color="auto" w:fill="auto"/>
            <w:noWrap/>
            <w:hideMark/>
          </w:tcPr>
          <w:p w14:paraId="2F1345C1"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1167D289" w14:textId="5BF5E1C8"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120,000 </w:t>
            </w:r>
          </w:p>
        </w:tc>
        <w:tc>
          <w:tcPr>
            <w:tcW w:w="1240" w:type="dxa"/>
            <w:gridSpan w:val="2"/>
            <w:tcBorders>
              <w:top w:val="nil"/>
              <w:left w:val="nil"/>
              <w:bottom w:val="single" w:sz="4" w:space="0" w:color="auto"/>
              <w:right w:val="single" w:sz="4" w:space="0" w:color="auto"/>
            </w:tcBorders>
            <w:shd w:val="clear" w:color="auto" w:fill="auto"/>
            <w:noWrap/>
            <w:hideMark/>
          </w:tcPr>
          <w:p w14:paraId="570487F1" w14:textId="042B383E"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w:t>
            </w:r>
          </w:p>
        </w:tc>
      </w:tr>
      <w:tr w:rsidR="00401E7F" w:rsidRPr="00BF17B0" w14:paraId="0394F772" w14:textId="77777777" w:rsidTr="006B1779">
        <w:trPr>
          <w:trHeight w:val="510"/>
        </w:trPr>
        <w:tc>
          <w:tcPr>
            <w:tcW w:w="1383" w:type="dxa"/>
            <w:tcBorders>
              <w:top w:val="nil"/>
              <w:left w:val="single" w:sz="4" w:space="0" w:color="auto"/>
              <w:bottom w:val="single" w:sz="4" w:space="0" w:color="auto"/>
              <w:right w:val="single" w:sz="4" w:space="0" w:color="auto"/>
            </w:tcBorders>
            <w:shd w:val="clear" w:color="auto" w:fill="auto"/>
            <w:noWrap/>
            <w:hideMark/>
          </w:tcPr>
          <w:p w14:paraId="25A89268"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TF0A6624</w:t>
            </w:r>
          </w:p>
        </w:tc>
        <w:tc>
          <w:tcPr>
            <w:tcW w:w="2879" w:type="dxa"/>
            <w:tcBorders>
              <w:top w:val="nil"/>
              <w:left w:val="nil"/>
              <w:bottom w:val="single" w:sz="4" w:space="0" w:color="auto"/>
              <w:right w:val="single" w:sz="4" w:space="0" w:color="auto"/>
            </w:tcBorders>
            <w:shd w:val="clear" w:color="auto" w:fill="auto"/>
            <w:hideMark/>
          </w:tcPr>
          <w:p w14:paraId="4F055521"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Strengthening road connectivity to support agriculture and regional development in Mindanao</w:t>
            </w:r>
          </w:p>
        </w:tc>
        <w:tc>
          <w:tcPr>
            <w:tcW w:w="718" w:type="dxa"/>
            <w:tcBorders>
              <w:top w:val="nil"/>
              <w:left w:val="nil"/>
              <w:bottom w:val="single" w:sz="4" w:space="0" w:color="auto"/>
              <w:right w:val="single" w:sz="4" w:space="0" w:color="auto"/>
            </w:tcBorders>
            <w:shd w:val="clear" w:color="auto" w:fill="auto"/>
            <w:noWrap/>
            <w:hideMark/>
          </w:tcPr>
          <w:p w14:paraId="1A9FB96B"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ACTV</w:t>
            </w:r>
          </w:p>
        </w:tc>
        <w:tc>
          <w:tcPr>
            <w:tcW w:w="881" w:type="dxa"/>
            <w:tcBorders>
              <w:top w:val="nil"/>
              <w:left w:val="nil"/>
              <w:bottom w:val="single" w:sz="4" w:space="0" w:color="auto"/>
              <w:right w:val="single" w:sz="4" w:space="0" w:color="auto"/>
            </w:tcBorders>
            <w:shd w:val="clear" w:color="auto" w:fill="auto"/>
            <w:noWrap/>
            <w:hideMark/>
          </w:tcPr>
          <w:p w14:paraId="7C98FCF5"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P165187</w:t>
            </w:r>
          </w:p>
        </w:tc>
        <w:tc>
          <w:tcPr>
            <w:tcW w:w="1000" w:type="dxa"/>
            <w:tcBorders>
              <w:top w:val="nil"/>
              <w:left w:val="nil"/>
              <w:bottom w:val="single" w:sz="4" w:space="0" w:color="auto"/>
              <w:right w:val="single" w:sz="4" w:space="0" w:color="auto"/>
            </w:tcBorders>
            <w:shd w:val="clear" w:color="auto" w:fill="auto"/>
            <w:noWrap/>
            <w:hideMark/>
          </w:tcPr>
          <w:p w14:paraId="142D40F6"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2721DDE2" w14:textId="36A4141A"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120,000 </w:t>
            </w:r>
          </w:p>
        </w:tc>
        <w:tc>
          <w:tcPr>
            <w:tcW w:w="1240" w:type="dxa"/>
            <w:gridSpan w:val="2"/>
            <w:tcBorders>
              <w:top w:val="nil"/>
              <w:left w:val="nil"/>
              <w:bottom w:val="single" w:sz="4" w:space="0" w:color="auto"/>
              <w:right w:val="single" w:sz="4" w:space="0" w:color="auto"/>
            </w:tcBorders>
            <w:shd w:val="clear" w:color="auto" w:fill="auto"/>
            <w:noWrap/>
          </w:tcPr>
          <w:p w14:paraId="5949E9A3" w14:textId="091962D1" w:rsidR="00401E7F" w:rsidRPr="00BF17B0" w:rsidRDefault="00401E7F" w:rsidP="00D373B0">
            <w:pPr>
              <w:spacing w:after="0"/>
              <w:rPr>
                <w:rFonts w:asciiTheme="minorHAnsi" w:eastAsia="Times New Roman" w:hAnsiTheme="minorHAnsi" w:cstheme="minorHAnsi"/>
                <w:sz w:val="20"/>
                <w:szCs w:val="20"/>
                <w:lang w:eastAsia="en-GB"/>
              </w:rPr>
            </w:pPr>
          </w:p>
        </w:tc>
      </w:tr>
      <w:tr w:rsidR="00401E7F" w:rsidRPr="00BF17B0" w14:paraId="783A2724" w14:textId="77777777" w:rsidTr="006B1779">
        <w:trPr>
          <w:trHeight w:val="510"/>
        </w:trPr>
        <w:tc>
          <w:tcPr>
            <w:tcW w:w="1383" w:type="dxa"/>
            <w:tcBorders>
              <w:top w:val="nil"/>
              <w:left w:val="single" w:sz="4" w:space="0" w:color="auto"/>
              <w:bottom w:val="single" w:sz="4" w:space="0" w:color="auto"/>
              <w:right w:val="single" w:sz="4" w:space="0" w:color="auto"/>
            </w:tcBorders>
            <w:shd w:val="clear" w:color="auto" w:fill="auto"/>
            <w:noWrap/>
            <w:hideMark/>
          </w:tcPr>
          <w:p w14:paraId="04E5931B"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TF0A7095</w:t>
            </w:r>
          </w:p>
        </w:tc>
        <w:tc>
          <w:tcPr>
            <w:tcW w:w="2879" w:type="dxa"/>
            <w:tcBorders>
              <w:top w:val="nil"/>
              <w:left w:val="nil"/>
              <w:bottom w:val="single" w:sz="4" w:space="0" w:color="auto"/>
              <w:right w:val="single" w:sz="4" w:space="0" w:color="auto"/>
            </w:tcBorders>
            <w:shd w:val="clear" w:color="auto" w:fill="auto"/>
            <w:hideMark/>
          </w:tcPr>
          <w:p w14:paraId="6D5A66B1" w14:textId="6D460F77" w:rsidR="00E86018"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Improving Mindanao Business Competitiveness through Better Logistics</w:t>
            </w:r>
          </w:p>
        </w:tc>
        <w:tc>
          <w:tcPr>
            <w:tcW w:w="718" w:type="dxa"/>
            <w:tcBorders>
              <w:top w:val="nil"/>
              <w:left w:val="nil"/>
              <w:bottom w:val="single" w:sz="4" w:space="0" w:color="auto"/>
              <w:right w:val="single" w:sz="4" w:space="0" w:color="auto"/>
            </w:tcBorders>
            <w:shd w:val="clear" w:color="auto" w:fill="auto"/>
            <w:noWrap/>
            <w:hideMark/>
          </w:tcPr>
          <w:p w14:paraId="40228837"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ACTV</w:t>
            </w:r>
          </w:p>
        </w:tc>
        <w:tc>
          <w:tcPr>
            <w:tcW w:w="881" w:type="dxa"/>
            <w:tcBorders>
              <w:top w:val="nil"/>
              <w:left w:val="nil"/>
              <w:bottom w:val="single" w:sz="4" w:space="0" w:color="auto"/>
              <w:right w:val="single" w:sz="4" w:space="0" w:color="auto"/>
            </w:tcBorders>
            <w:shd w:val="clear" w:color="auto" w:fill="auto"/>
            <w:noWrap/>
            <w:hideMark/>
          </w:tcPr>
          <w:p w14:paraId="07D07FD3"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P164669</w:t>
            </w:r>
          </w:p>
        </w:tc>
        <w:tc>
          <w:tcPr>
            <w:tcW w:w="1000" w:type="dxa"/>
            <w:tcBorders>
              <w:top w:val="nil"/>
              <w:left w:val="nil"/>
              <w:bottom w:val="single" w:sz="4" w:space="0" w:color="auto"/>
              <w:right w:val="single" w:sz="4" w:space="0" w:color="auto"/>
            </w:tcBorders>
            <w:shd w:val="clear" w:color="auto" w:fill="auto"/>
            <w:noWrap/>
            <w:hideMark/>
          </w:tcPr>
          <w:p w14:paraId="64C46CF5"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5E94F2C1" w14:textId="552AA9D4"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120,000 </w:t>
            </w:r>
          </w:p>
        </w:tc>
        <w:tc>
          <w:tcPr>
            <w:tcW w:w="1240" w:type="dxa"/>
            <w:gridSpan w:val="2"/>
            <w:tcBorders>
              <w:top w:val="nil"/>
              <w:left w:val="nil"/>
              <w:bottom w:val="single" w:sz="4" w:space="0" w:color="auto"/>
              <w:right w:val="single" w:sz="4" w:space="0" w:color="auto"/>
            </w:tcBorders>
            <w:shd w:val="clear" w:color="auto" w:fill="auto"/>
            <w:noWrap/>
          </w:tcPr>
          <w:p w14:paraId="1331CAB4" w14:textId="2DF0998F" w:rsidR="00401E7F" w:rsidRPr="00BF17B0" w:rsidRDefault="00401E7F" w:rsidP="00D373B0">
            <w:pPr>
              <w:spacing w:after="0"/>
              <w:rPr>
                <w:rFonts w:asciiTheme="minorHAnsi" w:eastAsia="Times New Roman" w:hAnsiTheme="minorHAnsi" w:cstheme="minorHAnsi"/>
                <w:sz w:val="20"/>
                <w:szCs w:val="20"/>
                <w:lang w:eastAsia="en-GB"/>
              </w:rPr>
            </w:pPr>
          </w:p>
        </w:tc>
      </w:tr>
      <w:tr w:rsidR="00401E7F" w:rsidRPr="00BF17B0" w14:paraId="79E9F4D7" w14:textId="77777777" w:rsidTr="006B1779">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69FC826B"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TF0A7987</w:t>
            </w:r>
          </w:p>
        </w:tc>
        <w:tc>
          <w:tcPr>
            <w:tcW w:w="2879" w:type="dxa"/>
            <w:tcBorders>
              <w:top w:val="nil"/>
              <w:left w:val="nil"/>
              <w:bottom w:val="single" w:sz="4" w:space="0" w:color="auto"/>
              <w:right w:val="single" w:sz="4" w:space="0" w:color="auto"/>
            </w:tcBorders>
            <w:shd w:val="clear" w:color="auto" w:fill="auto"/>
            <w:hideMark/>
          </w:tcPr>
          <w:p w14:paraId="6082375F" w14:textId="6125CE4B" w:rsidR="00E86018"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Development and deployment of a Peace Le</w:t>
            </w:r>
            <w:r w:rsidR="006B1779">
              <w:rPr>
                <w:rFonts w:asciiTheme="minorHAnsi" w:eastAsia="Times New Roman" w:hAnsiTheme="minorHAnsi" w:cstheme="minorHAnsi"/>
                <w:sz w:val="20"/>
                <w:szCs w:val="20"/>
                <w:lang w:eastAsia="en-GB"/>
              </w:rPr>
              <w:t>ns</w:t>
            </w:r>
          </w:p>
        </w:tc>
        <w:tc>
          <w:tcPr>
            <w:tcW w:w="718" w:type="dxa"/>
            <w:tcBorders>
              <w:top w:val="nil"/>
              <w:left w:val="nil"/>
              <w:bottom w:val="single" w:sz="4" w:space="0" w:color="auto"/>
              <w:right w:val="single" w:sz="4" w:space="0" w:color="auto"/>
            </w:tcBorders>
            <w:shd w:val="clear" w:color="auto" w:fill="auto"/>
            <w:noWrap/>
            <w:hideMark/>
          </w:tcPr>
          <w:p w14:paraId="7E932B46"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ACTV</w:t>
            </w:r>
          </w:p>
        </w:tc>
        <w:tc>
          <w:tcPr>
            <w:tcW w:w="881" w:type="dxa"/>
            <w:tcBorders>
              <w:top w:val="nil"/>
              <w:left w:val="nil"/>
              <w:bottom w:val="single" w:sz="4" w:space="0" w:color="auto"/>
              <w:right w:val="single" w:sz="4" w:space="0" w:color="auto"/>
            </w:tcBorders>
            <w:shd w:val="clear" w:color="auto" w:fill="auto"/>
            <w:noWrap/>
            <w:hideMark/>
          </w:tcPr>
          <w:p w14:paraId="6EF00E9E"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P164944</w:t>
            </w:r>
          </w:p>
        </w:tc>
        <w:tc>
          <w:tcPr>
            <w:tcW w:w="1000" w:type="dxa"/>
            <w:tcBorders>
              <w:top w:val="nil"/>
              <w:left w:val="nil"/>
              <w:bottom w:val="single" w:sz="4" w:space="0" w:color="auto"/>
              <w:right w:val="single" w:sz="4" w:space="0" w:color="auto"/>
            </w:tcBorders>
            <w:shd w:val="clear" w:color="auto" w:fill="auto"/>
            <w:noWrap/>
            <w:hideMark/>
          </w:tcPr>
          <w:p w14:paraId="0A6DBCB6"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2EED4897" w14:textId="0CF2BE8F"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160,000 </w:t>
            </w:r>
          </w:p>
        </w:tc>
        <w:tc>
          <w:tcPr>
            <w:tcW w:w="1240" w:type="dxa"/>
            <w:gridSpan w:val="2"/>
            <w:tcBorders>
              <w:top w:val="nil"/>
              <w:left w:val="nil"/>
              <w:bottom w:val="single" w:sz="4" w:space="0" w:color="auto"/>
              <w:right w:val="single" w:sz="4" w:space="0" w:color="auto"/>
            </w:tcBorders>
            <w:shd w:val="clear" w:color="auto" w:fill="auto"/>
            <w:noWrap/>
          </w:tcPr>
          <w:p w14:paraId="6006A4B7" w14:textId="023FCE2E" w:rsidR="00401E7F" w:rsidRPr="00BF17B0" w:rsidRDefault="00401E7F" w:rsidP="00D373B0">
            <w:pPr>
              <w:spacing w:after="0"/>
              <w:rPr>
                <w:rFonts w:asciiTheme="minorHAnsi" w:eastAsia="Times New Roman" w:hAnsiTheme="minorHAnsi" w:cstheme="minorHAnsi"/>
                <w:sz w:val="20"/>
                <w:szCs w:val="20"/>
                <w:lang w:eastAsia="en-GB"/>
              </w:rPr>
            </w:pPr>
          </w:p>
        </w:tc>
      </w:tr>
      <w:tr w:rsidR="00401E7F" w:rsidRPr="00BF17B0" w14:paraId="05E55F04" w14:textId="77777777" w:rsidTr="006B1779">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1F62DFAF"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TF0A7097</w:t>
            </w:r>
          </w:p>
        </w:tc>
        <w:tc>
          <w:tcPr>
            <w:tcW w:w="2879" w:type="dxa"/>
            <w:tcBorders>
              <w:top w:val="nil"/>
              <w:left w:val="nil"/>
              <w:bottom w:val="single" w:sz="4" w:space="0" w:color="auto"/>
              <w:right w:val="single" w:sz="4" w:space="0" w:color="auto"/>
            </w:tcBorders>
            <w:shd w:val="clear" w:color="auto" w:fill="auto"/>
            <w:hideMark/>
          </w:tcPr>
          <w:p w14:paraId="436B76FB" w14:textId="69160A1E" w:rsidR="00E86018"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Supporting Normaliz</w:t>
            </w:r>
            <w:r w:rsidR="006B1779">
              <w:rPr>
                <w:rFonts w:asciiTheme="minorHAnsi" w:eastAsia="Times New Roman" w:hAnsiTheme="minorHAnsi" w:cstheme="minorHAnsi"/>
                <w:sz w:val="20"/>
                <w:szCs w:val="20"/>
                <w:lang w:eastAsia="en-GB"/>
              </w:rPr>
              <w:t>ation of Combatants in Mindanao</w:t>
            </w:r>
          </w:p>
        </w:tc>
        <w:tc>
          <w:tcPr>
            <w:tcW w:w="718" w:type="dxa"/>
            <w:tcBorders>
              <w:top w:val="nil"/>
              <w:left w:val="nil"/>
              <w:bottom w:val="single" w:sz="4" w:space="0" w:color="auto"/>
              <w:right w:val="single" w:sz="4" w:space="0" w:color="auto"/>
            </w:tcBorders>
            <w:shd w:val="clear" w:color="auto" w:fill="auto"/>
            <w:noWrap/>
            <w:hideMark/>
          </w:tcPr>
          <w:p w14:paraId="0CC05A45"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ACTV</w:t>
            </w:r>
          </w:p>
        </w:tc>
        <w:tc>
          <w:tcPr>
            <w:tcW w:w="881" w:type="dxa"/>
            <w:tcBorders>
              <w:top w:val="nil"/>
              <w:left w:val="nil"/>
              <w:bottom w:val="single" w:sz="4" w:space="0" w:color="auto"/>
              <w:right w:val="single" w:sz="4" w:space="0" w:color="auto"/>
            </w:tcBorders>
            <w:shd w:val="clear" w:color="auto" w:fill="auto"/>
            <w:noWrap/>
            <w:hideMark/>
          </w:tcPr>
          <w:p w14:paraId="4A53CFCC"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P164944</w:t>
            </w:r>
          </w:p>
        </w:tc>
        <w:tc>
          <w:tcPr>
            <w:tcW w:w="1000" w:type="dxa"/>
            <w:tcBorders>
              <w:top w:val="nil"/>
              <w:left w:val="nil"/>
              <w:bottom w:val="single" w:sz="4" w:space="0" w:color="auto"/>
              <w:right w:val="single" w:sz="4" w:space="0" w:color="auto"/>
            </w:tcBorders>
            <w:shd w:val="clear" w:color="auto" w:fill="auto"/>
            <w:noWrap/>
            <w:hideMark/>
          </w:tcPr>
          <w:p w14:paraId="0C57B0EF"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1B2B82EA" w14:textId="101EEFCA"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120,000 </w:t>
            </w:r>
          </w:p>
        </w:tc>
        <w:tc>
          <w:tcPr>
            <w:tcW w:w="1240" w:type="dxa"/>
            <w:gridSpan w:val="2"/>
            <w:tcBorders>
              <w:top w:val="nil"/>
              <w:left w:val="nil"/>
              <w:bottom w:val="single" w:sz="4" w:space="0" w:color="auto"/>
              <w:right w:val="single" w:sz="4" w:space="0" w:color="auto"/>
            </w:tcBorders>
            <w:shd w:val="clear" w:color="auto" w:fill="auto"/>
            <w:noWrap/>
          </w:tcPr>
          <w:p w14:paraId="6F4A066C" w14:textId="64D57C45" w:rsidR="00401E7F" w:rsidRPr="00BF17B0" w:rsidRDefault="00401E7F" w:rsidP="00D373B0">
            <w:pPr>
              <w:spacing w:after="0"/>
              <w:rPr>
                <w:rFonts w:asciiTheme="minorHAnsi" w:eastAsia="Times New Roman" w:hAnsiTheme="minorHAnsi" w:cstheme="minorHAnsi"/>
                <w:sz w:val="20"/>
                <w:szCs w:val="20"/>
                <w:lang w:eastAsia="en-GB"/>
              </w:rPr>
            </w:pPr>
          </w:p>
        </w:tc>
      </w:tr>
      <w:tr w:rsidR="00401E7F" w:rsidRPr="00BF17B0" w14:paraId="35AFE1B1" w14:textId="77777777" w:rsidTr="00382432">
        <w:trPr>
          <w:trHeight w:val="255"/>
        </w:trPr>
        <w:tc>
          <w:tcPr>
            <w:tcW w:w="1383" w:type="dxa"/>
            <w:tcBorders>
              <w:top w:val="nil"/>
              <w:left w:val="nil"/>
              <w:bottom w:val="single" w:sz="4" w:space="0" w:color="auto"/>
              <w:right w:val="nil"/>
            </w:tcBorders>
            <w:shd w:val="clear" w:color="000000" w:fill="9BC2E6"/>
            <w:hideMark/>
          </w:tcPr>
          <w:p w14:paraId="4B7AC0A5"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2879" w:type="dxa"/>
            <w:tcBorders>
              <w:top w:val="nil"/>
              <w:left w:val="nil"/>
              <w:bottom w:val="single" w:sz="4" w:space="0" w:color="auto"/>
              <w:right w:val="nil"/>
            </w:tcBorders>
            <w:shd w:val="clear" w:color="000000" w:fill="9BC2E6"/>
            <w:hideMark/>
          </w:tcPr>
          <w:p w14:paraId="3F3D4984"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Focus Area 2 Totals</w:t>
            </w:r>
          </w:p>
        </w:tc>
        <w:tc>
          <w:tcPr>
            <w:tcW w:w="718" w:type="dxa"/>
            <w:tcBorders>
              <w:top w:val="nil"/>
              <w:left w:val="nil"/>
              <w:bottom w:val="single" w:sz="4" w:space="0" w:color="auto"/>
              <w:right w:val="nil"/>
            </w:tcBorders>
            <w:shd w:val="clear" w:color="000000" w:fill="9BC2E6"/>
            <w:hideMark/>
          </w:tcPr>
          <w:p w14:paraId="2D3A230C"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881" w:type="dxa"/>
            <w:tcBorders>
              <w:top w:val="nil"/>
              <w:left w:val="nil"/>
              <w:bottom w:val="single" w:sz="4" w:space="0" w:color="auto"/>
              <w:right w:val="single" w:sz="4" w:space="0" w:color="auto"/>
            </w:tcBorders>
            <w:shd w:val="clear" w:color="000000" w:fill="9BC2E6"/>
            <w:hideMark/>
          </w:tcPr>
          <w:p w14:paraId="2A5F51E3"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000" w:type="dxa"/>
            <w:tcBorders>
              <w:top w:val="nil"/>
              <w:left w:val="nil"/>
              <w:bottom w:val="single" w:sz="4" w:space="0" w:color="auto"/>
              <w:right w:val="single" w:sz="4" w:space="0" w:color="auto"/>
            </w:tcBorders>
            <w:shd w:val="clear" w:color="000000" w:fill="9BC2E6"/>
            <w:hideMark/>
          </w:tcPr>
          <w:p w14:paraId="25D532BB"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17" w:type="dxa"/>
            <w:tcBorders>
              <w:top w:val="nil"/>
              <w:left w:val="nil"/>
              <w:bottom w:val="single" w:sz="4" w:space="0" w:color="auto"/>
              <w:right w:val="single" w:sz="4" w:space="0" w:color="auto"/>
            </w:tcBorders>
            <w:shd w:val="clear" w:color="000000" w:fill="9BC2E6"/>
            <w:hideMark/>
          </w:tcPr>
          <w:p w14:paraId="7F07EB6C" w14:textId="290BF778"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2,108,545 </w:t>
            </w:r>
          </w:p>
        </w:tc>
        <w:tc>
          <w:tcPr>
            <w:tcW w:w="1240" w:type="dxa"/>
            <w:gridSpan w:val="2"/>
            <w:tcBorders>
              <w:top w:val="nil"/>
              <w:left w:val="nil"/>
              <w:bottom w:val="single" w:sz="4" w:space="0" w:color="auto"/>
              <w:right w:val="single" w:sz="4" w:space="0" w:color="auto"/>
            </w:tcBorders>
            <w:shd w:val="clear" w:color="000000" w:fill="99CCFF"/>
            <w:hideMark/>
          </w:tcPr>
          <w:p w14:paraId="6DDF96FA" w14:textId="72DFDC02"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w:t>
            </w:r>
            <w:r w:rsidR="00383730">
              <w:rPr>
                <w:rFonts w:asciiTheme="minorHAnsi" w:eastAsia="Times New Roman" w:hAnsiTheme="minorHAnsi" w:cstheme="minorHAnsi"/>
                <w:b/>
                <w:bCs/>
                <w:sz w:val="20"/>
                <w:szCs w:val="20"/>
                <w:lang w:eastAsia="en-GB"/>
              </w:rPr>
              <w:t>969,144</w:t>
            </w:r>
            <w:r w:rsidRPr="00BF17B0">
              <w:rPr>
                <w:rFonts w:asciiTheme="minorHAnsi" w:eastAsia="Times New Roman" w:hAnsiTheme="minorHAnsi" w:cstheme="minorHAnsi"/>
                <w:b/>
                <w:bCs/>
                <w:sz w:val="20"/>
                <w:szCs w:val="20"/>
                <w:lang w:eastAsia="en-GB"/>
              </w:rPr>
              <w:t xml:space="preserve">   </w:t>
            </w:r>
          </w:p>
        </w:tc>
      </w:tr>
      <w:tr w:rsidR="001C5468" w:rsidRPr="00BF17B0" w14:paraId="5C449AE4" w14:textId="77777777" w:rsidTr="00382432">
        <w:trPr>
          <w:trHeight w:val="255"/>
        </w:trPr>
        <w:tc>
          <w:tcPr>
            <w:tcW w:w="4262" w:type="dxa"/>
            <w:gridSpan w:val="2"/>
            <w:tcBorders>
              <w:top w:val="nil"/>
              <w:left w:val="nil"/>
              <w:bottom w:val="single" w:sz="4" w:space="0" w:color="auto"/>
              <w:right w:val="nil"/>
            </w:tcBorders>
            <w:shd w:val="clear" w:color="000000" w:fill="9BC2E6"/>
            <w:hideMark/>
          </w:tcPr>
          <w:p w14:paraId="37721A4B" w14:textId="77777777" w:rsidR="001C5468" w:rsidRPr="00BF17B0" w:rsidRDefault="001C5468" w:rsidP="00635659">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3 Better Service Delivery</w:t>
            </w:r>
          </w:p>
        </w:tc>
        <w:tc>
          <w:tcPr>
            <w:tcW w:w="718" w:type="dxa"/>
            <w:tcBorders>
              <w:top w:val="nil"/>
              <w:left w:val="nil"/>
              <w:bottom w:val="single" w:sz="4" w:space="0" w:color="auto"/>
              <w:right w:val="nil"/>
            </w:tcBorders>
            <w:shd w:val="clear" w:color="000000" w:fill="9BC2E6"/>
            <w:hideMark/>
          </w:tcPr>
          <w:p w14:paraId="2F6784AA" w14:textId="77777777" w:rsidR="001C5468" w:rsidRPr="00BF17B0" w:rsidRDefault="001C5468"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881" w:type="dxa"/>
            <w:tcBorders>
              <w:top w:val="nil"/>
              <w:left w:val="nil"/>
              <w:bottom w:val="single" w:sz="4" w:space="0" w:color="auto"/>
              <w:right w:val="single" w:sz="4" w:space="0" w:color="auto"/>
            </w:tcBorders>
            <w:shd w:val="clear" w:color="000000" w:fill="9BC2E6"/>
            <w:hideMark/>
          </w:tcPr>
          <w:p w14:paraId="31594A4C" w14:textId="77777777" w:rsidR="001C5468" w:rsidRPr="00BF17B0" w:rsidRDefault="001C5468"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000" w:type="dxa"/>
            <w:tcBorders>
              <w:top w:val="nil"/>
              <w:left w:val="nil"/>
              <w:bottom w:val="single" w:sz="4" w:space="0" w:color="auto"/>
              <w:right w:val="single" w:sz="4" w:space="0" w:color="auto"/>
            </w:tcBorders>
            <w:shd w:val="clear" w:color="000000" w:fill="9BC2E6"/>
            <w:hideMark/>
          </w:tcPr>
          <w:p w14:paraId="49840599" w14:textId="77777777" w:rsidR="001C5468" w:rsidRPr="00BF17B0" w:rsidRDefault="001C5468"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17" w:type="dxa"/>
            <w:tcBorders>
              <w:top w:val="nil"/>
              <w:left w:val="nil"/>
              <w:bottom w:val="single" w:sz="4" w:space="0" w:color="auto"/>
              <w:right w:val="single" w:sz="4" w:space="0" w:color="auto"/>
            </w:tcBorders>
            <w:shd w:val="clear" w:color="000000" w:fill="9BC2E6"/>
            <w:hideMark/>
          </w:tcPr>
          <w:p w14:paraId="68D79D10" w14:textId="77777777" w:rsidR="001C5468" w:rsidRPr="00BF17B0" w:rsidRDefault="001C5468"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40" w:type="dxa"/>
            <w:gridSpan w:val="2"/>
            <w:tcBorders>
              <w:top w:val="nil"/>
              <w:left w:val="nil"/>
              <w:bottom w:val="single" w:sz="4" w:space="0" w:color="auto"/>
              <w:right w:val="single" w:sz="4" w:space="0" w:color="auto"/>
            </w:tcBorders>
            <w:shd w:val="clear" w:color="000000" w:fill="99CCFF"/>
            <w:hideMark/>
          </w:tcPr>
          <w:p w14:paraId="32B170E4" w14:textId="77777777" w:rsidR="001C5468" w:rsidRPr="00BF17B0" w:rsidRDefault="001C5468"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r>
      <w:tr w:rsidR="00401E7F" w:rsidRPr="00BF17B0" w14:paraId="4F0F9530" w14:textId="77777777" w:rsidTr="00382432">
        <w:trPr>
          <w:trHeight w:val="255"/>
        </w:trPr>
        <w:tc>
          <w:tcPr>
            <w:tcW w:w="8087" w:type="dxa"/>
            <w:gridSpan w:val="7"/>
            <w:tcBorders>
              <w:top w:val="single" w:sz="4" w:space="0" w:color="auto"/>
              <w:left w:val="nil"/>
              <w:bottom w:val="single" w:sz="4" w:space="0" w:color="auto"/>
              <w:right w:val="single" w:sz="4" w:space="0" w:color="000000"/>
            </w:tcBorders>
            <w:shd w:val="clear" w:color="000000" w:fill="9BC2E6"/>
            <w:hideMark/>
          </w:tcPr>
          <w:p w14:paraId="4EF70248" w14:textId="77777777" w:rsidR="00401E7F" w:rsidRPr="00BF17B0" w:rsidRDefault="00401E7F" w:rsidP="00635659">
            <w:pPr>
              <w:spacing w:after="0"/>
              <w:ind w:left="520" w:hanging="27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3.1 Enhanced education policy formulation and efficient and equitable resource allocation</w:t>
            </w:r>
          </w:p>
        </w:tc>
        <w:tc>
          <w:tcPr>
            <w:tcW w:w="1231" w:type="dxa"/>
            <w:tcBorders>
              <w:top w:val="nil"/>
              <w:left w:val="nil"/>
              <w:bottom w:val="single" w:sz="4" w:space="0" w:color="auto"/>
              <w:right w:val="single" w:sz="4" w:space="0" w:color="auto"/>
            </w:tcBorders>
            <w:shd w:val="clear" w:color="000000" w:fill="99CCFF"/>
            <w:hideMark/>
          </w:tcPr>
          <w:p w14:paraId="751F5BBF"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r>
      <w:tr w:rsidR="00401E7F" w:rsidRPr="00BF17B0" w14:paraId="08F815D2"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23DB345F"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TF099307</w:t>
            </w:r>
          </w:p>
        </w:tc>
        <w:tc>
          <w:tcPr>
            <w:tcW w:w="2879" w:type="dxa"/>
            <w:tcBorders>
              <w:top w:val="nil"/>
              <w:left w:val="nil"/>
              <w:bottom w:val="single" w:sz="4" w:space="0" w:color="auto"/>
              <w:right w:val="single" w:sz="4" w:space="0" w:color="auto"/>
            </w:tcBorders>
            <w:shd w:val="clear" w:color="auto" w:fill="auto"/>
            <w:hideMark/>
          </w:tcPr>
          <w:p w14:paraId="2B74E380"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Basic Education Public Expenditure Review Phase II</w:t>
            </w:r>
          </w:p>
        </w:tc>
        <w:tc>
          <w:tcPr>
            <w:tcW w:w="718" w:type="dxa"/>
            <w:tcBorders>
              <w:top w:val="nil"/>
              <w:left w:val="nil"/>
              <w:bottom w:val="single" w:sz="4" w:space="0" w:color="auto"/>
              <w:right w:val="single" w:sz="4" w:space="0" w:color="auto"/>
            </w:tcBorders>
            <w:shd w:val="clear" w:color="auto" w:fill="auto"/>
            <w:noWrap/>
            <w:hideMark/>
          </w:tcPr>
          <w:p w14:paraId="3E4867D0"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7AC366E2"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P143024</w:t>
            </w:r>
          </w:p>
        </w:tc>
        <w:tc>
          <w:tcPr>
            <w:tcW w:w="1000" w:type="dxa"/>
            <w:tcBorders>
              <w:top w:val="nil"/>
              <w:left w:val="nil"/>
              <w:bottom w:val="single" w:sz="4" w:space="0" w:color="auto"/>
              <w:right w:val="single" w:sz="4" w:space="0" w:color="auto"/>
            </w:tcBorders>
            <w:shd w:val="clear" w:color="auto" w:fill="auto"/>
            <w:noWrap/>
            <w:hideMark/>
          </w:tcPr>
          <w:p w14:paraId="354EE184"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2E2E50B5" w14:textId="77777777"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200,000 </w:t>
            </w:r>
          </w:p>
        </w:tc>
        <w:tc>
          <w:tcPr>
            <w:tcW w:w="1240" w:type="dxa"/>
            <w:gridSpan w:val="2"/>
            <w:tcBorders>
              <w:top w:val="nil"/>
              <w:left w:val="nil"/>
              <w:bottom w:val="single" w:sz="4" w:space="0" w:color="auto"/>
              <w:right w:val="single" w:sz="4" w:space="0" w:color="auto"/>
            </w:tcBorders>
            <w:shd w:val="clear" w:color="auto" w:fill="auto"/>
            <w:noWrap/>
            <w:hideMark/>
          </w:tcPr>
          <w:p w14:paraId="41DAFBBB" w14:textId="1D541C73"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199,082 </w:t>
            </w:r>
          </w:p>
        </w:tc>
      </w:tr>
      <w:tr w:rsidR="00401E7F" w:rsidRPr="00BF17B0" w14:paraId="5F083A09" w14:textId="77777777" w:rsidTr="00382432">
        <w:trPr>
          <w:trHeight w:val="765"/>
        </w:trPr>
        <w:tc>
          <w:tcPr>
            <w:tcW w:w="1383" w:type="dxa"/>
            <w:tcBorders>
              <w:top w:val="nil"/>
              <w:left w:val="single" w:sz="4" w:space="0" w:color="auto"/>
              <w:bottom w:val="single" w:sz="4" w:space="0" w:color="auto"/>
              <w:right w:val="single" w:sz="4" w:space="0" w:color="auto"/>
            </w:tcBorders>
            <w:shd w:val="clear" w:color="auto" w:fill="auto"/>
            <w:noWrap/>
            <w:hideMark/>
          </w:tcPr>
          <w:p w14:paraId="3069C772"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TF015477</w:t>
            </w:r>
          </w:p>
        </w:tc>
        <w:tc>
          <w:tcPr>
            <w:tcW w:w="2879" w:type="dxa"/>
            <w:tcBorders>
              <w:top w:val="nil"/>
              <w:left w:val="nil"/>
              <w:bottom w:val="single" w:sz="4" w:space="0" w:color="auto"/>
              <w:right w:val="single" w:sz="4" w:space="0" w:color="auto"/>
            </w:tcBorders>
            <w:shd w:val="clear" w:color="auto" w:fill="auto"/>
            <w:hideMark/>
          </w:tcPr>
          <w:p w14:paraId="6515360E"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Improving Education Service Delivery and Outcomes through Effective Policies, Resource Allocation and Communications</w:t>
            </w:r>
          </w:p>
        </w:tc>
        <w:tc>
          <w:tcPr>
            <w:tcW w:w="718" w:type="dxa"/>
            <w:tcBorders>
              <w:top w:val="nil"/>
              <w:left w:val="nil"/>
              <w:bottom w:val="single" w:sz="4" w:space="0" w:color="auto"/>
              <w:right w:val="single" w:sz="4" w:space="0" w:color="auto"/>
            </w:tcBorders>
            <w:shd w:val="clear" w:color="auto" w:fill="auto"/>
            <w:noWrap/>
            <w:hideMark/>
          </w:tcPr>
          <w:p w14:paraId="79C7A886"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7B991D07"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P147302</w:t>
            </w:r>
          </w:p>
        </w:tc>
        <w:tc>
          <w:tcPr>
            <w:tcW w:w="1000" w:type="dxa"/>
            <w:tcBorders>
              <w:top w:val="nil"/>
              <w:left w:val="nil"/>
              <w:bottom w:val="single" w:sz="4" w:space="0" w:color="auto"/>
              <w:right w:val="single" w:sz="4" w:space="0" w:color="auto"/>
            </w:tcBorders>
            <w:shd w:val="clear" w:color="auto" w:fill="auto"/>
            <w:noWrap/>
            <w:hideMark/>
          </w:tcPr>
          <w:p w14:paraId="3BFB9B97"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3E8CC80C" w14:textId="77777777"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890,000 </w:t>
            </w:r>
          </w:p>
        </w:tc>
        <w:tc>
          <w:tcPr>
            <w:tcW w:w="1240" w:type="dxa"/>
            <w:gridSpan w:val="2"/>
            <w:tcBorders>
              <w:top w:val="nil"/>
              <w:left w:val="nil"/>
              <w:bottom w:val="single" w:sz="4" w:space="0" w:color="auto"/>
              <w:right w:val="single" w:sz="4" w:space="0" w:color="auto"/>
            </w:tcBorders>
            <w:shd w:val="clear" w:color="auto" w:fill="auto"/>
            <w:noWrap/>
            <w:hideMark/>
          </w:tcPr>
          <w:p w14:paraId="39E3462F" w14:textId="6AB05813"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755,798 </w:t>
            </w:r>
          </w:p>
        </w:tc>
      </w:tr>
      <w:tr w:rsidR="00401E7F" w:rsidRPr="00BF17B0" w14:paraId="491C54B6"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59A7579D"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TF015584</w:t>
            </w:r>
          </w:p>
        </w:tc>
        <w:tc>
          <w:tcPr>
            <w:tcW w:w="2879" w:type="dxa"/>
            <w:tcBorders>
              <w:top w:val="nil"/>
              <w:left w:val="nil"/>
              <w:bottom w:val="single" w:sz="4" w:space="0" w:color="auto"/>
              <w:right w:val="single" w:sz="4" w:space="0" w:color="auto"/>
            </w:tcBorders>
            <w:shd w:val="clear" w:color="auto" w:fill="auto"/>
            <w:hideMark/>
          </w:tcPr>
          <w:p w14:paraId="03D914E7"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Basic Education PETS-QSDS</w:t>
            </w:r>
          </w:p>
        </w:tc>
        <w:tc>
          <w:tcPr>
            <w:tcW w:w="718" w:type="dxa"/>
            <w:tcBorders>
              <w:top w:val="nil"/>
              <w:left w:val="nil"/>
              <w:bottom w:val="single" w:sz="4" w:space="0" w:color="auto"/>
              <w:right w:val="single" w:sz="4" w:space="0" w:color="auto"/>
            </w:tcBorders>
            <w:shd w:val="clear" w:color="auto" w:fill="auto"/>
            <w:noWrap/>
            <w:hideMark/>
          </w:tcPr>
          <w:p w14:paraId="3A03A6DA"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3924D73B"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P146303</w:t>
            </w:r>
          </w:p>
        </w:tc>
        <w:tc>
          <w:tcPr>
            <w:tcW w:w="1000" w:type="dxa"/>
            <w:tcBorders>
              <w:top w:val="nil"/>
              <w:left w:val="nil"/>
              <w:bottom w:val="single" w:sz="4" w:space="0" w:color="auto"/>
              <w:right w:val="single" w:sz="4" w:space="0" w:color="auto"/>
            </w:tcBorders>
            <w:shd w:val="clear" w:color="auto" w:fill="auto"/>
            <w:noWrap/>
            <w:hideMark/>
          </w:tcPr>
          <w:p w14:paraId="5561CAB3"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23AA0DD2" w14:textId="661777B0"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920,000 </w:t>
            </w:r>
          </w:p>
        </w:tc>
        <w:tc>
          <w:tcPr>
            <w:tcW w:w="1240" w:type="dxa"/>
            <w:gridSpan w:val="2"/>
            <w:tcBorders>
              <w:top w:val="nil"/>
              <w:left w:val="nil"/>
              <w:bottom w:val="single" w:sz="4" w:space="0" w:color="auto"/>
              <w:right w:val="single" w:sz="4" w:space="0" w:color="auto"/>
            </w:tcBorders>
            <w:shd w:val="clear" w:color="auto" w:fill="auto"/>
            <w:noWrap/>
            <w:hideMark/>
          </w:tcPr>
          <w:p w14:paraId="4DE0EE21" w14:textId="667E959A"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868,718 </w:t>
            </w:r>
          </w:p>
        </w:tc>
      </w:tr>
      <w:tr w:rsidR="00401E7F" w:rsidRPr="00BF17B0" w14:paraId="4A813FCE"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5EEA9319"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TF019015</w:t>
            </w:r>
          </w:p>
        </w:tc>
        <w:tc>
          <w:tcPr>
            <w:tcW w:w="2879" w:type="dxa"/>
            <w:tcBorders>
              <w:top w:val="nil"/>
              <w:left w:val="nil"/>
              <w:bottom w:val="single" w:sz="4" w:space="0" w:color="auto"/>
              <w:right w:val="single" w:sz="4" w:space="0" w:color="auto"/>
            </w:tcBorders>
            <w:shd w:val="clear" w:color="auto" w:fill="auto"/>
            <w:hideMark/>
          </w:tcPr>
          <w:p w14:paraId="6819FCC6"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Philippines STEP</w:t>
            </w:r>
          </w:p>
        </w:tc>
        <w:tc>
          <w:tcPr>
            <w:tcW w:w="718" w:type="dxa"/>
            <w:tcBorders>
              <w:top w:val="nil"/>
              <w:left w:val="nil"/>
              <w:bottom w:val="single" w:sz="4" w:space="0" w:color="auto"/>
              <w:right w:val="single" w:sz="4" w:space="0" w:color="auto"/>
            </w:tcBorders>
            <w:shd w:val="clear" w:color="auto" w:fill="auto"/>
            <w:noWrap/>
            <w:hideMark/>
          </w:tcPr>
          <w:p w14:paraId="480317D6"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39B659C3"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P146306</w:t>
            </w:r>
          </w:p>
        </w:tc>
        <w:tc>
          <w:tcPr>
            <w:tcW w:w="1000" w:type="dxa"/>
            <w:tcBorders>
              <w:top w:val="nil"/>
              <w:left w:val="nil"/>
              <w:bottom w:val="single" w:sz="4" w:space="0" w:color="auto"/>
              <w:right w:val="single" w:sz="4" w:space="0" w:color="auto"/>
            </w:tcBorders>
            <w:shd w:val="clear" w:color="auto" w:fill="auto"/>
            <w:noWrap/>
            <w:hideMark/>
          </w:tcPr>
          <w:p w14:paraId="239E72B2"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10A2DCE0" w14:textId="122FE50D"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700,000 </w:t>
            </w:r>
          </w:p>
        </w:tc>
        <w:tc>
          <w:tcPr>
            <w:tcW w:w="1240" w:type="dxa"/>
            <w:gridSpan w:val="2"/>
            <w:tcBorders>
              <w:top w:val="nil"/>
              <w:left w:val="nil"/>
              <w:bottom w:val="single" w:sz="4" w:space="0" w:color="auto"/>
              <w:right w:val="single" w:sz="4" w:space="0" w:color="auto"/>
            </w:tcBorders>
            <w:shd w:val="clear" w:color="auto" w:fill="auto"/>
            <w:noWrap/>
            <w:hideMark/>
          </w:tcPr>
          <w:p w14:paraId="5300386B" w14:textId="1A9F923D"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700,000 </w:t>
            </w:r>
          </w:p>
        </w:tc>
      </w:tr>
      <w:tr w:rsidR="00401E7F" w:rsidRPr="00BF17B0" w14:paraId="1B5A1EEC" w14:textId="77777777" w:rsidTr="00382432">
        <w:trPr>
          <w:trHeight w:val="510"/>
        </w:trPr>
        <w:tc>
          <w:tcPr>
            <w:tcW w:w="1383" w:type="dxa"/>
            <w:tcBorders>
              <w:top w:val="nil"/>
              <w:left w:val="single" w:sz="4" w:space="0" w:color="auto"/>
              <w:bottom w:val="single" w:sz="4" w:space="0" w:color="auto"/>
              <w:right w:val="single" w:sz="4" w:space="0" w:color="auto"/>
            </w:tcBorders>
            <w:shd w:val="clear" w:color="auto" w:fill="auto"/>
            <w:noWrap/>
            <w:hideMark/>
          </w:tcPr>
          <w:p w14:paraId="5B79A0FE"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TF0A6296</w:t>
            </w:r>
          </w:p>
        </w:tc>
        <w:tc>
          <w:tcPr>
            <w:tcW w:w="2879" w:type="dxa"/>
            <w:tcBorders>
              <w:top w:val="nil"/>
              <w:left w:val="nil"/>
              <w:bottom w:val="single" w:sz="4" w:space="0" w:color="auto"/>
              <w:right w:val="single" w:sz="4" w:space="0" w:color="auto"/>
            </w:tcBorders>
            <w:shd w:val="clear" w:color="auto" w:fill="auto"/>
            <w:hideMark/>
          </w:tcPr>
          <w:p w14:paraId="64222456"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Teacher Pedagogical Knowledge in the Mindanao Classroom</w:t>
            </w:r>
          </w:p>
        </w:tc>
        <w:tc>
          <w:tcPr>
            <w:tcW w:w="718" w:type="dxa"/>
            <w:tcBorders>
              <w:top w:val="nil"/>
              <w:left w:val="nil"/>
              <w:bottom w:val="single" w:sz="4" w:space="0" w:color="auto"/>
              <w:right w:val="single" w:sz="4" w:space="0" w:color="auto"/>
            </w:tcBorders>
            <w:shd w:val="clear" w:color="auto" w:fill="auto"/>
            <w:noWrap/>
            <w:hideMark/>
          </w:tcPr>
          <w:p w14:paraId="0CD8DEF2"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ACTV</w:t>
            </w:r>
          </w:p>
        </w:tc>
        <w:tc>
          <w:tcPr>
            <w:tcW w:w="881" w:type="dxa"/>
            <w:tcBorders>
              <w:top w:val="nil"/>
              <w:left w:val="nil"/>
              <w:bottom w:val="single" w:sz="4" w:space="0" w:color="auto"/>
              <w:right w:val="single" w:sz="4" w:space="0" w:color="auto"/>
            </w:tcBorders>
            <w:shd w:val="clear" w:color="auto" w:fill="auto"/>
            <w:noWrap/>
            <w:hideMark/>
          </w:tcPr>
          <w:p w14:paraId="76EDAC5F"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P164765</w:t>
            </w:r>
          </w:p>
        </w:tc>
        <w:tc>
          <w:tcPr>
            <w:tcW w:w="1000" w:type="dxa"/>
            <w:tcBorders>
              <w:top w:val="nil"/>
              <w:left w:val="nil"/>
              <w:bottom w:val="single" w:sz="4" w:space="0" w:color="auto"/>
              <w:right w:val="single" w:sz="4" w:space="0" w:color="auto"/>
            </w:tcBorders>
            <w:shd w:val="clear" w:color="auto" w:fill="auto"/>
            <w:noWrap/>
            <w:hideMark/>
          </w:tcPr>
          <w:p w14:paraId="16FABD23"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2C36AEAC" w14:textId="59086653"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120,000 </w:t>
            </w:r>
          </w:p>
        </w:tc>
        <w:tc>
          <w:tcPr>
            <w:tcW w:w="1240" w:type="dxa"/>
            <w:gridSpan w:val="2"/>
            <w:tcBorders>
              <w:top w:val="nil"/>
              <w:left w:val="nil"/>
              <w:bottom w:val="single" w:sz="4" w:space="0" w:color="auto"/>
              <w:right w:val="single" w:sz="4" w:space="0" w:color="auto"/>
            </w:tcBorders>
            <w:shd w:val="clear" w:color="auto" w:fill="auto"/>
            <w:noWrap/>
            <w:hideMark/>
          </w:tcPr>
          <w:p w14:paraId="48D7D6D9" w14:textId="5AF06368"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w:t>
            </w:r>
          </w:p>
        </w:tc>
      </w:tr>
      <w:tr w:rsidR="00401E7F" w:rsidRPr="00BF17B0" w14:paraId="0D842BA3" w14:textId="77777777" w:rsidTr="00382432">
        <w:trPr>
          <w:trHeight w:val="255"/>
        </w:trPr>
        <w:tc>
          <w:tcPr>
            <w:tcW w:w="1383" w:type="dxa"/>
            <w:tcBorders>
              <w:top w:val="nil"/>
              <w:left w:val="nil"/>
              <w:bottom w:val="single" w:sz="4" w:space="0" w:color="auto"/>
              <w:right w:val="nil"/>
            </w:tcBorders>
            <w:shd w:val="clear" w:color="000000" w:fill="9BC2E6"/>
            <w:hideMark/>
          </w:tcPr>
          <w:p w14:paraId="6B610046"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Subtotals</w:t>
            </w:r>
          </w:p>
        </w:tc>
        <w:tc>
          <w:tcPr>
            <w:tcW w:w="2879" w:type="dxa"/>
            <w:tcBorders>
              <w:top w:val="nil"/>
              <w:left w:val="nil"/>
              <w:bottom w:val="single" w:sz="4" w:space="0" w:color="auto"/>
              <w:right w:val="nil"/>
            </w:tcBorders>
            <w:shd w:val="clear" w:color="auto" w:fill="auto"/>
            <w:hideMark/>
          </w:tcPr>
          <w:p w14:paraId="035474A5"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718" w:type="dxa"/>
            <w:tcBorders>
              <w:top w:val="nil"/>
              <w:left w:val="nil"/>
              <w:bottom w:val="single" w:sz="4" w:space="0" w:color="auto"/>
              <w:right w:val="nil"/>
            </w:tcBorders>
            <w:shd w:val="clear" w:color="auto" w:fill="auto"/>
            <w:hideMark/>
          </w:tcPr>
          <w:p w14:paraId="5A0B911E"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881" w:type="dxa"/>
            <w:tcBorders>
              <w:top w:val="nil"/>
              <w:left w:val="nil"/>
              <w:bottom w:val="single" w:sz="4" w:space="0" w:color="auto"/>
              <w:right w:val="nil"/>
            </w:tcBorders>
            <w:shd w:val="clear" w:color="auto" w:fill="auto"/>
            <w:hideMark/>
          </w:tcPr>
          <w:p w14:paraId="08CB0811"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000" w:type="dxa"/>
            <w:tcBorders>
              <w:top w:val="nil"/>
              <w:left w:val="nil"/>
              <w:bottom w:val="single" w:sz="4" w:space="0" w:color="auto"/>
              <w:right w:val="nil"/>
            </w:tcBorders>
            <w:shd w:val="clear" w:color="auto" w:fill="auto"/>
            <w:hideMark/>
          </w:tcPr>
          <w:p w14:paraId="70012853"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217" w:type="dxa"/>
            <w:tcBorders>
              <w:top w:val="nil"/>
              <w:left w:val="nil"/>
              <w:bottom w:val="single" w:sz="4" w:space="0" w:color="auto"/>
              <w:right w:val="single" w:sz="4" w:space="0" w:color="auto"/>
            </w:tcBorders>
            <w:shd w:val="clear" w:color="000000" w:fill="9BC2E6"/>
            <w:hideMark/>
          </w:tcPr>
          <w:p w14:paraId="7774E22C" w14:textId="77777777"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2,830,000 </w:t>
            </w:r>
          </w:p>
        </w:tc>
        <w:tc>
          <w:tcPr>
            <w:tcW w:w="1240" w:type="dxa"/>
            <w:gridSpan w:val="2"/>
            <w:tcBorders>
              <w:top w:val="nil"/>
              <w:left w:val="nil"/>
              <w:bottom w:val="single" w:sz="4" w:space="0" w:color="auto"/>
              <w:right w:val="single" w:sz="4" w:space="0" w:color="auto"/>
            </w:tcBorders>
            <w:shd w:val="clear" w:color="000000" w:fill="9BC2E6"/>
            <w:hideMark/>
          </w:tcPr>
          <w:p w14:paraId="5A15B316" w14:textId="20E793A5" w:rsidR="00E24556" w:rsidRPr="00BF17B0" w:rsidRDefault="00401E7F" w:rsidP="00E86018">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w:t>
            </w:r>
            <w:r w:rsidR="00383730">
              <w:rPr>
                <w:rFonts w:asciiTheme="minorHAnsi" w:eastAsia="Times New Roman" w:hAnsiTheme="minorHAnsi" w:cstheme="minorHAnsi"/>
                <w:b/>
                <w:bCs/>
                <w:sz w:val="20"/>
                <w:szCs w:val="20"/>
                <w:lang w:eastAsia="en-GB"/>
              </w:rPr>
              <w:t>2,523,599</w:t>
            </w:r>
          </w:p>
        </w:tc>
      </w:tr>
      <w:tr w:rsidR="00401E7F" w:rsidRPr="00BF17B0" w14:paraId="17928085" w14:textId="77777777" w:rsidTr="00382432">
        <w:trPr>
          <w:trHeight w:val="255"/>
        </w:trPr>
        <w:tc>
          <w:tcPr>
            <w:tcW w:w="8087" w:type="dxa"/>
            <w:gridSpan w:val="7"/>
            <w:tcBorders>
              <w:top w:val="single" w:sz="4" w:space="0" w:color="auto"/>
              <w:left w:val="nil"/>
              <w:bottom w:val="single" w:sz="4" w:space="0" w:color="auto"/>
              <w:right w:val="single" w:sz="4" w:space="0" w:color="000000"/>
            </w:tcBorders>
            <w:shd w:val="clear" w:color="000000" w:fill="9BC2E6"/>
            <w:hideMark/>
          </w:tcPr>
          <w:p w14:paraId="228ABB1F" w14:textId="77777777" w:rsidR="00401E7F" w:rsidRPr="00BF17B0" w:rsidRDefault="00401E7F" w:rsidP="00635659">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3.2 Improved accountability, inclusiveness and service delivery capacity at sub national level</w:t>
            </w:r>
          </w:p>
        </w:tc>
        <w:tc>
          <w:tcPr>
            <w:tcW w:w="1231" w:type="dxa"/>
            <w:tcBorders>
              <w:top w:val="nil"/>
              <w:left w:val="nil"/>
              <w:bottom w:val="single" w:sz="4" w:space="0" w:color="auto"/>
              <w:right w:val="single" w:sz="4" w:space="0" w:color="auto"/>
            </w:tcBorders>
            <w:shd w:val="clear" w:color="000000" w:fill="99CCFF"/>
            <w:hideMark/>
          </w:tcPr>
          <w:p w14:paraId="3F3962DD"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r>
      <w:tr w:rsidR="00401E7F" w:rsidRPr="00BF17B0" w14:paraId="42FD8F94"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6A5925B0"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TF011929</w:t>
            </w:r>
          </w:p>
        </w:tc>
        <w:tc>
          <w:tcPr>
            <w:tcW w:w="2879" w:type="dxa"/>
            <w:tcBorders>
              <w:top w:val="nil"/>
              <w:left w:val="nil"/>
              <w:bottom w:val="single" w:sz="4" w:space="0" w:color="auto"/>
              <w:right w:val="single" w:sz="4" w:space="0" w:color="auto"/>
            </w:tcBorders>
            <w:shd w:val="clear" w:color="auto" w:fill="auto"/>
            <w:hideMark/>
          </w:tcPr>
          <w:p w14:paraId="7907B3B1"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Mindanao Rural Development Project Phase II</w:t>
            </w:r>
          </w:p>
        </w:tc>
        <w:tc>
          <w:tcPr>
            <w:tcW w:w="718" w:type="dxa"/>
            <w:tcBorders>
              <w:top w:val="nil"/>
              <w:left w:val="nil"/>
              <w:bottom w:val="single" w:sz="4" w:space="0" w:color="auto"/>
              <w:right w:val="single" w:sz="4" w:space="0" w:color="auto"/>
            </w:tcBorders>
            <w:shd w:val="clear" w:color="auto" w:fill="auto"/>
            <w:noWrap/>
            <w:hideMark/>
          </w:tcPr>
          <w:p w14:paraId="37857693"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1622C730"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P084967</w:t>
            </w:r>
          </w:p>
        </w:tc>
        <w:tc>
          <w:tcPr>
            <w:tcW w:w="1000" w:type="dxa"/>
            <w:tcBorders>
              <w:top w:val="nil"/>
              <w:left w:val="nil"/>
              <w:bottom w:val="single" w:sz="4" w:space="0" w:color="auto"/>
              <w:right w:val="single" w:sz="4" w:space="0" w:color="auto"/>
            </w:tcBorders>
            <w:shd w:val="clear" w:color="auto" w:fill="auto"/>
            <w:noWrap/>
            <w:hideMark/>
          </w:tcPr>
          <w:p w14:paraId="4F40317C"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RE</w:t>
            </w:r>
          </w:p>
        </w:tc>
        <w:tc>
          <w:tcPr>
            <w:tcW w:w="1217" w:type="dxa"/>
            <w:tcBorders>
              <w:top w:val="nil"/>
              <w:left w:val="nil"/>
              <w:bottom w:val="single" w:sz="4" w:space="0" w:color="auto"/>
              <w:right w:val="single" w:sz="4" w:space="0" w:color="auto"/>
            </w:tcBorders>
            <w:shd w:val="clear" w:color="auto" w:fill="auto"/>
            <w:noWrap/>
            <w:hideMark/>
          </w:tcPr>
          <w:p w14:paraId="6CB752F6" w14:textId="2CA2186B"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3,000,000 </w:t>
            </w:r>
          </w:p>
        </w:tc>
        <w:tc>
          <w:tcPr>
            <w:tcW w:w="1240" w:type="dxa"/>
            <w:gridSpan w:val="2"/>
            <w:tcBorders>
              <w:top w:val="nil"/>
              <w:left w:val="nil"/>
              <w:bottom w:val="single" w:sz="4" w:space="0" w:color="auto"/>
              <w:right w:val="single" w:sz="4" w:space="0" w:color="auto"/>
            </w:tcBorders>
            <w:shd w:val="clear" w:color="auto" w:fill="auto"/>
            <w:noWrap/>
            <w:hideMark/>
          </w:tcPr>
          <w:p w14:paraId="4FF69D4E" w14:textId="29F70036"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2,687,170 </w:t>
            </w:r>
          </w:p>
        </w:tc>
      </w:tr>
      <w:tr w:rsidR="00401E7F" w:rsidRPr="00BF17B0" w14:paraId="0FEF1561" w14:textId="77777777" w:rsidTr="00382432">
        <w:trPr>
          <w:trHeight w:val="765"/>
        </w:trPr>
        <w:tc>
          <w:tcPr>
            <w:tcW w:w="1383" w:type="dxa"/>
            <w:tcBorders>
              <w:top w:val="nil"/>
              <w:left w:val="single" w:sz="4" w:space="0" w:color="auto"/>
              <w:bottom w:val="single" w:sz="4" w:space="0" w:color="auto"/>
              <w:right w:val="single" w:sz="4" w:space="0" w:color="auto"/>
            </w:tcBorders>
            <w:shd w:val="clear" w:color="auto" w:fill="auto"/>
            <w:noWrap/>
            <w:hideMark/>
          </w:tcPr>
          <w:p w14:paraId="1479FD3B"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TF012170</w:t>
            </w:r>
          </w:p>
        </w:tc>
        <w:tc>
          <w:tcPr>
            <w:tcW w:w="2879" w:type="dxa"/>
            <w:tcBorders>
              <w:top w:val="nil"/>
              <w:left w:val="nil"/>
              <w:bottom w:val="single" w:sz="4" w:space="0" w:color="auto"/>
              <w:right w:val="single" w:sz="4" w:space="0" w:color="auto"/>
            </w:tcBorders>
            <w:shd w:val="clear" w:color="auto" w:fill="auto"/>
            <w:hideMark/>
          </w:tcPr>
          <w:p w14:paraId="26F47975"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Supervision for the TA on Governance Reforms Supporting Frontline Agricultural and Investments Delivery under MRDP2</w:t>
            </w:r>
          </w:p>
        </w:tc>
        <w:tc>
          <w:tcPr>
            <w:tcW w:w="718" w:type="dxa"/>
            <w:tcBorders>
              <w:top w:val="nil"/>
              <w:left w:val="nil"/>
              <w:bottom w:val="single" w:sz="4" w:space="0" w:color="auto"/>
              <w:right w:val="single" w:sz="4" w:space="0" w:color="auto"/>
            </w:tcBorders>
            <w:shd w:val="clear" w:color="auto" w:fill="auto"/>
            <w:noWrap/>
            <w:hideMark/>
          </w:tcPr>
          <w:p w14:paraId="0BE439C0"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4D882FB9"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P084967</w:t>
            </w:r>
          </w:p>
        </w:tc>
        <w:tc>
          <w:tcPr>
            <w:tcW w:w="1000" w:type="dxa"/>
            <w:tcBorders>
              <w:top w:val="nil"/>
              <w:left w:val="nil"/>
              <w:bottom w:val="single" w:sz="4" w:space="0" w:color="auto"/>
              <w:right w:val="single" w:sz="4" w:space="0" w:color="auto"/>
            </w:tcBorders>
            <w:shd w:val="clear" w:color="auto" w:fill="auto"/>
            <w:noWrap/>
            <w:hideMark/>
          </w:tcPr>
          <w:p w14:paraId="7C9BB627"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7CA7F039" w14:textId="58CDFC3A"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90,000 </w:t>
            </w:r>
          </w:p>
        </w:tc>
        <w:tc>
          <w:tcPr>
            <w:tcW w:w="1240" w:type="dxa"/>
            <w:gridSpan w:val="2"/>
            <w:tcBorders>
              <w:top w:val="nil"/>
              <w:left w:val="nil"/>
              <w:bottom w:val="single" w:sz="4" w:space="0" w:color="auto"/>
              <w:right w:val="single" w:sz="4" w:space="0" w:color="auto"/>
            </w:tcBorders>
            <w:shd w:val="clear" w:color="auto" w:fill="auto"/>
            <w:noWrap/>
            <w:hideMark/>
          </w:tcPr>
          <w:p w14:paraId="51B7B6DD" w14:textId="74994213"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78,606 </w:t>
            </w:r>
          </w:p>
        </w:tc>
      </w:tr>
      <w:tr w:rsidR="00640EC8" w:rsidRPr="00BF17B0" w14:paraId="4B91B492" w14:textId="77777777" w:rsidTr="00382432">
        <w:trPr>
          <w:trHeight w:val="765"/>
        </w:trPr>
        <w:tc>
          <w:tcPr>
            <w:tcW w:w="1383" w:type="dxa"/>
            <w:tcBorders>
              <w:top w:val="nil"/>
              <w:left w:val="single" w:sz="4" w:space="0" w:color="auto"/>
              <w:bottom w:val="single" w:sz="4" w:space="0" w:color="auto"/>
              <w:right w:val="single" w:sz="4" w:space="0" w:color="auto"/>
            </w:tcBorders>
            <w:shd w:val="clear" w:color="auto" w:fill="auto"/>
            <w:noWrap/>
            <w:hideMark/>
          </w:tcPr>
          <w:p w14:paraId="6213DC97"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TF011939</w:t>
            </w:r>
          </w:p>
        </w:tc>
        <w:tc>
          <w:tcPr>
            <w:tcW w:w="2879" w:type="dxa"/>
            <w:tcBorders>
              <w:top w:val="nil"/>
              <w:left w:val="nil"/>
              <w:bottom w:val="single" w:sz="4" w:space="0" w:color="auto"/>
              <w:right w:val="single" w:sz="4" w:space="0" w:color="auto"/>
            </w:tcBorders>
            <w:shd w:val="clear" w:color="auto" w:fill="auto"/>
            <w:hideMark/>
          </w:tcPr>
          <w:p w14:paraId="2F026918"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Co-financing for Kapit</w:t>
            </w:r>
            <w:r w:rsidR="00640EC8" w:rsidRPr="00BF17B0">
              <w:rPr>
                <w:rFonts w:asciiTheme="minorHAnsi" w:eastAsia="Times New Roman" w:hAnsiTheme="minorHAnsi" w:cstheme="minorHAnsi"/>
                <w:sz w:val="20"/>
                <w:szCs w:val="20"/>
                <w:lang w:eastAsia="en-GB"/>
              </w:rPr>
              <w:t>-B</w:t>
            </w:r>
            <w:r w:rsidRPr="00BF17B0">
              <w:rPr>
                <w:rFonts w:asciiTheme="minorHAnsi" w:eastAsia="Times New Roman" w:hAnsiTheme="minorHAnsi" w:cstheme="minorHAnsi"/>
                <w:sz w:val="20"/>
                <w:szCs w:val="20"/>
                <w:lang w:eastAsia="en-GB"/>
              </w:rPr>
              <w:t xml:space="preserve">isig Laban Sa Kahirapan </w:t>
            </w:r>
            <w:r w:rsidR="00CF2AA8" w:rsidRPr="00BF17B0">
              <w:rPr>
                <w:rFonts w:asciiTheme="minorHAnsi" w:eastAsia="Times New Roman" w:hAnsiTheme="minorHAnsi" w:cstheme="minorHAnsi"/>
                <w:sz w:val="20"/>
                <w:szCs w:val="20"/>
                <w:lang w:eastAsia="en-GB"/>
              </w:rPr>
              <w:t>Comprehensive</w:t>
            </w:r>
            <w:r w:rsidRPr="00BF17B0">
              <w:rPr>
                <w:rFonts w:asciiTheme="minorHAnsi" w:eastAsia="Times New Roman" w:hAnsiTheme="minorHAnsi" w:cstheme="minorHAnsi"/>
                <w:sz w:val="20"/>
                <w:szCs w:val="20"/>
                <w:lang w:eastAsia="en-GB"/>
              </w:rPr>
              <w:t xml:space="preserve"> and </w:t>
            </w:r>
            <w:r w:rsidR="00CF2AA8" w:rsidRPr="00BF17B0">
              <w:rPr>
                <w:rFonts w:asciiTheme="minorHAnsi" w:eastAsia="Times New Roman" w:hAnsiTheme="minorHAnsi" w:cstheme="minorHAnsi"/>
                <w:sz w:val="20"/>
                <w:szCs w:val="20"/>
                <w:lang w:eastAsia="en-GB"/>
              </w:rPr>
              <w:t>Integrated</w:t>
            </w:r>
            <w:r w:rsidRPr="00BF17B0">
              <w:rPr>
                <w:rFonts w:asciiTheme="minorHAnsi" w:eastAsia="Times New Roman" w:hAnsiTheme="minorHAnsi" w:cstheme="minorHAnsi"/>
                <w:sz w:val="20"/>
                <w:szCs w:val="20"/>
                <w:lang w:eastAsia="en-GB"/>
              </w:rPr>
              <w:t xml:space="preserve"> Delivery of Social Services project</w:t>
            </w:r>
          </w:p>
        </w:tc>
        <w:tc>
          <w:tcPr>
            <w:tcW w:w="718" w:type="dxa"/>
            <w:tcBorders>
              <w:top w:val="nil"/>
              <w:left w:val="nil"/>
              <w:bottom w:val="single" w:sz="4" w:space="0" w:color="auto"/>
              <w:right w:val="single" w:sz="4" w:space="0" w:color="auto"/>
            </w:tcBorders>
            <w:shd w:val="clear" w:color="auto" w:fill="auto"/>
            <w:noWrap/>
            <w:hideMark/>
          </w:tcPr>
          <w:p w14:paraId="0A868833"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6623D521"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P077012</w:t>
            </w:r>
          </w:p>
        </w:tc>
        <w:tc>
          <w:tcPr>
            <w:tcW w:w="1000" w:type="dxa"/>
            <w:tcBorders>
              <w:top w:val="nil"/>
              <w:left w:val="nil"/>
              <w:bottom w:val="single" w:sz="4" w:space="0" w:color="auto"/>
              <w:right w:val="single" w:sz="4" w:space="0" w:color="auto"/>
            </w:tcBorders>
            <w:shd w:val="clear" w:color="auto" w:fill="auto"/>
            <w:noWrap/>
            <w:hideMark/>
          </w:tcPr>
          <w:p w14:paraId="07B45392"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RE</w:t>
            </w:r>
          </w:p>
        </w:tc>
        <w:tc>
          <w:tcPr>
            <w:tcW w:w="1217" w:type="dxa"/>
            <w:tcBorders>
              <w:top w:val="nil"/>
              <w:left w:val="nil"/>
              <w:bottom w:val="single" w:sz="4" w:space="0" w:color="auto"/>
              <w:right w:val="single" w:sz="4" w:space="0" w:color="auto"/>
            </w:tcBorders>
            <w:shd w:val="clear" w:color="auto" w:fill="auto"/>
            <w:noWrap/>
            <w:hideMark/>
          </w:tcPr>
          <w:p w14:paraId="2BF6AFD4" w14:textId="240DFB6F" w:rsidR="00401E7F" w:rsidRPr="00BF17B0" w:rsidRDefault="006B1779" w:rsidP="00635659">
            <w:pPr>
              <w:spacing w:after="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 </w:t>
            </w:r>
            <w:r w:rsidR="00401E7F" w:rsidRPr="00BF17B0">
              <w:rPr>
                <w:rFonts w:asciiTheme="minorHAnsi" w:eastAsia="Times New Roman" w:hAnsiTheme="minorHAnsi" w:cstheme="minorHAnsi"/>
                <w:sz w:val="20"/>
                <w:szCs w:val="20"/>
                <w:lang w:eastAsia="en-GB"/>
              </w:rPr>
              <w:t xml:space="preserve">10,000,000 </w:t>
            </w:r>
          </w:p>
        </w:tc>
        <w:tc>
          <w:tcPr>
            <w:tcW w:w="1240" w:type="dxa"/>
            <w:gridSpan w:val="2"/>
            <w:tcBorders>
              <w:top w:val="nil"/>
              <w:left w:val="nil"/>
              <w:bottom w:val="single" w:sz="4" w:space="0" w:color="auto"/>
              <w:right w:val="single" w:sz="4" w:space="0" w:color="auto"/>
            </w:tcBorders>
            <w:shd w:val="clear" w:color="auto" w:fill="auto"/>
            <w:noWrap/>
            <w:hideMark/>
          </w:tcPr>
          <w:p w14:paraId="31C41CCD" w14:textId="2CCAAC4E"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9,244,644 </w:t>
            </w:r>
          </w:p>
        </w:tc>
      </w:tr>
      <w:tr w:rsidR="00401E7F" w:rsidRPr="00BF17B0" w14:paraId="67EA4304" w14:textId="77777777" w:rsidTr="00382432">
        <w:trPr>
          <w:trHeight w:val="765"/>
        </w:trPr>
        <w:tc>
          <w:tcPr>
            <w:tcW w:w="1383" w:type="dxa"/>
            <w:tcBorders>
              <w:top w:val="nil"/>
              <w:left w:val="single" w:sz="4" w:space="0" w:color="auto"/>
              <w:bottom w:val="single" w:sz="4" w:space="0" w:color="auto"/>
              <w:right w:val="single" w:sz="4" w:space="0" w:color="auto"/>
            </w:tcBorders>
            <w:shd w:val="clear" w:color="auto" w:fill="auto"/>
            <w:noWrap/>
            <w:hideMark/>
          </w:tcPr>
          <w:p w14:paraId="2FC9258C"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TF010351</w:t>
            </w:r>
          </w:p>
        </w:tc>
        <w:tc>
          <w:tcPr>
            <w:tcW w:w="2879" w:type="dxa"/>
            <w:tcBorders>
              <w:top w:val="nil"/>
              <w:left w:val="nil"/>
              <w:bottom w:val="single" w:sz="4" w:space="0" w:color="auto"/>
              <w:right w:val="single" w:sz="4" w:space="0" w:color="auto"/>
            </w:tcBorders>
            <w:shd w:val="clear" w:color="auto" w:fill="auto"/>
            <w:hideMark/>
          </w:tcPr>
          <w:p w14:paraId="52B243E6"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Utilizing the KALAHI-CIDSS Community-Driven Development Approach to Improve Access to ECD and Basic Education Services in Targeted 4Ps Areas</w:t>
            </w:r>
          </w:p>
        </w:tc>
        <w:tc>
          <w:tcPr>
            <w:tcW w:w="718" w:type="dxa"/>
            <w:tcBorders>
              <w:top w:val="nil"/>
              <w:left w:val="nil"/>
              <w:bottom w:val="single" w:sz="4" w:space="0" w:color="auto"/>
              <w:right w:val="single" w:sz="4" w:space="0" w:color="auto"/>
            </w:tcBorders>
            <w:shd w:val="clear" w:color="auto" w:fill="auto"/>
            <w:noWrap/>
            <w:hideMark/>
          </w:tcPr>
          <w:p w14:paraId="1BE3B8CE"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0A35800B"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P077012</w:t>
            </w:r>
          </w:p>
        </w:tc>
        <w:tc>
          <w:tcPr>
            <w:tcW w:w="1000" w:type="dxa"/>
            <w:tcBorders>
              <w:top w:val="nil"/>
              <w:left w:val="nil"/>
              <w:bottom w:val="single" w:sz="4" w:space="0" w:color="auto"/>
              <w:right w:val="single" w:sz="4" w:space="0" w:color="auto"/>
            </w:tcBorders>
            <w:shd w:val="clear" w:color="auto" w:fill="auto"/>
            <w:noWrap/>
            <w:hideMark/>
          </w:tcPr>
          <w:p w14:paraId="417DEB3B"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16B609FB" w14:textId="3826778E"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250,000 </w:t>
            </w:r>
          </w:p>
        </w:tc>
        <w:tc>
          <w:tcPr>
            <w:tcW w:w="1240" w:type="dxa"/>
            <w:gridSpan w:val="2"/>
            <w:tcBorders>
              <w:top w:val="nil"/>
              <w:left w:val="nil"/>
              <w:bottom w:val="single" w:sz="4" w:space="0" w:color="auto"/>
              <w:right w:val="single" w:sz="4" w:space="0" w:color="auto"/>
            </w:tcBorders>
            <w:shd w:val="clear" w:color="auto" w:fill="auto"/>
            <w:noWrap/>
            <w:hideMark/>
          </w:tcPr>
          <w:p w14:paraId="60A9A9F7" w14:textId="4A442C9E"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212,578 </w:t>
            </w:r>
          </w:p>
        </w:tc>
      </w:tr>
      <w:tr w:rsidR="00401E7F" w:rsidRPr="00BF17B0" w14:paraId="62BAE3C5" w14:textId="77777777" w:rsidTr="00382432">
        <w:trPr>
          <w:trHeight w:val="765"/>
        </w:trPr>
        <w:tc>
          <w:tcPr>
            <w:tcW w:w="1383" w:type="dxa"/>
            <w:tcBorders>
              <w:top w:val="nil"/>
              <w:left w:val="single" w:sz="4" w:space="0" w:color="auto"/>
              <w:bottom w:val="single" w:sz="4" w:space="0" w:color="auto"/>
              <w:right w:val="single" w:sz="4" w:space="0" w:color="auto"/>
            </w:tcBorders>
            <w:shd w:val="clear" w:color="auto" w:fill="auto"/>
            <w:noWrap/>
            <w:hideMark/>
          </w:tcPr>
          <w:p w14:paraId="2119EBF0"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TF010352</w:t>
            </w:r>
          </w:p>
        </w:tc>
        <w:tc>
          <w:tcPr>
            <w:tcW w:w="2879" w:type="dxa"/>
            <w:tcBorders>
              <w:top w:val="nil"/>
              <w:left w:val="nil"/>
              <w:bottom w:val="single" w:sz="4" w:space="0" w:color="auto"/>
              <w:right w:val="single" w:sz="4" w:space="0" w:color="auto"/>
            </w:tcBorders>
            <w:shd w:val="clear" w:color="auto" w:fill="auto"/>
            <w:hideMark/>
          </w:tcPr>
          <w:p w14:paraId="7A7D16D9"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Analysis and Preparatory work Supporting the Scale Up a National Community Driven Development (CDD) Program; Bank Execution</w:t>
            </w:r>
          </w:p>
        </w:tc>
        <w:tc>
          <w:tcPr>
            <w:tcW w:w="718" w:type="dxa"/>
            <w:tcBorders>
              <w:top w:val="nil"/>
              <w:left w:val="nil"/>
              <w:bottom w:val="single" w:sz="4" w:space="0" w:color="auto"/>
              <w:right w:val="single" w:sz="4" w:space="0" w:color="auto"/>
            </w:tcBorders>
            <w:shd w:val="clear" w:color="auto" w:fill="auto"/>
            <w:noWrap/>
            <w:hideMark/>
          </w:tcPr>
          <w:p w14:paraId="2BE279AB"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2A627242"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P119163</w:t>
            </w:r>
          </w:p>
        </w:tc>
        <w:tc>
          <w:tcPr>
            <w:tcW w:w="1000" w:type="dxa"/>
            <w:tcBorders>
              <w:top w:val="nil"/>
              <w:left w:val="nil"/>
              <w:bottom w:val="single" w:sz="4" w:space="0" w:color="auto"/>
              <w:right w:val="single" w:sz="4" w:space="0" w:color="auto"/>
            </w:tcBorders>
            <w:shd w:val="clear" w:color="auto" w:fill="auto"/>
            <w:noWrap/>
            <w:hideMark/>
          </w:tcPr>
          <w:p w14:paraId="1DC61F5A"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54AD7D36" w14:textId="5BA6C9FC"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200,000 </w:t>
            </w:r>
          </w:p>
        </w:tc>
        <w:tc>
          <w:tcPr>
            <w:tcW w:w="1240" w:type="dxa"/>
            <w:gridSpan w:val="2"/>
            <w:tcBorders>
              <w:top w:val="nil"/>
              <w:left w:val="nil"/>
              <w:bottom w:val="single" w:sz="4" w:space="0" w:color="auto"/>
              <w:right w:val="single" w:sz="4" w:space="0" w:color="auto"/>
            </w:tcBorders>
            <w:shd w:val="clear" w:color="auto" w:fill="auto"/>
            <w:noWrap/>
            <w:hideMark/>
          </w:tcPr>
          <w:p w14:paraId="1EA95F54" w14:textId="12BD5841"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198,998 </w:t>
            </w:r>
          </w:p>
        </w:tc>
      </w:tr>
      <w:tr w:rsidR="00401E7F" w:rsidRPr="00BF17B0" w14:paraId="1A6732E9" w14:textId="77777777" w:rsidTr="00382432">
        <w:trPr>
          <w:trHeight w:val="510"/>
        </w:trPr>
        <w:tc>
          <w:tcPr>
            <w:tcW w:w="1383" w:type="dxa"/>
            <w:tcBorders>
              <w:top w:val="nil"/>
              <w:left w:val="single" w:sz="4" w:space="0" w:color="auto"/>
              <w:bottom w:val="single" w:sz="4" w:space="0" w:color="auto"/>
              <w:right w:val="single" w:sz="4" w:space="0" w:color="auto"/>
            </w:tcBorders>
            <w:shd w:val="clear" w:color="auto" w:fill="auto"/>
            <w:noWrap/>
            <w:hideMark/>
          </w:tcPr>
          <w:p w14:paraId="36C0D6A2"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TF099107</w:t>
            </w:r>
          </w:p>
        </w:tc>
        <w:tc>
          <w:tcPr>
            <w:tcW w:w="2879" w:type="dxa"/>
            <w:tcBorders>
              <w:top w:val="nil"/>
              <w:left w:val="nil"/>
              <w:bottom w:val="single" w:sz="4" w:space="0" w:color="auto"/>
              <w:right w:val="single" w:sz="4" w:space="0" w:color="auto"/>
            </w:tcBorders>
            <w:shd w:val="clear" w:color="auto" w:fill="auto"/>
            <w:hideMark/>
          </w:tcPr>
          <w:p w14:paraId="1EF6C511"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Monitoring the Social Impacts of Tropical Storm Ondoy and Typhoon Pepeng</w:t>
            </w:r>
          </w:p>
        </w:tc>
        <w:tc>
          <w:tcPr>
            <w:tcW w:w="718" w:type="dxa"/>
            <w:tcBorders>
              <w:top w:val="nil"/>
              <w:left w:val="nil"/>
              <w:bottom w:val="single" w:sz="4" w:space="0" w:color="auto"/>
              <w:right w:val="single" w:sz="4" w:space="0" w:color="auto"/>
            </w:tcBorders>
            <w:shd w:val="clear" w:color="auto" w:fill="auto"/>
            <w:noWrap/>
            <w:hideMark/>
          </w:tcPr>
          <w:p w14:paraId="7BF2EA33"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310F9C3E"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P125182</w:t>
            </w:r>
          </w:p>
        </w:tc>
        <w:tc>
          <w:tcPr>
            <w:tcW w:w="1000" w:type="dxa"/>
            <w:tcBorders>
              <w:top w:val="nil"/>
              <w:left w:val="nil"/>
              <w:bottom w:val="single" w:sz="4" w:space="0" w:color="auto"/>
              <w:right w:val="single" w:sz="4" w:space="0" w:color="auto"/>
            </w:tcBorders>
            <w:shd w:val="clear" w:color="auto" w:fill="auto"/>
            <w:noWrap/>
            <w:hideMark/>
          </w:tcPr>
          <w:p w14:paraId="3EE9B7C9"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273C7BE1" w14:textId="7326006B"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90,000 </w:t>
            </w:r>
          </w:p>
        </w:tc>
        <w:tc>
          <w:tcPr>
            <w:tcW w:w="1240" w:type="dxa"/>
            <w:gridSpan w:val="2"/>
            <w:tcBorders>
              <w:top w:val="nil"/>
              <w:left w:val="nil"/>
              <w:bottom w:val="single" w:sz="4" w:space="0" w:color="auto"/>
              <w:right w:val="single" w:sz="4" w:space="0" w:color="auto"/>
            </w:tcBorders>
            <w:shd w:val="clear" w:color="auto" w:fill="auto"/>
            <w:noWrap/>
            <w:hideMark/>
          </w:tcPr>
          <w:p w14:paraId="566922C1" w14:textId="3683A0CB"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89,251 </w:t>
            </w:r>
          </w:p>
        </w:tc>
      </w:tr>
      <w:tr w:rsidR="00401E7F" w:rsidRPr="00BF17B0" w14:paraId="477ED7BA" w14:textId="77777777" w:rsidTr="00382432">
        <w:trPr>
          <w:trHeight w:val="510"/>
        </w:trPr>
        <w:tc>
          <w:tcPr>
            <w:tcW w:w="1383" w:type="dxa"/>
            <w:tcBorders>
              <w:top w:val="nil"/>
              <w:left w:val="single" w:sz="4" w:space="0" w:color="auto"/>
              <w:bottom w:val="single" w:sz="4" w:space="0" w:color="auto"/>
              <w:right w:val="single" w:sz="4" w:space="0" w:color="auto"/>
            </w:tcBorders>
            <w:shd w:val="clear" w:color="auto" w:fill="auto"/>
            <w:noWrap/>
            <w:hideMark/>
          </w:tcPr>
          <w:p w14:paraId="0418E499"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TF010541</w:t>
            </w:r>
          </w:p>
        </w:tc>
        <w:tc>
          <w:tcPr>
            <w:tcW w:w="2879" w:type="dxa"/>
            <w:tcBorders>
              <w:top w:val="nil"/>
              <w:left w:val="nil"/>
              <w:bottom w:val="single" w:sz="4" w:space="0" w:color="auto"/>
              <w:right w:val="single" w:sz="4" w:space="0" w:color="auto"/>
            </w:tcBorders>
            <w:shd w:val="clear" w:color="auto" w:fill="auto"/>
            <w:hideMark/>
          </w:tcPr>
          <w:p w14:paraId="4A066DCA"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Preparation of the National CDD Program (Recipient executed)</w:t>
            </w:r>
          </w:p>
        </w:tc>
        <w:tc>
          <w:tcPr>
            <w:tcW w:w="718" w:type="dxa"/>
            <w:tcBorders>
              <w:top w:val="nil"/>
              <w:left w:val="nil"/>
              <w:bottom w:val="single" w:sz="4" w:space="0" w:color="auto"/>
              <w:right w:val="single" w:sz="4" w:space="0" w:color="auto"/>
            </w:tcBorders>
            <w:shd w:val="clear" w:color="auto" w:fill="auto"/>
            <w:noWrap/>
            <w:hideMark/>
          </w:tcPr>
          <w:p w14:paraId="73AEBEAA"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11D56943"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P127741</w:t>
            </w:r>
          </w:p>
        </w:tc>
        <w:tc>
          <w:tcPr>
            <w:tcW w:w="1000" w:type="dxa"/>
            <w:tcBorders>
              <w:top w:val="nil"/>
              <w:left w:val="nil"/>
              <w:bottom w:val="single" w:sz="4" w:space="0" w:color="auto"/>
              <w:right w:val="single" w:sz="4" w:space="0" w:color="auto"/>
            </w:tcBorders>
            <w:shd w:val="clear" w:color="auto" w:fill="auto"/>
            <w:noWrap/>
            <w:hideMark/>
          </w:tcPr>
          <w:p w14:paraId="4333D93A"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RE</w:t>
            </w:r>
          </w:p>
        </w:tc>
        <w:tc>
          <w:tcPr>
            <w:tcW w:w="1217" w:type="dxa"/>
            <w:tcBorders>
              <w:top w:val="nil"/>
              <w:left w:val="nil"/>
              <w:bottom w:val="single" w:sz="4" w:space="0" w:color="auto"/>
              <w:right w:val="single" w:sz="4" w:space="0" w:color="auto"/>
            </w:tcBorders>
            <w:shd w:val="clear" w:color="auto" w:fill="auto"/>
            <w:noWrap/>
            <w:hideMark/>
          </w:tcPr>
          <w:p w14:paraId="37214E27" w14:textId="40839DD0"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300,000 </w:t>
            </w:r>
          </w:p>
        </w:tc>
        <w:tc>
          <w:tcPr>
            <w:tcW w:w="1240" w:type="dxa"/>
            <w:gridSpan w:val="2"/>
            <w:tcBorders>
              <w:top w:val="nil"/>
              <w:left w:val="nil"/>
              <w:bottom w:val="single" w:sz="4" w:space="0" w:color="auto"/>
              <w:right w:val="single" w:sz="4" w:space="0" w:color="auto"/>
            </w:tcBorders>
            <w:shd w:val="clear" w:color="auto" w:fill="auto"/>
            <w:noWrap/>
            <w:hideMark/>
          </w:tcPr>
          <w:p w14:paraId="13BFFDF8" w14:textId="755FB662"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171,833 </w:t>
            </w:r>
          </w:p>
        </w:tc>
      </w:tr>
      <w:tr w:rsidR="00401E7F" w:rsidRPr="00BF17B0" w14:paraId="5E3225B0"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6826E318"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TF016025</w:t>
            </w:r>
          </w:p>
        </w:tc>
        <w:tc>
          <w:tcPr>
            <w:tcW w:w="2879" w:type="dxa"/>
            <w:tcBorders>
              <w:top w:val="nil"/>
              <w:left w:val="nil"/>
              <w:bottom w:val="single" w:sz="4" w:space="0" w:color="auto"/>
              <w:right w:val="single" w:sz="4" w:space="0" w:color="auto"/>
            </w:tcBorders>
            <w:shd w:val="clear" w:color="auto" w:fill="auto"/>
            <w:hideMark/>
          </w:tcPr>
          <w:p w14:paraId="36E2F878"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NCDDP AAA and Technical Assistance</w:t>
            </w:r>
          </w:p>
        </w:tc>
        <w:tc>
          <w:tcPr>
            <w:tcW w:w="718" w:type="dxa"/>
            <w:tcBorders>
              <w:top w:val="nil"/>
              <w:left w:val="nil"/>
              <w:bottom w:val="single" w:sz="4" w:space="0" w:color="auto"/>
              <w:right w:val="single" w:sz="4" w:space="0" w:color="auto"/>
            </w:tcBorders>
            <w:shd w:val="clear" w:color="auto" w:fill="auto"/>
            <w:noWrap/>
            <w:hideMark/>
          </w:tcPr>
          <w:p w14:paraId="3C62EAE3"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39D9D165"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P127741</w:t>
            </w:r>
          </w:p>
        </w:tc>
        <w:tc>
          <w:tcPr>
            <w:tcW w:w="1000" w:type="dxa"/>
            <w:tcBorders>
              <w:top w:val="nil"/>
              <w:left w:val="nil"/>
              <w:bottom w:val="single" w:sz="4" w:space="0" w:color="auto"/>
              <w:right w:val="single" w:sz="4" w:space="0" w:color="auto"/>
            </w:tcBorders>
            <w:shd w:val="clear" w:color="auto" w:fill="auto"/>
            <w:noWrap/>
            <w:hideMark/>
          </w:tcPr>
          <w:p w14:paraId="7442DBBE"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43F4EFE0" w14:textId="2BA12A9E"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1,405,573 </w:t>
            </w:r>
          </w:p>
        </w:tc>
        <w:tc>
          <w:tcPr>
            <w:tcW w:w="1240" w:type="dxa"/>
            <w:gridSpan w:val="2"/>
            <w:tcBorders>
              <w:top w:val="nil"/>
              <w:left w:val="nil"/>
              <w:bottom w:val="single" w:sz="4" w:space="0" w:color="auto"/>
              <w:right w:val="single" w:sz="4" w:space="0" w:color="auto"/>
            </w:tcBorders>
            <w:shd w:val="clear" w:color="auto" w:fill="auto"/>
            <w:noWrap/>
            <w:hideMark/>
          </w:tcPr>
          <w:p w14:paraId="26A334ED" w14:textId="2610D51D"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1,348,523 </w:t>
            </w:r>
          </w:p>
        </w:tc>
      </w:tr>
      <w:tr w:rsidR="00401E7F" w:rsidRPr="00BF17B0" w14:paraId="2EEA52A8" w14:textId="77777777" w:rsidTr="00382432">
        <w:trPr>
          <w:trHeight w:val="510"/>
        </w:trPr>
        <w:tc>
          <w:tcPr>
            <w:tcW w:w="1383" w:type="dxa"/>
            <w:tcBorders>
              <w:top w:val="nil"/>
              <w:left w:val="single" w:sz="4" w:space="0" w:color="auto"/>
              <w:bottom w:val="single" w:sz="4" w:space="0" w:color="auto"/>
              <w:right w:val="single" w:sz="4" w:space="0" w:color="auto"/>
            </w:tcBorders>
            <w:shd w:val="clear" w:color="auto" w:fill="auto"/>
            <w:noWrap/>
            <w:hideMark/>
          </w:tcPr>
          <w:p w14:paraId="44DCB69D"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TF016227</w:t>
            </w:r>
          </w:p>
        </w:tc>
        <w:tc>
          <w:tcPr>
            <w:tcW w:w="2879" w:type="dxa"/>
            <w:tcBorders>
              <w:top w:val="nil"/>
              <w:left w:val="nil"/>
              <w:bottom w:val="single" w:sz="4" w:space="0" w:color="auto"/>
              <w:right w:val="single" w:sz="4" w:space="0" w:color="auto"/>
            </w:tcBorders>
            <w:shd w:val="clear" w:color="auto" w:fill="auto"/>
            <w:hideMark/>
          </w:tcPr>
          <w:p w14:paraId="62569188"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Strengthening Grassroots Participatory Planning and Budgeting</w:t>
            </w:r>
          </w:p>
        </w:tc>
        <w:tc>
          <w:tcPr>
            <w:tcW w:w="718" w:type="dxa"/>
            <w:tcBorders>
              <w:top w:val="nil"/>
              <w:left w:val="nil"/>
              <w:bottom w:val="single" w:sz="4" w:space="0" w:color="auto"/>
              <w:right w:val="single" w:sz="4" w:space="0" w:color="auto"/>
            </w:tcBorders>
            <w:shd w:val="clear" w:color="auto" w:fill="auto"/>
            <w:noWrap/>
            <w:hideMark/>
          </w:tcPr>
          <w:p w14:paraId="2E19E8D9"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33068986"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P147464</w:t>
            </w:r>
          </w:p>
        </w:tc>
        <w:tc>
          <w:tcPr>
            <w:tcW w:w="1000" w:type="dxa"/>
            <w:tcBorders>
              <w:top w:val="nil"/>
              <w:left w:val="nil"/>
              <w:bottom w:val="single" w:sz="4" w:space="0" w:color="auto"/>
              <w:right w:val="single" w:sz="4" w:space="0" w:color="auto"/>
            </w:tcBorders>
            <w:shd w:val="clear" w:color="auto" w:fill="auto"/>
            <w:noWrap/>
            <w:hideMark/>
          </w:tcPr>
          <w:p w14:paraId="1CD6B877"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746F7E73" w14:textId="357E86BE"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284,100 </w:t>
            </w:r>
          </w:p>
        </w:tc>
        <w:tc>
          <w:tcPr>
            <w:tcW w:w="1240" w:type="dxa"/>
            <w:gridSpan w:val="2"/>
            <w:tcBorders>
              <w:top w:val="nil"/>
              <w:left w:val="nil"/>
              <w:bottom w:val="single" w:sz="4" w:space="0" w:color="auto"/>
              <w:right w:val="single" w:sz="4" w:space="0" w:color="auto"/>
            </w:tcBorders>
            <w:shd w:val="clear" w:color="auto" w:fill="auto"/>
            <w:noWrap/>
            <w:hideMark/>
          </w:tcPr>
          <w:p w14:paraId="7452FE15" w14:textId="7DDE78BF"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280,881 </w:t>
            </w:r>
          </w:p>
        </w:tc>
      </w:tr>
      <w:tr w:rsidR="00401E7F" w:rsidRPr="00BF17B0" w14:paraId="52B64DF0" w14:textId="77777777" w:rsidTr="00382432">
        <w:trPr>
          <w:trHeight w:val="510"/>
        </w:trPr>
        <w:tc>
          <w:tcPr>
            <w:tcW w:w="1383" w:type="dxa"/>
            <w:tcBorders>
              <w:top w:val="nil"/>
              <w:left w:val="single" w:sz="4" w:space="0" w:color="auto"/>
              <w:bottom w:val="single" w:sz="4" w:space="0" w:color="auto"/>
              <w:right w:val="single" w:sz="4" w:space="0" w:color="auto"/>
            </w:tcBorders>
            <w:shd w:val="clear" w:color="auto" w:fill="auto"/>
            <w:noWrap/>
            <w:hideMark/>
          </w:tcPr>
          <w:p w14:paraId="6E71C794"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TF016267</w:t>
            </w:r>
          </w:p>
        </w:tc>
        <w:tc>
          <w:tcPr>
            <w:tcW w:w="2879" w:type="dxa"/>
            <w:tcBorders>
              <w:top w:val="nil"/>
              <w:left w:val="nil"/>
              <w:bottom w:val="single" w:sz="4" w:space="0" w:color="auto"/>
              <w:right w:val="single" w:sz="4" w:space="0" w:color="auto"/>
            </w:tcBorders>
            <w:shd w:val="clear" w:color="auto" w:fill="auto"/>
            <w:hideMark/>
          </w:tcPr>
          <w:p w14:paraId="1E025CB9"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Strengthening Grassroots Participatory Budgeting M&amp;E Systems</w:t>
            </w:r>
          </w:p>
        </w:tc>
        <w:tc>
          <w:tcPr>
            <w:tcW w:w="718" w:type="dxa"/>
            <w:tcBorders>
              <w:top w:val="nil"/>
              <w:left w:val="nil"/>
              <w:bottom w:val="single" w:sz="4" w:space="0" w:color="auto"/>
              <w:right w:val="single" w:sz="4" w:space="0" w:color="auto"/>
            </w:tcBorders>
            <w:shd w:val="clear" w:color="auto" w:fill="auto"/>
            <w:noWrap/>
            <w:hideMark/>
          </w:tcPr>
          <w:p w14:paraId="5BABE4AC"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6C706E8D"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P147463</w:t>
            </w:r>
          </w:p>
        </w:tc>
        <w:tc>
          <w:tcPr>
            <w:tcW w:w="1000" w:type="dxa"/>
            <w:tcBorders>
              <w:top w:val="nil"/>
              <w:left w:val="nil"/>
              <w:bottom w:val="single" w:sz="4" w:space="0" w:color="auto"/>
              <w:right w:val="single" w:sz="4" w:space="0" w:color="auto"/>
            </w:tcBorders>
            <w:shd w:val="clear" w:color="auto" w:fill="auto"/>
            <w:noWrap/>
            <w:hideMark/>
          </w:tcPr>
          <w:p w14:paraId="304E0FC9"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3DC04F89" w14:textId="2205B1DB"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550,000 </w:t>
            </w:r>
          </w:p>
        </w:tc>
        <w:tc>
          <w:tcPr>
            <w:tcW w:w="1240" w:type="dxa"/>
            <w:gridSpan w:val="2"/>
            <w:tcBorders>
              <w:top w:val="nil"/>
              <w:left w:val="nil"/>
              <w:bottom w:val="single" w:sz="4" w:space="0" w:color="auto"/>
              <w:right w:val="single" w:sz="4" w:space="0" w:color="auto"/>
            </w:tcBorders>
            <w:shd w:val="clear" w:color="auto" w:fill="auto"/>
            <w:noWrap/>
            <w:hideMark/>
          </w:tcPr>
          <w:p w14:paraId="15B8197B" w14:textId="3A7F5B22"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525,848 </w:t>
            </w:r>
          </w:p>
        </w:tc>
      </w:tr>
      <w:tr w:rsidR="00401E7F" w:rsidRPr="00BF17B0" w14:paraId="5C0D8785" w14:textId="77777777" w:rsidTr="00382432">
        <w:trPr>
          <w:trHeight w:val="510"/>
        </w:trPr>
        <w:tc>
          <w:tcPr>
            <w:tcW w:w="1383" w:type="dxa"/>
            <w:tcBorders>
              <w:top w:val="nil"/>
              <w:left w:val="single" w:sz="4" w:space="0" w:color="auto"/>
              <w:bottom w:val="single" w:sz="4" w:space="0" w:color="auto"/>
              <w:right w:val="single" w:sz="4" w:space="0" w:color="auto"/>
            </w:tcBorders>
            <w:shd w:val="clear" w:color="auto" w:fill="auto"/>
            <w:noWrap/>
            <w:hideMark/>
          </w:tcPr>
          <w:p w14:paraId="36D8CA41"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TF099426</w:t>
            </w:r>
          </w:p>
        </w:tc>
        <w:tc>
          <w:tcPr>
            <w:tcW w:w="2879" w:type="dxa"/>
            <w:tcBorders>
              <w:top w:val="nil"/>
              <w:left w:val="nil"/>
              <w:bottom w:val="single" w:sz="4" w:space="0" w:color="auto"/>
              <w:right w:val="single" w:sz="4" w:space="0" w:color="auto"/>
            </w:tcBorders>
            <w:shd w:val="clear" w:color="auto" w:fill="auto"/>
            <w:hideMark/>
          </w:tcPr>
          <w:p w14:paraId="48A60C70" w14:textId="77777777" w:rsidR="00D11D5F"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AAA on Institutionalizing Incentive Systems for Local Governance and Performance</w:t>
            </w:r>
          </w:p>
          <w:p w14:paraId="27E89659" w14:textId="59EF33E0" w:rsidR="006B1779" w:rsidRPr="00BF17B0" w:rsidRDefault="006B1779" w:rsidP="00D373B0">
            <w:pPr>
              <w:spacing w:after="0"/>
              <w:rPr>
                <w:rFonts w:asciiTheme="minorHAnsi" w:eastAsia="Times New Roman" w:hAnsiTheme="minorHAnsi" w:cstheme="minorHAnsi"/>
                <w:sz w:val="20"/>
                <w:szCs w:val="20"/>
                <w:lang w:eastAsia="en-GB"/>
              </w:rPr>
            </w:pPr>
          </w:p>
        </w:tc>
        <w:tc>
          <w:tcPr>
            <w:tcW w:w="718" w:type="dxa"/>
            <w:tcBorders>
              <w:top w:val="nil"/>
              <w:left w:val="nil"/>
              <w:bottom w:val="single" w:sz="4" w:space="0" w:color="auto"/>
              <w:right w:val="single" w:sz="4" w:space="0" w:color="auto"/>
            </w:tcBorders>
            <w:shd w:val="clear" w:color="auto" w:fill="auto"/>
            <w:noWrap/>
            <w:hideMark/>
          </w:tcPr>
          <w:p w14:paraId="20DC9586"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4960EA34"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P125965</w:t>
            </w:r>
          </w:p>
        </w:tc>
        <w:tc>
          <w:tcPr>
            <w:tcW w:w="1000" w:type="dxa"/>
            <w:tcBorders>
              <w:top w:val="nil"/>
              <w:left w:val="nil"/>
              <w:bottom w:val="single" w:sz="4" w:space="0" w:color="auto"/>
              <w:right w:val="single" w:sz="4" w:space="0" w:color="auto"/>
            </w:tcBorders>
            <w:shd w:val="clear" w:color="auto" w:fill="auto"/>
            <w:noWrap/>
            <w:hideMark/>
          </w:tcPr>
          <w:p w14:paraId="2605B365"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43BFEFC0" w14:textId="73876869"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300,000 </w:t>
            </w:r>
          </w:p>
        </w:tc>
        <w:tc>
          <w:tcPr>
            <w:tcW w:w="1240" w:type="dxa"/>
            <w:gridSpan w:val="2"/>
            <w:tcBorders>
              <w:top w:val="nil"/>
              <w:left w:val="nil"/>
              <w:bottom w:val="single" w:sz="4" w:space="0" w:color="auto"/>
              <w:right w:val="single" w:sz="4" w:space="0" w:color="auto"/>
            </w:tcBorders>
            <w:shd w:val="clear" w:color="auto" w:fill="auto"/>
            <w:noWrap/>
            <w:hideMark/>
          </w:tcPr>
          <w:p w14:paraId="355D6C39" w14:textId="7B3DD6AA"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297,515 </w:t>
            </w:r>
          </w:p>
        </w:tc>
      </w:tr>
      <w:tr w:rsidR="00401E7F" w:rsidRPr="00BF17B0" w14:paraId="4D8B0BFF" w14:textId="77777777" w:rsidTr="00382432">
        <w:trPr>
          <w:trHeight w:val="255"/>
        </w:trPr>
        <w:tc>
          <w:tcPr>
            <w:tcW w:w="1383" w:type="dxa"/>
            <w:tcBorders>
              <w:top w:val="nil"/>
              <w:left w:val="nil"/>
              <w:bottom w:val="single" w:sz="4" w:space="0" w:color="auto"/>
              <w:right w:val="nil"/>
            </w:tcBorders>
            <w:shd w:val="clear" w:color="000000" w:fill="9BC2E6"/>
            <w:hideMark/>
          </w:tcPr>
          <w:p w14:paraId="0E14D7BB"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Subtotals</w:t>
            </w:r>
          </w:p>
        </w:tc>
        <w:tc>
          <w:tcPr>
            <w:tcW w:w="2879" w:type="dxa"/>
            <w:tcBorders>
              <w:top w:val="nil"/>
              <w:left w:val="nil"/>
              <w:bottom w:val="single" w:sz="4" w:space="0" w:color="auto"/>
              <w:right w:val="nil"/>
            </w:tcBorders>
            <w:shd w:val="clear" w:color="auto" w:fill="auto"/>
            <w:hideMark/>
          </w:tcPr>
          <w:p w14:paraId="50A4CF50"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718" w:type="dxa"/>
            <w:tcBorders>
              <w:top w:val="nil"/>
              <w:left w:val="nil"/>
              <w:bottom w:val="single" w:sz="4" w:space="0" w:color="auto"/>
              <w:right w:val="nil"/>
            </w:tcBorders>
            <w:shd w:val="clear" w:color="auto" w:fill="auto"/>
            <w:hideMark/>
          </w:tcPr>
          <w:p w14:paraId="5DB21A9C"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881" w:type="dxa"/>
            <w:tcBorders>
              <w:top w:val="nil"/>
              <w:left w:val="nil"/>
              <w:bottom w:val="single" w:sz="4" w:space="0" w:color="auto"/>
              <w:right w:val="nil"/>
            </w:tcBorders>
            <w:shd w:val="clear" w:color="auto" w:fill="auto"/>
            <w:hideMark/>
          </w:tcPr>
          <w:p w14:paraId="14B3B7C1"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000" w:type="dxa"/>
            <w:tcBorders>
              <w:top w:val="nil"/>
              <w:left w:val="nil"/>
              <w:bottom w:val="single" w:sz="4" w:space="0" w:color="auto"/>
              <w:right w:val="nil"/>
            </w:tcBorders>
            <w:shd w:val="clear" w:color="auto" w:fill="auto"/>
            <w:hideMark/>
          </w:tcPr>
          <w:p w14:paraId="4D9D1BDD"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217" w:type="dxa"/>
            <w:tcBorders>
              <w:top w:val="nil"/>
              <w:left w:val="nil"/>
              <w:bottom w:val="single" w:sz="4" w:space="0" w:color="auto"/>
              <w:right w:val="single" w:sz="4" w:space="0" w:color="auto"/>
            </w:tcBorders>
            <w:shd w:val="clear" w:color="000000" w:fill="8EA9DB"/>
            <w:hideMark/>
          </w:tcPr>
          <w:p w14:paraId="1F42C255" w14:textId="77777777" w:rsidR="00401E7F" w:rsidRPr="00BF17B0" w:rsidRDefault="00401E7F" w:rsidP="008E719A">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16,469,673 </w:t>
            </w:r>
          </w:p>
        </w:tc>
        <w:tc>
          <w:tcPr>
            <w:tcW w:w="1240" w:type="dxa"/>
            <w:gridSpan w:val="2"/>
            <w:tcBorders>
              <w:top w:val="nil"/>
              <w:left w:val="nil"/>
              <w:bottom w:val="single" w:sz="4" w:space="0" w:color="auto"/>
              <w:right w:val="single" w:sz="4" w:space="0" w:color="auto"/>
            </w:tcBorders>
            <w:shd w:val="clear" w:color="000000" w:fill="8EA9DB"/>
            <w:hideMark/>
          </w:tcPr>
          <w:p w14:paraId="5F25F092" w14:textId="225024CF" w:rsidR="00401E7F" w:rsidRPr="00BF17B0" w:rsidRDefault="00401E7F" w:rsidP="00D373B0">
            <w:pPr>
              <w:spacing w:after="0"/>
              <w:jc w:val="center"/>
              <w:rPr>
                <w:rFonts w:asciiTheme="minorHAnsi" w:eastAsia="Times New Roman" w:hAnsiTheme="minorHAnsi" w:cstheme="minorHAnsi"/>
                <w:b/>
                <w:bCs/>
                <w:sz w:val="20"/>
                <w:szCs w:val="20"/>
                <w:lang w:eastAsia="en-GB"/>
              </w:rPr>
            </w:pPr>
          </w:p>
        </w:tc>
      </w:tr>
      <w:tr w:rsidR="00401E7F" w:rsidRPr="00BF17B0" w14:paraId="3699139E" w14:textId="77777777" w:rsidTr="00382432">
        <w:trPr>
          <w:trHeight w:val="255"/>
        </w:trPr>
        <w:tc>
          <w:tcPr>
            <w:tcW w:w="8087" w:type="dxa"/>
            <w:gridSpan w:val="7"/>
            <w:tcBorders>
              <w:top w:val="single" w:sz="4" w:space="0" w:color="auto"/>
              <w:left w:val="nil"/>
              <w:bottom w:val="single" w:sz="4" w:space="0" w:color="auto"/>
              <w:right w:val="single" w:sz="4" w:space="0" w:color="000000"/>
            </w:tcBorders>
            <w:shd w:val="clear" w:color="000000" w:fill="9BC2E6"/>
            <w:hideMark/>
          </w:tcPr>
          <w:p w14:paraId="6A58123F" w14:textId="77777777" w:rsidR="00401E7F" w:rsidRPr="00BF17B0" w:rsidRDefault="00401E7F" w:rsidP="00635659">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3.3 Improved analytical underpinnings for Public Private Partnerships</w:t>
            </w:r>
          </w:p>
        </w:tc>
        <w:tc>
          <w:tcPr>
            <w:tcW w:w="1231" w:type="dxa"/>
            <w:tcBorders>
              <w:top w:val="nil"/>
              <w:left w:val="nil"/>
              <w:bottom w:val="single" w:sz="4" w:space="0" w:color="auto"/>
              <w:right w:val="single" w:sz="4" w:space="0" w:color="auto"/>
            </w:tcBorders>
            <w:shd w:val="clear" w:color="000000" w:fill="99CCFF"/>
            <w:hideMark/>
          </w:tcPr>
          <w:p w14:paraId="4FC0E835"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r>
      <w:tr w:rsidR="00401E7F" w:rsidRPr="00BF17B0" w14:paraId="2C3B76AD" w14:textId="77777777" w:rsidTr="00382432">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2992707D"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TF010343</w:t>
            </w:r>
          </w:p>
        </w:tc>
        <w:tc>
          <w:tcPr>
            <w:tcW w:w="2879" w:type="dxa"/>
            <w:tcBorders>
              <w:top w:val="nil"/>
              <w:left w:val="nil"/>
              <w:bottom w:val="single" w:sz="4" w:space="0" w:color="auto"/>
              <w:right w:val="single" w:sz="4" w:space="0" w:color="auto"/>
            </w:tcBorders>
            <w:shd w:val="clear" w:color="auto" w:fill="auto"/>
            <w:hideMark/>
          </w:tcPr>
          <w:p w14:paraId="2F75EC18" w14:textId="77777777" w:rsidR="00401E7F"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Technical Assistance Support to Philippines PPP Program</w:t>
            </w:r>
          </w:p>
          <w:p w14:paraId="71F227F3" w14:textId="14EEFD3E" w:rsidR="006B1779" w:rsidRPr="00BF17B0" w:rsidRDefault="006B1779" w:rsidP="00D373B0">
            <w:pPr>
              <w:spacing w:after="0"/>
              <w:rPr>
                <w:rFonts w:asciiTheme="minorHAnsi" w:eastAsia="Times New Roman" w:hAnsiTheme="minorHAnsi" w:cstheme="minorHAnsi"/>
                <w:sz w:val="20"/>
                <w:szCs w:val="20"/>
                <w:lang w:eastAsia="en-GB"/>
              </w:rPr>
            </w:pPr>
          </w:p>
        </w:tc>
        <w:tc>
          <w:tcPr>
            <w:tcW w:w="718" w:type="dxa"/>
            <w:tcBorders>
              <w:top w:val="nil"/>
              <w:left w:val="nil"/>
              <w:bottom w:val="single" w:sz="4" w:space="0" w:color="auto"/>
              <w:right w:val="single" w:sz="4" w:space="0" w:color="auto"/>
            </w:tcBorders>
            <w:shd w:val="clear" w:color="auto" w:fill="auto"/>
            <w:noWrap/>
            <w:hideMark/>
          </w:tcPr>
          <w:p w14:paraId="71F38C7C"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276170F4"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P127147</w:t>
            </w:r>
          </w:p>
        </w:tc>
        <w:tc>
          <w:tcPr>
            <w:tcW w:w="1000" w:type="dxa"/>
            <w:tcBorders>
              <w:top w:val="nil"/>
              <w:left w:val="nil"/>
              <w:bottom w:val="single" w:sz="4" w:space="0" w:color="auto"/>
              <w:right w:val="single" w:sz="4" w:space="0" w:color="auto"/>
            </w:tcBorders>
            <w:shd w:val="clear" w:color="auto" w:fill="auto"/>
            <w:noWrap/>
            <w:hideMark/>
          </w:tcPr>
          <w:p w14:paraId="6036F683"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379BF06F" w14:textId="3F11F3B4"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4,200,000 </w:t>
            </w:r>
          </w:p>
        </w:tc>
        <w:tc>
          <w:tcPr>
            <w:tcW w:w="1240" w:type="dxa"/>
            <w:gridSpan w:val="2"/>
            <w:tcBorders>
              <w:top w:val="nil"/>
              <w:left w:val="nil"/>
              <w:bottom w:val="single" w:sz="4" w:space="0" w:color="auto"/>
              <w:right w:val="single" w:sz="4" w:space="0" w:color="auto"/>
            </w:tcBorders>
            <w:shd w:val="clear" w:color="auto" w:fill="auto"/>
            <w:noWrap/>
            <w:hideMark/>
          </w:tcPr>
          <w:p w14:paraId="74639AED" w14:textId="56B13584"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4,197,906 </w:t>
            </w:r>
          </w:p>
        </w:tc>
      </w:tr>
      <w:tr w:rsidR="00401E7F" w:rsidRPr="00BF17B0" w14:paraId="3FBE9094" w14:textId="77777777" w:rsidTr="00382432">
        <w:trPr>
          <w:trHeight w:val="255"/>
        </w:trPr>
        <w:tc>
          <w:tcPr>
            <w:tcW w:w="1383" w:type="dxa"/>
            <w:tcBorders>
              <w:top w:val="nil"/>
              <w:left w:val="nil"/>
              <w:bottom w:val="single" w:sz="4" w:space="0" w:color="auto"/>
              <w:right w:val="nil"/>
            </w:tcBorders>
            <w:shd w:val="clear" w:color="000000" w:fill="9BC2E6"/>
            <w:hideMark/>
          </w:tcPr>
          <w:p w14:paraId="00449901"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Subtotals</w:t>
            </w:r>
          </w:p>
        </w:tc>
        <w:tc>
          <w:tcPr>
            <w:tcW w:w="2879" w:type="dxa"/>
            <w:tcBorders>
              <w:top w:val="nil"/>
              <w:left w:val="nil"/>
              <w:bottom w:val="single" w:sz="4" w:space="0" w:color="auto"/>
              <w:right w:val="nil"/>
            </w:tcBorders>
            <w:shd w:val="clear" w:color="auto" w:fill="auto"/>
            <w:hideMark/>
          </w:tcPr>
          <w:p w14:paraId="62AE59C8"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718" w:type="dxa"/>
            <w:tcBorders>
              <w:top w:val="nil"/>
              <w:left w:val="nil"/>
              <w:bottom w:val="single" w:sz="4" w:space="0" w:color="auto"/>
              <w:right w:val="nil"/>
            </w:tcBorders>
            <w:shd w:val="clear" w:color="auto" w:fill="auto"/>
            <w:hideMark/>
          </w:tcPr>
          <w:p w14:paraId="55B7441E"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881" w:type="dxa"/>
            <w:tcBorders>
              <w:top w:val="nil"/>
              <w:left w:val="nil"/>
              <w:bottom w:val="single" w:sz="4" w:space="0" w:color="auto"/>
              <w:right w:val="nil"/>
            </w:tcBorders>
            <w:shd w:val="clear" w:color="auto" w:fill="auto"/>
            <w:hideMark/>
          </w:tcPr>
          <w:p w14:paraId="72BD21CA"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000" w:type="dxa"/>
            <w:tcBorders>
              <w:top w:val="nil"/>
              <w:left w:val="nil"/>
              <w:bottom w:val="single" w:sz="4" w:space="0" w:color="auto"/>
              <w:right w:val="nil"/>
            </w:tcBorders>
            <w:shd w:val="clear" w:color="auto" w:fill="auto"/>
            <w:hideMark/>
          </w:tcPr>
          <w:p w14:paraId="5CC63BFD"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217" w:type="dxa"/>
            <w:tcBorders>
              <w:top w:val="nil"/>
              <w:left w:val="nil"/>
              <w:bottom w:val="single" w:sz="4" w:space="0" w:color="auto"/>
              <w:right w:val="single" w:sz="4" w:space="0" w:color="auto"/>
            </w:tcBorders>
            <w:shd w:val="clear" w:color="000000" w:fill="9BC2E6"/>
            <w:hideMark/>
          </w:tcPr>
          <w:p w14:paraId="3BF8519F" w14:textId="77777777"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4,200,000 </w:t>
            </w:r>
          </w:p>
        </w:tc>
        <w:tc>
          <w:tcPr>
            <w:tcW w:w="1240" w:type="dxa"/>
            <w:gridSpan w:val="2"/>
            <w:tcBorders>
              <w:top w:val="nil"/>
              <w:left w:val="nil"/>
              <w:bottom w:val="single" w:sz="4" w:space="0" w:color="auto"/>
              <w:right w:val="single" w:sz="4" w:space="0" w:color="auto"/>
            </w:tcBorders>
            <w:shd w:val="clear" w:color="000000" w:fill="9BC2E6"/>
            <w:hideMark/>
          </w:tcPr>
          <w:p w14:paraId="40600C24" w14:textId="6F3A154D"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4,197,906 </w:t>
            </w:r>
          </w:p>
        </w:tc>
      </w:tr>
      <w:tr w:rsidR="00401E7F" w:rsidRPr="00BF17B0" w14:paraId="23713CA2" w14:textId="77777777" w:rsidTr="00382432">
        <w:trPr>
          <w:trHeight w:val="255"/>
        </w:trPr>
        <w:tc>
          <w:tcPr>
            <w:tcW w:w="6861" w:type="dxa"/>
            <w:gridSpan w:val="5"/>
            <w:tcBorders>
              <w:top w:val="single" w:sz="4" w:space="0" w:color="auto"/>
              <w:left w:val="nil"/>
              <w:bottom w:val="nil"/>
              <w:right w:val="nil"/>
            </w:tcBorders>
            <w:shd w:val="clear" w:color="000000" w:fill="9BC2E6"/>
            <w:hideMark/>
          </w:tcPr>
          <w:p w14:paraId="0CBD4CE5" w14:textId="77777777" w:rsidR="00401E7F" w:rsidRPr="00BF17B0" w:rsidRDefault="00401E7F" w:rsidP="00635659">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3.4 Enhanced capacity of DPWH in Road Management</w:t>
            </w:r>
          </w:p>
        </w:tc>
        <w:tc>
          <w:tcPr>
            <w:tcW w:w="1217" w:type="dxa"/>
            <w:tcBorders>
              <w:top w:val="nil"/>
              <w:left w:val="nil"/>
              <w:bottom w:val="nil"/>
              <w:right w:val="nil"/>
            </w:tcBorders>
            <w:shd w:val="clear" w:color="000000" w:fill="9BC2E6"/>
            <w:hideMark/>
          </w:tcPr>
          <w:p w14:paraId="553B9979" w14:textId="77777777"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40" w:type="dxa"/>
            <w:gridSpan w:val="2"/>
            <w:tcBorders>
              <w:top w:val="nil"/>
              <w:left w:val="nil"/>
              <w:bottom w:val="nil"/>
              <w:right w:val="nil"/>
            </w:tcBorders>
            <w:shd w:val="clear" w:color="000000" w:fill="9BC2E6"/>
            <w:hideMark/>
          </w:tcPr>
          <w:p w14:paraId="6A7B9E35"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r>
      <w:tr w:rsidR="00401E7F" w:rsidRPr="00BF17B0" w14:paraId="5AE12162" w14:textId="77777777" w:rsidTr="00382432">
        <w:trPr>
          <w:trHeight w:val="255"/>
        </w:trPr>
        <w:tc>
          <w:tcPr>
            <w:tcW w:w="1383" w:type="dxa"/>
            <w:tcBorders>
              <w:top w:val="single" w:sz="4" w:space="0" w:color="auto"/>
              <w:left w:val="single" w:sz="4" w:space="0" w:color="auto"/>
              <w:bottom w:val="single" w:sz="4" w:space="0" w:color="auto"/>
              <w:right w:val="single" w:sz="4" w:space="0" w:color="auto"/>
            </w:tcBorders>
            <w:shd w:val="clear" w:color="auto" w:fill="auto"/>
            <w:noWrap/>
            <w:hideMark/>
          </w:tcPr>
          <w:p w14:paraId="4A2FE379"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TF018940</w:t>
            </w:r>
          </w:p>
        </w:tc>
        <w:tc>
          <w:tcPr>
            <w:tcW w:w="2879" w:type="dxa"/>
            <w:tcBorders>
              <w:top w:val="single" w:sz="4" w:space="0" w:color="auto"/>
              <w:left w:val="nil"/>
              <w:bottom w:val="single" w:sz="4" w:space="0" w:color="auto"/>
              <w:right w:val="single" w:sz="4" w:space="0" w:color="auto"/>
            </w:tcBorders>
            <w:shd w:val="clear" w:color="auto" w:fill="auto"/>
            <w:hideMark/>
          </w:tcPr>
          <w:p w14:paraId="5CA083D9" w14:textId="77777777" w:rsidR="00401E7F"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Supporting Business Innovations in DPWH</w:t>
            </w:r>
          </w:p>
          <w:p w14:paraId="2A3683E2" w14:textId="263F11F4" w:rsidR="006B1779" w:rsidRPr="00BF17B0" w:rsidRDefault="006B1779" w:rsidP="00D373B0">
            <w:pPr>
              <w:spacing w:after="0"/>
              <w:rPr>
                <w:rFonts w:asciiTheme="minorHAnsi" w:eastAsia="Times New Roman" w:hAnsiTheme="minorHAnsi" w:cstheme="minorHAnsi"/>
                <w:sz w:val="20"/>
                <w:szCs w:val="20"/>
                <w:lang w:eastAsia="en-GB"/>
              </w:rPr>
            </w:pPr>
          </w:p>
        </w:tc>
        <w:tc>
          <w:tcPr>
            <w:tcW w:w="718" w:type="dxa"/>
            <w:tcBorders>
              <w:top w:val="single" w:sz="4" w:space="0" w:color="auto"/>
              <w:left w:val="nil"/>
              <w:bottom w:val="single" w:sz="4" w:space="0" w:color="auto"/>
              <w:right w:val="single" w:sz="4" w:space="0" w:color="auto"/>
            </w:tcBorders>
            <w:shd w:val="clear" w:color="auto" w:fill="auto"/>
            <w:noWrap/>
            <w:hideMark/>
          </w:tcPr>
          <w:p w14:paraId="086E304C"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single" w:sz="4" w:space="0" w:color="auto"/>
              <w:left w:val="nil"/>
              <w:bottom w:val="single" w:sz="4" w:space="0" w:color="auto"/>
              <w:right w:val="single" w:sz="4" w:space="0" w:color="auto"/>
            </w:tcBorders>
            <w:shd w:val="clear" w:color="auto" w:fill="auto"/>
            <w:noWrap/>
            <w:hideMark/>
          </w:tcPr>
          <w:p w14:paraId="063F9A1F"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P152292</w:t>
            </w:r>
          </w:p>
        </w:tc>
        <w:tc>
          <w:tcPr>
            <w:tcW w:w="1000" w:type="dxa"/>
            <w:tcBorders>
              <w:top w:val="single" w:sz="4" w:space="0" w:color="auto"/>
              <w:left w:val="nil"/>
              <w:bottom w:val="single" w:sz="4" w:space="0" w:color="auto"/>
              <w:right w:val="single" w:sz="4" w:space="0" w:color="auto"/>
            </w:tcBorders>
            <w:shd w:val="clear" w:color="auto" w:fill="auto"/>
            <w:noWrap/>
            <w:hideMark/>
          </w:tcPr>
          <w:p w14:paraId="510847D1"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single" w:sz="4" w:space="0" w:color="auto"/>
              <w:left w:val="nil"/>
              <w:bottom w:val="single" w:sz="4" w:space="0" w:color="auto"/>
              <w:right w:val="single" w:sz="4" w:space="0" w:color="auto"/>
            </w:tcBorders>
            <w:shd w:val="clear" w:color="auto" w:fill="auto"/>
            <w:noWrap/>
            <w:hideMark/>
          </w:tcPr>
          <w:p w14:paraId="45B7EB60" w14:textId="40B05A94"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1,400,000 </w:t>
            </w:r>
          </w:p>
        </w:tc>
        <w:tc>
          <w:tcPr>
            <w:tcW w:w="1240" w:type="dxa"/>
            <w:gridSpan w:val="2"/>
            <w:tcBorders>
              <w:top w:val="single" w:sz="4" w:space="0" w:color="auto"/>
              <w:left w:val="nil"/>
              <w:bottom w:val="single" w:sz="4" w:space="0" w:color="auto"/>
              <w:right w:val="single" w:sz="4" w:space="0" w:color="auto"/>
            </w:tcBorders>
            <w:shd w:val="clear" w:color="auto" w:fill="auto"/>
            <w:noWrap/>
            <w:hideMark/>
          </w:tcPr>
          <w:p w14:paraId="3BCDA288" w14:textId="4D011EC8"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922,324 </w:t>
            </w:r>
          </w:p>
        </w:tc>
      </w:tr>
      <w:tr w:rsidR="00401E7F" w:rsidRPr="00BF17B0" w14:paraId="2CA7B0BB" w14:textId="77777777" w:rsidTr="00382432">
        <w:trPr>
          <w:trHeight w:val="255"/>
        </w:trPr>
        <w:tc>
          <w:tcPr>
            <w:tcW w:w="1383" w:type="dxa"/>
            <w:tcBorders>
              <w:top w:val="nil"/>
              <w:left w:val="nil"/>
              <w:bottom w:val="nil"/>
              <w:right w:val="nil"/>
            </w:tcBorders>
            <w:shd w:val="clear" w:color="000000" w:fill="9BC2E6"/>
            <w:hideMark/>
          </w:tcPr>
          <w:p w14:paraId="09CA8E9D"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Subtotals</w:t>
            </w:r>
          </w:p>
        </w:tc>
        <w:tc>
          <w:tcPr>
            <w:tcW w:w="2879" w:type="dxa"/>
            <w:tcBorders>
              <w:top w:val="nil"/>
              <w:left w:val="nil"/>
              <w:bottom w:val="nil"/>
              <w:right w:val="nil"/>
            </w:tcBorders>
            <w:shd w:val="clear" w:color="auto" w:fill="auto"/>
            <w:hideMark/>
          </w:tcPr>
          <w:p w14:paraId="3ACDC0A0"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p>
        </w:tc>
        <w:tc>
          <w:tcPr>
            <w:tcW w:w="718" w:type="dxa"/>
            <w:tcBorders>
              <w:top w:val="nil"/>
              <w:left w:val="nil"/>
              <w:bottom w:val="nil"/>
              <w:right w:val="nil"/>
            </w:tcBorders>
            <w:shd w:val="clear" w:color="auto" w:fill="auto"/>
            <w:hideMark/>
          </w:tcPr>
          <w:p w14:paraId="02639EAF"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p>
        </w:tc>
        <w:tc>
          <w:tcPr>
            <w:tcW w:w="881" w:type="dxa"/>
            <w:tcBorders>
              <w:top w:val="nil"/>
              <w:left w:val="nil"/>
              <w:bottom w:val="nil"/>
              <w:right w:val="nil"/>
            </w:tcBorders>
            <w:shd w:val="clear" w:color="auto" w:fill="auto"/>
            <w:hideMark/>
          </w:tcPr>
          <w:p w14:paraId="42CB49E9"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p>
        </w:tc>
        <w:tc>
          <w:tcPr>
            <w:tcW w:w="1000" w:type="dxa"/>
            <w:tcBorders>
              <w:top w:val="nil"/>
              <w:left w:val="nil"/>
              <w:bottom w:val="nil"/>
              <w:right w:val="nil"/>
            </w:tcBorders>
            <w:shd w:val="clear" w:color="auto" w:fill="auto"/>
            <w:hideMark/>
          </w:tcPr>
          <w:p w14:paraId="0BDF3B2E"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p>
        </w:tc>
        <w:tc>
          <w:tcPr>
            <w:tcW w:w="1217" w:type="dxa"/>
            <w:tcBorders>
              <w:top w:val="nil"/>
              <w:left w:val="nil"/>
              <w:bottom w:val="nil"/>
              <w:right w:val="nil"/>
            </w:tcBorders>
            <w:shd w:val="clear" w:color="000000" w:fill="9BC2E6"/>
            <w:hideMark/>
          </w:tcPr>
          <w:p w14:paraId="0DEDFB6D" w14:textId="77777777"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1,400,000 </w:t>
            </w:r>
          </w:p>
        </w:tc>
        <w:tc>
          <w:tcPr>
            <w:tcW w:w="1240" w:type="dxa"/>
            <w:gridSpan w:val="2"/>
            <w:tcBorders>
              <w:top w:val="nil"/>
              <w:left w:val="nil"/>
              <w:bottom w:val="nil"/>
              <w:right w:val="nil"/>
            </w:tcBorders>
            <w:shd w:val="clear" w:color="000000" w:fill="9BC2E6"/>
            <w:hideMark/>
          </w:tcPr>
          <w:p w14:paraId="7DD34269" w14:textId="246A0CA1"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922,324 </w:t>
            </w:r>
          </w:p>
        </w:tc>
      </w:tr>
      <w:tr w:rsidR="00401E7F" w:rsidRPr="00BF17B0" w14:paraId="6E1EE3AE" w14:textId="77777777" w:rsidTr="00382432">
        <w:trPr>
          <w:trHeight w:val="255"/>
        </w:trPr>
        <w:tc>
          <w:tcPr>
            <w:tcW w:w="6861" w:type="dxa"/>
            <w:gridSpan w:val="5"/>
            <w:tcBorders>
              <w:top w:val="nil"/>
              <w:left w:val="nil"/>
              <w:bottom w:val="nil"/>
              <w:right w:val="nil"/>
            </w:tcBorders>
            <w:shd w:val="clear" w:color="000000" w:fill="9BC2E6"/>
            <w:hideMark/>
          </w:tcPr>
          <w:p w14:paraId="3833AFB4" w14:textId="77777777" w:rsidR="00401E7F" w:rsidRPr="00BF17B0" w:rsidRDefault="00401E7F" w:rsidP="00635659">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3.5 Increased capacity of DPWH to assess, plan and monitor for improved road safety</w:t>
            </w:r>
          </w:p>
        </w:tc>
        <w:tc>
          <w:tcPr>
            <w:tcW w:w="1217" w:type="dxa"/>
            <w:tcBorders>
              <w:top w:val="nil"/>
              <w:left w:val="nil"/>
              <w:bottom w:val="nil"/>
              <w:right w:val="nil"/>
            </w:tcBorders>
            <w:shd w:val="clear" w:color="000000" w:fill="9BC2E6"/>
            <w:hideMark/>
          </w:tcPr>
          <w:p w14:paraId="31E867F4" w14:textId="77777777"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1240" w:type="dxa"/>
            <w:gridSpan w:val="2"/>
            <w:tcBorders>
              <w:top w:val="nil"/>
              <w:left w:val="nil"/>
              <w:bottom w:val="nil"/>
              <w:right w:val="nil"/>
            </w:tcBorders>
            <w:shd w:val="clear" w:color="000000" w:fill="9BC2E6"/>
            <w:hideMark/>
          </w:tcPr>
          <w:p w14:paraId="3BE8D422"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r>
      <w:tr w:rsidR="00401E7F" w:rsidRPr="00BF17B0" w14:paraId="4EBBD934" w14:textId="77777777" w:rsidTr="00382432">
        <w:trPr>
          <w:trHeight w:val="510"/>
        </w:trPr>
        <w:tc>
          <w:tcPr>
            <w:tcW w:w="1383" w:type="dxa"/>
            <w:tcBorders>
              <w:top w:val="single" w:sz="4" w:space="0" w:color="auto"/>
              <w:left w:val="single" w:sz="4" w:space="0" w:color="auto"/>
              <w:bottom w:val="single" w:sz="4" w:space="0" w:color="auto"/>
              <w:right w:val="single" w:sz="4" w:space="0" w:color="auto"/>
            </w:tcBorders>
            <w:shd w:val="clear" w:color="auto" w:fill="auto"/>
            <w:noWrap/>
            <w:hideMark/>
          </w:tcPr>
          <w:p w14:paraId="3211876B"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TF010382</w:t>
            </w:r>
          </w:p>
        </w:tc>
        <w:tc>
          <w:tcPr>
            <w:tcW w:w="2879" w:type="dxa"/>
            <w:tcBorders>
              <w:top w:val="single" w:sz="4" w:space="0" w:color="auto"/>
              <w:left w:val="nil"/>
              <w:bottom w:val="single" w:sz="4" w:space="0" w:color="auto"/>
              <w:right w:val="single" w:sz="4" w:space="0" w:color="auto"/>
            </w:tcBorders>
            <w:shd w:val="clear" w:color="auto" w:fill="auto"/>
            <w:hideMark/>
          </w:tcPr>
          <w:p w14:paraId="45ECBDED" w14:textId="77777777" w:rsidR="00401E7F"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Scale up of Philippines International Road Assessment Program (IRAP)</w:t>
            </w:r>
          </w:p>
          <w:p w14:paraId="6584DB6D" w14:textId="13733609" w:rsidR="006B1779" w:rsidRPr="00BF17B0" w:rsidRDefault="006B1779" w:rsidP="00D373B0">
            <w:pPr>
              <w:spacing w:after="0"/>
              <w:rPr>
                <w:rFonts w:asciiTheme="minorHAnsi" w:eastAsia="Times New Roman" w:hAnsiTheme="minorHAnsi" w:cstheme="minorHAnsi"/>
                <w:sz w:val="20"/>
                <w:szCs w:val="20"/>
                <w:lang w:eastAsia="en-GB"/>
              </w:rPr>
            </w:pPr>
          </w:p>
        </w:tc>
        <w:tc>
          <w:tcPr>
            <w:tcW w:w="718" w:type="dxa"/>
            <w:tcBorders>
              <w:top w:val="single" w:sz="4" w:space="0" w:color="auto"/>
              <w:left w:val="nil"/>
              <w:bottom w:val="single" w:sz="4" w:space="0" w:color="auto"/>
              <w:right w:val="single" w:sz="4" w:space="0" w:color="auto"/>
            </w:tcBorders>
            <w:shd w:val="clear" w:color="auto" w:fill="auto"/>
            <w:noWrap/>
            <w:hideMark/>
          </w:tcPr>
          <w:p w14:paraId="34E2D058"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single" w:sz="4" w:space="0" w:color="auto"/>
              <w:left w:val="nil"/>
              <w:bottom w:val="single" w:sz="4" w:space="0" w:color="auto"/>
              <w:right w:val="single" w:sz="4" w:space="0" w:color="auto"/>
            </w:tcBorders>
            <w:shd w:val="clear" w:color="auto" w:fill="auto"/>
            <w:noWrap/>
            <w:hideMark/>
          </w:tcPr>
          <w:p w14:paraId="7C5FA172"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P123930</w:t>
            </w:r>
          </w:p>
        </w:tc>
        <w:tc>
          <w:tcPr>
            <w:tcW w:w="1000" w:type="dxa"/>
            <w:tcBorders>
              <w:top w:val="single" w:sz="4" w:space="0" w:color="auto"/>
              <w:left w:val="nil"/>
              <w:bottom w:val="single" w:sz="4" w:space="0" w:color="auto"/>
              <w:right w:val="single" w:sz="4" w:space="0" w:color="auto"/>
            </w:tcBorders>
            <w:shd w:val="clear" w:color="auto" w:fill="auto"/>
            <w:noWrap/>
            <w:hideMark/>
          </w:tcPr>
          <w:p w14:paraId="7BC19EAD" w14:textId="77777777"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RE</w:t>
            </w:r>
          </w:p>
        </w:tc>
        <w:tc>
          <w:tcPr>
            <w:tcW w:w="1217" w:type="dxa"/>
            <w:tcBorders>
              <w:top w:val="single" w:sz="4" w:space="0" w:color="auto"/>
              <w:left w:val="nil"/>
              <w:bottom w:val="single" w:sz="4" w:space="0" w:color="auto"/>
              <w:right w:val="single" w:sz="4" w:space="0" w:color="auto"/>
            </w:tcBorders>
            <w:shd w:val="clear" w:color="auto" w:fill="auto"/>
            <w:noWrap/>
            <w:hideMark/>
          </w:tcPr>
          <w:p w14:paraId="4DF15440" w14:textId="4644F3ED" w:rsidR="00401E7F" w:rsidRPr="00BF17B0" w:rsidRDefault="00401E7F"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250,000 </w:t>
            </w:r>
          </w:p>
        </w:tc>
        <w:tc>
          <w:tcPr>
            <w:tcW w:w="1240" w:type="dxa"/>
            <w:gridSpan w:val="2"/>
            <w:tcBorders>
              <w:top w:val="single" w:sz="4" w:space="0" w:color="auto"/>
              <w:left w:val="nil"/>
              <w:bottom w:val="single" w:sz="4" w:space="0" w:color="auto"/>
              <w:right w:val="single" w:sz="4" w:space="0" w:color="auto"/>
            </w:tcBorders>
            <w:shd w:val="clear" w:color="auto" w:fill="auto"/>
            <w:noWrap/>
            <w:hideMark/>
          </w:tcPr>
          <w:p w14:paraId="3E39E967" w14:textId="321CE7A9" w:rsidR="00401E7F" w:rsidRPr="00BF17B0" w:rsidRDefault="00401E7F" w:rsidP="00D373B0">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250,000 </w:t>
            </w:r>
          </w:p>
        </w:tc>
      </w:tr>
      <w:tr w:rsidR="00401E7F" w:rsidRPr="00BF17B0" w14:paraId="183D0EBF" w14:textId="77777777" w:rsidTr="00382432">
        <w:trPr>
          <w:trHeight w:val="255"/>
        </w:trPr>
        <w:tc>
          <w:tcPr>
            <w:tcW w:w="1383" w:type="dxa"/>
            <w:tcBorders>
              <w:top w:val="nil"/>
              <w:left w:val="nil"/>
              <w:bottom w:val="nil"/>
              <w:right w:val="nil"/>
            </w:tcBorders>
            <w:shd w:val="clear" w:color="000000" w:fill="9BC2E6"/>
            <w:hideMark/>
          </w:tcPr>
          <w:p w14:paraId="17886FFE"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Subtotals</w:t>
            </w:r>
          </w:p>
        </w:tc>
        <w:tc>
          <w:tcPr>
            <w:tcW w:w="2879" w:type="dxa"/>
            <w:tcBorders>
              <w:top w:val="nil"/>
              <w:left w:val="nil"/>
              <w:bottom w:val="nil"/>
              <w:right w:val="nil"/>
            </w:tcBorders>
            <w:shd w:val="clear" w:color="auto" w:fill="auto"/>
            <w:hideMark/>
          </w:tcPr>
          <w:p w14:paraId="683D1D6A"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p>
        </w:tc>
        <w:tc>
          <w:tcPr>
            <w:tcW w:w="718" w:type="dxa"/>
            <w:tcBorders>
              <w:top w:val="nil"/>
              <w:left w:val="nil"/>
              <w:bottom w:val="nil"/>
              <w:right w:val="nil"/>
            </w:tcBorders>
            <w:shd w:val="clear" w:color="auto" w:fill="auto"/>
            <w:hideMark/>
          </w:tcPr>
          <w:p w14:paraId="0B9E69EA"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p>
        </w:tc>
        <w:tc>
          <w:tcPr>
            <w:tcW w:w="881" w:type="dxa"/>
            <w:tcBorders>
              <w:top w:val="nil"/>
              <w:left w:val="nil"/>
              <w:bottom w:val="nil"/>
              <w:right w:val="nil"/>
            </w:tcBorders>
            <w:shd w:val="clear" w:color="auto" w:fill="auto"/>
            <w:hideMark/>
          </w:tcPr>
          <w:p w14:paraId="5751F9E4"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p>
        </w:tc>
        <w:tc>
          <w:tcPr>
            <w:tcW w:w="1000" w:type="dxa"/>
            <w:tcBorders>
              <w:top w:val="nil"/>
              <w:left w:val="nil"/>
              <w:bottom w:val="nil"/>
              <w:right w:val="nil"/>
            </w:tcBorders>
            <w:shd w:val="clear" w:color="auto" w:fill="auto"/>
            <w:hideMark/>
          </w:tcPr>
          <w:p w14:paraId="7EEC8F65"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p>
        </w:tc>
        <w:tc>
          <w:tcPr>
            <w:tcW w:w="1217" w:type="dxa"/>
            <w:tcBorders>
              <w:top w:val="nil"/>
              <w:left w:val="nil"/>
              <w:bottom w:val="nil"/>
              <w:right w:val="nil"/>
            </w:tcBorders>
            <w:shd w:val="clear" w:color="000000" w:fill="9BC2E6"/>
            <w:hideMark/>
          </w:tcPr>
          <w:p w14:paraId="5446014A" w14:textId="77777777"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250,000 </w:t>
            </w:r>
          </w:p>
        </w:tc>
        <w:tc>
          <w:tcPr>
            <w:tcW w:w="1240" w:type="dxa"/>
            <w:gridSpan w:val="2"/>
            <w:tcBorders>
              <w:top w:val="nil"/>
              <w:left w:val="nil"/>
              <w:bottom w:val="nil"/>
              <w:right w:val="nil"/>
            </w:tcBorders>
            <w:shd w:val="clear" w:color="000000" w:fill="9BC2E6"/>
            <w:hideMark/>
          </w:tcPr>
          <w:p w14:paraId="1CAC476E" w14:textId="2882E2A1"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250,000 </w:t>
            </w:r>
          </w:p>
        </w:tc>
      </w:tr>
      <w:tr w:rsidR="00401E7F" w:rsidRPr="00BF17B0" w14:paraId="794071F6" w14:textId="77777777" w:rsidTr="00382432">
        <w:trPr>
          <w:trHeight w:val="255"/>
        </w:trPr>
        <w:tc>
          <w:tcPr>
            <w:tcW w:w="1383" w:type="dxa"/>
            <w:tcBorders>
              <w:top w:val="single" w:sz="4" w:space="0" w:color="auto"/>
              <w:left w:val="single" w:sz="4" w:space="0" w:color="auto"/>
              <w:bottom w:val="single" w:sz="4" w:space="0" w:color="auto"/>
              <w:right w:val="single" w:sz="4" w:space="0" w:color="auto"/>
            </w:tcBorders>
            <w:shd w:val="clear" w:color="000000" w:fill="9BC2E6"/>
            <w:hideMark/>
          </w:tcPr>
          <w:p w14:paraId="796B694F"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2879" w:type="dxa"/>
            <w:tcBorders>
              <w:top w:val="single" w:sz="4" w:space="0" w:color="auto"/>
              <w:left w:val="nil"/>
              <w:bottom w:val="single" w:sz="4" w:space="0" w:color="auto"/>
              <w:right w:val="single" w:sz="4" w:space="0" w:color="auto"/>
            </w:tcBorders>
            <w:shd w:val="clear" w:color="000000" w:fill="9BC2E6"/>
            <w:hideMark/>
          </w:tcPr>
          <w:p w14:paraId="28B3F72F" w14:textId="77777777" w:rsidR="00401E7F" w:rsidRPr="00BF17B0" w:rsidRDefault="00401E7F" w:rsidP="00D373B0">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Focus Area 3 Totals</w:t>
            </w:r>
          </w:p>
        </w:tc>
        <w:tc>
          <w:tcPr>
            <w:tcW w:w="718" w:type="dxa"/>
            <w:tcBorders>
              <w:top w:val="single" w:sz="4" w:space="0" w:color="auto"/>
              <w:left w:val="nil"/>
              <w:bottom w:val="single" w:sz="4" w:space="0" w:color="auto"/>
              <w:right w:val="single" w:sz="4" w:space="0" w:color="auto"/>
            </w:tcBorders>
            <w:shd w:val="clear" w:color="000000" w:fill="9BC2E6"/>
            <w:hideMark/>
          </w:tcPr>
          <w:p w14:paraId="1B1E86BD"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881" w:type="dxa"/>
            <w:tcBorders>
              <w:top w:val="single" w:sz="4" w:space="0" w:color="auto"/>
              <w:left w:val="nil"/>
              <w:bottom w:val="single" w:sz="4" w:space="0" w:color="auto"/>
              <w:right w:val="single" w:sz="4" w:space="0" w:color="auto"/>
            </w:tcBorders>
            <w:shd w:val="clear" w:color="000000" w:fill="9BC2E6"/>
            <w:hideMark/>
          </w:tcPr>
          <w:p w14:paraId="7D23D121"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000" w:type="dxa"/>
            <w:tcBorders>
              <w:top w:val="single" w:sz="4" w:space="0" w:color="auto"/>
              <w:left w:val="nil"/>
              <w:bottom w:val="single" w:sz="4" w:space="0" w:color="auto"/>
              <w:right w:val="single" w:sz="4" w:space="0" w:color="auto"/>
            </w:tcBorders>
            <w:shd w:val="clear" w:color="000000" w:fill="9BC2E6"/>
            <w:hideMark/>
          </w:tcPr>
          <w:p w14:paraId="621AE256" w14:textId="77777777" w:rsidR="00401E7F" w:rsidRPr="00BF17B0" w:rsidRDefault="00401E7F" w:rsidP="00D373B0">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217" w:type="dxa"/>
            <w:tcBorders>
              <w:top w:val="single" w:sz="4" w:space="0" w:color="auto"/>
              <w:left w:val="nil"/>
              <w:bottom w:val="single" w:sz="4" w:space="0" w:color="auto"/>
              <w:right w:val="single" w:sz="4" w:space="0" w:color="auto"/>
            </w:tcBorders>
            <w:shd w:val="clear" w:color="000000" w:fill="9BC2E6"/>
            <w:hideMark/>
          </w:tcPr>
          <w:p w14:paraId="3C69E71E" w14:textId="77777777" w:rsidR="00401E7F" w:rsidRPr="00BF17B0" w:rsidRDefault="00401E7F"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25,149,673 </w:t>
            </w:r>
          </w:p>
        </w:tc>
        <w:tc>
          <w:tcPr>
            <w:tcW w:w="1240" w:type="dxa"/>
            <w:gridSpan w:val="2"/>
            <w:tcBorders>
              <w:top w:val="single" w:sz="4" w:space="0" w:color="auto"/>
              <w:left w:val="nil"/>
              <w:bottom w:val="single" w:sz="4" w:space="0" w:color="auto"/>
              <w:right w:val="single" w:sz="4" w:space="0" w:color="auto"/>
            </w:tcBorders>
            <w:shd w:val="clear" w:color="000000" w:fill="9BC2E6"/>
            <w:hideMark/>
          </w:tcPr>
          <w:p w14:paraId="45D436A0" w14:textId="7291AFC7" w:rsidR="00E24556" w:rsidRPr="00BF17B0" w:rsidRDefault="00BF6A3A" w:rsidP="00E86018">
            <w:pPr>
              <w:spacing w:after="0"/>
              <w:jc w:val="center"/>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23,02</w:t>
            </w:r>
            <w:r w:rsidR="00401E7F" w:rsidRPr="00BF17B0">
              <w:rPr>
                <w:rFonts w:asciiTheme="minorHAnsi" w:eastAsia="Times New Roman" w:hAnsiTheme="minorHAnsi" w:cstheme="minorHAnsi"/>
                <w:b/>
                <w:bCs/>
                <w:sz w:val="20"/>
                <w:szCs w:val="20"/>
                <w:lang w:eastAsia="en-GB"/>
              </w:rPr>
              <w:t xml:space="preserve">9,677 </w:t>
            </w:r>
          </w:p>
        </w:tc>
      </w:tr>
      <w:tr w:rsidR="00E24556" w:rsidRPr="00BF17B0" w14:paraId="52D85BE3" w14:textId="77777777" w:rsidTr="00635659">
        <w:trPr>
          <w:trHeight w:val="350"/>
        </w:trPr>
        <w:tc>
          <w:tcPr>
            <w:tcW w:w="4980" w:type="dxa"/>
            <w:gridSpan w:val="3"/>
            <w:tcBorders>
              <w:top w:val="nil"/>
              <w:left w:val="nil"/>
              <w:bottom w:val="nil"/>
              <w:right w:val="nil"/>
            </w:tcBorders>
            <w:shd w:val="clear" w:color="000000" w:fill="9BC2E6"/>
            <w:noWrap/>
            <w:hideMark/>
          </w:tcPr>
          <w:p w14:paraId="3860E267" w14:textId="77777777" w:rsidR="00E24556" w:rsidRPr="00BF17B0" w:rsidRDefault="00E24556" w:rsidP="00CB084C">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b/>
                <w:bCs/>
                <w:sz w:val="20"/>
                <w:szCs w:val="20"/>
                <w:lang w:eastAsia="en-GB"/>
              </w:rPr>
              <w:t>4 Reduced Vulnerabilities</w:t>
            </w:r>
          </w:p>
        </w:tc>
        <w:tc>
          <w:tcPr>
            <w:tcW w:w="881" w:type="dxa"/>
            <w:tcBorders>
              <w:top w:val="nil"/>
              <w:left w:val="nil"/>
              <w:bottom w:val="nil"/>
              <w:right w:val="nil"/>
            </w:tcBorders>
            <w:shd w:val="clear" w:color="000000" w:fill="9BC2E6"/>
            <w:noWrap/>
            <w:hideMark/>
          </w:tcPr>
          <w:p w14:paraId="77DA62F4"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000" w:type="dxa"/>
            <w:tcBorders>
              <w:top w:val="nil"/>
              <w:left w:val="nil"/>
              <w:bottom w:val="nil"/>
              <w:right w:val="nil"/>
            </w:tcBorders>
            <w:shd w:val="clear" w:color="000000" w:fill="9BC2E6"/>
            <w:noWrap/>
            <w:hideMark/>
          </w:tcPr>
          <w:p w14:paraId="10132D2B"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217" w:type="dxa"/>
            <w:tcBorders>
              <w:top w:val="nil"/>
              <w:left w:val="nil"/>
              <w:bottom w:val="nil"/>
              <w:right w:val="nil"/>
            </w:tcBorders>
            <w:shd w:val="clear" w:color="000000" w:fill="9BC2E6"/>
            <w:noWrap/>
            <w:hideMark/>
          </w:tcPr>
          <w:p w14:paraId="4AB88E48" w14:textId="77777777"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240" w:type="dxa"/>
            <w:gridSpan w:val="2"/>
            <w:tcBorders>
              <w:top w:val="nil"/>
              <w:left w:val="nil"/>
              <w:bottom w:val="nil"/>
              <w:right w:val="nil"/>
            </w:tcBorders>
            <w:shd w:val="clear" w:color="000000" w:fill="9BC2E6"/>
            <w:noWrap/>
            <w:hideMark/>
          </w:tcPr>
          <w:p w14:paraId="25373AD2"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r>
      <w:tr w:rsidR="00E24556" w:rsidRPr="00BF17B0" w14:paraId="1B0507D0" w14:textId="77777777" w:rsidTr="00635659">
        <w:trPr>
          <w:trHeight w:val="555"/>
        </w:trPr>
        <w:tc>
          <w:tcPr>
            <w:tcW w:w="9318" w:type="dxa"/>
            <w:gridSpan w:val="8"/>
            <w:tcBorders>
              <w:top w:val="nil"/>
              <w:left w:val="nil"/>
              <w:bottom w:val="nil"/>
              <w:right w:val="nil"/>
            </w:tcBorders>
            <w:shd w:val="clear" w:color="000000" w:fill="9BC2E6"/>
            <w:hideMark/>
          </w:tcPr>
          <w:p w14:paraId="5149E5E3" w14:textId="77777777" w:rsidR="00E24556" w:rsidRPr="00BF17B0" w:rsidRDefault="00E24556" w:rsidP="00635659">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4.1 National household targeting system (Listahanan) established, updated and used by national government agencies to target beneficiaries</w:t>
            </w:r>
          </w:p>
        </w:tc>
      </w:tr>
      <w:tr w:rsidR="00E24556" w:rsidRPr="00BF17B0" w14:paraId="74698D0E" w14:textId="77777777" w:rsidTr="00635659">
        <w:trPr>
          <w:trHeight w:val="510"/>
        </w:trPr>
        <w:tc>
          <w:tcPr>
            <w:tcW w:w="1383" w:type="dxa"/>
            <w:tcBorders>
              <w:top w:val="single" w:sz="4" w:space="0" w:color="auto"/>
              <w:left w:val="single" w:sz="4" w:space="0" w:color="auto"/>
              <w:bottom w:val="single" w:sz="4" w:space="0" w:color="auto"/>
              <w:right w:val="single" w:sz="4" w:space="0" w:color="auto"/>
            </w:tcBorders>
            <w:shd w:val="clear" w:color="auto" w:fill="auto"/>
            <w:noWrap/>
            <w:hideMark/>
          </w:tcPr>
          <w:p w14:paraId="2B0981F1"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TF017389</w:t>
            </w:r>
          </w:p>
        </w:tc>
        <w:tc>
          <w:tcPr>
            <w:tcW w:w="2879" w:type="dxa"/>
            <w:tcBorders>
              <w:top w:val="single" w:sz="4" w:space="0" w:color="auto"/>
              <w:left w:val="nil"/>
              <w:bottom w:val="single" w:sz="4" w:space="0" w:color="auto"/>
              <w:right w:val="single" w:sz="4" w:space="0" w:color="auto"/>
            </w:tcBorders>
            <w:shd w:val="clear" w:color="auto" w:fill="auto"/>
            <w:hideMark/>
          </w:tcPr>
          <w:p w14:paraId="26CACA0D"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Strengthening the National Household Targeting System in the Philippines</w:t>
            </w:r>
          </w:p>
        </w:tc>
        <w:tc>
          <w:tcPr>
            <w:tcW w:w="718" w:type="dxa"/>
            <w:tcBorders>
              <w:top w:val="single" w:sz="4" w:space="0" w:color="auto"/>
              <w:left w:val="nil"/>
              <w:bottom w:val="single" w:sz="4" w:space="0" w:color="auto"/>
              <w:right w:val="single" w:sz="4" w:space="0" w:color="auto"/>
            </w:tcBorders>
            <w:shd w:val="clear" w:color="auto" w:fill="auto"/>
            <w:noWrap/>
            <w:hideMark/>
          </w:tcPr>
          <w:p w14:paraId="4CB623D9"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single" w:sz="4" w:space="0" w:color="auto"/>
              <w:left w:val="nil"/>
              <w:bottom w:val="single" w:sz="4" w:space="0" w:color="auto"/>
              <w:right w:val="single" w:sz="4" w:space="0" w:color="auto"/>
            </w:tcBorders>
            <w:shd w:val="clear" w:color="auto" w:fill="auto"/>
            <w:noWrap/>
            <w:hideMark/>
          </w:tcPr>
          <w:p w14:paraId="028A0E7B"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P150527</w:t>
            </w:r>
          </w:p>
        </w:tc>
        <w:tc>
          <w:tcPr>
            <w:tcW w:w="1000" w:type="dxa"/>
            <w:tcBorders>
              <w:top w:val="single" w:sz="4" w:space="0" w:color="auto"/>
              <w:left w:val="nil"/>
              <w:bottom w:val="single" w:sz="4" w:space="0" w:color="auto"/>
              <w:right w:val="single" w:sz="4" w:space="0" w:color="auto"/>
            </w:tcBorders>
            <w:shd w:val="clear" w:color="auto" w:fill="auto"/>
            <w:noWrap/>
            <w:hideMark/>
          </w:tcPr>
          <w:p w14:paraId="055A4593"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single" w:sz="4" w:space="0" w:color="auto"/>
              <w:left w:val="nil"/>
              <w:bottom w:val="single" w:sz="4" w:space="0" w:color="auto"/>
              <w:right w:val="single" w:sz="4" w:space="0" w:color="auto"/>
            </w:tcBorders>
            <w:shd w:val="clear" w:color="auto" w:fill="auto"/>
            <w:noWrap/>
            <w:hideMark/>
          </w:tcPr>
          <w:p w14:paraId="732BD76B" w14:textId="7FA6CA30"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255,016 </w:t>
            </w:r>
          </w:p>
        </w:tc>
        <w:tc>
          <w:tcPr>
            <w:tcW w:w="1240" w:type="dxa"/>
            <w:gridSpan w:val="2"/>
            <w:tcBorders>
              <w:top w:val="single" w:sz="4" w:space="0" w:color="auto"/>
              <w:left w:val="nil"/>
              <w:bottom w:val="single" w:sz="4" w:space="0" w:color="auto"/>
              <w:right w:val="single" w:sz="4" w:space="0" w:color="auto"/>
            </w:tcBorders>
            <w:shd w:val="clear" w:color="auto" w:fill="auto"/>
            <w:noWrap/>
            <w:hideMark/>
          </w:tcPr>
          <w:p w14:paraId="73F40B7C" w14:textId="5C242983"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253,257 </w:t>
            </w:r>
          </w:p>
        </w:tc>
      </w:tr>
      <w:tr w:rsidR="00E24556" w:rsidRPr="00BF17B0" w14:paraId="2A619171" w14:textId="77777777" w:rsidTr="00635659">
        <w:trPr>
          <w:trHeight w:val="255"/>
        </w:trPr>
        <w:tc>
          <w:tcPr>
            <w:tcW w:w="1383" w:type="dxa"/>
            <w:tcBorders>
              <w:top w:val="nil"/>
              <w:left w:val="nil"/>
              <w:bottom w:val="nil"/>
              <w:right w:val="nil"/>
            </w:tcBorders>
            <w:shd w:val="clear" w:color="000000" w:fill="9BC2E6"/>
            <w:noWrap/>
            <w:hideMark/>
          </w:tcPr>
          <w:p w14:paraId="1055396A" w14:textId="77777777" w:rsidR="00E24556" w:rsidRPr="00BF17B0" w:rsidRDefault="00E24556" w:rsidP="00E24556">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Subtotals</w:t>
            </w:r>
          </w:p>
        </w:tc>
        <w:tc>
          <w:tcPr>
            <w:tcW w:w="2879" w:type="dxa"/>
            <w:tcBorders>
              <w:top w:val="nil"/>
              <w:left w:val="nil"/>
              <w:bottom w:val="nil"/>
              <w:right w:val="nil"/>
            </w:tcBorders>
            <w:shd w:val="clear" w:color="auto" w:fill="auto"/>
            <w:noWrap/>
            <w:hideMark/>
          </w:tcPr>
          <w:p w14:paraId="30885D91" w14:textId="77777777" w:rsidR="00E24556" w:rsidRPr="00BF17B0" w:rsidRDefault="00E24556" w:rsidP="00E24556">
            <w:pPr>
              <w:spacing w:after="0"/>
              <w:rPr>
                <w:rFonts w:asciiTheme="minorHAnsi" w:eastAsia="Times New Roman" w:hAnsiTheme="minorHAnsi" w:cstheme="minorHAnsi"/>
                <w:b/>
                <w:bCs/>
                <w:sz w:val="20"/>
                <w:szCs w:val="20"/>
                <w:lang w:eastAsia="en-GB"/>
              </w:rPr>
            </w:pPr>
          </w:p>
        </w:tc>
        <w:tc>
          <w:tcPr>
            <w:tcW w:w="718" w:type="dxa"/>
            <w:tcBorders>
              <w:top w:val="nil"/>
              <w:left w:val="nil"/>
              <w:bottom w:val="nil"/>
              <w:right w:val="nil"/>
            </w:tcBorders>
            <w:shd w:val="clear" w:color="auto" w:fill="auto"/>
            <w:noWrap/>
            <w:hideMark/>
          </w:tcPr>
          <w:p w14:paraId="7A7A5725" w14:textId="77777777" w:rsidR="00E24556" w:rsidRPr="00BF17B0" w:rsidRDefault="00E24556" w:rsidP="00E24556">
            <w:pPr>
              <w:spacing w:after="0"/>
              <w:rPr>
                <w:rFonts w:asciiTheme="minorHAnsi" w:eastAsia="Times New Roman" w:hAnsiTheme="minorHAnsi" w:cstheme="minorHAnsi"/>
                <w:sz w:val="20"/>
                <w:szCs w:val="20"/>
                <w:lang w:eastAsia="en-GB"/>
              </w:rPr>
            </w:pPr>
          </w:p>
        </w:tc>
        <w:tc>
          <w:tcPr>
            <w:tcW w:w="881" w:type="dxa"/>
            <w:tcBorders>
              <w:top w:val="nil"/>
              <w:left w:val="nil"/>
              <w:bottom w:val="nil"/>
              <w:right w:val="nil"/>
            </w:tcBorders>
            <w:shd w:val="clear" w:color="auto" w:fill="auto"/>
            <w:noWrap/>
            <w:hideMark/>
          </w:tcPr>
          <w:p w14:paraId="426E0D9E" w14:textId="77777777" w:rsidR="00E24556" w:rsidRPr="00BF17B0" w:rsidRDefault="00E24556" w:rsidP="00E24556">
            <w:pPr>
              <w:spacing w:after="0"/>
              <w:rPr>
                <w:rFonts w:asciiTheme="minorHAnsi" w:eastAsia="Times New Roman" w:hAnsiTheme="minorHAnsi" w:cstheme="minorHAnsi"/>
                <w:sz w:val="20"/>
                <w:szCs w:val="20"/>
                <w:lang w:eastAsia="en-GB"/>
              </w:rPr>
            </w:pPr>
          </w:p>
        </w:tc>
        <w:tc>
          <w:tcPr>
            <w:tcW w:w="1000" w:type="dxa"/>
            <w:tcBorders>
              <w:top w:val="nil"/>
              <w:left w:val="nil"/>
              <w:bottom w:val="nil"/>
              <w:right w:val="nil"/>
            </w:tcBorders>
            <w:shd w:val="clear" w:color="auto" w:fill="auto"/>
            <w:noWrap/>
            <w:hideMark/>
          </w:tcPr>
          <w:p w14:paraId="130D44E3" w14:textId="77777777" w:rsidR="00E24556" w:rsidRPr="00BF17B0" w:rsidRDefault="00E24556" w:rsidP="00E24556">
            <w:pPr>
              <w:spacing w:after="0"/>
              <w:rPr>
                <w:rFonts w:asciiTheme="minorHAnsi" w:eastAsia="Times New Roman" w:hAnsiTheme="minorHAnsi" w:cstheme="minorHAnsi"/>
                <w:sz w:val="20"/>
                <w:szCs w:val="20"/>
                <w:lang w:eastAsia="en-GB"/>
              </w:rPr>
            </w:pPr>
          </w:p>
        </w:tc>
        <w:tc>
          <w:tcPr>
            <w:tcW w:w="1217" w:type="dxa"/>
            <w:tcBorders>
              <w:top w:val="nil"/>
              <w:left w:val="nil"/>
              <w:bottom w:val="nil"/>
              <w:right w:val="nil"/>
            </w:tcBorders>
            <w:shd w:val="clear" w:color="000000" w:fill="9BC2E6"/>
            <w:noWrap/>
            <w:hideMark/>
          </w:tcPr>
          <w:p w14:paraId="7F186DCF" w14:textId="77777777" w:rsidR="00E24556" w:rsidRPr="00BF17B0" w:rsidRDefault="00E24556"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255,016 </w:t>
            </w:r>
          </w:p>
        </w:tc>
        <w:tc>
          <w:tcPr>
            <w:tcW w:w="1240" w:type="dxa"/>
            <w:gridSpan w:val="2"/>
            <w:tcBorders>
              <w:top w:val="nil"/>
              <w:left w:val="nil"/>
              <w:bottom w:val="nil"/>
              <w:right w:val="nil"/>
            </w:tcBorders>
            <w:shd w:val="clear" w:color="000000" w:fill="9BC2E6"/>
            <w:noWrap/>
            <w:hideMark/>
          </w:tcPr>
          <w:p w14:paraId="6739AAFD" w14:textId="77777777" w:rsidR="00E24556" w:rsidRPr="00BF17B0" w:rsidRDefault="00E24556" w:rsidP="00E24556">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253,257 </w:t>
            </w:r>
          </w:p>
        </w:tc>
      </w:tr>
      <w:tr w:rsidR="00E24556" w:rsidRPr="00BF17B0" w14:paraId="18C8DDE2" w14:textId="77777777" w:rsidTr="00635659">
        <w:trPr>
          <w:trHeight w:val="255"/>
        </w:trPr>
        <w:tc>
          <w:tcPr>
            <w:tcW w:w="6861" w:type="dxa"/>
            <w:gridSpan w:val="5"/>
            <w:tcBorders>
              <w:top w:val="nil"/>
              <w:left w:val="nil"/>
              <w:bottom w:val="nil"/>
              <w:right w:val="nil"/>
            </w:tcBorders>
            <w:shd w:val="clear" w:color="000000" w:fill="9BC2E6"/>
            <w:hideMark/>
          </w:tcPr>
          <w:p w14:paraId="7C15543E" w14:textId="77777777" w:rsidR="00E24556" w:rsidRPr="00BF17B0" w:rsidRDefault="00E24556" w:rsidP="00635659">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4.2 CCT programs expanded to reach all children identified as poor</w:t>
            </w:r>
          </w:p>
        </w:tc>
        <w:tc>
          <w:tcPr>
            <w:tcW w:w="1217" w:type="dxa"/>
            <w:tcBorders>
              <w:top w:val="nil"/>
              <w:left w:val="nil"/>
              <w:bottom w:val="nil"/>
              <w:right w:val="nil"/>
            </w:tcBorders>
            <w:shd w:val="clear" w:color="000000" w:fill="9BC2E6"/>
            <w:noWrap/>
            <w:hideMark/>
          </w:tcPr>
          <w:p w14:paraId="594DD791" w14:textId="77777777"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240" w:type="dxa"/>
            <w:gridSpan w:val="2"/>
            <w:tcBorders>
              <w:top w:val="nil"/>
              <w:left w:val="nil"/>
              <w:bottom w:val="nil"/>
              <w:right w:val="nil"/>
            </w:tcBorders>
            <w:shd w:val="clear" w:color="000000" w:fill="9BC2E6"/>
            <w:noWrap/>
            <w:hideMark/>
          </w:tcPr>
          <w:p w14:paraId="1A53B80F"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r>
      <w:tr w:rsidR="00E24556" w:rsidRPr="00BF17B0" w14:paraId="538AFC23" w14:textId="77777777" w:rsidTr="00635659">
        <w:trPr>
          <w:trHeight w:val="510"/>
        </w:trPr>
        <w:tc>
          <w:tcPr>
            <w:tcW w:w="1383" w:type="dxa"/>
            <w:tcBorders>
              <w:top w:val="single" w:sz="4" w:space="0" w:color="auto"/>
              <w:left w:val="single" w:sz="4" w:space="0" w:color="auto"/>
              <w:bottom w:val="single" w:sz="4" w:space="0" w:color="auto"/>
              <w:right w:val="single" w:sz="4" w:space="0" w:color="auto"/>
            </w:tcBorders>
            <w:shd w:val="clear" w:color="auto" w:fill="auto"/>
            <w:noWrap/>
            <w:hideMark/>
          </w:tcPr>
          <w:p w14:paraId="6CF4F70C"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TF017390</w:t>
            </w:r>
          </w:p>
        </w:tc>
        <w:tc>
          <w:tcPr>
            <w:tcW w:w="2879" w:type="dxa"/>
            <w:tcBorders>
              <w:top w:val="single" w:sz="4" w:space="0" w:color="auto"/>
              <w:left w:val="nil"/>
              <w:bottom w:val="single" w:sz="4" w:space="0" w:color="auto"/>
              <w:right w:val="single" w:sz="4" w:space="0" w:color="auto"/>
            </w:tcBorders>
            <w:shd w:val="clear" w:color="auto" w:fill="auto"/>
            <w:hideMark/>
          </w:tcPr>
          <w:p w14:paraId="0CB6804C"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Strengthening Design and Implementation of the Philippines CCT Program</w:t>
            </w:r>
          </w:p>
        </w:tc>
        <w:tc>
          <w:tcPr>
            <w:tcW w:w="718" w:type="dxa"/>
            <w:tcBorders>
              <w:top w:val="single" w:sz="4" w:space="0" w:color="auto"/>
              <w:left w:val="nil"/>
              <w:bottom w:val="single" w:sz="4" w:space="0" w:color="auto"/>
              <w:right w:val="single" w:sz="4" w:space="0" w:color="auto"/>
            </w:tcBorders>
            <w:shd w:val="clear" w:color="auto" w:fill="auto"/>
            <w:noWrap/>
            <w:hideMark/>
          </w:tcPr>
          <w:p w14:paraId="50649DAE"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single" w:sz="4" w:space="0" w:color="auto"/>
              <w:left w:val="nil"/>
              <w:bottom w:val="single" w:sz="4" w:space="0" w:color="auto"/>
              <w:right w:val="single" w:sz="4" w:space="0" w:color="auto"/>
            </w:tcBorders>
            <w:shd w:val="clear" w:color="auto" w:fill="auto"/>
            <w:noWrap/>
            <w:hideMark/>
          </w:tcPr>
          <w:p w14:paraId="3F01ED49"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P150519</w:t>
            </w:r>
          </w:p>
        </w:tc>
        <w:tc>
          <w:tcPr>
            <w:tcW w:w="1000" w:type="dxa"/>
            <w:tcBorders>
              <w:top w:val="single" w:sz="4" w:space="0" w:color="auto"/>
              <w:left w:val="nil"/>
              <w:bottom w:val="single" w:sz="4" w:space="0" w:color="auto"/>
              <w:right w:val="single" w:sz="4" w:space="0" w:color="auto"/>
            </w:tcBorders>
            <w:shd w:val="clear" w:color="auto" w:fill="auto"/>
            <w:noWrap/>
            <w:hideMark/>
          </w:tcPr>
          <w:p w14:paraId="47F8D187"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single" w:sz="4" w:space="0" w:color="auto"/>
              <w:left w:val="nil"/>
              <w:bottom w:val="single" w:sz="4" w:space="0" w:color="auto"/>
              <w:right w:val="single" w:sz="4" w:space="0" w:color="auto"/>
            </w:tcBorders>
            <w:shd w:val="clear" w:color="auto" w:fill="auto"/>
            <w:noWrap/>
            <w:hideMark/>
          </w:tcPr>
          <w:p w14:paraId="2F8AF0E0" w14:textId="6DA681A9"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1,140,542 </w:t>
            </w:r>
          </w:p>
        </w:tc>
        <w:tc>
          <w:tcPr>
            <w:tcW w:w="1240" w:type="dxa"/>
            <w:gridSpan w:val="2"/>
            <w:tcBorders>
              <w:top w:val="single" w:sz="4" w:space="0" w:color="auto"/>
              <w:left w:val="nil"/>
              <w:bottom w:val="single" w:sz="4" w:space="0" w:color="auto"/>
              <w:right w:val="single" w:sz="4" w:space="0" w:color="auto"/>
            </w:tcBorders>
            <w:shd w:val="clear" w:color="auto" w:fill="auto"/>
            <w:noWrap/>
            <w:hideMark/>
          </w:tcPr>
          <w:p w14:paraId="00478A22" w14:textId="725EE953"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1,132,773 </w:t>
            </w:r>
          </w:p>
        </w:tc>
      </w:tr>
      <w:tr w:rsidR="00E24556" w:rsidRPr="00BF17B0" w14:paraId="0F416834" w14:textId="77777777" w:rsidTr="00B93526">
        <w:trPr>
          <w:trHeight w:val="255"/>
        </w:trPr>
        <w:tc>
          <w:tcPr>
            <w:tcW w:w="1383" w:type="dxa"/>
            <w:tcBorders>
              <w:top w:val="nil"/>
              <w:left w:val="nil"/>
              <w:bottom w:val="nil"/>
              <w:right w:val="nil"/>
            </w:tcBorders>
            <w:shd w:val="clear" w:color="000000" w:fill="9BC2E6"/>
            <w:noWrap/>
            <w:hideMark/>
          </w:tcPr>
          <w:p w14:paraId="15F7B6FE" w14:textId="77777777" w:rsidR="00E24556" w:rsidRPr="00BF17B0" w:rsidRDefault="00E24556" w:rsidP="00E24556">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Subtotals</w:t>
            </w:r>
          </w:p>
        </w:tc>
        <w:tc>
          <w:tcPr>
            <w:tcW w:w="2879" w:type="dxa"/>
            <w:tcBorders>
              <w:top w:val="nil"/>
              <w:left w:val="nil"/>
              <w:bottom w:val="nil"/>
              <w:right w:val="nil"/>
            </w:tcBorders>
            <w:shd w:val="clear" w:color="auto" w:fill="auto"/>
            <w:noWrap/>
            <w:hideMark/>
          </w:tcPr>
          <w:p w14:paraId="5B33DBD4" w14:textId="77777777" w:rsidR="00E24556" w:rsidRPr="00BF17B0" w:rsidRDefault="00E24556" w:rsidP="00E24556">
            <w:pPr>
              <w:spacing w:after="0"/>
              <w:rPr>
                <w:rFonts w:asciiTheme="minorHAnsi" w:eastAsia="Times New Roman" w:hAnsiTheme="minorHAnsi" w:cstheme="minorHAnsi"/>
                <w:b/>
                <w:bCs/>
                <w:sz w:val="20"/>
                <w:szCs w:val="20"/>
                <w:lang w:eastAsia="en-GB"/>
              </w:rPr>
            </w:pPr>
          </w:p>
        </w:tc>
        <w:tc>
          <w:tcPr>
            <w:tcW w:w="718" w:type="dxa"/>
            <w:tcBorders>
              <w:top w:val="nil"/>
              <w:left w:val="nil"/>
              <w:bottom w:val="nil"/>
              <w:right w:val="nil"/>
            </w:tcBorders>
            <w:shd w:val="clear" w:color="auto" w:fill="auto"/>
            <w:noWrap/>
            <w:hideMark/>
          </w:tcPr>
          <w:p w14:paraId="6F853EA3" w14:textId="77777777" w:rsidR="00E24556" w:rsidRPr="00BF17B0" w:rsidRDefault="00E24556" w:rsidP="00E24556">
            <w:pPr>
              <w:spacing w:after="0"/>
              <w:rPr>
                <w:rFonts w:asciiTheme="minorHAnsi" w:eastAsia="Times New Roman" w:hAnsiTheme="minorHAnsi" w:cstheme="minorHAnsi"/>
                <w:sz w:val="20"/>
                <w:szCs w:val="20"/>
                <w:lang w:eastAsia="en-GB"/>
              </w:rPr>
            </w:pPr>
          </w:p>
        </w:tc>
        <w:tc>
          <w:tcPr>
            <w:tcW w:w="881" w:type="dxa"/>
            <w:tcBorders>
              <w:top w:val="nil"/>
              <w:left w:val="nil"/>
              <w:bottom w:val="nil"/>
              <w:right w:val="nil"/>
            </w:tcBorders>
            <w:shd w:val="clear" w:color="auto" w:fill="auto"/>
            <w:noWrap/>
            <w:hideMark/>
          </w:tcPr>
          <w:p w14:paraId="65C0DF42" w14:textId="77777777" w:rsidR="00E24556" w:rsidRPr="00BF17B0" w:rsidRDefault="00E24556" w:rsidP="00E24556">
            <w:pPr>
              <w:spacing w:after="0"/>
              <w:rPr>
                <w:rFonts w:asciiTheme="minorHAnsi" w:eastAsia="Times New Roman" w:hAnsiTheme="minorHAnsi" w:cstheme="minorHAnsi"/>
                <w:sz w:val="20"/>
                <w:szCs w:val="20"/>
                <w:lang w:eastAsia="en-GB"/>
              </w:rPr>
            </w:pPr>
          </w:p>
        </w:tc>
        <w:tc>
          <w:tcPr>
            <w:tcW w:w="1000" w:type="dxa"/>
            <w:tcBorders>
              <w:top w:val="nil"/>
              <w:left w:val="nil"/>
              <w:bottom w:val="nil"/>
              <w:right w:val="nil"/>
            </w:tcBorders>
            <w:shd w:val="clear" w:color="auto" w:fill="auto"/>
            <w:noWrap/>
            <w:hideMark/>
          </w:tcPr>
          <w:p w14:paraId="3341E47C" w14:textId="77777777" w:rsidR="00E24556" w:rsidRPr="00BF17B0" w:rsidRDefault="00E24556" w:rsidP="00E24556">
            <w:pPr>
              <w:spacing w:after="0"/>
              <w:rPr>
                <w:rFonts w:asciiTheme="minorHAnsi" w:eastAsia="Times New Roman" w:hAnsiTheme="minorHAnsi" w:cstheme="minorHAnsi"/>
                <w:sz w:val="20"/>
                <w:szCs w:val="20"/>
                <w:lang w:eastAsia="en-GB"/>
              </w:rPr>
            </w:pPr>
          </w:p>
        </w:tc>
        <w:tc>
          <w:tcPr>
            <w:tcW w:w="1217" w:type="dxa"/>
            <w:tcBorders>
              <w:top w:val="nil"/>
              <w:left w:val="nil"/>
              <w:bottom w:val="nil"/>
              <w:right w:val="nil"/>
            </w:tcBorders>
            <w:shd w:val="clear" w:color="000000" w:fill="9BC2E6"/>
            <w:noWrap/>
            <w:hideMark/>
          </w:tcPr>
          <w:p w14:paraId="01E7260B" w14:textId="77777777" w:rsidR="00E24556" w:rsidRPr="00BF17B0" w:rsidRDefault="00E24556"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1,140,542 </w:t>
            </w:r>
          </w:p>
        </w:tc>
        <w:tc>
          <w:tcPr>
            <w:tcW w:w="1240" w:type="dxa"/>
            <w:gridSpan w:val="2"/>
            <w:tcBorders>
              <w:top w:val="nil"/>
              <w:left w:val="nil"/>
              <w:bottom w:val="nil"/>
              <w:right w:val="nil"/>
            </w:tcBorders>
            <w:shd w:val="clear" w:color="000000" w:fill="9BC2E6"/>
            <w:noWrap/>
          </w:tcPr>
          <w:p w14:paraId="1BAB21EE" w14:textId="7FEE7C39" w:rsidR="00E24556" w:rsidRPr="00BF17B0" w:rsidRDefault="00BF6A3A" w:rsidP="00BF6A3A">
            <w:pPr>
              <w:spacing w:after="0"/>
              <w:jc w:val="right"/>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1,132,773</w:t>
            </w:r>
          </w:p>
        </w:tc>
      </w:tr>
      <w:tr w:rsidR="00E24556" w:rsidRPr="00BF17B0" w14:paraId="3FFF3332" w14:textId="77777777" w:rsidTr="00635659">
        <w:trPr>
          <w:trHeight w:val="255"/>
        </w:trPr>
        <w:tc>
          <w:tcPr>
            <w:tcW w:w="6861" w:type="dxa"/>
            <w:gridSpan w:val="5"/>
            <w:tcBorders>
              <w:top w:val="nil"/>
              <w:left w:val="nil"/>
              <w:bottom w:val="nil"/>
              <w:right w:val="nil"/>
            </w:tcBorders>
            <w:shd w:val="clear" w:color="000000" w:fill="9BC2E6"/>
            <w:hideMark/>
          </w:tcPr>
          <w:p w14:paraId="5B475AF8" w14:textId="77777777" w:rsidR="00E24556" w:rsidRPr="00BF17B0" w:rsidRDefault="00E24556" w:rsidP="00635659">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4.3 Evidence used to inform policies and national budget allocations for social protection</w:t>
            </w:r>
          </w:p>
        </w:tc>
        <w:tc>
          <w:tcPr>
            <w:tcW w:w="1217" w:type="dxa"/>
            <w:tcBorders>
              <w:top w:val="nil"/>
              <w:left w:val="nil"/>
              <w:bottom w:val="nil"/>
              <w:right w:val="nil"/>
            </w:tcBorders>
            <w:shd w:val="clear" w:color="000000" w:fill="9BC2E6"/>
            <w:noWrap/>
            <w:hideMark/>
          </w:tcPr>
          <w:p w14:paraId="5B79D241" w14:textId="77777777"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240" w:type="dxa"/>
            <w:gridSpan w:val="2"/>
            <w:tcBorders>
              <w:top w:val="nil"/>
              <w:left w:val="nil"/>
              <w:bottom w:val="nil"/>
              <w:right w:val="nil"/>
            </w:tcBorders>
            <w:shd w:val="clear" w:color="000000" w:fill="9BC2E6"/>
            <w:noWrap/>
            <w:hideMark/>
          </w:tcPr>
          <w:p w14:paraId="6B83F29C"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r>
      <w:tr w:rsidR="00E24556" w:rsidRPr="00BF17B0" w14:paraId="7509E01B" w14:textId="77777777" w:rsidTr="00635659">
        <w:trPr>
          <w:trHeight w:val="255"/>
        </w:trPr>
        <w:tc>
          <w:tcPr>
            <w:tcW w:w="1383" w:type="dxa"/>
            <w:tcBorders>
              <w:top w:val="single" w:sz="4" w:space="0" w:color="auto"/>
              <w:left w:val="single" w:sz="4" w:space="0" w:color="auto"/>
              <w:bottom w:val="single" w:sz="4" w:space="0" w:color="auto"/>
              <w:right w:val="single" w:sz="4" w:space="0" w:color="auto"/>
            </w:tcBorders>
            <w:shd w:val="clear" w:color="auto" w:fill="auto"/>
            <w:noWrap/>
            <w:hideMark/>
          </w:tcPr>
          <w:p w14:paraId="3C5BEDFD"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TF017199</w:t>
            </w:r>
          </w:p>
        </w:tc>
        <w:tc>
          <w:tcPr>
            <w:tcW w:w="2879" w:type="dxa"/>
            <w:tcBorders>
              <w:top w:val="single" w:sz="4" w:space="0" w:color="auto"/>
              <w:left w:val="nil"/>
              <w:bottom w:val="single" w:sz="4" w:space="0" w:color="auto"/>
              <w:right w:val="single" w:sz="4" w:space="0" w:color="auto"/>
            </w:tcBorders>
            <w:shd w:val="clear" w:color="auto" w:fill="auto"/>
            <w:hideMark/>
          </w:tcPr>
          <w:p w14:paraId="2DC5E12C"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Impact and Performance Evaluation of the CCT Program</w:t>
            </w:r>
          </w:p>
        </w:tc>
        <w:tc>
          <w:tcPr>
            <w:tcW w:w="718" w:type="dxa"/>
            <w:tcBorders>
              <w:top w:val="single" w:sz="4" w:space="0" w:color="auto"/>
              <w:left w:val="nil"/>
              <w:bottom w:val="single" w:sz="4" w:space="0" w:color="auto"/>
              <w:right w:val="single" w:sz="4" w:space="0" w:color="auto"/>
            </w:tcBorders>
            <w:shd w:val="clear" w:color="auto" w:fill="auto"/>
            <w:noWrap/>
            <w:hideMark/>
          </w:tcPr>
          <w:p w14:paraId="1B5C1BCB"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single" w:sz="4" w:space="0" w:color="auto"/>
              <w:left w:val="nil"/>
              <w:bottom w:val="single" w:sz="4" w:space="0" w:color="auto"/>
              <w:right w:val="single" w:sz="4" w:space="0" w:color="auto"/>
            </w:tcBorders>
            <w:shd w:val="clear" w:color="auto" w:fill="auto"/>
            <w:noWrap/>
            <w:hideMark/>
          </w:tcPr>
          <w:p w14:paraId="37A3072C"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P150532</w:t>
            </w:r>
          </w:p>
        </w:tc>
        <w:tc>
          <w:tcPr>
            <w:tcW w:w="1000" w:type="dxa"/>
            <w:tcBorders>
              <w:top w:val="single" w:sz="4" w:space="0" w:color="auto"/>
              <w:left w:val="nil"/>
              <w:bottom w:val="single" w:sz="4" w:space="0" w:color="auto"/>
              <w:right w:val="single" w:sz="4" w:space="0" w:color="auto"/>
            </w:tcBorders>
            <w:shd w:val="clear" w:color="auto" w:fill="auto"/>
            <w:noWrap/>
            <w:hideMark/>
          </w:tcPr>
          <w:p w14:paraId="04570751"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single" w:sz="4" w:space="0" w:color="auto"/>
              <w:left w:val="nil"/>
              <w:bottom w:val="single" w:sz="4" w:space="0" w:color="auto"/>
              <w:right w:val="single" w:sz="4" w:space="0" w:color="auto"/>
            </w:tcBorders>
            <w:shd w:val="clear" w:color="auto" w:fill="auto"/>
            <w:noWrap/>
            <w:hideMark/>
          </w:tcPr>
          <w:p w14:paraId="19C06A39" w14:textId="2613D4AA"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710,404 </w:t>
            </w:r>
          </w:p>
        </w:tc>
        <w:tc>
          <w:tcPr>
            <w:tcW w:w="1240" w:type="dxa"/>
            <w:gridSpan w:val="2"/>
            <w:tcBorders>
              <w:top w:val="single" w:sz="4" w:space="0" w:color="auto"/>
              <w:left w:val="nil"/>
              <w:bottom w:val="single" w:sz="4" w:space="0" w:color="auto"/>
              <w:right w:val="single" w:sz="4" w:space="0" w:color="auto"/>
            </w:tcBorders>
            <w:shd w:val="clear" w:color="auto" w:fill="auto"/>
            <w:noWrap/>
            <w:hideMark/>
          </w:tcPr>
          <w:p w14:paraId="05B7BE3D" w14:textId="1AFE9891"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653,128 </w:t>
            </w:r>
          </w:p>
        </w:tc>
      </w:tr>
      <w:tr w:rsidR="00E24556" w:rsidRPr="00BF17B0" w14:paraId="45FA0F6B" w14:textId="77777777" w:rsidTr="00635659">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16E7639F"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TF095548</w:t>
            </w:r>
          </w:p>
        </w:tc>
        <w:tc>
          <w:tcPr>
            <w:tcW w:w="2879" w:type="dxa"/>
            <w:tcBorders>
              <w:top w:val="nil"/>
              <w:left w:val="nil"/>
              <w:bottom w:val="single" w:sz="4" w:space="0" w:color="auto"/>
              <w:right w:val="single" w:sz="4" w:space="0" w:color="auto"/>
            </w:tcBorders>
            <w:shd w:val="clear" w:color="auto" w:fill="auto"/>
            <w:hideMark/>
          </w:tcPr>
          <w:p w14:paraId="45E58F52"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Technical Assistance Program for the Philippines CCT</w:t>
            </w:r>
          </w:p>
        </w:tc>
        <w:tc>
          <w:tcPr>
            <w:tcW w:w="718" w:type="dxa"/>
            <w:tcBorders>
              <w:top w:val="nil"/>
              <w:left w:val="nil"/>
              <w:bottom w:val="single" w:sz="4" w:space="0" w:color="auto"/>
              <w:right w:val="single" w:sz="4" w:space="0" w:color="auto"/>
            </w:tcBorders>
            <w:shd w:val="clear" w:color="auto" w:fill="auto"/>
            <w:noWrap/>
            <w:hideMark/>
          </w:tcPr>
          <w:p w14:paraId="12B81E59"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3C7102D7"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P118853</w:t>
            </w:r>
          </w:p>
        </w:tc>
        <w:tc>
          <w:tcPr>
            <w:tcW w:w="1000" w:type="dxa"/>
            <w:tcBorders>
              <w:top w:val="nil"/>
              <w:left w:val="nil"/>
              <w:bottom w:val="single" w:sz="4" w:space="0" w:color="auto"/>
              <w:right w:val="single" w:sz="4" w:space="0" w:color="auto"/>
            </w:tcBorders>
            <w:shd w:val="clear" w:color="auto" w:fill="auto"/>
            <w:noWrap/>
            <w:hideMark/>
          </w:tcPr>
          <w:p w14:paraId="5686C905"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0BDAB9A2" w14:textId="092F2CF1"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1,636,000 </w:t>
            </w:r>
          </w:p>
        </w:tc>
        <w:tc>
          <w:tcPr>
            <w:tcW w:w="1240" w:type="dxa"/>
            <w:gridSpan w:val="2"/>
            <w:tcBorders>
              <w:top w:val="nil"/>
              <w:left w:val="nil"/>
              <w:bottom w:val="single" w:sz="4" w:space="0" w:color="auto"/>
              <w:right w:val="single" w:sz="4" w:space="0" w:color="auto"/>
            </w:tcBorders>
            <w:shd w:val="clear" w:color="auto" w:fill="auto"/>
            <w:noWrap/>
            <w:hideMark/>
          </w:tcPr>
          <w:p w14:paraId="61103625" w14:textId="576405C8"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1,635,117 </w:t>
            </w:r>
          </w:p>
        </w:tc>
      </w:tr>
      <w:tr w:rsidR="00E24556" w:rsidRPr="00BF17B0" w14:paraId="371EAEB1" w14:textId="77777777" w:rsidTr="00635659">
        <w:trPr>
          <w:trHeight w:val="510"/>
        </w:trPr>
        <w:tc>
          <w:tcPr>
            <w:tcW w:w="1383" w:type="dxa"/>
            <w:tcBorders>
              <w:top w:val="nil"/>
              <w:left w:val="single" w:sz="4" w:space="0" w:color="auto"/>
              <w:bottom w:val="single" w:sz="4" w:space="0" w:color="auto"/>
              <w:right w:val="single" w:sz="4" w:space="0" w:color="auto"/>
            </w:tcBorders>
            <w:shd w:val="clear" w:color="auto" w:fill="auto"/>
            <w:noWrap/>
            <w:hideMark/>
          </w:tcPr>
          <w:p w14:paraId="252E5DE1"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TF095547</w:t>
            </w:r>
          </w:p>
        </w:tc>
        <w:tc>
          <w:tcPr>
            <w:tcW w:w="2879" w:type="dxa"/>
            <w:tcBorders>
              <w:top w:val="nil"/>
              <w:left w:val="nil"/>
              <w:bottom w:val="single" w:sz="4" w:space="0" w:color="auto"/>
              <w:right w:val="single" w:sz="4" w:space="0" w:color="auto"/>
            </w:tcBorders>
            <w:shd w:val="clear" w:color="auto" w:fill="auto"/>
            <w:hideMark/>
          </w:tcPr>
          <w:p w14:paraId="7ED44AB0"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Monitoring the Human and Social Impacts of Global Economic Crisis on the Philippines</w:t>
            </w:r>
          </w:p>
        </w:tc>
        <w:tc>
          <w:tcPr>
            <w:tcW w:w="718" w:type="dxa"/>
            <w:tcBorders>
              <w:top w:val="nil"/>
              <w:left w:val="nil"/>
              <w:bottom w:val="single" w:sz="4" w:space="0" w:color="auto"/>
              <w:right w:val="single" w:sz="4" w:space="0" w:color="auto"/>
            </w:tcBorders>
            <w:shd w:val="clear" w:color="auto" w:fill="auto"/>
            <w:noWrap/>
            <w:hideMark/>
          </w:tcPr>
          <w:p w14:paraId="31424CDB"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578B3E68"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P118853</w:t>
            </w:r>
          </w:p>
        </w:tc>
        <w:tc>
          <w:tcPr>
            <w:tcW w:w="1000" w:type="dxa"/>
            <w:tcBorders>
              <w:top w:val="nil"/>
              <w:left w:val="nil"/>
              <w:bottom w:val="single" w:sz="4" w:space="0" w:color="auto"/>
              <w:right w:val="single" w:sz="4" w:space="0" w:color="auto"/>
            </w:tcBorders>
            <w:shd w:val="clear" w:color="auto" w:fill="auto"/>
            <w:noWrap/>
            <w:hideMark/>
          </w:tcPr>
          <w:p w14:paraId="13E5F540"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77FE4714" w14:textId="77777777"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200,000 </w:t>
            </w:r>
          </w:p>
        </w:tc>
        <w:tc>
          <w:tcPr>
            <w:tcW w:w="1240" w:type="dxa"/>
            <w:gridSpan w:val="2"/>
            <w:tcBorders>
              <w:top w:val="nil"/>
              <w:left w:val="nil"/>
              <w:bottom w:val="single" w:sz="4" w:space="0" w:color="auto"/>
              <w:right w:val="single" w:sz="4" w:space="0" w:color="auto"/>
            </w:tcBorders>
            <w:shd w:val="clear" w:color="auto" w:fill="auto"/>
            <w:noWrap/>
            <w:hideMark/>
          </w:tcPr>
          <w:p w14:paraId="70F9B842" w14:textId="45C5C1E5"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187,915 </w:t>
            </w:r>
          </w:p>
        </w:tc>
      </w:tr>
      <w:tr w:rsidR="00E24556" w:rsidRPr="00BF17B0" w14:paraId="2EE206AB" w14:textId="77777777" w:rsidTr="00635659">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2F2099BD"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TF095394</w:t>
            </w:r>
          </w:p>
        </w:tc>
        <w:tc>
          <w:tcPr>
            <w:tcW w:w="2879" w:type="dxa"/>
            <w:tcBorders>
              <w:top w:val="nil"/>
              <w:left w:val="nil"/>
              <w:bottom w:val="single" w:sz="4" w:space="0" w:color="auto"/>
              <w:right w:val="single" w:sz="4" w:space="0" w:color="auto"/>
            </w:tcBorders>
            <w:shd w:val="clear" w:color="auto" w:fill="auto"/>
            <w:hideMark/>
          </w:tcPr>
          <w:p w14:paraId="10B6AE8C"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Review of the Philippines' Social Protection System</w:t>
            </w:r>
          </w:p>
        </w:tc>
        <w:tc>
          <w:tcPr>
            <w:tcW w:w="718" w:type="dxa"/>
            <w:tcBorders>
              <w:top w:val="nil"/>
              <w:left w:val="nil"/>
              <w:bottom w:val="single" w:sz="4" w:space="0" w:color="auto"/>
              <w:right w:val="single" w:sz="4" w:space="0" w:color="auto"/>
            </w:tcBorders>
            <w:shd w:val="clear" w:color="auto" w:fill="auto"/>
            <w:noWrap/>
            <w:hideMark/>
          </w:tcPr>
          <w:p w14:paraId="4B52DDE4"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45175409"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P118853</w:t>
            </w:r>
          </w:p>
        </w:tc>
        <w:tc>
          <w:tcPr>
            <w:tcW w:w="1000" w:type="dxa"/>
            <w:tcBorders>
              <w:top w:val="nil"/>
              <w:left w:val="nil"/>
              <w:bottom w:val="single" w:sz="4" w:space="0" w:color="auto"/>
              <w:right w:val="single" w:sz="4" w:space="0" w:color="auto"/>
            </w:tcBorders>
            <w:shd w:val="clear" w:color="auto" w:fill="auto"/>
            <w:noWrap/>
            <w:hideMark/>
          </w:tcPr>
          <w:p w14:paraId="2AFFBFCD"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306DEFD8" w14:textId="438ED892"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170,000 </w:t>
            </w:r>
          </w:p>
        </w:tc>
        <w:tc>
          <w:tcPr>
            <w:tcW w:w="1240" w:type="dxa"/>
            <w:gridSpan w:val="2"/>
            <w:tcBorders>
              <w:top w:val="nil"/>
              <w:left w:val="nil"/>
              <w:bottom w:val="single" w:sz="4" w:space="0" w:color="auto"/>
              <w:right w:val="single" w:sz="4" w:space="0" w:color="auto"/>
            </w:tcBorders>
            <w:shd w:val="clear" w:color="auto" w:fill="auto"/>
            <w:noWrap/>
            <w:hideMark/>
          </w:tcPr>
          <w:p w14:paraId="0496F92E" w14:textId="41A2A1FE"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146,960 </w:t>
            </w:r>
          </w:p>
        </w:tc>
      </w:tr>
      <w:tr w:rsidR="00E24556" w:rsidRPr="00BF17B0" w14:paraId="3FB0C7C1" w14:textId="77777777" w:rsidTr="00635659">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3026A75D"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TF0A5766</w:t>
            </w:r>
          </w:p>
        </w:tc>
        <w:tc>
          <w:tcPr>
            <w:tcW w:w="2879" w:type="dxa"/>
            <w:tcBorders>
              <w:top w:val="nil"/>
              <w:left w:val="nil"/>
              <w:bottom w:val="single" w:sz="4" w:space="0" w:color="auto"/>
              <w:right w:val="single" w:sz="4" w:space="0" w:color="auto"/>
            </w:tcBorders>
            <w:shd w:val="clear" w:color="auto" w:fill="auto"/>
            <w:hideMark/>
          </w:tcPr>
          <w:p w14:paraId="5A85BBE5" w14:textId="04FEEBBD" w:rsidR="00452021"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SP Programs and Policies TA</w:t>
            </w:r>
          </w:p>
        </w:tc>
        <w:tc>
          <w:tcPr>
            <w:tcW w:w="718" w:type="dxa"/>
            <w:tcBorders>
              <w:top w:val="nil"/>
              <w:left w:val="nil"/>
              <w:bottom w:val="single" w:sz="4" w:space="0" w:color="auto"/>
              <w:right w:val="single" w:sz="4" w:space="0" w:color="auto"/>
            </w:tcBorders>
            <w:shd w:val="clear" w:color="auto" w:fill="auto"/>
            <w:noWrap/>
            <w:hideMark/>
          </w:tcPr>
          <w:p w14:paraId="578631C8"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ACTV</w:t>
            </w:r>
          </w:p>
        </w:tc>
        <w:tc>
          <w:tcPr>
            <w:tcW w:w="881" w:type="dxa"/>
            <w:tcBorders>
              <w:top w:val="nil"/>
              <w:left w:val="nil"/>
              <w:bottom w:val="single" w:sz="4" w:space="0" w:color="auto"/>
              <w:right w:val="single" w:sz="4" w:space="0" w:color="auto"/>
            </w:tcBorders>
            <w:shd w:val="clear" w:color="auto" w:fill="auto"/>
            <w:noWrap/>
            <w:hideMark/>
          </w:tcPr>
          <w:p w14:paraId="5230AD95"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P162701</w:t>
            </w:r>
          </w:p>
        </w:tc>
        <w:tc>
          <w:tcPr>
            <w:tcW w:w="1000" w:type="dxa"/>
            <w:tcBorders>
              <w:top w:val="nil"/>
              <w:left w:val="nil"/>
              <w:bottom w:val="single" w:sz="4" w:space="0" w:color="auto"/>
              <w:right w:val="single" w:sz="4" w:space="0" w:color="auto"/>
            </w:tcBorders>
            <w:shd w:val="clear" w:color="auto" w:fill="auto"/>
            <w:noWrap/>
            <w:hideMark/>
          </w:tcPr>
          <w:p w14:paraId="3080047F"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3A394E09" w14:textId="3115EBC3"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100,000 </w:t>
            </w:r>
          </w:p>
        </w:tc>
        <w:tc>
          <w:tcPr>
            <w:tcW w:w="1240" w:type="dxa"/>
            <w:gridSpan w:val="2"/>
            <w:tcBorders>
              <w:top w:val="nil"/>
              <w:left w:val="nil"/>
              <w:bottom w:val="single" w:sz="4" w:space="0" w:color="auto"/>
              <w:right w:val="single" w:sz="4" w:space="0" w:color="auto"/>
            </w:tcBorders>
            <w:shd w:val="clear" w:color="auto" w:fill="auto"/>
            <w:noWrap/>
            <w:hideMark/>
          </w:tcPr>
          <w:p w14:paraId="43737733" w14:textId="3698412A"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w:t>
            </w:r>
          </w:p>
        </w:tc>
      </w:tr>
      <w:tr w:rsidR="00E24556" w:rsidRPr="00BF17B0" w14:paraId="7A5744A1" w14:textId="77777777" w:rsidTr="00635659">
        <w:trPr>
          <w:trHeight w:val="255"/>
        </w:trPr>
        <w:tc>
          <w:tcPr>
            <w:tcW w:w="1383" w:type="dxa"/>
            <w:tcBorders>
              <w:top w:val="nil"/>
              <w:left w:val="nil"/>
              <w:bottom w:val="nil"/>
              <w:right w:val="nil"/>
            </w:tcBorders>
            <w:shd w:val="clear" w:color="000000" w:fill="9BC2E6"/>
            <w:noWrap/>
            <w:hideMark/>
          </w:tcPr>
          <w:p w14:paraId="7BEC03FD" w14:textId="77777777" w:rsidR="00E24556" w:rsidRPr="00BF17B0" w:rsidRDefault="00E24556" w:rsidP="00E24556">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Subtotals</w:t>
            </w:r>
          </w:p>
        </w:tc>
        <w:tc>
          <w:tcPr>
            <w:tcW w:w="2879" w:type="dxa"/>
            <w:tcBorders>
              <w:top w:val="nil"/>
              <w:left w:val="nil"/>
              <w:bottom w:val="nil"/>
              <w:right w:val="nil"/>
            </w:tcBorders>
            <w:shd w:val="clear" w:color="auto" w:fill="auto"/>
            <w:noWrap/>
            <w:hideMark/>
          </w:tcPr>
          <w:p w14:paraId="2861E8B0" w14:textId="77777777" w:rsidR="00E24556" w:rsidRPr="00BF17B0" w:rsidRDefault="00E24556" w:rsidP="00E24556">
            <w:pPr>
              <w:spacing w:after="0"/>
              <w:rPr>
                <w:rFonts w:asciiTheme="minorHAnsi" w:eastAsia="Times New Roman" w:hAnsiTheme="minorHAnsi" w:cstheme="minorHAnsi"/>
                <w:b/>
                <w:bCs/>
                <w:sz w:val="20"/>
                <w:szCs w:val="20"/>
                <w:lang w:eastAsia="en-GB"/>
              </w:rPr>
            </w:pPr>
          </w:p>
        </w:tc>
        <w:tc>
          <w:tcPr>
            <w:tcW w:w="718" w:type="dxa"/>
            <w:tcBorders>
              <w:top w:val="nil"/>
              <w:left w:val="nil"/>
              <w:bottom w:val="nil"/>
              <w:right w:val="nil"/>
            </w:tcBorders>
            <w:shd w:val="clear" w:color="auto" w:fill="auto"/>
            <w:noWrap/>
            <w:hideMark/>
          </w:tcPr>
          <w:p w14:paraId="4F287171" w14:textId="77777777" w:rsidR="00E24556" w:rsidRPr="00BF17B0" w:rsidRDefault="00E24556" w:rsidP="00E24556">
            <w:pPr>
              <w:spacing w:after="0"/>
              <w:rPr>
                <w:rFonts w:asciiTheme="minorHAnsi" w:eastAsia="Times New Roman" w:hAnsiTheme="minorHAnsi" w:cstheme="minorHAnsi"/>
                <w:sz w:val="20"/>
                <w:szCs w:val="20"/>
                <w:lang w:eastAsia="en-GB"/>
              </w:rPr>
            </w:pPr>
          </w:p>
        </w:tc>
        <w:tc>
          <w:tcPr>
            <w:tcW w:w="881" w:type="dxa"/>
            <w:tcBorders>
              <w:top w:val="nil"/>
              <w:left w:val="nil"/>
              <w:bottom w:val="nil"/>
              <w:right w:val="nil"/>
            </w:tcBorders>
            <w:shd w:val="clear" w:color="auto" w:fill="auto"/>
            <w:noWrap/>
            <w:hideMark/>
          </w:tcPr>
          <w:p w14:paraId="5D94DD28" w14:textId="77777777" w:rsidR="00E24556" w:rsidRPr="00BF17B0" w:rsidRDefault="00E24556" w:rsidP="00E24556">
            <w:pPr>
              <w:spacing w:after="0"/>
              <w:rPr>
                <w:rFonts w:asciiTheme="minorHAnsi" w:eastAsia="Times New Roman" w:hAnsiTheme="minorHAnsi" w:cstheme="minorHAnsi"/>
                <w:sz w:val="20"/>
                <w:szCs w:val="20"/>
                <w:lang w:eastAsia="en-GB"/>
              </w:rPr>
            </w:pPr>
          </w:p>
        </w:tc>
        <w:tc>
          <w:tcPr>
            <w:tcW w:w="1000" w:type="dxa"/>
            <w:tcBorders>
              <w:top w:val="nil"/>
              <w:left w:val="nil"/>
              <w:bottom w:val="nil"/>
              <w:right w:val="nil"/>
            </w:tcBorders>
            <w:shd w:val="clear" w:color="auto" w:fill="auto"/>
            <w:noWrap/>
            <w:hideMark/>
          </w:tcPr>
          <w:p w14:paraId="32F530F5" w14:textId="77777777" w:rsidR="00E24556" w:rsidRPr="00BF17B0" w:rsidRDefault="00E24556" w:rsidP="00E24556">
            <w:pPr>
              <w:spacing w:after="0"/>
              <w:rPr>
                <w:rFonts w:asciiTheme="minorHAnsi" w:eastAsia="Times New Roman" w:hAnsiTheme="minorHAnsi" w:cstheme="minorHAnsi"/>
                <w:sz w:val="20"/>
                <w:szCs w:val="20"/>
                <w:lang w:eastAsia="en-GB"/>
              </w:rPr>
            </w:pPr>
          </w:p>
        </w:tc>
        <w:tc>
          <w:tcPr>
            <w:tcW w:w="1217" w:type="dxa"/>
            <w:tcBorders>
              <w:top w:val="nil"/>
              <w:left w:val="nil"/>
              <w:bottom w:val="nil"/>
              <w:right w:val="nil"/>
            </w:tcBorders>
            <w:shd w:val="clear" w:color="000000" w:fill="9BC2E6"/>
            <w:noWrap/>
            <w:hideMark/>
          </w:tcPr>
          <w:p w14:paraId="0363F04A" w14:textId="77777777" w:rsidR="00E24556" w:rsidRPr="00BF17B0" w:rsidRDefault="00E24556"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2,816,404 </w:t>
            </w:r>
          </w:p>
        </w:tc>
        <w:tc>
          <w:tcPr>
            <w:tcW w:w="1240" w:type="dxa"/>
            <w:gridSpan w:val="2"/>
            <w:tcBorders>
              <w:top w:val="nil"/>
              <w:left w:val="nil"/>
              <w:bottom w:val="nil"/>
              <w:right w:val="nil"/>
            </w:tcBorders>
            <w:shd w:val="clear" w:color="000000" w:fill="9BC2E6"/>
            <w:noWrap/>
            <w:hideMark/>
          </w:tcPr>
          <w:p w14:paraId="2C05ECB9" w14:textId="3A55052A" w:rsidR="00E24556" w:rsidRPr="00BF17B0" w:rsidRDefault="00B93526" w:rsidP="00E24556">
            <w:pPr>
              <w:spacing w:after="0"/>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 xml:space="preserve">  2,6</w:t>
            </w:r>
            <w:r w:rsidR="00E24556" w:rsidRPr="00BF17B0">
              <w:rPr>
                <w:rFonts w:asciiTheme="minorHAnsi" w:eastAsia="Times New Roman" w:hAnsiTheme="minorHAnsi" w:cstheme="minorHAnsi"/>
                <w:b/>
                <w:bCs/>
                <w:sz w:val="20"/>
                <w:szCs w:val="20"/>
                <w:lang w:eastAsia="en-GB"/>
              </w:rPr>
              <w:t xml:space="preserve">23,120 </w:t>
            </w:r>
          </w:p>
        </w:tc>
      </w:tr>
      <w:tr w:rsidR="00E24556" w:rsidRPr="00BF17B0" w14:paraId="2F75FA92" w14:textId="77777777" w:rsidTr="00635659">
        <w:trPr>
          <w:trHeight w:val="255"/>
        </w:trPr>
        <w:tc>
          <w:tcPr>
            <w:tcW w:w="9318" w:type="dxa"/>
            <w:gridSpan w:val="8"/>
            <w:tcBorders>
              <w:top w:val="nil"/>
              <w:left w:val="nil"/>
              <w:bottom w:val="nil"/>
              <w:right w:val="nil"/>
            </w:tcBorders>
            <w:shd w:val="clear" w:color="000000" w:fill="9BC2E6"/>
            <w:hideMark/>
          </w:tcPr>
          <w:p w14:paraId="00F0C303" w14:textId="77777777" w:rsidR="00E24556" w:rsidRPr="00BF17B0" w:rsidRDefault="00E24556" w:rsidP="00635659">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4.4 Improved capacity of NGAs to integrate climate change policy priorities in their planning and budgeting cycles</w:t>
            </w:r>
          </w:p>
        </w:tc>
      </w:tr>
      <w:tr w:rsidR="00E24556" w:rsidRPr="00BF17B0" w14:paraId="2FF2D228" w14:textId="77777777" w:rsidTr="00635659">
        <w:trPr>
          <w:trHeight w:val="510"/>
        </w:trPr>
        <w:tc>
          <w:tcPr>
            <w:tcW w:w="1383" w:type="dxa"/>
            <w:tcBorders>
              <w:top w:val="single" w:sz="4" w:space="0" w:color="auto"/>
              <w:left w:val="single" w:sz="4" w:space="0" w:color="auto"/>
              <w:bottom w:val="single" w:sz="4" w:space="0" w:color="auto"/>
              <w:right w:val="single" w:sz="4" w:space="0" w:color="auto"/>
            </w:tcBorders>
            <w:shd w:val="clear" w:color="auto" w:fill="auto"/>
            <w:noWrap/>
            <w:hideMark/>
          </w:tcPr>
          <w:p w14:paraId="5C1A7A85"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TF016484</w:t>
            </w:r>
          </w:p>
        </w:tc>
        <w:tc>
          <w:tcPr>
            <w:tcW w:w="2879" w:type="dxa"/>
            <w:tcBorders>
              <w:top w:val="single" w:sz="4" w:space="0" w:color="auto"/>
              <w:left w:val="nil"/>
              <w:bottom w:val="single" w:sz="4" w:space="0" w:color="auto"/>
              <w:right w:val="single" w:sz="4" w:space="0" w:color="auto"/>
            </w:tcBorders>
            <w:shd w:val="clear" w:color="auto" w:fill="auto"/>
            <w:hideMark/>
          </w:tcPr>
          <w:p w14:paraId="7EDB3098"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Mainstreaming Climate Change Priorities in the Budgeting Process</w:t>
            </w:r>
          </w:p>
        </w:tc>
        <w:tc>
          <w:tcPr>
            <w:tcW w:w="718" w:type="dxa"/>
            <w:tcBorders>
              <w:top w:val="single" w:sz="4" w:space="0" w:color="auto"/>
              <w:left w:val="nil"/>
              <w:bottom w:val="single" w:sz="4" w:space="0" w:color="auto"/>
              <w:right w:val="single" w:sz="4" w:space="0" w:color="auto"/>
            </w:tcBorders>
            <w:shd w:val="clear" w:color="auto" w:fill="auto"/>
            <w:noWrap/>
            <w:hideMark/>
          </w:tcPr>
          <w:p w14:paraId="39E42B82"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single" w:sz="4" w:space="0" w:color="auto"/>
              <w:left w:val="nil"/>
              <w:bottom w:val="single" w:sz="4" w:space="0" w:color="auto"/>
              <w:right w:val="single" w:sz="4" w:space="0" w:color="auto"/>
            </w:tcBorders>
            <w:shd w:val="clear" w:color="auto" w:fill="auto"/>
            <w:noWrap/>
            <w:hideMark/>
          </w:tcPr>
          <w:p w14:paraId="0165F079"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P149160</w:t>
            </w:r>
          </w:p>
        </w:tc>
        <w:tc>
          <w:tcPr>
            <w:tcW w:w="1000" w:type="dxa"/>
            <w:tcBorders>
              <w:top w:val="single" w:sz="4" w:space="0" w:color="auto"/>
              <w:left w:val="nil"/>
              <w:bottom w:val="single" w:sz="4" w:space="0" w:color="auto"/>
              <w:right w:val="single" w:sz="4" w:space="0" w:color="auto"/>
            </w:tcBorders>
            <w:shd w:val="clear" w:color="auto" w:fill="auto"/>
            <w:noWrap/>
            <w:hideMark/>
          </w:tcPr>
          <w:p w14:paraId="3EC7080E"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single" w:sz="4" w:space="0" w:color="auto"/>
              <w:left w:val="nil"/>
              <w:bottom w:val="single" w:sz="4" w:space="0" w:color="auto"/>
              <w:right w:val="single" w:sz="4" w:space="0" w:color="auto"/>
            </w:tcBorders>
            <w:shd w:val="clear" w:color="auto" w:fill="auto"/>
            <w:noWrap/>
            <w:hideMark/>
          </w:tcPr>
          <w:p w14:paraId="748CE078" w14:textId="3091E840"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435,714 </w:t>
            </w:r>
          </w:p>
        </w:tc>
        <w:tc>
          <w:tcPr>
            <w:tcW w:w="1240" w:type="dxa"/>
            <w:gridSpan w:val="2"/>
            <w:tcBorders>
              <w:top w:val="single" w:sz="4" w:space="0" w:color="auto"/>
              <w:left w:val="nil"/>
              <w:bottom w:val="single" w:sz="4" w:space="0" w:color="auto"/>
              <w:right w:val="single" w:sz="4" w:space="0" w:color="auto"/>
            </w:tcBorders>
            <w:shd w:val="clear" w:color="auto" w:fill="auto"/>
            <w:noWrap/>
            <w:hideMark/>
          </w:tcPr>
          <w:p w14:paraId="5B8C49A9" w14:textId="7BC46088"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432,267 </w:t>
            </w:r>
          </w:p>
        </w:tc>
      </w:tr>
      <w:tr w:rsidR="00E24556" w:rsidRPr="00BF17B0" w14:paraId="2181E209" w14:textId="77777777" w:rsidTr="00635659">
        <w:trPr>
          <w:trHeight w:val="510"/>
        </w:trPr>
        <w:tc>
          <w:tcPr>
            <w:tcW w:w="1383" w:type="dxa"/>
            <w:tcBorders>
              <w:top w:val="nil"/>
              <w:left w:val="single" w:sz="4" w:space="0" w:color="auto"/>
              <w:bottom w:val="single" w:sz="4" w:space="0" w:color="auto"/>
              <w:right w:val="single" w:sz="4" w:space="0" w:color="auto"/>
            </w:tcBorders>
            <w:shd w:val="clear" w:color="auto" w:fill="auto"/>
            <w:noWrap/>
            <w:hideMark/>
          </w:tcPr>
          <w:p w14:paraId="11750261"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TF016483</w:t>
            </w:r>
          </w:p>
        </w:tc>
        <w:tc>
          <w:tcPr>
            <w:tcW w:w="2879" w:type="dxa"/>
            <w:tcBorders>
              <w:top w:val="nil"/>
              <w:left w:val="nil"/>
              <w:bottom w:val="single" w:sz="4" w:space="0" w:color="auto"/>
              <w:right w:val="single" w:sz="4" w:space="0" w:color="auto"/>
            </w:tcBorders>
            <w:shd w:val="clear" w:color="auto" w:fill="auto"/>
            <w:hideMark/>
          </w:tcPr>
          <w:p w14:paraId="4E89A1E6" w14:textId="77777777" w:rsidR="00E86018"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Aligning Plans and Strengthening Implementation of Climate Change PAPs</w:t>
            </w:r>
          </w:p>
          <w:p w14:paraId="50E8FF68" w14:textId="205095A5" w:rsidR="006B1779" w:rsidRPr="00BF17B0" w:rsidRDefault="006B1779" w:rsidP="00E24556">
            <w:pPr>
              <w:spacing w:after="0"/>
              <w:rPr>
                <w:rFonts w:asciiTheme="minorHAnsi" w:eastAsia="Times New Roman" w:hAnsiTheme="minorHAnsi" w:cstheme="minorHAnsi"/>
                <w:sz w:val="20"/>
                <w:szCs w:val="20"/>
                <w:lang w:eastAsia="en-GB"/>
              </w:rPr>
            </w:pPr>
          </w:p>
        </w:tc>
        <w:tc>
          <w:tcPr>
            <w:tcW w:w="718" w:type="dxa"/>
            <w:tcBorders>
              <w:top w:val="nil"/>
              <w:left w:val="nil"/>
              <w:bottom w:val="single" w:sz="4" w:space="0" w:color="auto"/>
              <w:right w:val="single" w:sz="4" w:space="0" w:color="auto"/>
            </w:tcBorders>
            <w:shd w:val="clear" w:color="auto" w:fill="auto"/>
            <w:noWrap/>
            <w:hideMark/>
          </w:tcPr>
          <w:p w14:paraId="159B0D27"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785458DF"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P149161</w:t>
            </w:r>
          </w:p>
        </w:tc>
        <w:tc>
          <w:tcPr>
            <w:tcW w:w="1000" w:type="dxa"/>
            <w:tcBorders>
              <w:top w:val="nil"/>
              <w:left w:val="nil"/>
              <w:bottom w:val="single" w:sz="4" w:space="0" w:color="auto"/>
              <w:right w:val="single" w:sz="4" w:space="0" w:color="auto"/>
            </w:tcBorders>
            <w:shd w:val="clear" w:color="auto" w:fill="auto"/>
            <w:noWrap/>
            <w:hideMark/>
          </w:tcPr>
          <w:p w14:paraId="56E25CB2"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450AF1E7" w14:textId="5D4164CA"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264,286 </w:t>
            </w:r>
          </w:p>
        </w:tc>
        <w:tc>
          <w:tcPr>
            <w:tcW w:w="1240" w:type="dxa"/>
            <w:gridSpan w:val="2"/>
            <w:tcBorders>
              <w:top w:val="nil"/>
              <w:left w:val="nil"/>
              <w:bottom w:val="single" w:sz="4" w:space="0" w:color="auto"/>
              <w:right w:val="single" w:sz="4" w:space="0" w:color="auto"/>
            </w:tcBorders>
            <w:shd w:val="clear" w:color="auto" w:fill="auto"/>
            <w:noWrap/>
            <w:hideMark/>
          </w:tcPr>
          <w:p w14:paraId="4FEF1192" w14:textId="0A16945B"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264,279 </w:t>
            </w:r>
          </w:p>
        </w:tc>
      </w:tr>
      <w:tr w:rsidR="00E24556" w:rsidRPr="00BF17B0" w14:paraId="0C514C92" w14:textId="77777777" w:rsidTr="00635659">
        <w:trPr>
          <w:trHeight w:val="255"/>
        </w:trPr>
        <w:tc>
          <w:tcPr>
            <w:tcW w:w="1383" w:type="dxa"/>
            <w:tcBorders>
              <w:top w:val="nil"/>
              <w:left w:val="nil"/>
              <w:bottom w:val="nil"/>
              <w:right w:val="nil"/>
            </w:tcBorders>
            <w:shd w:val="clear" w:color="000000" w:fill="9BC2E6"/>
            <w:noWrap/>
            <w:hideMark/>
          </w:tcPr>
          <w:p w14:paraId="0EC93E80" w14:textId="77777777" w:rsidR="00E24556" w:rsidRPr="00BF17B0" w:rsidRDefault="00E24556" w:rsidP="00E24556">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Subtotals</w:t>
            </w:r>
          </w:p>
        </w:tc>
        <w:tc>
          <w:tcPr>
            <w:tcW w:w="2879" w:type="dxa"/>
            <w:tcBorders>
              <w:top w:val="nil"/>
              <w:left w:val="nil"/>
              <w:bottom w:val="nil"/>
              <w:right w:val="nil"/>
            </w:tcBorders>
            <w:shd w:val="clear" w:color="auto" w:fill="auto"/>
            <w:noWrap/>
            <w:hideMark/>
          </w:tcPr>
          <w:p w14:paraId="596F7610" w14:textId="77777777" w:rsidR="00E24556" w:rsidRPr="00BF17B0" w:rsidRDefault="00E24556" w:rsidP="00E24556">
            <w:pPr>
              <w:spacing w:after="0"/>
              <w:rPr>
                <w:rFonts w:asciiTheme="minorHAnsi" w:eastAsia="Times New Roman" w:hAnsiTheme="minorHAnsi" w:cstheme="minorHAnsi"/>
                <w:b/>
                <w:bCs/>
                <w:sz w:val="20"/>
                <w:szCs w:val="20"/>
                <w:lang w:eastAsia="en-GB"/>
              </w:rPr>
            </w:pPr>
          </w:p>
        </w:tc>
        <w:tc>
          <w:tcPr>
            <w:tcW w:w="718" w:type="dxa"/>
            <w:tcBorders>
              <w:top w:val="nil"/>
              <w:left w:val="nil"/>
              <w:bottom w:val="nil"/>
              <w:right w:val="nil"/>
            </w:tcBorders>
            <w:shd w:val="clear" w:color="auto" w:fill="auto"/>
            <w:noWrap/>
            <w:hideMark/>
          </w:tcPr>
          <w:p w14:paraId="24111B2E" w14:textId="77777777" w:rsidR="00E24556" w:rsidRPr="00BF17B0" w:rsidRDefault="00E24556" w:rsidP="00E24556">
            <w:pPr>
              <w:spacing w:after="0"/>
              <w:rPr>
                <w:rFonts w:asciiTheme="minorHAnsi" w:eastAsia="Times New Roman" w:hAnsiTheme="minorHAnsi" w:cstheme="minorHAnsi"/>
                <w:sz w:val="20"/>
                <w:szCs w:val="20"/>
                <w:lang w:eastAsia="en-GB"/>
              </w:rPr>
            </w:pPr>
          </w:p>
        </w:tc>
        <w:tc>
          <w:tcPr>
            <w:tcW w:w="881" w:type="dxa"/>
            <w:tcBorders>
              <w:top w:val="nil"/>
              <w:left w:val="nil"/>
              <w:bottom w:val="nil"/>
              <w:right w:val="nil"/>
            </w:tcBorders>
            <w:shd w:val="clear" w:color="auto" w:fill="auto"/>
            <w:noWrap/>
            <w:hideMark/>
          </w:tcPr>
          <w:p w14:paraId="3F4C859C" w14:textId="77777777" w:rsidR="00E24556" w:rsidRPr="00BF17B0" w:rsidRDefault="00E24556" w:rsidP="00E24556">
            <w:pPr>
              <w:spacing w:after="0"/>
              <w:rPr>
                <w:rFonts w:asciiTheme="minorHAnsi" w:eastAsia="Times New Roman" w:hAnsiTheme="minorHAnsi" w:cstheme="minorHAnsi"/>
                <w:sz w:val="20"/>
                <w:szCs w:val="20"/>
                <w:lang w:eastAsia="en-GB"/>
              </w:rPr>
            </w:pPr>
          </w:p>
        </w:tc>
        <w:tc>
          <w:tcPr>
            <w:tcW w:w="1000" w:type="dxa"/>
            <w:tcBorders>
              <w:top w:val="nil"/>
              <w:left w:val="nil"/>
              <w:bottom w:val="nil"/>
              <w:right w:val="nil"/>
            </w:tcBorders>
            <w:shd w:val="clear" w:color="auto" w:fill="auto"/>
            <w:noWrap/>
            <w:hideMark/>
          </w:tcPr>
          <w:p w14:paraId="75AE799A" w14:textId="77777777" w:rsidR="00E24556" w:rsidRPr="00BF17B0" w:rsidRDefault="00E24556" w:rsidP="00E24556">
            <w:pPr>
              <w:spacing w:after="0"/>
              <w:rPr>
                <w:rFonts w:asciiTheme="minorHAnsi" w:eastAsia="Times New Roman" w:hAnsiTheme="minorHAnsi" w:cstheme="minorHAnsi"/>
                <w:sz w:val="20"/>
                <w:szCs w:val="20"/>
                <w:lang w:eastAsia="en-GB"/>
              </w:rPr>
            </w:pPr>
          </w:p>
        </w:tc>
        <w:tc>
          <w:tcPr>
            <w:tcW w:w="1217" w:type="dxa"/>
            <w:tcBorders>
              <w:top w:val="nil"/>
              <w:left w:val="nil"/>
              <w:bottom w:val="nil"/>
              <w:right w:val="nil"/>
            </w:tcBorders>
            <w:shd w:val="clear" w:color="000000" w:fill="9BC2E6"/>
            <w:noWrap/>
            <w:hideMark/>
          </w:tcPr>
          <w:p w14:paraId="417BF12C" w14:textId="77777777" w:rsidR="00E24556" w:rsidRPr="00BF17B0" w:rsidRDefault="00E24556"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700,000 </w:t>
            </w:r>
          </w:p>
        </w:tc>
        <w:tc>
          <w:tcPr>
            <w:tcW w:w="1240" w:type="dxa"/>
            <w:gridSpan w:val="2"/>
            <w:tcBorders>
              <w:top w:val="nil"/>
              <w:left w:val="nil"/>
              <w:bottom w:val="nil"/>
              <w:right w:val="nil"/>
            </w:tcBorders>
            <w:shd w:val="clear" w:color="000000" w:fill="9BC2E6"/>
            <w:noWrap/>
            <w:hideMark/>
          </w:tcPr>
          <w:p w14:paraId="4ADFF1EF" w14:textId="77777777" w:rsidR="00E24556" w:rsidRPr="00BF17B0" w:rsidRDefault="00E24556" w:rsidP="00E24556">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696,546 </w:t>
            </w:r>
          </w:p>
        </w:tc>
      </w:tr>
      <w:tr w:rsidR="00E24556" w:rsidRPr="00BF17B0" w14:paraId="00452ADA" w14:textId="77777777" w:rsidTr="00635659">
        <w:trPr>
          <w:trHeight w:val="255"/>
        </w:trPr>
        <w:tc>
          <w:tcPr>
            <w:tcW w:w="9318" w:type="dxa"/>
            <w:gridSpan w:val="8"/>
            <w:tcBorders>
              <w:top w:val="nil"/>
              <w:left w:val="nil"/>
              <w:bottom w:val="nil"/>
              <w:right w:val="nil"/>
            </w:tcBorders>
            <w:shd w:val="clear" w:color="000000" w:fill="9BC2E6"/>
            <w:hideMark/>
          </w:tcPr>
          <w:p w14:paraId="25F3425A" w14:textId="77777777" w:rsidR="00E24556" w:rsidRPr="00BF17B0" w:rsidRDefault="00E24556" w:rsidP="00635659">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4.5 Increased readiness to address flood disaster risks in Metro Manila</w:t>
            </w:r>
          </w:p>
        </w:tc>
      </w:tr>
      <w:tr w:rsidR="00E24556" w:rsidRPr="00BF17B0" w14:paraId="1A676C0F" w14:textId="77777777" w:rsidTr="00635659">
        <w:trPr>
          <w:trHeight w:val="255"/>
        </w:trPr>
        <w:tc>
          <w:tcPr>
            <w:tcW w:w="1383" w:type="dxa"/>
            <w:tcBorders>
              <w:top w:val="single" w:sz="4" w:space="0" w:color="auto"/>
              <w:left w:val="single" w:sz="4" w:space="0" w:color="auto"/>
              <w:bottom w:val="single" w:sz="4" w:space="0" w:color="auto"/>
              <w:right w:val="single" w:sz="4" w:space="0" w:color="auto"/>
            </w:tcBorders>
            <w:shd w:val="clear" w:color="auto" w:fill="auto"/>
            <w:noWrap/>
            <w:hideMark/>
          </w:tcPr>
          <w:p w14:paraId="78898A7D"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TF017736</w:t>
            </w:r>
          </w:p>
        </w:tc>
        <w:tc>
          <w:tcPr>
            <w:tcW w:w="2879" w:type="dxa"/>
            <w:tcBorders>
              <w:top w:val="single" w:sz="4" w:space="0" w:color="auto"/>
              <w:left w:val="nil"/>
              <w:bottom w:val="single" w:sz="4" w:space="0" w:color="auto"/>
              <w:right w:val="single" w:sz="4" w:space="0" w:color="auto"/>
            </w:tcBorders>
            <w:shd w:val="clear" w:color="auto" w:fill="auto"/>
            <w:hideMark/>
          </w:tcPr>
          <w:p w14:paraId="72401AC9" w14:textId="77777777" w:rsidR="00E86018"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Studies for Sustainable Flood Management</w:t>
            </w:r>
          </w:p>
          <w:p w14:paraId="4F92DE70" w14:textId="25380C64" w:rsidR="006B1779" w:rsidRPr="00BF17B0" w:rsidRDefault="006B1779" w:rsidP="00E24556">
            <w:pPr>
              <w:spacing w:after="0"/>
              <w:rPr>
                <w:rFonts w:asciiTheme="minorHAnsi" w:eastAsia="Times New Roman" w:hAnsiTheme="minorHAnsi" w:cstheme="minorHAnsi"/>
                <w:sz w:val="20"/>
                <w:szCs w:val="20"/>
                <w:lang w:eastAsia="en-GB"/>
              </w:rPr>
            </w:pPr>
          </w:p>
        </w:tc>
        <w:tc>
          <w:tcPr>
            <w:tcW w:w="718" w:type="dxa"/>
            <w:tcBorders>
              <w:top w:val="single" w:sz="4" w:space="0" w:color="auto"/>
              <w:left w:val="nil"/>
              <w:bottom w:val="single" w:sz="4" w:space="0" w:color="auto"/>
              <w:right w:val="single" w:sz="4" w:space="0" w:color="auto"/>
            </w:tcBorders>
            <w:shd w:val="clear" w:color="auto" w:fill="auto"/>
            <w:noWrap/>
            <w:hideMark/>
          </w:tcPr>
          <w:p w14:paraId="506C4EAC"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ACTV</w:t>
            </w:r>
          </w:p>
        </w:tc>
        <w:tc>
          <w:tcPr>
            <w:tcW w:w="881" w:type="dxa"/>
            <w:tcBorders>
              <w:top w:val="single" w:sz="4" w:space="0" w:color="auto"/>
              <w:left w:val="nil"/>
              <w:bottom w:val="single" w:sz="4" w:space="0" w:color="auto"/>
              <w:right w:val="single" w:sz="4" w:space="0" w:color="auto"/>
            </w:tcBorders>
            <w:shd w:val="clear" w:color="auto" w:fill="auto"/>
            <w:noWrap/>
            <w:hideMark/>
          </w:tcPr>
          <w:p w14:paraId="6612EA1C"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P145391</w:t>
            </w:r>
          </w:p>
        </w:tc>
        <w:tc>
          <w:tcPr>
            <w:tcW w:w="1000" w:type="dxa"/>
            <w:tcBorders>
              <w:top w:val="single" w:sz="4" w:space="0" w:color="auto"/>
              <w:left w:val="nil"/>
              <w:bottom w:val="single" w:sz="4" w:space="0" w:color="auto"/>
              <w:right w:val="single" w:sz="4" w:space="0" w:color="auto"/>
            </w:tcBorders>
            <w:shd w:val="clear" w:color="auto" w:fill="auto"/>
            <w:noWrap/>
            <w:hideMark/>
          </w:tcPr>
          <w:p w14:paraId="7EAC14E7"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RE</w:t>
            </w:r>
          </w:p>
        </w:tc>
        <w:tc>
          <w:tcPr>
            <w:tcW w:w="1217" w:type="dxa"/>
            <w:tcBorders>
              <w:top w:val="single" w:sz="4" w:space="0" w:color="auto"/>
              <w:left w:val="nil"/>
              <w:bottom w:val="single" w:sz="4" w:space="0" w:color="auto"/>
              <w:right w:val="single" w:sz="4" w:space="0" w:color="auto"/>
            </w:tcBorders>
            <w:shd w:val="clear" w:color="auto" w:fill="auto"/>
            <w:noWrap/>
            <w:hideMark/>
          </w:tcPr>
          <w:p w14:paraId="2AAACEDE" w14:textId="428C58BA"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7,000,000 </w:t>
            </w:r>
          </w:p>
        </w:tc>
        <w:tc>
          <w:tcPr>
            <w:tcW w:w="1240" w:type="dxa"/>
            <w:gridSpan w:val="2"/>
            <w:tcBorders>
              <w:top w:val="single" w:sz="4" w:space="0" w:color="auto"/>
              <w:left w:val="nil"/>
              <w:bottom w:val="single" w:sz="4" w:space="0" w:color="auto"/>
              <w:right w:val="single" w:sz="4" w:space="0" w:color="auto"/>
            </w:tcBorders>
            <w:shd w:val="clear" w:color="auto" w:fill="auto"/>
            <w:noWrap/>
            <w:hideMark/>
          </w:tcPr>
          <w:p w14:paraId="75CED251" w14:textId="0A08C20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w:t>
            </w:r>
          </w:p>
        </w:tc>
      </w:tr>
      <w:tr w:rsidR="00E24556" w:rsidRPr="00BF17B0" w14:paraId="00100EC7" w14:textId="77777777" w:rsidTr="00635659">
        <w:trPr>
          <w:trHeight w:val="255"/>
        </w:trPr>
        <w:tc>
          <w:tcPr>
            <w:tcW w:w="1383" w:type="dxa"/>
            <w:tcBorders>
              <w:top w:val="nil"/>
              <w:left w:val="nil"/>
              <w:bottom w:val="nil"/>
              <w:right w:val="nil"/>
            </w:tcBorders>
            <w:shd w:val="clear" w:color="000000" w:fill="9BC2E6"/>
            <w:noWrap/>
            <w:hideMark/>
          </w:tcPr>
          <w:p w14:paraId="0CA92E07" w14:textId="77777777" w:rsidR="00E24556" w:rsidRPr="00BF17B0" w:rsidRDefault="00E24556" w:rsidP="00E24556">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Subtotals</w:t>
            </w:r>
          </w:p>
        </w:tc>
        <w:tc>
          <w:tcPr>
            <w:tcW w:w="2879" w:type="dxa"/>
            <w:tcBorders>
              <w:top w:val="nil"/>
              <w:left w:val="nil"/>
              <w:bottom w:val="nil"/>
              <w:right w:val="nil"/>
            </w:tcBorders>
            <w:shd w:val="clear" w:color="auto" w:fill="auto"/>
            <w:noWrap/>
            <w:hideMark/>
          </w:tcPr>
          <w:p w14:paraId="51578D52" w14:textId="77777777" w:rsidR="00E24556" w:rsidRPr="00BF17B0" w:rsidRDefault="00E24556" w:rsidP="00E24556">
            <w:pPr>
              <w:spacing w:after="0"/>
              <w:rPr>
                <w:rFonts w:asciiTheme="minorHAnsi" w:eastAsia="Times New Roman" w:hAnsiTheme="minorHAnsi" w:cstheme="minorHAnsi"/>
                <w:b/>
                <w:bCs/>
                <w:sz w:val="20"/>
                <w:szCs w:val="20"/>
                <w:lang w:eastAsia="en-GB"/>
              </w:rPr>
            </w:pPr>
          </w:p>
        </w:tc>
        <w:tc>
          <w:tcPr>
            <w:tcW w:w="718" w:type="dxa"/>
            <w:tcBorders>
              <w:top w:val="nil"/>
              <w:left w:val="nil"/>
              <w:bottom w:val="nil"/>
              <w:right w:val="nil"/>
            </w:tcBorders>
            <w:shd w:val="clear" w:color="auto" w:fill="auto"/>
            <w:noWrap/>
            <w:hideMark/>
          </w:tcPr>
          <w:p w14:paraId="26D56745" w14:textId="77777777" w:rsidR="00E24556" w:rsidRPr="00BF17B0" w:rsidRDefault="00E24556" w:rsidP="00E24556">
            <w:pPr>
              <w:spacing w:after="0"/>
              <w:rPr>
                <w:rFonts w:asciiTheme="minorHAnsi" w:eastAsia="Times New Roman" w:hAnsiTheme="minorHAnsi" w:cstheme="minorHAnsi"/>
                <w:sz w:val="20"/>
                <w:szCs w:val="20"/>
                <w:lang w:eastAsia="en-GB"/>
              </w:rPr>
            </w:pPr>
          </w:p>
        </w:tc>
        <w:tc>
          <w:tcPr>
            <w:tcW w:w="881" w:type="dxa"/>
            <w:tcBorders>
              <w:top w:val="nil"/>
              <w:left w:val="nil"/>
              <w:bottom w:val="nil"/>
              <w:right w:val="nil"/>
            </w:tcBorders>
            <w:shd w:val="clear" w:color="auto" w:fill="auto"/>
            <w:noWrap/>
            <w:hideMark/>
          </w:tcPr>
          <w:p w14:paraId="63E78BCB" w14:textId="77777777" w:rsidR="00E24556" w:rsidRPr="00BF17B0" w:rsidRDefault="00E24556" w:rsidP="00E24556">
            <w:pPr>
              <w:spacing w:after="0"/>
              <w:rPr>
                <w:rFonts w:asciiTheme="minorHAnsi" w:eastAsia="Times New Roman" w:hAnsiTheme="minorHAnsi" w:cstheme="minorHAnsi"/>
                <w:sz w:val="20"/>
                <w:szCs w:val="20"/>
                <w:lang w:eastAsia="en-GB"/>
              </w:rPr>
            </w:pPr>
          </w:p>
        </w:tc>
        <w:tc>
          <w:tcPr>
            <w:tcW w:w="1000" w:type="dxa"/>
            <w:tcBorders>
              <w:top w:val="nil"/>
              <w:left w:val="nil"/>
              <w:bottom w:val="nil"/>
              <w:right w:val="nil"/>
            </w:tcBorders>
            <w:shd w:val="clear" w:color="auto" w:fill="auto"/>
            <w:noWrap/>
            <w:hideMark/>
          </w:tcPr>
          <w:p w14:paraId="44EAE0C2" w14:textId="77777777" w:rsidR="00E24556" w:rsidRPr="00BF17B0" w:rsidRDefault="00E24556" w:rsidP="00E24556">
            <w:pPr>
              <w:spacing w:after="0"/>
              <w:rPr>
                <w:rFonts w:asciiTheme="minorHAnsi" w:eastAsia="Times New Roman" w:hAnsiTheme="minorHAnsi" w:cstheme="minorHAnsi"/>
                <w:sz w:val="20"/>
                <w:szCs w:val="20"/>
                <w:lang w:eastAsia="en-GB"/>
              </w:rPr>
            </w:pPr>
          </w:p>
        </w:tc>
        <w:tc>
          <w:tcPr>
            <w:tcW w:w="1217" w:type="dxa"/>
            <w:tcBorders>
              <w:top w:val="nil"/>
              <w:left w:val="nil"/>
              <w:bottom w:val="nil"/>
              <w:right w:val="nil"/>
            </w:tcBorders>
            <w:shd w:val="clear" w:color="000000" w:fill="9BC2E6"/>
            <w:noWrap/>
            <w:hideMark/>
          </w:tcPr>
          <w:p w14:paraId="01BD4F8B" w14:textId="77777777" w:rsidR="00E24556" w:rsidRPr="00BF17B0" w:rsidRDefault="00E24556"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7,000,000 </w:t>
            </w:r>
          </w:p>
        </w:tc>
        <w:tc>
          <w:tcPr>
            <w:tcW w:w="1240" w:type="dxa"/>
            <w:gridSpan w:val="2"/>
            <w:tcBorders>
              <w:top w:val="nil"/>
              <w:left w:val="nil"/>
              <w:bottom w:val="nil"/>
              <w:right w:val="nil"/>
            </w:tcBorders>
            <w:shd w:val="clear" w:color="000000" w:fill="9BC2E6"/>
            <w:noWrap/>
            <w:hideMark/>
          </w:tcPr>
          <w:p w14:paraId="56A12B89" w14:textId="034B3DE4" w:rsidR="00E24556" w:rsidRPr="00BF17B0" w:rsidRDefault="006B1779" w:rsidP="00E24556">
            <w:pPr>
              <w:spacing w:after="0"/>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 xml:space="preserve">  </w:t>
            </w:r>
            <w:r w:rsidR="00E24556" w:rsidRPr="00BF17B0">
              <w:rPr>
                <w:rFonts w:asciiTheme="minorHAnsi" w:eastAsia="Times New Roman" w:hAnsiTheme="minorHAnsi" w:cstheme="minorHAnsi"/>
                <w:b/>
                <w:bCs/>
                <w:sz w:val="20"/>
                <w:szCs w:val="20"/>
                <w:lang w:eastAsia="en-GB"/>
              </w:rPr>
              <w:t xml:space="preserve"> </w:t>
            </w:r>
          </w:p>
        </w:tc>
      </w:tr>
      <w:tr w:rsidR="00E24556" w:rsidRPr="00BF17B0" w14:paraId="20AAD8FE" w14:textId="77777777" w:rsidTr="00635659">
        <w:trPr>
          <w:trHeight w:val="555"/>
        </w:trPr>
        <w:tc>
          <w:tcPr>
            <w:tcW w:w="9318" w:type="dxa"/>
            <w:gridSpan w:val="8"/>
            <w:tcBorders>
              <w:top w:val="nil"/>
              <w:left w:val="nil"/>
              <w:bottom w:val="nil"/>
              <w:right w:val="nil"/>
            </w:tcBorders>
            <w:shd w:val="clear" w:color="000000" w:fill="9BC2E6"/>
            <w:hideMark/>
          </w:tcPr>
          <w:p w14:paraId="031390E8" w14:textId="77777777" w:rsidR="00E24556" w:rsidRPr="00BF17B0" w:rsidRDefault="00E24556" w:rsidP="00635659">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4.6 Enhanced institutional capacities to plan and implement affordable and socially sustainable housing for ISFs in flood prone areas in Metro Manila</w:t>
            </w:r>
          </w:p>
        </w:tc>
      </w:tr>
      <w:tr w:rsidR="00E24556" w:rsidRPr="00BF17B0" w14:paraId="1DADED5F" w14:textId="77777777" w:rsidTr="00635659">
        <w:trPr>
          <w:trHeight w:val="510"/>
        </w:trPr>
        <w:tc>
          <w:tcPr>
            <w:tcW w:w="1383" w:type="dxa"/>
            <w:tcBorders>
              <w:top w:val="single" w:sz="4" w:space="0" w:color="auto"/>
              <w:left w:val="single" w:sz="4" w:space="0" w:color="auto"/>
              <w:bottom w:val="single" w:sz="4" w:space="0" w:color="auto"/>
              <w:right w:val="single" w:sz="4" w:space="0" w:color="auto"/>
            </w:tcBorders>
            <w:shd w:val="clear" w:color="auto" w:fill="auto"/>
            <w:noWrap/>
            <w:hideMark/>
          </w:tcPr>
          <w:p w14:paraId="55535F0F"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TF016764</w:t>
            </w:r>
          </w:p>
        </w:tc>
        <w:tc>
          <w:tcPr>
            <w:tcW w:w="2879" w:type="dxa"/>
            <w:tcBorders>
              <w:top w:val="single" w:sz="4" w:space="0" w:color="auto"/>
              <w:left w:val="nil"/>
              <w:bottom w:val="single" w:sz="4" w:space="0" w:color="auto"/>
              <w:right w:val="single" w:sz="4" w:space="0" w:color="auto"/>
            </w:tcBorders>
            <w:shd w:val="clear" w:color="auto" w:fill="auto"/>
            <w:hideMark/>
          </w:tcPr>
          <w:p w14:paraId="7A72A174" w14:textId="77777777" w:rsidR="00E86018"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Sustainable Housing Solutions for Informal Settlers along Danger Zones</w:t>
            </w:r>
          </w:p>
        </w:tc>
        <w:tc>
          <w:tcPr>
            <w:tcW w:w="718" w:type="dxa"/>
            <w:tcBorders>
              <w:top w:val="single" w:sz="4" w:space="0" w:color="auto"/>
              <w:left w:val="nil"/>
              <w:bottom w:val="single" w:sz="4" w:space="0" w:color="auto"/>
              <w:right w:val="single" w:sz="4" w:space="0" w:color="auto"/>
            </w:tcBorders>
            <w:shd w:val="clear" w:color="auto" w:fill="auto"/>
            <w:noWrap/>
            <w:hideMark/>
          </w:tcPr>
          <w:p w14:paraId="1AA8EBA2"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single" w:sz="4" w:space="0" w:color="auto"/>
              <w:left w:val="nil"/>
              <w:bottom w:val="single" w:sz="4" w:space="0" w:color="auto"/>
              <w:right w:val="single" w:sz="4" w:space="0" w:color="auto"/>
            </w:tcBorders>
            <w:shd w:val="clear" w:color="auto" w:fill="auto"/>
            <w:noWrap/>
            <w:hideMark/>
          </w:tcPr>
          <w:p w14:paraId="5D646F81"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P149905</w:t>
            </w:r>
          </w:p>
        </w:tc>
        <w:tc>
          <w:tcPr>
            <w:tcW w:w="1000" w:type="dxa"/>
            <w:tcBorders>
              <w:top w:val="single" w:sz="4" w:space="0" w:color="auto"/>
              <w:left w:val="nil"/>
              <w:bottom w:val="single" w:sz="4" w:space="0" w:color="auto"/>
              <w:right w:val="single" w:sz="4" w:space="0" w:color="auto"/>
            </w:tcBorders>
            <w:shd w:val="clear" w:color="auto" w:fill="auto"/>
            <w:noWrap/>
            <w:hideMark/>
          </w:tcPr>
          <w:p w14:paraId="711696E8"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single" w:sz="4" w:space="0" w:color="auto"/>
              <w:left w:val="nil"/>
              <w:bottom w:val="single" w:sz="4" w:space="0" w:color="auto"/>
              <w:right w:val="single" w:sz="4" w:space="0" w:color="auto"/>
            </w:tcBorders>
            <w:shd w:val="clear" w:color="auto" w:fill="auto"/>
            <w:noWrap/>
            <w:hideMark/>
          </w:tcPr>
          <w:p w14:paraId="0AA82378" w14:textId="1E87E92A"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1,930,000 </w:t>
            </w:r>
          </w:p>
        </w:tc>
        <w:tc>
          <w:tcPr>
            <w:tcW w:w="1240" w:type="dxa"/>
            <w:gridSpan w:val="2"/>
            <w:tcBorders>
              <w:top w:val="single" w:sz="4" w:space="0" w:color="auto"/>
              <w:left w:val="nil"/>
              <w:bottom w:val="single" w:sz="4" w:space="0" w:color="auto"/>
              <w:right w:val="single" w:sz="4" w:space="0" w:color="auto"/>
            </w:tcBorders>
            <w:shd w:val="clear" w:color="auto" w:fill="auto"/>
            <w:noWrap/>
            <w:hideMark/>
          </w:tcPr>
          <w:p w14:paraId="6F655655" w14:textId="6CC2D774"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1,292,971 </w:t>
            </w:r>
          </w:p>
        </w:tc>
      </w:tr>
      <w:tr w:rsidR="00E24556" w:rsidRPr="00BF17B0" w14:paraId="55D4F6FF" w14:textId="77777777" w:rsidTr="00635659">
        <w:trPr>
          <w:trHeight w:val="255"/>
        </w:trPr>
        <w:tc>
          <w:tcPr>
            <w:tcW w:w="1383" w:type="dxa"/>
            <w:tcBorders>
              <w:top w:val="nil"/>
              <w:left w:val="nil"/>
              <w:bottom w:val="nil"/>
              <w:right w:val="nil"/>
            </w:tcBorders>
            <w:shd w:val="clear" w:color="000000" w:fill="9BC2E6"/>
            <w:noWrap/>
            <w:hideMark/>
          </w:tcPr>
          <w:p w14:paraId="34781DF8" w14:textId="77777777" w:rsidR="00E24556" w:rsidRPr="00BF17B0" w:rsidRDefault="00E24556" w:rsidP="00E24556">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Subtotals</w:t>
            </w:r>
          </w:p>
        </w:tc>
        <w:tc>
          <w:tcPr>
            <w:tcW w:w="2879" w:type="dxa"/>
            <w:tcBorders>
              <w:top w:val="nil"/>
              <w:left w:val="nil"/>
              <w:bottom w:val="nil"/>
              <w:right w:val="nil"/>
            </w:tcBorders>
            <w:shd w:val="clear" w:color="auto" w:fill="auto"/>
            <w:noWrap/>
            <w:hideMark/>
          </w:tcPr>
          <w:p w14:paraId="7F227F5E" w14:textId="77777777" w:rsidR="00E24556" w:rsidRPr="00BF17B0" w:rsidRDefault="00E24556" w:rsidP="00E24556">
            <w:pPr>
              <w:spacing w:after="0"/>
              <w:rPr>
                <w:rFonts w:asciiTheme="minorHAnsi" w:eastAsia="Times New Roman" w:hAnsiTheme="minorHAnsi" w:cstheme="minorHAnsi"/>
                <w:b/>
                <w:bCs/>
                <w:sz w:val="20"/>
                <w:szCs w:val="20"/>
                <w:lang w:eastAsia="en-GB"/>
              </w:rPr>
            </w:pPr>
          </w:p>
        </w:tc>
        <w:tc>
          <w:tcPr>
            <w:tcW w:w="718" w:type="dxa"/>
            <w:tcBorders>
              <w:top w:val="nil"/>
              <w:left w:val="nil"/>
              <w:bottom w:val="nil"/>
              <w:right w:val="nil"/>
            </w:tcBorders>
            <w:shd w:val="clear" w:color="auto" w:fill="auto"/>
            <w:noWrap/>
            <w:hideMark/>
          </w:tcPr>
          <w:p w14:paraId="697D35E7" w14:textId="77777777" w:rsidR="00E24556" w:rsidRPr="00BF17B0" w:rsidRDefault="00E24556" w:rsidP="00E24556">
            <w:pPr>
              <w:spacing w:after="0"/>
              <w:rPr>
                <w:rFonts w:asciiTheme="minorHAnsi" w:eastAsia="Times New Roman" w:hAnsiTheme="minorHAnsi" w:cstheme="minorHAnsi"/>
                <w:sz w:val="20"/>
                <w:szCs w:val="20"/>
                <w:lang w:eastAsia="en-GB"/>
              </w:rPr>
            </w:pPr>
          </w:p>
        </w:tc>
        <w:tc>
          <w:tcPr>
            <w:tcW w:w="881" w:type="dxa"/>
            <w:tcBorders>
              <w:top w:val="nil"/>
              <w:left w:val="nil"/>
              <w:bottom w:val="nil"/>
              <w:right w:val="nil"/>
            </w:tcBorders>
            <w:shd w:val="clear" w:color="auto" w:fill="auto"/>
            <w:noWrap/>
            <w:hideMark/>
          </w:tcPr>
          <w:p w14:paraId="0389C965" w14:textId="77777777" w:rsidR="00E24556" w:rsidRPr="00BF17B0" w:rsidRDefault="00E24556" w:rsidP="00E24556">
            <w:pPr>
              <w:spacing w:after="0"/>
              <w:rPr>
                <w:rFonts w:asciiTheme="minorHAnsi" w:eastAsia="Times New Roman" w:hAnsiTheme="minorHAnsi" w:cstheme="minorHAnsi"/>
                <w:sz w:val="20"/>
                <w:szCs w:val="20"/>
                <w:lang w:eastAsia="en-GB"/>
              </w:rPr>
            </w:pPr>
          </w:p>
        </w:tc>
        <w:tc>
          <w:tcPr>
            <w:tcW w:w="1000" w:type="dxa"/>
            <w:tcBorders>
              <w:top w:val="nil"/>
              <w:left w:val="nil"/>
              <w:bottom w:val="nil"/>
              <w:right w:val="nil"/>
            </w:tcBorders>
            <w:shd w:val="clear" w:color="auto" w:fill="auto"/>
            <w:noWrap/>
            <w:hideMark/>
          </w:tcPr>
          <w:p w14:paraId="57FFDF70" w14:textId="77777777" w:rsidR="00E24556" w:rsidRPr="00BF17B0" w:rsidRDefault="00E24556" w:rsidP="00E24556">
            <w:pPr>
              <w:spacing w:after="0"/>
              <w:rPr>
                <w:rFonts w:asciiTheme="minorHAnsi" w:eastAsia="Times New Roman" w:hAnsiTheme="minorHAnsi" w:cstheme="minorHAnsi"/>
                <w:sz w:val="20"/>
                <w:szCs w:val="20"/>
                <w:lang w:eastAsia="en-GB"/>
              </w:rPr>
            </w:pPr>
          </w:p>
        </w:tc>
        <w:tc>
          <w:tcPr>
            <w:tcW w:w="1217" w:type="dxa"/>
            <w:tcBorders>
              <w:top w:val="nil"/>
              <w:left w:val="nil"/>
              <w:bottom w:val="nil"/>
              <w:right w:val="nil"/>
            </w:tcBorders>
            <w:shd w:val="clear" w:color="000000" w:fill="9BC2E6"/>
            <w:noWrap/>
            <w:hideMark/>
          </w:tcPr>
          <w:p w14:paraId="0E2BAAED" w14:textId="77777777" w:rsidR="00E24556" w:rsidRPr="00BF17B0" w:rsidRDefault="00E24556"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1,930,000 </w:t>
            </w:r>
          </w:p>
        </w:tc>
        <w:tc>
          <w:tcPr>
            <w:tcW w:w="1240" w:type="dxa"/>
            <w:gridSpan w:val="2"/>
            <w:tcBorders>
              <w:top w:val="nil"/>
              <w:left w:val="nil"/>
              <w:bottom w:val="nil"/>
              <w:right w:val="nil"/>
            </w:tcBorders>
            <w:shd w:val="clear" w:color="000000" w:fill="9BC2E6"/>
            <w:noWrap/>
            <w:hideMark/>
          </w:tcPr>
          <w:p w14:paraId="3C48F467" w14:textId="77777777" w:rsidR="00E24556" w:rsidRPr="00BF17B0" w:rsidRDefault="00E24556" w:rsidP="00E24556">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1,292,971 </w:t>
            </w:r>
          </w:p>
        </w:tc>
      </w:tr>
      <w:tr w:rsidR="00E24556" w:rsidRPr="00BF17B0" w14:paraId="6A453C85" w14:textId="77777777" w:rsidTr="00635659">
        <w:trPr>
          <w:trHeight w:val="255"/>
        </w:trPr>
        <w:tc>
          <w:tcPr>
            <w:tcW w:w="1383" w:type="dxa"/>
            <w:tcBorders>
              <w:top w:val="nil"/>
              <w:left w:val="nil"/>
              <w:bottom w:val="nil"/>
              <w:right w:val="nil"/>
            </w:tcBorders>
            <w:shd w:val="clear" w:color="000000" w:fill="9BC2E6"/>
            <w:noWrap/>
            <w:hideMark/>
          </w:tcPr>
          <w:p w14:paraId="66147DD6"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2879" w:type="dxa"/>
            <w:tcBorders>
              <w:top w:val="single" w:sz="4" w:space="0" w:color="auto"/>
              <w:left w:val="single" w:sz="4" w:space="0" w:color="auto"/>
              <w:bottom w:val="single" w:sz="4" w:space="0" w:color="auto"/>
              <w:right w:val="single" w:sz="4" w:space="0" w:color="auto"/>
            </w:tcBorders>
            <w:shd w:val="clear" w:color="000000" w:fill="9BC2E6"/>
            <w:hideMark/>
          </w:tcPr>
          <w:p w14:paraId="3B2C557B" w14:textId="77777777" w:rsidR="00E24556" w:rsidRPr="00BF17B0" w:rsidRDefault="00E24556" w:rsidP="00E24556">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Focus Area 4 Totals</w:t>
            </w:r>
          </w:p>
        </w:tc>
        <w:tc>
          <w:tcPr>
            <w:tcW w:w="718" w:type="dxa"/>
            <w:tcBorders>
              <w:top w:val="nil"/>
              <w:left w:val="nil"/>
              <w:bottom w:val="nil"/>
              <w:right w:val="nil"/>
            </w:tcBorders>
            <w:shd w:val="clear" w:color="000000" w:fill="9BC2E6"/>
            <w:noWrap/>
            <w:hideMark/>
          </w:tcPr>
          <w:p w14:paraId="2ED82840"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881" w:type="dxa"/>
            <w:tcBorders>
              <w:top w:val="nil"/>
              <w:left w:val="nil"/>
              <w:bottom w:val="nil"/>
              <w:right w:val="nil"/>
            </w:tcBorders>
            <w:shd w:val="clear" w:color="000000" w:fill="9BC2E6"/>
            <w:noWrap/>
            <w:hideMark/>
          </w:tcPr>
          <w:p w14:paraId="358CED8D"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000" w:type="dxa"/>
            <w:tcBorders>
              <w:top w:val="nil"/>
              <w:left w:val="nil"/>
              <w:bottom w:val="nil"/>
              <w:right w:val="nil"/>
            </w:tcBorders>
            <w:shd w:val="clear" w:color="000000" w:fill="9BC2E6"/>
            <w:noWrap/>
            <w:hideMark/>
          </w:tcPr>
          <w:p w14:paraId="7A820CF1"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217" w:type="dxa"/>
            <w:tcBorders>
              <w:top w:val="nil"/>
              <w:left w:val="nil"/>
              <w:bottom w:val="nil"/>
              <w:right w:val="nil"/>
            </w:tcBorders>
            <w:shd w:val="clear" w:color="000000" w:fill="9BC2E6"/>
            <w:noWrap/>
            <w:hideMark/>
          </w:tcPr>
          <w:p w14:paraId="6A3767C5" w14:textId="77777777" w:rsidR="00E24556" w:rsidRPr="00BF17B0" w:rsidRDefault="00E24556"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13,841,962 </w:t>
            </w:r>
          </w:p>
        </w:tc>
        <w:tc>
          <w:tcPr>
            <w:tcW w:w="1240" w:type="dxa"/>
            <w:gridSpan w:val="2"/>
            <w:tcBorders>
              <w:top w:val="nil"/>
              <w:left w:val="nil"/>
              <w:bottom w:val="nil"/>
              <w:right w:val="nil"/>
            </w:tcBorders>
            <w:shd w:val="clear" w:color="000000" w:fill="9BC2E6"/>
            <w:noWrap/>
            <w:hideMark/>
          </w:tcPr>
          <w:p w14:paraId="6A94D1E5" w14:textId="5808BDD7" w:rsidR="00E86018" w:rsidRPr="00BF17B0" w:rsidRDefault="00BF6A3A" w:rsidP="00E24556">
            <w:pPr>
              <w:spacing w:after="0"/>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 xml:space="preserve">  5,99</w:t>
            </w:r>
            <w:r w:rsidR="00E24556" w:rsidRPr="00BF17B0">
              <w:rPr>
                <w:rFonts w:asciiTheme="minorHAnsi" w:eastAsia="Times New Roman" w:hAnsiTheme="minorHAnsi" w:cstheme="minorHAnsi"/>
                <w:b/>
                <w:bCs/>
                <w:sz w:val="20"/>
                <w:szCs w:val="20"/>
                <w:lang w:eastAsia="en-GB"/>
              </w:rPr>
              <w:t xml:space="preserve">8,666 </w:t>
            </w:r>
          </w:p>
        </w:tc>
      </w:tr>
      <w:tr w:rsidR="00E24556" w:rsidRPr="00BF17B0" w14:paraId="1061D9EF" w14:textId="77777777" w:rsidTr="00635659">
        <w:trPr>
          <w:trHeight w:val="255"/>
        </w:trPr>
        <w:tc>
          <w:tcPr>
            <w:tcW w:w="6861" w:type="dxa"/>
            <w:gridSpan w:val="5"/>
            <w:tcBorders>
              <w:top w:val="nil"/>
              <w:left w:val="nil"/>
              <w:bottom w:val="nil"/>
              <w:right w:val="nil"/>
            </w:tcBorders>
            <w:shd w:val="clear" w:color="000000" w:fill="9BC2E6"/>
            <w:hideMark/>
          </w:tcPr>
          <w:p w14:paraId="7D2F9D98" w14:textId="77777777" w:rsidR="00E24556" w:rsidRPr="00BF17B0" w:rsidRDefault="00E24556" w:rsidP="00635659">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5 Cross Cutting Tasks and Program Management</w:t>
            </w:r>
          </w:p>
        </w:tc>
        <w:tc>
          <w:tcPr>
            <w:tcW w:w="1217" w:type="dxa"/>
            <w:tcBorders>
              <w:top w:val="nil"/>
              <w:left w:val="nil"/>
              <w:bottom w:val="nil"/>
              <w:right w:val="nil"/>
            </w:tcBorders>
            <w:shd w:val="clear" w:color="000000" w:fill="9BC2E6"/>
            <w:noWrap/>
            <w:hideMark/>
          </w:tcPr>
          <w:p w14:paraId="26BDC3E9" w14:textId="77777777"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240" w:type="dxa"/>
            <w:gridSpan w:val="2"/>
            <w:tcBorders>
              <w:top w:val="nil"/>
              <w:left w:val="nil"/>
              <w:bottom w:val="nil"/>
              <w:right w:val="nil"/>
            </w:tcBorders>
            <w:shd w:val="clear" w:color="000000" w:fill="9BC2E6"/>
            <w:noWrap/>
            <w:hideMark/>
          </w:tcPr>
          <w:p w14:paraId="59118681"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r>
      <w:tr w:rsidR="00E86018" w:rsidRPr="00BF17B0" w14:paraId="165BA9CD" w14:textId="77777777" w:rsidTr="002073A6">
        <w:trPr>
          <w:trHeight w:val="255"/>
        </w:trPr>
        <w:tc>
          <w:tcPr>
            <w:tcW w:w="4262" w:type="dxa"/>
            <w:gridSpan w:val="2"/>
            <w:tcBorders>
              <w:top w:val="nil"/>
              <w:left w:val="nil"/>
              <w:bottom w:val="nil"/>
              <w:right w:val="nil"/>
            </w:tcBorders>
            <w:shd w:val="clear" w:color="000000" w:fill="9BC2E6"/>
            <w:hideMark/>
          </w:tcPr>
          <w:p w14:paraId="14F25BDA" w14:textId="77777777" w:rsidR="00E86018" w:rsidRPr="00BF17B0" w:rsidRDefault="00E86018" w:rsidP="00635659">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5.1 Cross Cutting Tasks </w:t>
            </w:r>
          </w:p>
        </w:tc>
        <w:tc>
          <w:tcPr>
            <w:tcW w:w="718" w:type="dxa"/>
            <w:tcBorders>
              <w:top w:val="nil"/>
              <w:left w:val="nil"/>
              <w:bottom w:val="nil"/>
              <w:right w:val="nil"/>
            </w:tcBorders>
            <w:shd w:val="clear" w:color="000000" w:fill="9BC2E6"/>
            <w:hideMark/>
          </w:tcPr>
          <w:p w14:paraId="30BA6C40" w14:textId="77777777" w:rsidR="00E86018" w:rsidRPr="00BF17B0" w:rsidRDefault="00E86018"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881" w:type="dxa"/>
            <w:tcBorders>
              <w:top w:val="nil"/>
              <w:left w:val="nil"/>
              <w:bottom w:val="nil"/>
              <w:right w:val="nil"/>
            </w:tcBorders>
            <w:shd w:val="clear" w:color="000000" w:fill="9BC2E6"/>
            <w:hideMark/>
          </w:tcPr>
          <w:p w14:paraId="7AD7939C" w14:textId="77777777" w:rsidR="00E86018" w:rsidRPr="00BF17B0" w:rsidRDefault="00E86018"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000" w:type="dxa"/>
            <w:tcBorders>
              <w:top w:val="nil"/>
              <w:left w:val="nil"/>
              <w:bottom w:val="nil"/>
              <w:right w:val="nil"/>
            </w:tcBorders>
            <w:shd w:val="clear" w:color="000000" w:fill="9BC2E6"/>
            <w:hideMark/>
          </w:tcPr>
          <w:p w14:paraId="3B46C900" w14:textId="77777777" w:rsidR="00E86018" w:rsidRPr="00BF17B0" w:rsidRDefault="00E86018"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217" w:type="dxa"/>
            <w:tcBorders>
              <w:top w:val="nil"/>
              <w:left w:val="nil"/>
              <w:bottom w:val="nil"/>
              <w:right w:val="nil"/>
            </w:tcBorders>
            <w:shd w:val="clear" w:color="000000" w:fill="9BC2E6"/>
            <w:noWrap/>
            <w:hideMark/>
          </w:tcPr>
          <w:p w14:paraId="2599CC42" w14:textId="77777777" w:rsidR="00E86018" w:rsidRPr="00BF17B0" w:rsidRDefault="00E86018"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240" w:type="dxa"/>
            <w:gridSpan w:val="2"/>
            <w:tcBorders>
              <w:top w:val="nil"/>
              <w:left w:val="nil"/>
              <w:bottom w:val="nil"/>
              <w:right w:val="nil"/>
            </w:tcBorders>
            <w:shd w:val="clear" w:color="000000" w:fill="9BC2E6"/>
            <w:noWrap/>
            <w:hideMark/>
          </w:tcPr>
          <w:p w14:paraId="183DCFDA" w14:textId="77777777" w:rsidR="00E86018" w:rsidRPr="00BF17B0" w:rsidRDefault="00E86018"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r>
      <w:tr w:rsidR="00E24556" w:rsidRPr="00BF17B0" w14:paraId="5E2F8C7F" w14:textId="77777777" w:rsidTr="00635659">
        <w:trPr>
          <w:trHeight w:val="255"/>
        </w:trPr>
        <w:tc>
          <w:tcPr>
            <w:tcW w:w="1383" w:type="dxa"/>
            <w:tcBorders>
              <w:top w:val="single" w:sz="4" w:space="0" w:color="auto"/>
              <w:left w:val="single" w:sz="4" w:space="0" w:color="auto"/>
              <w:bottom w:val="single" w:sz="4" w:space="0" w:color="auto"/>
              <w:right w:val="single" w:sz="4" w:space="0" w:color="auto"/>
            </w:tcBorders>
            <w:shd w:val="clear" w:color="auto" w:fill="auto"/>
            <w:noWrap/>
            <w:hideMark/>
          </w:tcPr>
          <w:p w14:paraId="558DDB83"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TF015129</w:t>
            </w:r>
          </w:p>
        </w:tc>
        <w:tc>
          <w:tcPr>
            <w:tcW w:w="2879" w:type="dxa"/>
            <w:tcBorders>
              <w:top w:val="single" w:sz="4" w:space="0" w:color="auto"/>
              <w:left w:val="nil"/>
              <w:bottom w:val="single" w:sz="4" w:space="0" w:color="auto"/>
              <w:right w:val="single" w:sz="4" w:space="0" w:color="auto"/>
            </w:tcBorders>
            <w:shd w:val="clear" w:color="auto" w:fill="auto"/>
            <w:hideMark/>
          </w:tcPr>
          <w:p w14:paraId="3E2B19B7"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Assessing Research Capacity of Knowledge Institutions</w:t>
            </w:r>
          </w:p>
        </w:tc>
        <w:tc>
          <w:tcPr>
            <w:tcW w:w="718" w:type="dxa"/>
            <w:tcBorders>
              <w:top w:val="single" w:sz="4" w:space="0" w:color="auto"/>
              <w:left w:val="nil"/>
              <w:bottom w:val="single" w:sz="4" w:space="0" w:color="auto"/>
              <w:right w:val="single" w:sz="4" w:space="0" w:color="auto"/>
            </w:tcBorders>
            <w:shd w:val="clear" w:color="auto" w:fill="auto"/>
            <w:noWrap/>
            <w:hideMark/>
          </w:tcPr>
          <w:p w14:paraId="16865541"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single" w:sz="4" w:space="0" w:color="auto"/>
              <w:left w:val="nil"/>
              <w:bottom w:val="single" w:sz="4" w:space="0" w:color="auto"/>
              <w:right w:val="single" w:sz="4" w:space="0" w:color="auto"/>
            </w:tcBorders>
            <w:shd w:val="clear" w:color="auto" w:fill="auto"/>
            <w:noWrap/>
            <w:hideMark/>
          </w:tcPr>
          <w:p w14:paraId="3A8154F0"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P096734</w:t>
            </w:r>
          </w:p>
        </w:tc>
        <w:tc>
          <w:tcPr>
            <w:tcW w:w="1000" w:type="dxa"/>
            <w:tcBorders>
              <w:top w:val="single" w:sz="4" w:space="0" w:color="auto"/>
              <w:left w:val="nil"/>
              <w:bottom w:val="single" w:sz="4" w:space="0" w:color="auto"/>
              <w:right w:val="single" w:sz="4" w:space="0" w:color="auto"/>
            </w:tcBorders>
            <w:shd w:val="clear" w:color="auto" w:fill="auto"/>
            <w:noWrap/>
            <w:hideMark/>
          </w:tcPr>
          <w:p w14:paraId="0EA4491E"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single" w:sz="4" w:space="0" w:color="auto"/>
              <w:left w:val="nil"/>
              <w:bottom w:val="single" w:sz="4" w:space="0" w:color="auto"/>
              <w:right w:val="single" w:sz="4" w:space="0" w:color="auto"/>
            </w:tcBorders>
            <w:shd w:val="clear" w:color="auto" w:fill="auto"/>
            <w:noWrap/>
            <w:hideMark/>
          </w:tcPr>
          <w:p w14:paraId="4F95B3C7" w14:textId="0D3A9273"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250,000 </w:t>
            </w:r>
          </w:p>
        </w:tc>
        <w:tc>
          <w:tcPr>
            <w:tcW w:w="1240" w:type="dxa"/>
            <w:gridSpan w:val="2"/>
            <w:tcBorders>
              <w:top w:val="single" w:sz="4" w:space="0" w:color="auto"/>
              <w:left w:val="nil"/>
              <w:bottom w:val="single" w:sz="4" w:space="0" w:color="auto"/>
              <w:right w:val="single" w:sz="4" w:space="0" w:color="auto"/>
            </w:tcBorders>
            <w:shd w:val="clear" w:color="auto" w:fill="auto"/>
            <w:noWrap/>
            <w:hideMark/>
          </w:tcPr>
          <w:p w14:paraId="3D1EB5C1"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   </w:t>
            </w:r>
          </w:p>
        </w:tc>
      </w:tr>
      <w:tr w:rsidR="00E24556" w:rsidRPr="00BF17B0" w14:paraId="48C7411F" w14:textId="77777777" w:rsidTr="00635659">
        <w:trPr>
          <w:trHeight w:val="765"/>
        </w:trPr>
        <w:tc>
          <w:tcPr>
            <w:tcW w:w="1383" w:type="dxa"/>
            <w:tcBorders>
              <w:top w:val="nil"/>
              <w:left w:val="single" w:sz="4" w:space="0" w:color="auto"/>
              <w:bottom w:val="single" w:sz="4" w:space="0" w:color="auto"/>
              <w:right w:val="single" w:sz="4" w:space="0" w:color="auto"/>
            </w:tcBorders>
            <w:shd w:val="clear" w:color="auto" w:fill="auto"/>
            <w:noWrap/>
            <w:hideMark/>
          </w:tcPr>
          <w:p w14:paraId="612DC6BE"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TF015353</w:t>
            </w:r>
          </w:p>
        </w:tc>
        <w:tc>
          <w:tcPr>
            <w:tcW w:w="2879" w:type="dxa"/>
            <w:tcBorders>
              <w:top w:val="nil"/>
              <w:left w:val="nil"/>
              <w:bottom w:val="single" w:sz="4" w:space="0" w:color="auto"/>
              <w:right w:val="single" w:sz="4" w:space="0" w:color="auto"/>
            </w:tcBorders>
            <w:shd w:val="clear" w:color="auto" w:fill="auto"/>
            <w:hideMark/>
          </w:tcPr>
          <w:p w14:paraId="342E425D"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Assessing the Research Capacity of Local Knowledge Institutions for Producing and Disseminating Development-Focused Knowledge Products</w:t>
            </w:r>
          </w:p>
        </w:tc>
        <w:tc>
          <w:tcPr>
            <w:tcW w:w="718" w:type="dxa"/>
            <w:tcBorders>
              <w:top w:val="nil"/>
              <w:left w:val="nil"/>
              <w:bottom w:val="single" w:sz="4" w:space="0" w:color="auto"/>
              <w:right w:val="single" w:sz="4" w:space="0" w:color="auto"/>
            </w:tcBorders>
            <w:shd w:val="clear" w:color="auto" w:fill="auto"/>
            <w:noWrap/>
            <w:hideMark/>
          </w:tcPr>
          <w:p w14:paraId="6DB4AD5E"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476BE935"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P096734</w:t>
            </w:r>
          </w:p>
        </w:tc>
        <w:tc>
          <w:tcPr>
            <w:tcW w:w="1000" w:type="dxa"/>
            <w:tcBorders>
              <w:top w:val="nil"/>
              <w:left w:val="nil"/>
              <w:bottom w:val="single" w:sz="4" w:space="0" w:color="auto"/>
              <w:right w:val="single" w:sz="4" w:space="0" w:color="auto"/>
            </w:tcBorders>
            <w:shd w:val="clear" w:color="auto" w:fill="auto"/>
            <w:noWrap/>
            <w:hideMark/>
          </w:tcPr>
          <w:p w14:paraId="11DE6C0D"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1CE3E160" w14:textId="480D425C"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80,000 </w:t>
            </w:r>
          </w:p>
        </w:tc>
        <w:tc>
          <w:tcPr>
            <w:tcW w:w="1240" w:type="dxa"/>
            <w:gridSpan w:val="2"/>
            <w:tcBorders>
              <w:top w:val="nil"/>
              <w:left w:val="nil"/>
              <w:bottom w:val="single" w:sz="4" w:space="0" w:color="auto"/>
              <w:right w:val="single" w:sz="4" w:space="0" w:color="auto"/>
            </w:tcBorders>
            <w:shd w:val="clear" w:color="auto" w:fill="auto"/>
            <w:noWrap/>
            <w:hideMark/>
          </w:tcPr>
          <w:p w14:paraId="6D49F19F" w14:textId="0104F16E"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70,058 </w:t>
            </w:r>
          </w:p>
        </w:tc>
      </w:tr>
      <w:tr w:rsidR="00E24556" w:rsidRPr="00BF17B0" w14:paraId="30040189" w14:textId="77777777" w:rsidTr="00635659">
        <w:trPr>
          <w:trHeight w:val="510"/>
        </w:trPr>
        <w:tc>
          <w:tcPr>
            <w:tcW w:w="1383" w:type="dxa"/>
            <w:tcBorders>
              <w:top w:val="nil"/>
              <w:left w:val="single" w:sz="4" w:space="0" w:color="auto"/>
              <w:bottom w:val="single" w:sz="4" w:space="0" w:color="auto"/>
              <w:right w:val="single" w:sz="4" w:space="0" w:color="auto"/>
            </w:tcBorders>
            <w:shd w:val="clear" w:color="auto" w:fill="auto"/>
            <w:noWrap/>
            <w:hideMark/>
          </w:tcPr>
          <w:p w14:paraId="1F1A0C85"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TF095632</w:t>
            </w:r>
          </w:p>
        </w:tc>
        <w:tc>
          <w:tcPr>
            <w:tcW w:w="2879" w:type="dxa"/>
            <w:tcBorders>
              <w:top w:val="nil"/>
              <w:left w:val="nil"/>
              <w:bottom w:val="single" w:sz="4" w:space="0" w:color="auto"/>
              <w:right w:val="single" w:sz="4" w:space="0" w:color="auto"/>
            </w:tcBorders>
            <w:shd w:val="clear" w:color="auto" w:fill="auto"/>
            <w:hideMark/>
          </w:tcPr>
          <w:p w14:paraId="455EFE04"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Support for Strategic Engagement on the Philippines Discussion Notes</w:t>
            </w:r>
          </w:p>
        </w:tc>
        <w:tc>
          <w:tcPr>
            <w:tcW w:w="718" w:type="dxa"/>
            <w:tcBorders>
              <w:top w:val="nil"/>
              <w:left w:val="nil"/>
              <w:bottom w:val="single" w:sz="4" w:space="0" w:color="auto"/>
              <w:right w:val="single" w:sz="4" w:space="0" w:color="auto"/>
            </w:tcBorders>
            <w:shd w:val="clear" w:color="auto" w:fill="auto"/>
            <w:noWrap/>
            <w:hideMark/>
          </w:tcPr>
          <w:p w14:paraId="6843C607"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0B10EDF0"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P118583</w:t>
            </w:r>
          </w:p>
        </w:tc>
        <w:tc>
          <w:tcPr>
            <w:tcW w:w="1000" w:type="dxa"/>
            <w:tcBorders>
              <w:top w:val="nil"/>
              <w:left w:val="nil"/>
              <w:bottom w:val="single" w:sz="4" w:space="0" w:color="auto"/>
              <w:right w:val="single" w:sz="4" w:space="0" w:color="auto"/>
            </w:tcBorders>
            <w:shd w:val="clear" w:color="auto" w:fill="auto"/>
            <w:noWrap/>
            <w:hideMark/>
          </w:tcPr>
          <w:p w14:paraId="2384B92D"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35C0B489" w14:textId="5C272FF5"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150,000 </w:t>
            </w:r>
          </w:p>
        </w:tc>
        <w:tc>
          <w:tcPr>
            <w:tcW w:w="1240" w:type="dxa"/>
            <w:gridSpan w:val="2"/>
            <w:tcBorders>
              <w:top w:val="nil"/>
              <w:left w:val="nil"/>
              <w:bottom w:val="single" w:sz="4" w:space="0" w:color="auto"/>
              <w:right w:val="single" w:sz="4" w:space="0" w:color="auto"/>
            </w:tcBorders>
            <w:shd w:val="clear" w:color="auto" w:fill="auto"/>
            <w:noWrap/>
            <w:hideMark/>
          </w:tcPr>
          <w:p w14:paraId="3CDAC6A8" w14:textId="35A5B1DC"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80,782 </w:t>
            </w:r>
          </w:p>
        </w:tc>
      </w:tr>
      <w:tr w:rsidR="00E24556" w:rsidRPr="00BF17B0" w14:paraId="2EFEA081" w14:textId="77777777" w:rsidTr="00635659">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24BBAAD4"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TF0A3262</w:t>
            </w:r>
          </w:p>
        </w:tc>
        <w:tc>
          <w:tcPr>
            <w:tcW w:w="2879" w:type="dxa"/>
            <w:tcBorders>
              <w:top w:val="nil"/>
              <w:left w:val="nil"/>
              <w:bottom w:val="single" w:sz="4" w:space="0" w:color="auto"/>
              <w:right w:val="single" w:sz="4" w:space="0" w:color="auto"/>
            </w:tcBorders>
            <w:shd w:val="clear" w:color="auto" w:fill="auto"/>
            <w:hideMark/>
          </w:tcPr>
          <w:p w14:paraId="4E955A7C"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CSO Workshop:  Social Development Initiatives Summit</w:t>
            </w:r>
          </w:p>
        </w:tc>
        <w:tc>
          <w:tcPr>
            <w:tcW w:w="718" w:type="dxa"/>
            <w:tcBorders>
              <w:top w:val="nil"/>
              <w:left w:val="nil"/>
              <w:bottom w:val="single" w:sz="4" w:space="0" w:color="auto"/>
              <w:right w:val="single" w:sz="4" w:space="0" w:color="auto"/>
            </w:tcBorders>
            <w:shd w:val="clear" w:color="auto" w:fill="auto"/>
            <w:noWrap/>
            <w:hideMark/>
          </w:tcPr>
          <w:p w14:paraId="52BD2E39"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LCLS</w:t>
            </w:r>
          </w:p>
        </w:tc>
        <w:tc>
          <w:tcPr>
            <w:tcW w:w="881" w:type="dxa"/>
            <w:tcBorders>
              <w:top w:val="nil"/>
              <w:left w:val="nil"/>
              <w:bottom w:val="single" w:sz="4" w:space="0" w:color="auto"/>
              <w:right w:val="single" w:sz="4" w:space="0" w:color="auto"/>
            </w:tcBorders>
            <w:shd w:val="clear" w:color="auto" w:fill="auto"/>
            <w:noWrap/>
            <w:hideMark/>
          </w:tcPr>
          <w:p w14:paraId="3EA31F1E"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P160842</w:t>
            </w:r>
          </w:p>
        </w:tc>
        <w:tc>
          <w:tcPr>
            <w:tcW w:w="1000" w:type="dxa"/>
            <w:tcBorders>
              <w:top w:val="nil"/>
              <w:left w:val="nil"/>
              <w:bottom w:val="single" w:sz="4" w:space="0" w:color="auto"/>
              <w:right w:val="single" w:sz="4" w:space="0" w:color="auto"/>
            </w:tcBorders>
            <w:shd w:val="clear" w:color="auto" w:fill="auto"/>
            <w:noWrap/>
            <w:hideMark/>
          </w:tcPr>
          <w:p w14:paraId="12ED96A5"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3FB8FC20" w14:textId="77777777"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53,096 </w:t>
            </w:r>
          </w:p>
        </w:tc>
        <w:tc>
          <w:tcPr>
            <w:tcW w:w="1240" w:type="dxa"/>
            <w:gridSpan w:val="2"/>
            <w:tcBorders>
              <w:top w:val="nil"/>
              <w:left w:val="nil"/>
              <w:bottom w:val="single" w:sz="4" w:space="0" w:color="auto"/>
              <w:right w:val="single" w:sz="4" w:space="0" w:color="auto"/>
            </w:tcBorders>
            <w:shd w:val="clear" w:color="auto" w:fill="auto"/>
            <w:noWrap/>
            <w:hideMark/>
          </w:tcPr>
          <w:p w14:paraId="36AD3CB4" w14:textId="1306C1CE"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50,664 </w:t>
            </w:r>
          </w:p>
        </w:tc>
      </w:tr>
      <w:tr w:rsidR="00E24556" w:rsidRPr="00BF17B0" w14:paraId="652F240E" w14:textId="77777777" w:rsidTr="00635659">
        <w:trPr>
          <w:trHeight w:val="255"/>
        </w:trPr>
        <w:tc>
          <w:tcPr>
            <w:tcW w:w="1383" w:type="dxa"/>
            <w:tcBorders>
              <w:top w:val="nil"/>
              <w:left w:val="single" w:sz="4" w:space="0" w:color="auto"/>
              <w:bottom w:val="single" w:sz="4" w:space="0" w:color="auto"/>
              <w:right w:val="single" w:sz="4" w:space="0" w:color="auto"/>
            </w:tcBorders>
            <w:shd w:val="clear" w:color="000000" w:fill="9BC2E6"/>
            <w:noWrap/>
            <w:hideMark/>
          </w:tcPr>
          <w:p w14:paraId="796049E7" w14:textId="77777777" w:rsidR="00E24556" w:rsidRPr="00BF17B0" w:rsidRDefault="00E24556" w:rsidP="00E24556">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Subtotals</w:t>
            </w:r>
          </w:p>
        </w:tc>
        <w:tc>
          <w:tcPr>
            <w:tcW w:w="2879" w:type="dxa"/>
            <w:tcBorders>
              <w:top w:val="nil"/>
              <w:left w:val="nil"/>
              <w:bottom w:val="single" w:sz="4" w:space="0" w:color="auto"/>
              <w:right w:val="single" w:sz="4" w:space="0" w:color="auto"/>
            </w:tcBorders>
            <w:shd w:val="clear" w:color="auto" w:fill="auto"/>
            <w:hideMark/>
          </w:tcPr>
          <w:p w14:paraId="7E002956"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718" w:type="dxa"/>
            <w:tcBorders>
              <w:top w:val="nil"/>
              <w:left w:val="nil"/>
              <w:bottom w:val="single" w:sz="4" w:space="0" w:color="auto"/>
              <w:right w:val="single" w:sz="4" w:space="0" w:color="auto"/>
            </w:tcBorders>
            <w:shd w:val="clear" w:color="auto" w:fill="auto"/>
            <w:noWrap/>
            <w:hideMark/>
          </w:tcPr>
          <w:p w14:paraId="673EC359"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881" w:type="dxa"/>
            <w:tcBorders>
              <w:top w:val="nil"/>
              <w:left w:val="nil"/>
              <w:bottom w:val="single" w:sz="4" w:space="0" w:color="auto"/>
              <w:right w:val="single" w:sz="4" w:space="0" w:color="auto"/>
            </w:tcBorders>
            <w:shd w:val="clear" w:color="auto" w:fill="auto"/>
            <w:noWrap/>
            <w:hideMark/>
          </w:tcPr>
          <w:p w14:paraId="6DD917F4"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000" w:type="dxa"/>
            <w:tcBorders>
              <w:top w:val="nil"/>
              <w:left w:val="nil"/>
              <w:bottom w:val="single" w:sz="4" w:space="0" w:color="auto"/>
              <w:right w:val="single" w:sz="4" w:space="0" w:color="auto"/>
            </w:tcBorders>
            <w:shd w:val="clear" w:color="auto" w:fill="auto"/>
            <w:noWrap/>
            <w:hideMark/>
          </w:tcPr>
          <w:p w14:paraId="3C78D7B0"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217" w:type="dxa"/>
            <w:tcBorders>
              <w:top w:val="nil"/>
              <w:left w:val="nil"/>
              <w:bottom w:val="single" w:sz="4" w:space="0" w:color="auto"/>
              <w:right w:val="single" w:sz="4" w:space="0" w:color="auto"/>
            </w:tcBorders>
            <w:shd w:val="clear" w:color="000000" w:fill="9BC2E6"/>
            <w:noWrap/>
            <w:hideMark/>
          </w:tcPr>
          <w:p w14:paraId="02F75215" w14:textId="0BEE40A0" w:rsidR="00E24556" w:rsidRPr="00BF17B0" w:rsidRDefault="00E24556"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533,096 </w:t>
            </w:r>
          </w:p>
        </w:tc>
        <w:tc>
          <w:tcPr>
            <w:tcW w:w="1240" w:type="dxa"/>
            <w:gridSpan w:val="2"/>
            <w:tcBorders>
              <w:top w:val="nil"/>
              <w:left w:val="nil"/>
              <w:bottom w:val="single" w:sz="4" w:space="0" w:color="auto"/>
              <w:right w:val="single" w:sz="4" w:space="0" w:color="auto"/>
            </w:tcBorders>
            <w:shd w:val="clear" w:color="000000" w:fill="9BC2E6"/>
            <w:noWrap/>
            <w:hideMark/>
          </w:tcPr>
          <w:p w14:paraId="6514AC9E" w14:textId="6FA27A04" w:rsidR="00E24556" w:rsidRPr="00BF17B0" w:rsidRDefault="00E24556" w:rsidP="00E24556">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201,503 </w:t>
            </w:r>
          </w:p>
        </w:tc>
      </w:tr>
      <w:tr w:rsidR="00E24556" w:rsidRPr="00BF17B0" w14:paraId="7149D0B4" w14:textId="77777777" w:rsidTr="00635659">
        <w:trPr>
          <w:trHeight w:val="255"/>
        </w:trPr>
        <w:tc>
          <w:tcPr>
            <w:tcW w:w="1383" w:type="dxa"/>
            <w:tcBorders>
              <w:top w:val="nil"/>
              <w:left w:val="single" w:sz="4" w:space="0" w:color="auto"/>
              <w:bottom w:val="single" w:sz="4" w:space="0" w:color="auto"/>
              <w:right w:val="single" w:sz="4" w:space="0" w:color="auto"/>
            </w:tcBorders>
            <w:shd w:val="clear" w:color="000000" w:fill="9BC2E6"/>
            <w:noWrap/>
            <w:hideMark/>
          </w:tcPr>
          <w:p w14:paraId="5C872B30"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2879" w:type="dxa"/>
            <w:tcBorders>
              <w:top w:val="nil"/>
              <w:left w:val="nil"/>
              <w:bottom w:val="single" w:sz="4" w:space="0" w:color="auto"/>
              <w:right w:val="single" w:sz="4" w:space="0" w:color="auto"/>
            </w:tcBorders>
            <w:shd w:val="clear" w:color="000000" w:fill="9BC2E6"/>
            <w:hideMark/>
          </w:tcPr>
          <w:p w14:paraId="4890C52D" w14:textId="77777777" w:rsidR="00E24556" w:rsidRPr="00BF17B0" w:rsidRDefault="00E24556" w:rsidP="00635659">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5.2 Program Management</w:t>
            </w:r>
          </w:p>
        </w:tc>
        <w:tc>
          <w:tcPr>
            <w:tcW w:w="718" w:type="dxa"/>
            <w:tcBorders>
              <w:top w:val="nil"/>
              <w:left w:val="nil"/>
              <w:bottom w:val="single" w:sz="4" w:space="0" w:color="auto"/>
              <w:right w:val="single" w:sz="4" w:space="0" w:color="auto"/>
            </w:tcBorders>
            <w:shd w:val="clear" w:color="000000" w:fill="9BC2E6"/>
            <w:noWrap/>
            <w:hideMark/>
          </w:tcPr>
          <w:p w14:paraId="74E92909"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881" w:type="dxa"/>
            <w:tcBorders>
              <w:top w:val="nil"/>
              <w:left w:val="nil"/>
              <w:bottom w:val="single" w:sz="4" w:space="0" w:color="auto"/>
              <w:right w:val="single" w:sz="4" w:space="0" w:color="auto"/>
            </w:tcBorders>
            <w:shd w:val="clear" w:color="000000" w:fill="9BC2E6"/>
            <w:noWrap/>
            <w:hideMark/>
          </w:tcPr>
          <w:p w14:paraId="2FD8285F"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000" w:type="dxa"/>
            <w:tcBorders>
              <w:top w:val="nil"/>
              <w:left w:val="nil"/>
              <w:bottom w:val="single" w:sz="4" w:space="0" w:color="auto"/>
              <w:right w:val="single" w:sz="4" w:space="0" w:color="auto"/>
            </w:tcBorders>
            <w:shd w:val="clear" w:color="000000" w:fill="9BC2E6"/>
            <w:noWrap/>
            <w:hideMark/>
          </w:tcPr>
          <w:p w14:paraId="12917FC8"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217" w:type="dxa"/>
            <w:tcBorders>
              <w:top w:val="nil"/>
              <w:left w:val="nil"/>
              <w:bottom w:val="single" w:sz="4" w:space="0" w:color="auto"/>
              <w:right w:val="single" w:sz="4" w:space="0" w:color="auto"/>
            </w:tcBorders>
            <w:shd w:val="clear" w:color="000000" w:fill="9BC2E6"/>
            <w:noWrap/>
            <w:hideMark/>
          </w:tcPr>
          <w:p w14:paraId="72DFE921" w14:textId="77777777"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240" w:type="dxa"/>
            <w:gridSpan w:val="2"/>
            <w:tcBorders>
              <w:top w:val="nil"/>
              <w:left w:val="nil"/>
              <w:bottom w:val="single" w:sz="4" w:space="0" w:color="auto"/>
              <w:right w:val="single" w:sz="4" w:space="0" w:color="auto"/>
            </w:tcBorders>
            <w:shd w:val="clear" w:color="000000" w:fill="9BC2E6"/>
            <w:noWrap/>
            <w:hideMark/>
          </w:tcPr>
          <w:p w14:paraId="12FF9027"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r>
      <w:tr w:rsidR="00E24556" w:rsidRPr="00BF17B0" w14:paraId="713310B5" w14:textId="77777777" w:rsidTr="00635659">
        <w:trPr>
          <w:trHeight w:val="510"/>
        </w:trPr>
        <w:tc>
          <w:tcPr>
            <w:tcW w:w="1383" w:type="dxa"/>
            <w:tcBorders>
              <w:top w:val="nil"/>
              <w:left w:val="single" w:sz="4" w:space="0" w:color="auto"/>
              <w:bottom w:val="single" w:sz="4" w:space="0" w:color="auto"/>
              <w:right w:val="single" w:sz="4" w:space="0" w:color="auto"/>
            </w:tcBorders>
            <w:shd w:val="clear" w:color="auto" w:fill="auto"/>
            <w:noWrap/>
            <w:hideMark/>
          </w:tcPr>
          <w:p w14:paraId="37D86D7F"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TF095684</w:t>
            </w:r>
          </w:p>
        </w:tc>
        <w:tc>
          <w:tcPr>
            <w:tcW w:w="2879" w:type="dxa"/>
            <w:tcBorders>
              <w:top w:val="nil"/>
              <w:left w:val="nil"/>
              <w:bottom w:val="single" w:sz="4" w:space="0" w:color="auto"/>
              <w:right w:val="single" w:sz="4" w:space="0" w:color="auto"/>
            </w:tcBorders>
            <w:shd w:val="clear" w:color="auto" w:fill="auto"/>
            <w:hideMark/>
          </w:tcPr>
          <w:p w14:paraId="04ED6E64" w14:textId="77777777" w:rsidR="00E24556" w:rsidRPr="00BF17B0" w:rsidRDefault="00CF2AA8"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AusAID-</w:t>
            </w:r>
            <w:r w:rsidR="00E24556" w:rsidRPr="00BF17B0">
              <w:rPr>
                <w:rFonts w:asciiTheme="minorHAnsi" w:eastAsia="Times New Roman" w:hAnsiTheme="minorHAnsi" w:cstheme="minorHAnsi"/>
                <w:sz w:val="20"/>
                <w:szCs w:val="20"/>
                <w:lang w:eastAsia="en-GB"/>
              </w:rPr>
              <w:t>WB TF to Support Phil Devt - Program Administration/Grant Management</w:t>
            </w:r>
          </w:p>
        </w:tc>
        <w:tc>
          <w:tcPr>
            <w:tcW w:w="718" w:type="dxa"/>
            <w:tcBorders>
              <w:top w:val="nil"/>
              <w:left w:val="nil"/>
              <w:bottom w:val="single" w:sz="4" w:space="0" w:color="auto"/>
              <w:right w:val="single" w:sz="4" w:space="0" w:color="auto"/>
            </w:tcBorders>
            <w:shd w:val="clear" w:color="auto" w:fill="auto"/>
            <w:noWrap/>
            <w:hideMark/>
          </w:tcPr>
          <w:p w14:paraId="23B0B039"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ACTV</w:t>
            </w:r>
          </w:p>
        </w:tc>
        <w:tc>
          <w:tcPr>
            <w:tcW w:w="881" w:type="dxa"/>
            <w:tcBorders>
              <w:top w:val="nil"/>
              <w:left w:val="nil"/>
              <w:bottom w:val="single" w:sz="4" w:space="0" w:color="auto"/>
              <w:right w:val="single" w:sz="4" w:space="0" w:color="auto"/>
            </w:tcBorders>
            <w:shd w:val="clear" w:color="auto" w:fill="auto"/>
            <w:noWrap/>
            <w:hideMark/>
          </w:tcPr>
          <w:p w14:paraId="4C652F88"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P119121</w:t>
            </w:r>
          </w:p>
        </w:tc>
        <w:tc>
          <w:tcPr>
            <w:tcW w:w="1000" w:type="dxa"/>
            <w:tcBorders>
              <w:top w:val="nil"/>
              <w:left w:val="nil"/>
              <w:bottom w:val="single" w:sz="4" w:space="0" w:color="auto"/>
              <w:right w:val="single" w:sz="4" w:space="0" w:color="auto"/>
            </w:tcBorders>
            <w:shd w:val="clear" w:color="auto" w:fill="auto"/>
            <w:noWrap/>
            <w:hideMark/>
          </w:tcPr>
          <w:p w14:paraId="60DD506B"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2562F4CF" w14:textId="1A175DCE"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295,891 </w:t>
            </w:r>
          </w:p>
        </w:tc>
        <w:tc>
          <w:tcPr>
            <w:tcW w:w="1240" w:type="dxa"/>
            <w:gridSpan w:val="2"/>
            <w:tcBorders>
              <w:top w:val="nil"/>
              <w:left w:val="nil"/>
              <w:bottom w:val="single" w:sz="4" w:space="0" w:color="auto"/>
              <w:right w:val="single" w:sz="4" w:space="0" w:color="auto"/>
            </w:tcBorders>
            <w:shd w:val="clear" w:color="auto" w:fill="auto"/>
            <w:noWrap/>
            <w:hideMark/>
          </w:tcPr>
          <w:p w14:paraId="60567E2B" w14:textId="27873E5F"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w:t>
            </w:r>
          </w:p>
        </w:tc>
      </w:tr>
      <w:tr w:rsidR="00E24556" w:rsidRPr="00BF17B0" w14:paraId="2B8B0466" w14:textId="77777777" w:rsidTr="00635659">
        <w:trPr>
          <w:trHeight w:val="255"/>
        </w:trPr>
        <w:tc>
          <w:tcPr>
            <w:tcW w:w="1383" w:type="dxa"/>
            <w:tcBorders>
              <w:top w:val="nil"/>
              <w:left w:val="single" w:sz="4" w:space="0" w:color="auto"/>
              <w:bottom w:val="single" w:sz="4" w:space="0" w:color="auto"/>
              <w:right w:val="single" w:sz="4" w:space="0" w:color="auto"/>
            </w:tcBorders>
            <w:shd w:val="clear" w:color="auto" w:fill="auto"/>
            <w:noWrap/>
            <w:hideMark/>
          </w:tcPr>
          <w:p w14:paraId="4F14EED5"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TF0A7958</w:t>
            </w:r>
          </w:p>
        </w:tc>
        <w:tc>
          <w:tcPr>
            <w:tcW w:w="2879" w:type="dxa"/>
            <w:tcBorders>
              <w:top w:val="nil"/>
              <w:left w:val="nil"/>
              <w:bottom w:val="single" w:sz="4" w:space="0" w:color="auto"/>
              <w:right w:val="single" w:sz="4" w:space="0" w:color="auto"/>
            </w:tcBorders>
            <w:shd w:val="clear" w:color="auto" w:fill="auto"/>
            <w:hideMark/>
          </w:tcPr>
          <w:p w14:paraId="711B3D9D"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Assessment of Australia WB Strategic Partnership</w:t>
            </w:r>
          </w:p>
        </w:tc>
        <w:tc>
          <w:tcPr>
            <w:tcW w:w="718" w:type="dxa"/>
            <w:tcBorders>
              <w:top w:val="nil"/>
              <w:left w:val="nil"/>
              <w:bottom w:val="single" w:sz="4" w:space="0" w:color="auto"/>
              <w:right w:val="single" w:sz="4" w:space="0" w:color="auto"/>
            </w:tcBorders>
            <w:shd w:val="clear" w:color="auto" w:fill="auto"/>
            <w:noWrap/>
            <w:hideMark/>
          </w:tcPr>
          <w:p w14:paraId="3D17A0E1"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ACTV</w:t>
            </w:r>
          </w:p>
        </w:tc>
        <w:tc>
          <w:tcPr>
            <w:tcW w:w="881" w:type="dxa"/>
            <w:tcBorders>
              <w:top w:val="nil"/>
              <w:left w:val="nil"/>
              <w:bottom w:val="single" w:sz="4" w:space="0" w:color="auto"/>
              <w:right w:val="single" w:sz="4" w:space="0" w:color="auto"/>
            </w:tcBorders>
            <w:shd w:val="clear" w:color="auto" w:fill="auto"/>
            <w:noWrap/>
            <w:hideMark/>
          </w:tcPr>
          <w:p w14:paraId="4E83A07E" w14:textId="77777777" w:rsidR="00E24556" w:rsidRPr="00BF17B0" w:rsidRDefault="00E24556" w:rsidP="00E24556">
            <w:pPr>
              <w:spacing w:after="0"/>
              <w:jc w:val="center"/>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P167803</w:t>
            </w:r>
          </w:p>
        </w:tc>
        <w:tc>
          <w:tcPr>
            <w:tcW w:w="1000" w:type="dxa"/>
            <w:tcBorders>
              <w:top w:val="nil"/>
              <w:left w:val="nil"/>
              <w:bottom w:val="single" w:sz="4" w:space="0" w:color="auto"/>
              <w:right w:val="single" w:sz="4" w:space="0" w:color="auto"/>
            </w:tcBorders>
            <w:shd w:val="clear" w:color="auto" w:fill="auto"/>
            <w:noWrap/>
            <w:hideMark/>
          </w:tcPr>
          <w:p w14:paraId="2AB0E9ED"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BE</w:t>
            </w:r>
          </w:p>
        </w:tc>
        <w:tc>
          <w:tcPr>
            <w:tcW w:w="1217" w:type="dxa"/>
            <w:tcBorders>
              <w:top w:val="nil"/>
              <w:left w:val="nil"/>
              <w:bottom w:val="single" w:sz="4" w:space="0" w:color="auto"/>
              <w:right w:val="single" w:sz="4" w:space="0" w:color="auto"/>
            </w:tcBorders>
            <w:shd w:val="clear" w:color="auto" w:fill="auto"/>
            <w:noWrap/>
            <w:hideMark/>
          </w:tcPr>
          <w:p w14:paraId="600AEF01" w14:textId="03539247" w:rsidR="00E24556" w:rsidRPr="00BF17B0" w:rsidRDefault="00E24556" w:rsidP="00635659">
            <w:pPr>
              <w:spacing w:after="0"/>
              <w:jc w:val="right"/>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150,000 </w:t>
            </w:r>
          </w:p>
        </w:tc>
        <w:tc>
          <w:tcPr>
            <w:tcW w:w="1240" w:type="dxa"/>
            <w:gridSpan w:val="2"/>
            <w:tcBorders>
              <w:top w:val="nil"/>
              <w:left w:val="nil"/>
              <w:bottom w:val="single" w:sz="4" w:space="0" w:color="auto"/>
              <w:right w:val="single" w:sz="4" w:space="0" w:color="auto"/>
            </w:tcBorders>
            <w:shd w:val="clear" w:color="auto" w:fill="auto"/>
            <w:noWrap/>
            <w:hideMark/>
          </w:tcPr>
          <w:p w14:paraId="1E7FE543" w14:textId="381F658A"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xml:space="preserve">         </w:t>
            </w:r>
          </w:p>
        </w:tc>
      </w:tr>
      <w:tr w:rsidR="00E24556" w:rsidRPr="00BF17B0" w14:paraId="4816D3A4" w14:textId="77777777" w:rsidTr="00635659">
        <w:trPr>
          <w:trHeight w:val="255"/>
        </w:trPr>
        <w:tc>
          <w:tcPr>
            <w:tcW w:w="1383" w:type="dxa"/>
            <w:tcBorders>
              <w:top w:val="nil"/>
              <w:left w:val="nil"/>
              <w:bottom w:val="nil"/>
              <w:right w:val="nil"/>
            </w:tcBorders>
            <w:shd w:val="clear" w:color="000000" w:fill="9BC2E6"/>
            <w:noWrap/>
            <w:hideMark/>
          </w:tcPr>
          <w:p w14:paraId="0F34745B" w14:textId="77777777" w:rsidR="00E24556" w:rsidRPr="00BF17B0" w:rsidRDefault="00E24556" w:rsidP="00E24556">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Subtotals</w:t>
            </w:r>
          </w:p>
        </w:tc>
        <w:tc>
          <w:tcPr>
            <w:tcW w:w="2879" w:type="dxa"/>
            <w:tcBorders>
              <w:top w:val="nil"/>
              <w:left w:val="single" w:sz="4" w:space="0" w:color="auto"/>
              <w:bottom w:val="single" w:sz="4" w:space="0" w:color="auto"/>
              <w:right w:val="single" w:sz="4" w:space="0" w:color="auto"/>
            </w:tcBorders>
            <w:shd w:val="clear" w:color="auto" w:fill="auto"/>
            <w:hideMark/>
          </w:tcPr>
          <w:p w14:paraId="6A607C7B" w14:textId="77777777" w:rsidR="00E24556" w:rsidRPr="00BF17B0" w:rsidRDefault="00E24556" w:rsidP="00E24556">
            <w:pPr>
              <w:spacing w:after="0"/>
              <w:jc w:val="center"/>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718" w:type="dxa"/>
            <w:tcBorders>
              <w:top w:val="nil"/>
              <w:left w:val="nil"/>
              <w:bottom w:val="single" w:sz="4" w:space="0" w:color="auto"/>
              <w:right w:val="single" w:sz="4" w:space="0" w:color="auto"/>
            </w:tcBorders>
            <w:shd w:val="clear" w:color="auto" w:fill="auto"/>
            <w:noWrap/>
            <w:hideMark/>
          </w:tcPr>
          <w:p w14:paraId="12946815"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881" w:type="dxa"/>
            <w:tcBorders>
              <w:top w:val="nil"/>
              <w:left w:val="nil"/>
              <w:bottom w:val="single" w:sz="4" w:space="0" w:color="auto"/>
              <w:right w:val="single" w:sz="4" w:space="0" w:color="auto"/>
            </w:tcBorders>
            <w:shd w:val="clear" w:color="auto" w:fill="auto"/>
            <w:noWrap/>
            <w:hideMark/>
          </w:tcPr>
          <w:p w14:paraId="6269A898"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000" w:type="dxa"/>
            <w:tcBorders>
              <w:top w:val="nil"/>
              <w:left w:val="nil"/>
              <w:bottom w:val="single" w:sz="4" w:space="0" w:color="auto"/>
              <w:right w:val="single" w:sz="4" w:space="0" w:color="auto"/>
            </w:tcBorders>
            <w:shd w:val="clear" w:color="auto" w:fill="auto"/>
            <w:noWrap/>
            <w:hideMark/>
          </w:tcPr>
          <w:p w14:paraId="0A75CD8D"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217" w:type="dxa"/>
            <w:tcBorders>
              <w:top w:val="nil"/>
              <w:left w:val="nil"/>
              <w:bottom w:val="single" w:sz="4" w:space="0" w:color="auto"/>
              <w:right w:val="single" w:sz="4" w:space="0" w:color="auto"/>
            </w:tcBorders>
            <w:shd w:val="clear" w:color="000000" w:fill="9BC2E6"/>
            <w:noWrap/>
            <w:hideMark/>
          </w:tcPr>
          <w:p w14:paraId="645B5723" w14:textId="77777777" w:rsidR="00E24556" w:rsidRPr="00BF17B0" w:rsidRDefault="00E24556"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445,891 </w:t>
            </w:r>
          </w:p>
        </w:tc>
        <w:tc>
          <w:tcPr>
            <w:tcW w:w="1240" w:type="dxa"/>
            <w:gridSpan w:val="2"/>
            <w:tcBorders>
              <w:top w:val="nil"/>
              <w:left w:val="nil"/>
              <w:bottom w:val="single" w:sz="4" w:space="0" w:color="auto"/>
              <w:right w:val="single" w:sz="4" w:space="0" w:color="auto"/>
            </w:tcBorders>
            <w:shd w:val="clear" w:color="000000" w:fill="9BC2E6"/>
            <w:noWrap/>
            <w:hideMark/>
          </w:tcPr>
          <w:p w14:paraId="1F2ACD68" w14:textId="6AB40262" w:rsidR="00E24556" w:rsidRPr="00BF17B0" w:rsidRDefault="00E24556" w:rsidP="00E24556">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w:t>
            </w:r>
          </w:p>
        </w:tc>
      </w:tr>
      <w:tr w:rsidR="00E24556" w:rsidRPr="00BF17B0" w14:paraId="1364E108" w14:textId="77777777" w:rsidTr="00B93526">
        <w:trPr>
          <w:trHeight w:val="255"/>
        </w:trPr>
        <w:tc>
          <w:tcPr>
            <w:tcW w:w="1383" w:type="dxa"/>
            <w:tcBorders>
              <w:top w:val="nil"/>
              <w:left w:val="nil"/>
              <w:bottom w:val="nil"/>
              <w:right w:val="nil"/>
            </w:tcBorders>
            <w:shd w:val="clear" w:color="000000" w:fill="9BC2E6"/>
            <w:noWrap/>
            <w:hideMark/>
          </w:tcPr>
          <w:p w14:paraId="2EC211A5" w14:textId="77777777" w:rsidR="00E24556" w:rsidRPr="00BF17B0" w:rsidRDefault="00E24556" w:rsidP="00E24556">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w:t>
            </w:r>
          </w:p>
        </w:tc>
        <w:tc>
          <w:tcPr>
            <w:tcW w:w="2879" w:type="dxa"/>
            <w:tcBorders>
              <w:top w:val="nil"/>
              <w:left w:val="single" w:sz="4" w:space="0" w:color="auto"/>
              <w:bottom w:val="single" w:sz="4" w:space="0" w:color="auto"/>
              <w:right w:val="single" w:sz="4" w:space="0" w:color="auto"/>
            </w:tcBorders>
            <w:shd w:val="clear" w:color="000000" w:fill="9BC2E6"/>
            <w:hideMark/>
          </w:tcPr>
          <w:p w14:paraId="662BC353" w14:textId="77777777" w:rsidR="00E24556" w:rsidRPr="00BF17B0" w:rsidRDefault="00E24556" w:rsidP="00635659">
            <w:pPr>
              <w:spacing w:after="0"/>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Focus Area 5 Totals</w:t>
            </w:r>
          </w:p>
        </w:tc>
        <w:tc>
          <w:tcPr>
            <w:tcW w:w="718" w:type="dxa"/>
            <w:tcBorders>
              <w:top w:val="nil"/>
              <w:left w:val="nil"/>
              <w:bottom w:val="single" w:sz="4" w:space="0" w:color="auto"/>
              <w:right w:val="single" w:sz="4" w:space="0" w:color="auto"/>
            </w:tcBorders>
            <w:shd w:val="clear" w:color="000000" w:fill="9BC2E6"/>
            <w:noWrap/>
            <w:hideMark/>
          </w:tcPr>
          <w:p w14:paraId="37F145EF"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881" w:type="dxa"/>
            <w:tcBorders>
              <w:top w:val="nil"/>
              <w:left w:val="nil"/>
              <w:bottom w:val="single" w:sz="4" w:space="0" w:color="auto"/>
              <w:right w:val="single" w:sz="4" w:space="0" w:color="auto"/>
            </w:tcBorders>
            <w:shd w:val="clear" w:color="000000" w:fill="9BC2E6"/>
            <w:noWrap/>
            <w:hideMark/>
          </w:tcPr>
          <w:p w14:paraId="3E14A230"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000" w:type="dxa"/>
            <w:tcBorders>
              <w:top w:val="nil"/>
              <w:left w:val="nil"/>
              <w:bottom w:val="single" w:sz="4" w:space="0" w:color="auto"/>
              <w:right w:val="single" w:sz="4" w:space="0" w:color="auto"/>
            </w:tcBorders>
            <w:shd w:val="clear" w:color="000000" w:fill="9BC2E6"/>
            <w:noWrap/>
            <w:hideMark/>
          </w:tcPr>
          <w:p w14:paraId="389EE667"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217" w:type="dxa"/>
            <w:tcBorders>
              <w:top w:val="nil"/>
              <w:left w:val="nil"/>
              <w:bottom w:val="single" w:sz="4" w:space="0" w:color="auto"/>
              <w:right w:val="single" w:sz="4" w:space="0" w:color="auto"/>
            </w:tcBorders>
            <w:shd w:val="clear" w:color="000000" w:fill="9BC2E6"/>
            <w:noWrap/>
            <w:hideMark/>
          </w:tcPr>
          <w:p w14:paraId="42F9C486" w14:textId="77777777" w:rsidR="00E24556" w:rsidRPr="00BF17B0" w:rsidRDefault="00E24556"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     978,987 </w:t>
            </w:r>
          </w:p>
        </w:tc>
        <w:tc>
          <w:tcPr>
            <w:tcW w:w="1240" w:type="dxa"/>
            <w:gridSpan w:val="2"/>
            <w:tcBorders>
              <w:top w:val="nil"/>
              <w:left w:val="nil"/>
              <w:bottom w:val="single" w:sz="4" w:space="0" w:color="auto"/>
              <w:right w:val="single" w:sz="4" w:space="0" w:color="auto"/>
            </w:tcBorders>
            <w:shd w:val="clear" w:color="000000" w:fill="9BC2E6"/>
            <w:noWrap/>
          </w:tcPr>
          <w:p w14:paraId="02F530FC" w14:textId="6F68BAB6" w:rsidR="00E24556" w:rsidRPr="00BF17B0" w:rsidRDefault="00BF6A3A" w:rsidP="00BF6A3A">
            <w:pPr>
              <w:spacing w:after="0"/>
              <w:jc w:val="right"/>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201,503</w:t>
            </w:r>
          </w:p>
        </w:tc>
      </w:tr>
      <w:tr w:rsidR="00E24556" w:rsidRPr="00BF17B0" w14:paraId="4B5DBECA" w14:textId="77777777" w:rsidTr="006B1779">
        <w:trPr>
          <w:trHeight w:val="422"/>
        </w:trPr>
        <w:tc>
          <w:tcPr>
            <w:tcW w:w="4262" w:type="dxa"/>
            <w:gridSpan w:val="2"/>
            <w:tcBorders>
              <w:top w:val="nil"/>
              <w:left w:val="nil"/>
              <w:bottom w:val="nil"/>
              <w:right w:val="single" w:sz="4" w:space="0" w:color="auto"/>
            </w:tcBorders>
            <w:shd w:val="clear" w:color="000000" w:fill="9BC2E6"/>
            <w:noWrap/>
            <w:hideMark/>
          </w:tcPr>
          <w:p w14:paraId="14165E56" w14:textId="16E155BE" w:rsidR="00E24556" w:rsidRPr="00BF17B0" w:rsidRDefault="006B1779" w:rsidP="006B1779">
            <w:pPr>
              <w:spacing w:after="0"/>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PROGRAM TOTALS</w:t>
            </w:r>
            <w:r w:rsidR="00E24556" w:rsidRPr="00BF17B0">
              <w:rPr>
                <w:rFonts w:asciiTheme="minorHAnsi" w:eastAsia="Times New Roman" w:hAnsiTheme="minorHAnsi" w:cstheme="minorHAnsi"/>
                <w:b/>
                <w:bCs/>
                <w:sz w:val="20"/>
                <w:szCs w:val="20"/>
                <w:lang w:eastAsia="en-GB"/>
              </w:rPr>
              <w:t> </w:t>
            </w:r>
          </w:p>
        </w:tc>
        <w:tc>
          <w:tcPr>
            <w:tcW w:w="718" w:type="dxa"/>
            <w:tcBorders>
              <w:top w:val="nil"/>
              <w:left w:val="nil"/>
              <w:bottom w:val="single" w:sz="4" w:space="0" w:color="auto"/>
              <w:right w:val="single" w:sz="4" w:space="0" w:color="auto"/>
            </w:tcBorders>
            <w:shd w:val="clear" w:color="000000" w:fill="9BC2E6"/>
            <w:noWrap/>
            <w:hideMark/>
          </w:tcPr>
          <w:p w14:paraId="392DD6CB"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881" w:type="dxa"/>
            <w:tcBorders>
              <w:top w:val="nil"/>
              <w:left w:val="nil"/>
              <w:bottom w:val="single" w:sz="4" w:space="0" w:color="auto"/>
              <w:right w:val="single" w:sz="4" w:space="0" w:color="auto"/>
            </w:tcBorders>
            <w:shd w:val="clear" w:color="000000" w:fill="9BC2E6"/>
            <w:noWrap/>
            <w:hideMark/>
          </w:tcPr>
          <w:p w14:paraId="2E960383"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000" w:type="dxa"/>
            <w:tcBorders>
              <w:top w:val="nil"/>
              <w:left w:val="nil"/>
              <w:bottom w:val="single" w:sz="4" w:space="0" w:color="auto"/>
              <w:right w:val="single" w:sz="4" w:space="0" w:color="auto"/>
            </w:tcBorders>
            <w:shd w:val="clear" w:color="000000" w:fill="9BC2E6"/>
            <w:noWrap/>
            <w:hideMark/>
          </w:tcPr>
          <w:p w14:paraId="4C11834B" w14:textId="77777777" w:rsidR="00E24556" w:rsidRPr="00BF17B0" w:rsidRDefault="00E24556" w:rsidP="00E24556">
            <w:pPr>
              <w:spacing w:after="0"/>
              <w:rPr>
                <w:rFonts w:asciiTheme="minorHAnsi" w:eastAsia="Times New Roman" w:hAnsiTheme="minorHAnsi" w:cstheme="minorHAnsi"/>
                <w:sz w:val="20"/>
                <w:szCs w:val="20"/>
                <w:lang w:eastAsia="en-GB"/>
              </w:rPr>
            </w:pPr>
            <w:r w:rsidRPr="00BF17B0">
              <w:rPr>
                <w:rFonts w:asciiTheme="minorHAnsi" w:eastAsia="Times New Roman" w:hAnsiTheme="minorHAnsi" w:cstheme="minorHAnsi"/>
                <w:sz w:val="20"/>
                <w:szCs w:val="20"/>
                <w:lang w:eastAsia="en-GB"/>
              </w:rPr>
              <w:t> </w:t>
            </w:r>
          </w:p>
        </w:tc>
        <w:tc>
          <w:tcPr>
            <w:tcW w:w="1217" w:type="dxa"/>
            <w:tcBorders>
              <w:top w:val="nil"/>
              <w:left w:val="nil"/>
              <w:bottom w:val="single" w:sz="4" w:space="0" w:color="auto"/>
              <w:right w:val="single" w:sz="4" w:space="0" w:color="auto"/>
            </w:tcBorders>
            <w:shd w:val="clear" w:color="000000" w:fill="9BC2E6"/>
            <w:noWrap/>
            <w:hideMark/>
          </w:tcPr>
          <w:p w14:paraId="56E6B1C1" w14:textId="77777777" w:rsidR="00E24556" w:rsidRPr="00BF17B0" w:rsidRDefault="00E24556" w:rsidP="00635659">
            <w:pPr>
              <w:spacing w:after="0"/>
              <w:jc w:val="right"/>
              <w:rPr>
                <w:rFonts w:asciiTheme="minorHAnsi" w:eastAsia="Times New Roman" w:hAnsiTheme="minorHAnsi" w:cstheme="minorHAnsi"/>
                <w:b/>
                <w:bCs/>
                <w:sz w:val="20"/>
                <w:szCs w:val="20"/>
                <w:lang w:eastAsia="en-GB"/>
              </w:rPr>
            </w:pPr>
            <w:r w:rsidRPr="00BF17B0">
              <w:rPr>
                <w:rFonts w:asciiTheme="minorHAnsi" w:eastAsia="Times New Roman" w:hAnsiTheme="minorHAnsi" w:cstheme="minorHAnsi"/>
                <w:b/>
                <w:bCs/>
                <w:sz w:val="20"/>
                <w:szCs w:val="20"/>
                <w:lang w:eastAsia="en-GB"/>
              </w:rPr>
              <w:t xml:space="preserve">50,366,755 </w:t>
            </w:r>
          </w:p>
        </w:tc>
        <w:tc>
          <w:tcPr>
            <w:tcW w:w="1240" w:type="dxa"/>
            <w:gridSpan w:val="2"/>
            <w:tcBorders>
              <w:top w:val="nil"/>
              <w:left w:val="nil"/>
              <w:bottom w:val="single" w:sz="4" w:space="0" w:color="auto"/>
              <w:right w:val="single" w:sz="4" w:space="0" w:color="auto"/>
            </w:tcBorders>
            <w:shd w:val="clear" w:color="000000" w:fill="9BC2E6"/>
            <w:noWrap/>
            <w:hideMark/>
          </w:tcPr>
          <w:p w14:paraId="6B3E2D53" w14:textId="178A4F44" w:rsidR="00E24556" w:rsidRPr="00BF17B0" w:rsidRDefault="00BF6A3A" w:rsidP="00BF6A3A">
            <w:pPr>
              <w:spacing w:after="0"/>
              <w:jc w:val="right"/>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36,438,868</w:t>
            </w:r>
          </w:p>
        </w:tc>
      </w:tr>
    </w:tbl>
    <w:p w14:paraId="666D2C1D" w14:textId="77777777" w:rsidR="00401E7F" w:rsidRPr="00BF17B0" w:rsidRDefault="00401E7F" w:rsidP="00401E7F">
      <w:pPr>
        <w:ind w:left="720"/>
        <w:contextualSpacing/>
        <w:rPr>
          <w:rFonts w:asciiTheme="minorHAnsi" w:hAnsiTheme="minorHAnsi" w:cstheme="minorHAnsi"/>
        </w:rPr>
      </w:pPr>
    </w:p>
    <w:p w14:paraId="0542417C" w14:textId="77777777" w:rsidR="003B1456" w:rsidRPr="00BF17B0" w:rsidRDefault="003B1456">
      <w:pPr>
        <w:spacing w:line="259" w:lineRule="auto"/>
        <w:rPr>
          <w:rFonts w:asciiTheme="minorHAnsi" w:hAnsiTheme="minorHAnsi" w:cstheme="minorHAnsi"/>
          <w:b/>
          <w:sz w:val="28"/>
          <w:szCs w:val="28"/>
          <w:highlight w:val="lightGray"/>
        </w:rPr>
      </w:pPr>
      <w:r w:rsidRPr="00BF17B0">
        <w:rPr>
          <w:rFonts w:asciiTheme="minorHAnsi" w:hAnsiTheme="minorHAnsi" w:cstheme="minorHAnsi"/>
          <w:highlight w:val="lightGray"/>
        </w:rPr>
        <w:br w:type="page"/>
      </w:r>
    </w:p>
    <w:p w14:paraId="71AA0063" w14:textId="5D606229" w:rsidR="00401E7F" w:rsidRPr="00BF17B0" w:rsidRDefault="00401E7F" w:rsidP="00B34E74">
      <w:pPr>
        <w:rPr>
          <w:rFonts w:asciiTheme="minorHAnsi" w:hAnsiTheme="minorHAnsi" w:cstheme="minorHAnsi"/>
        </w:rPr>
      </w:pPr>
      <w:r w:rsidRPr="00BF17B0">
        <w:rPr>
          <w:rFonts w:asciiTheme="minorHAnsi" w:hAnsiTheme="minorHAnsi" w:cstheme="minorHAnsi"/>
        </w:rPr>
        <w:br w:type="page"/>
      </w:r>
      <w:bookmarkStart w:id="238" w:name="_Toc531672629"/>
      <w:bookmarkStart w:id="239" w:name="_Toc532994303"/>
      <w:r w:rsidR="007248CE" w:rsidRPr="00BF17B0">
        <w:rPr>
          <w:rFonts w:asciiTheme="minorHAnsi" w:hAnsiTheme="minorHAnsi" w:cstheme="minorHAnsi"/>
        </w:rPr>
        <w:t>References</w:t>
      </w:r>
      <w:bookmarkEnd w:id="238"/>
      <w:bookmarkEnd w:id="239"/>
    </w:p>
    <w:p w14:paraId="21DDD9C4" w14:textId="77777777" w:rsidR="00BC754F" w:rsidRPr="00BF17B0" w:rsidRDefault="00BC754F" w:rsidP="00BC5ED8">
      <w:pPr>
        <w:ind w:left="720" w:hanging="720"/>
        <w:rPr>
          <w:rFonts w:asciiTheme="minorHAnsi" w:hAnsiTheme="minorHAnsi" w:cstheme="minorHAnsi"/>
          <w:lang w:val="en-GB"/>
        </w:rPr>
      </w:pPr>
      <w:r w:rsidRPr="00BF17B0">
        <w:rPr>
          <w:rFonts w:asciiTheme="minorHAnsi" w:hAnsiTheme="minorHAnsi" w:cstheme="minorHAnsi"/>
          <w:lang w:val="en-GB"/>
        </w:rPr>
        <w:t>Allen</w:t>
      </w:r>
      <w:r w:rsidR="00BC5ED8" w:rsidRPr="00BF17B0">
        <w:rPr>
          <w:rFonts w:asciiTheme="minorHAnsi" w:hAnsiTheme="minorHAnsi" w:cstheme="minorHAnsi"/>
          <w:lang w:val="en-GB"/>
        </w:rPr>
        <w:t xml:space="preserve">, Thomas, </w:t>
      </w:r>
      <w:r w:rsidRPr="00BF17B0">
        <w:rPr>
          <w:rFonts w:asciiTheme="minorHAnsi" w:hAnsiTheme="minorHAnsi" w:cstheme="minorHAnsi"/>
          <w:lang w:val="en-GB"/>
        </w:rPr>
        <w:t xml:space="preserve">and </w:t>
      </w:r>
      <w:r w:rsidR="00BC5ED8" w:rsidRPr="00BF17B0">
        <w:rPr>
          <w:rFonts w:asciiTheme="minorHAnsi" w:hAnsiTheme="minorHAnsi" w:cstheme="minorHAnsi"/>
          <w:lang w:val="en-GB"/>
        </w:rPr>
        <w:t xml:space="preserve">John </w:t>
      </w:r>
      <w:r w:rsidRPr="00BF17B0">
        <w:rPr>
          <w:rFonts w:asciiTheme="minorHAnsi" w:hAnsiTheme="minorHAnsi" w:cstheme="minorHAnsi"/>
          <w:lang w:val="en-GB"/>
        </w:rPr>
        <w:t>Lipsey</w:t>
      </w:r>
      <w:r w:rsidR="00BC5ED8" w:rsidRPr="00BF17B0">
        <w:rPr>
          <w:rFonts w:asciiTheme="minorHAnsi" w:hAnsiTheme="minorHAnsi" w:cstheme="minorHAnsi"/>
          <w:lang w:val="en-GB"/>
        </w:rPr>
        <w:t xml:space="preserve">. </w:t>
      </w:r>
      <w:r w:rsidRPr="00BF17B0">
        <w:rPr>
          <w:rFonts w:asciiTheme="minorHAnsi" w:hAnsiTheme="minorHAnsi" w:cstheme="minorHAnsi"/>
          <w:lang w:val="en-GB"/>
        </w:rPr>
        <w:t>2012</w:t>
      </w:r>
      <w:r w:rsidR="00602B25" w:rsidRPr="00BF17B0">
        <w:rPr>
          <w:rFonts w:asciiTheme="minorHAnsi" w:hAnsiTheme="minorHAnsi" w:cstheme="minorHAnsi"/>
          <w:lang w:val="en-GB"/>
        </w:rPr>
        <w:t xml:space="preserve">. </w:t>
      </w:r>
      <w:r w:rsidR="00BC5ED8" w:rsidRPr="00BF17B0">
        <w:rPr>
          <w:rFonts w:asciiTheme="minorHAnsi" w:hAnsiTheme="minorHAnsi" w:cstheme="minorHAnsi"/>
          <w:i/>
          <w:lang w:val="en-GB"/>
        </w:rPr>
        <w:t>AusAID-</w:t>
      </w:r>
      <w:r w:rsidRPr="00BF17B0">
        <w:rPr>
          <w:rFonts w:asciiTheme="minorHAnsi" w:hAnsiTheme="minorHAnsi" w:cstheme="minorHAnsi"/>
          <w:i/>
          <w:lang w:val="en-GB"/>
        </w:rPr>
        <w:t>World  Bank Philippines Development Trust Fund Mid Term Review</w:t>
      </w:r>
      <w:r w:rsidR="00BC5ED8" w:rsidRPr="00BF17B0">
        <w:rPr>
          <w:rFonts w:asciiTheme="minorHAnsi" w:hAnsiTheme="minorHAnsi" w:cstheme="minorHAnsi"/>
          <w:lang w:val="en-GB"/>
        </w:rPr>
        <w:t xml:space="preserve">. </w:t>
      </w:r>
      <w:r w:rsidR="00602B25" w:rsidRPr="00BF17B0">
        <w:rPr>
          <w:rFonts w:asciiTheme="minorHAnsi" w:hAnsiTheme="minorHAnsi" w:cstheme="minorHAnsi"/>
          <w:lang w:val="en-GB"/>
        </w:rPr>
        <w:t>https://dfat.gov.au/about-us/publications/Documents/aus-wb-philippines-dev-trust-fund-midterm-review.pdf</w:t>
      </w:r>
    </w:p>
    <w:p w14:paraId="56F7FB29" w14:textId="77777777" w:rsidR="00D761E7" w:rsidRPr="00BF17B0" w:rsidRDefault="00D761E7" w:rsidP="00D761E7">
      <w:pPr>
        <w:ind w:left="720" w:hanging="720"/>
        <w:rPr>
          <w:rFonts w:asciiTheme="minorHAnsi" w:hAnsiTheme="minorHAnsi" w:cstheme="minorHAnsi"/>
          <w:lang w:val="en-GB"/>
        </w:rPr>
      </w:pPr>
      <w:r w:rsidRPr="00BF17B0">
        <w:rPr>
          <w:rFonts w:asciiTheme="minorHAnsi" w:hAnsiTheme="minorHAnsi" w:cstheme="minorHAnsi"/>
          <w:lang w:val="en-GB"/>
        </w:rPr>
        <w:t xml:space="preserve">Australian Agency for International Development, and World Bank. 2009. </w:t>
      </w:r>
      <w:r w:rsidRPr="00BF17B0">
        <w:rPr>
          <w:rFonts w:asciiTheme="minorHAnsi" w:hAnsiTheme="minorHAnsi" w:cstheme="minorHAnsi"/>
          <w:i/>
          <w:lang w:val="en-GB"/>
        </w:rPr>
        <w:t>AusAID-World Bank Philippines Development Trust Fund Operational Guidelines.</w:t>
      </w:r>
      <w:r w:rsidRPr="00BF17B0">
        <w:rPr>
          <w:rFonts w:asciiTheme="minorHAnsi" w:hAnsiTheme="minorHAnsi" w:cstheme="minorHAnsi"/>
          <w:lang w:val="en-GB"/>
        </w:rPr>
        <w:t xml:space="preserve"> Manila: World Bank. https://dfat.gov.au/about-us/publications/Documents/aus-wb-philippines-dev-trust-fund-op-guidelines-pds.pdf</w:t>
      </w:r>
    </w:p>
    <w:p w14:paraId="026B2E43" w14:textId="77777777" w:rsidR="00D761E7" w:rsidRPr="00BF17B0" w:rsidRDefault="00D761E7" w:rsidP="00D761E7">
      <w:pPr>
        <w:ind w:left="720" w:hanging="720"/>
        <w:rPr>
          <w:rFonts w:asciiTheme="minorHAnsi" w:hAnsiTheme="minorHAnsi" w:cstheme="minorHAnsi"/>
          <w:lang w:val="en-GB"/>
        </w:rPr>
      </w:pPr>
      <w:r w:rsidRPr="00BF17B0">
        <w:rPr>
          <w:rFonts w:asciiTheme="minorHAnsi" w:hAnsiTheme="minorHAnsi" w:cstheme="minorHAnsi"/>
          <w:lang w:val="en-GB"/>
        </w:rPr>
        <w:t xml:space="preserve">________. 2009 May 29. </w:t>
      </w:r>
      <w:r w:rsidRPr="00BF17B0">
        <w:rPr>
          <w:rFonts w:asciiTheme="minorHAnsi" w:hAnsiTheme="minorHAnsi" w:cstheme="minorHAnsi"/>
          <w:i/>
          <w:lang w:val="en-GB"/>
        </w:rPr>
        <w:t>Administration Agreement for the Australian – World Bank Philippines Development Trust Fund.</w:t>
      </w:r>
      <w:r w:rsidRPr="00BF17B0">
        <w:rPr>
          <w:rFonts w:asciiTheme="minorHAnsi" w:hAnsiTheme="minorHAnsi" w:cstheme="minorHAnsi"/>
          <w:lang w:val="en-GB"/>
        </w:rPr>
        <w:t xml:space="preserve"> http://documents.worldbank.org/curated/en/723891468293458827/pdf/Administration0r0TF0712000Conformed.pdf </w:t>
      </w:r>
    </w:p>
    <w:p w14:paraId="64DA7610" w14:textId="77777777" w:rsidR="00BC754F" w:rsidRPr="00BF17B0" w:rsidRDefault="00C04F25" w:rsidP="00602B25">
      <w:pPr>
        <w:ind w:left="720" w:hanging="720"/>
        <w:rPr>
          <w:rFonts w:asciiTheme="minorHAnsi" w:hAnsiTheme="minorHAnsi" w:cstheme="minorHAnsi"/>
          <w:lang w:val="en-GB"/>
        </w:rPr>
      </w:pPr>
      <w:r w:rsidRPr="00BF17B0">
        <w:rPr>
          <w:rFonts w:asciiTheme="minorHAnsi" w:hAnsiTheme="minorHAnsi" w:cstheme="minorHAnsi"/>
          <w:lang w:val="en-GB"/>
        </w:rPr>
        <w:t>________</w:t>
      </w:r>
      <w:r w:rsidR="00BC5ED8" w:rsidRPr="00BF17B0">
        <w:rPr>
          <w:rFonts w:asciiTheme="minorHAnsi" w:hAnsiTheme="minorHAnsi" w:cstheme="minorHAnsi"/>
          <w:lang w:val="en-GB"/>
        </w:rPr>
        <w:t xml:space="preserve">. </w:t>
      </w:r>
      <w:r w:rsidR="00BC754F" w:rsidRPr="00BF17B0">
        <w:rPr>
          <w:rFonts w:asciiTheme="minorHAnsi" w:hAnsiTheme="minorHAnsi" w:cstheme="minorHAnsi"/>
          <w:lang w:val="en-GB"/>
        </w:rPr>
        <w:t>2012</w:t>
      </w:r>
      <w:r w:rsidR="00BC5ED8" w:rsidRPr="00BF17B0">
        <w:rPr>
          <w:rFonts w:asciiTheme="minorHAnsi" w:hAnsiTheme="minorHAnsi" w:cstheme="minorHAnsi"/>
          <w:lang w:val="en-GB"/>
        </w:rPr>
        <w:t xml:space="preserve"> Dec 7. </w:t>
      </w:r>
      <w:r w:rsidR="00BC754F" w:rsidRPr="00BF17B0">
        <w:rPr>
          <w:rFonts w:asciiTheme="minorHAnsi" w:hAnsiTheme="minorHAnsi" w:cstheme="minorHAnsi"/>
          <w:i/>
          <w:lang w:val="en-GB"/>
        </w:rPr>
        <w:t xml:space="preserve">Amendment to </w:t>
      </w:r>
      <w:r w:rsidR="00BC5ED8" w:rsidRPr="00BF17B0">
        <w:rPr>
          <w:rFonts w:asciiTheme="minorHAnsi" w:hAnsiTheme="minorHAnsi" w:cstheme="minorHAnsi"/>
          <w:i/>
          <w:lang w:val="en-GB"/>
        </w:rPr>
        <w:t>the Administration Agreement</w:t>
      </w:r>
      <w:r w:rsidR="00A94EC4" w:rsidRPr="00BF17B0">
        <w:rPr>
          <w:rFonts w:asciiTheme="minorHAnsi" w:hAnsiTheme="minorHAnsi" w:cstheme="minorHAnsi"/>
          <w:i/>
          <w:lang w:val="en-GB"/>
        </w:rPr>
        <w:t>.</w:t>
      </w:r>
    </w:p>
    <w:p w14:paraId="2BF026B9" w14:textId="77777777" w:rsidR="00C04F25" w:rsidRPr="00BF17B0" w:rsidRDefault="00C04F25" w:rsidP="00C04F25">
      <w:pPr>
        <w:ind w:left="720" w:hanging="720"/>
        <w:rPr>
          <w:rFonts w:asciiTheme="minorHAnsi" w:hAnsiTheme="minorHAnsi" w:cstheme="minorHAnsi"/>
          <w:lang w:val="en-GB"/>
        </w:rPr>
      </w:pPr>
      <w:r w:rsidRPr="00BF17B0">
        <w:rPr>
          <w:rFonts w:asciiTheme="minorHAnsi" w:hAnsiTheme="minorHAnsi" w:cstheme="minorHAnsi"/>
          <w:lang w:val="en-GB"/>
        </w:rPr>
        <w:t>Australia, Department of Foreign Affairs and Trade</w:t>
      </w:r>
      <w:r w:rsidR="001E169A" w:rsidRPr="00BF17B0">
        <w:rPr>
          <w:rFonts w:asciiTheme="minorHAnsi" w:hAnsiTheme="minorHAnsi" w:cstheme="minorHAnsi"/>
          <w:lang w:val="en-GB"/>
        </w:rPr>
        <w:t xml:space="preserve"> (DFAT)</w:t>
      </w:r>
      <w:r w:rsidRPr="00BF17B0">
        <w:rPr>
          <w:rFonts w:asciiTheme="minorHAnsi" w:hAnsiTheme="minorHAnsi" w:cstheme="minorHAnsi"/>
          <w:lang w:val="en-GB"/>
        </w:rPr>
        <w:t xml:space="preserve">. 2017. </w:t>
      </w:r>
      <w:r w:rsidRPr="00BF17B0">
        <w:rPr>
          <w:rFonts w:asciiTheme="minorHAnsi" w:hAnsiTheme="minorHAnsi" w:cstheme="minorHAnsi"/>
          <w:i/>
          <w:lang w:val="en-GB"/>
        </w:rPr>
        <w:t>Aid Quality Check Ratings Matrix</w:t>
      </w:r>
      <w:r w:rsidRPr="00BF17B0">
        <w:rPr>
          <w:rFonts w:asciiTheme="minorHAnsi" w:hAnsiTheme="minorHAnsi" w:cstheme="minorHAnsi"/>
          <w:lang w:val="en-GB"/>
        </w:rPr>
        <w:t xml:space="preserve">. </w:t>
      </w:r>
    </w:p>
    <w:p w14:paraId="370A48B2" w14:textId="77777777" w:rsidR="00C04F25" w:rsidRPr="00BF17B0" w:rsidRDefault="00C04F25" w:rsidP="00C04F25">
      <w:pPr>
        <w:ind w:left="720" w:hanging="720"/>
        <w:rPr>
          <w:rFonts w:asciiTheme="minorHAnsi" w:hAnsiTheme="minorHAnsi" w:cstheme="minorHAnsi"/>
          <w:lang w:val="en-GB"/>
        </w:rPr>
      </w:pPr>
      <w:r w:rsidRPr="00BF17B0">
        <w:rPr>
          <w:rFonts w:asciiTheme="minorHAnsi" w:hAnsiTheme="minorHAnsi" w:cstheme="minorHAnsi"/>
          <w:lang w:val="en-GB"/>
        </w:rPr>
        <w:t xml:space="preserve">________. 2017b. </w:t>
      </w:r>
      <w:r w:rsidRPr="00BF17B0">
        <w:rPr>
          <w:rFonts w:asciiTheme="minorHAnsi" w:hAnsiTheme="minorHAnsi" w:cstheme="minorHAnsi"/>
          <w:i/>
          <w:lang w:val="en-GB"/>
        </w:rPr>
        <w:t>DFAT Monitoring and Evaluation Standards</w:t>
      </w:r>
      <w:r w:rsidRPr="00BF17B0">
        <w:rPr>
          <w:rFonts w:asciiTheme="minorHAnsi" w:hAnsiTheme="minorHAnsi" w:cstheme="minorHAnsi"/>
          <w:lang w:val="en-GB"/>
        </w:rPr>
        <w:t>. https://dfat.gov.au/about-us/publications/Documents/monitoring-evaluation-standards.pdf</w:t>
      </w:r>
    </w:p>
    <w:p w14:paraId="2093A510" w14:textId="77777777" w:rsidR="00C04F25" w:rsidRPr="00BF17B0" w:rsidRDefault="00C04F25" w:rsidP="00C04F25">
      <w:pPr>
        <w:ind w:left="720" w:hanging="720"/>
        <w:rPr>
          <w:rFonts w:asciiTheme="minorHAnsi" w:hAnsiTheme="minorHAnsi" w:cstheme="minorHAnsi"/>
          <w:lang w:val="en-GB"/>
        </w:rPr>
      </w:pPr>
      <w:r w:rsidRPr="00BF17B0">
        <w:rPr>
          <w:rFonts w:asciiTheme="minorHAnsi" w:hAnsiTheme="minorHAnsi" w:cstheme="minorHAnsi"/>
          <w:lang w:val="en-GB"/>
        </w:rPr>
        <w:t>________</w:t>
      </w:r>
      <w:r w:rsidR="00366728" w:rsidRPr="00BF17B0">
        <w:rPr>
          <w:rFonts w:asciiTheme="minorHAnsi" w:hAnsiTheme="minorHAnsi" w:cstheme="minorHAnsi"/>
          <w:lang w:val="en-GB"/>
        </w:rPr>
        <w:t>,</w:t>
      </w:r>
      <w:r w:rsidRPr="00BF17B0">
        <w:rPr>
          <w:rFonts w:asciiTheme="minorHAnsi" w:hAnsiTheme="minorHAnsi" w:cstheme="minorHAnsi"/>
          <w:lang w:val="en-GB"/>
        </w:rPr>
        <w:t xml:space="preserve"> and World Bank. 2015 Dec 9. </w:t>
      </w:r>
      <w:r w:rsidRPr="00BF17B0">
        <w:rPr>
          <w:rFonts w:asciiTheme="minorHAnsi" w:hAnsiTheme="minorHAnsi" w:cstheme="minorHAnsi"/>
          <w:i/>
          <w:lang w:val="en-GB"/>
        </w:rPr>
        <w:t>Amendment to the Administration Agreement.</w:t>
      </w:r>
      <w:r w:rsidRPr="00BF17B0">
        <w:rPr>
          <w:rFonts w:asciiTheme="minorHAnsi" w:hAnsiTheme="minorHAnsi" w:cstheme="minorHAnsi"/>
          <w:lang w:val="en-GB"/>
        </w:rPr>
        <w:t xml:space="preserve"> </w:t>
      </w:r>
    </w:p>
    <w:p w14:paraId="5B302CD4" w14:textId="77777777" w:rsidR="00F032B2" w:rsidRPr="00BF17B0" w:rsidRDefault="00F032B2" w:rsidP="00F032B2">
      <w:pPr>
        <w:ind w:left="720" w:hanging="720"/>
        <w:rPr>
          <w:rFonts w:asciiTheme="minorHAnsi" w:hAnsiTheme="minorHAnsi" w:cstheme="minorHAnsi"/>
          <w:lang w:val="en-GB"/>
        </w:rPr>
      </w:pPr>
      <w:r w:rsidRPr="00BF17B0">
        <w:rPr>
          <w:rFonts w:asciiTheme="minorHAnsi" w:hAnsiTheme="minorHAnsi" w:cstheme="minorHAnsi"/>
          <w:lang w:val="en-GB"/>
        </w:rPr>
        <w:t xml:space="preserve">Bhatnagar, Bhuvan et al. 2018. </w:t>
      </w:r>
      <w:r w:rsidRPr="00BF17B0">
        <w:rPr>
          <w:rFonts w:asciiTheme="minorHAnsi" w:hAnsiTheme="minorHAnsi" w:cstheme="minorHAnsi"/>
          <w:i/>
          <w:lang w:val="en-GB"/>
        </w:rPr>
        <w:t>2017 Trust Fund Annual Report.</w:t>
      </w:r>
      <w:r w:rsidRPr="00BF17B0">
        <w:rPr>
          <w:rFonts w:asciiTheme="minorHAnsi" w:hAnsiTheme="minorHAnsi" w:cstheme="minorHAnsi"/>
          <w:lang w:val="en-GB"/>
        </w:rPr>
        <w:t xml:space="preserve"> Washington, DC: World Bank Group. http://documents.worldbank.org/curated/en/428511521809720471/2017-trust-fund-annual-report</w:t>
      </w:r>
    </w:p>
    <w:p w14:paraId="6234AEEF" w14:textId="77777777" w:rsidR="00BC754F" w:rsidRPr="00BF17B0" w:rsidRDefault="00BC754F" w:rsidP="00602B25">
      <w:pPr>
        <w:ind w:left="720" w:hanging="720"/>
        <w:rPr>
          <w:rFonts w:asciiTheme="minorHAnsi" w:hAnsiTheme="minorHAnsi" w:cstheme="minorHAnsi"/>
          <w:lang w:val="en-GB"/>
        </w:rPr>
      </w:pPr>
      <w:r w:rsidRPr="00F338BE">
        <w:rPr>
          <w:rFonts w:asciiTheme="minorHAnsi" w:hAnsiTheme="minorHAnsi" w:cstheme="minorHAnsi"/>
          <w:lang w:val="fr-FR"/>
        </w:rPr>
        <w:t>Custer et al</w:t>
      </w:r>
      <w:r w:rsidR="00A94EC4" w:rsidRPr="00F338BE">
        <w:rPr>
          <w:rFonts w:asciiTheme="minorHAnsi" w:hAnsiTheme="minorHAnsi" w:cstheme="minorHAnsi"/>
          <w:lang w:val="fr-FR"/>
        </w:rPr>
        <w:t xml:space="preserve">. </w:t>
      </w:r>
      <w:r w:rsidRPr="00F338BE">
        <w:rPr>
          <w:rFonts w:asciiTheme="minorHAnsi" w:hAnsiTheme="minorHAnsi" w:cstheme="minorHAnsi"/>
          <w:lang w:val="fr-FR"/>
        </w:rPr>
        <w:t>2016</w:t>
      </w:r>
      <w:r w:rsidR="00A94EC4" w:rsidRPr="00F338BE">
        <w:rPr>
          <w:rFonts w:asciiTheme="minorHAnsi" w:hAnsiTheme="minorHAnsi" w:cstheme="minorHAnsi"/>
          <w:lang w:val="fr-FR"/>
        </w:rPr>
        <w:t xml:space="preserve">. Custer, Samantha et al. 2016. </w:t>
      </w:r>
      <w:r w:rsidR="00A94EC4" w:rsidRPr="00BF17B0">
        <w:rPr>
          <w:rFonts w:asciiTheme="minorHAnsi" w:hAnsiTheme="minorHAnsi" w:cstheme="minorHAnsi"/>
          <w:i/>
          <w:lang w:val="en-GB"/>
        </w:rPr>
        <w:t>Pork to Performance: Open Government and Program Performance Tracking in the Philippines - Phase Two.</w:t>
      </w:r>
      <w:r w:rsidR="00A94EC4" w:rsidRPr="00BF17B0">
        <w:rPr>
          <w:rFonts w:asciiTheme="minorHAnsi" w:hAnsiTheme="minorHAnsi" w:cstheme="minorHAnsi"/>
          <w:lang w:val="en-GB"/>
        </w:rPr>
        <w:t xml:space="preserve"> Washington, DC: World Bank. http://documents.worldbank.org/curated/en/174491467602317699/Pork-to-performance-open-government-and-program-performance-tracking-in-the-Philippines-phase-two </w:t>
      </w:r>
    </w:p>
    <w:p w14:paraId="1A27F293" w14:textId="77777777" w:rsidR="00BC754F" w:rsidRPr="00BF17B0" w:rsidRDefault="00BC754F" w:rsidP="00602B25">
      <w:pPr>
        <w:ind w:left="720" w:hanging="720"/>
        <w:rPr>
          <w:rFonts w:asciiTheme="minorHAnsi" w:hAnsiTheme="minorHAnsi" w:cstheme="minorHAnsi"/>
          <w:lang w:val="en-GB"/>
        </w:rPr>
      </w:pPr>
      <w:r w:rsidRPr="00BF17B0">
        <w:rPr>
          <w:rFonts w:asciiTheme="minorHAnsi" w:hAnsiTheme="minorHAnsi" w:cstheme="minorHAnsi"/>
          <w:lang w:val="en-GB"/>
        </w:rPr>
        <w:t>Hansl</w:t>
      </w:r>
      <w:r w:rsidR="00C04F25" w:rsidRPr="00BF17B0">
        <w:rPr>
          <w:rFonts w:asciiTheme="minorHAnsi" w:hAnsiTheme="minorHAnsi" w:cstheme="minorHAnsi"/>
          <w:lang w:val="en-GB"/>
        </w:rPr>
        <w:t xml:space="preserve">, Birgit </w:t>
      </w:r>
      <w:r w:rsidRPr="00BF17B0">
        <w:rPr>
          <w:rFonts w:asciiTheme="minorHAnsi" w:hAnsiTheme="minorHAnsi" w:cstheme="minorHAnsi"/>
          <w:lang w:val="en-GB"/>
        </w:rPr>
        <w:t>et al</w:t>
      </w:r>
      <w:r w:rsidR="00C04F25" w:rsidRPr="00BF17B0">
        <w:rPr>
          <w:rFonts w:asciiTheme="minorHAnsi" w:hAnsiTheme="minorHAnsi" w:cstheme="minorHAnsi"/>
          <w:lang w:val="en-GB"/>
        </w:rPr>
        <w:t xml:space="preserve">. </w:t>
      </w:r>
      <w:r w:rsidRPr="00BF17B0">
        <w:rPr>
          <w:rFonts w:asciiTheme="minorHAnsi" w:hAnsiTheme="minorHAnsi" w:cstheme="minorHAnsi"/>
          <w:lang w:val="en-GB"/>
        </w:rPr>
        <w:t>2017</w:t>
      </w:r>
      <w:r w:rsidR="00C04F25" w:rsidRPr="00BF17B0">
        <w:rPr>
          <w:rFonts w:asciiTheme="minorHAnsi" w:hAnsiTheme="minorHAnsi" w:cstheme="minorHAnsi"/>
          <w:lang w:val="en-GB"/>
        </w:rPr>
        <w:t xml:space="preserve">. </w:t>
      </w:r>
      <w:r w:rsidRPr="00BF17B0">
        <w:rPr>
          <w:rFonts w:asciiTheme="minorHAnsi" w:hAnsiTheme="minorHAnsi" w:cstheme="minorHAnsi"/>
          <w:i/>
          <w:iCs/>
          <w:color w:val="000000"/>
          <w:bdr w:val="none" w:sz="0" w:space="0" w:color="auto" w:frame="1"/>
          <w:lang w:val="en-GB"/>
        </w:rPr>
        <w:t xml:space="preserve">Philippines Mindanao </w:t>
      </w:r>
      <w:r w:rsidR="00C04F25" w:rsidRPr="00BF17B0">
        <w:rPr>
          <w:rFonts w:asciiTheme="minorHAnsi" w:hAnsiTheme="minorHAnsi" w:cstheme="minorHAnsi"/>
          <w:i/>
          <w:iCs/>
          <w:color w:val="000000"/>
          <w:bdr w:val="none" w:sz="0" w:space="0" w:color="auto" w:frame="1"/>
          <w:lang w:val="en-GB"/>
        </w:rPr>
        <w:t>J</w:t>
      </w:r>
      <w:r w:rsidRPr="00BF17B0">
        <w:rPr>
          <w:rFonts w:asciiTheme="minorHAnsi" w:hAnsiTheme="minorHAnsi" w:cstheme="minorHAnsi"/>
          <w:i/>
          <w:iCs/>
          <w:color w:val="000000"/>
          <w:bdr w:val="none" w:sz="0" w:space="0" w:color="auto" w:frame="1"/>
          <w:lang w:val="en-GB"/>
        </w:rPr>
        <w:t xml:space="preserve">obs </w:t>
      </w:r>
      <w:r w:rsidR="00C04F25" w:rsidRPr="00BF17B0">
        <w:rPr>
          <w:rFonts w:asciiTheme="minorHAnsi" w:hAnsiTheme="minorHAnsi" w:cstheme="minorHAnsi"/>
          <w:i/>
          <w:iCs/>
          <w:color w:val="000000"/>
          <w:bdr w:val="none" w:sz="0" w:space="0" w:color="auto" w:frame="1"/>
          <w:lang w:val="en-GB"/>
        </w:rPr>
        <w:t>R</w:t>
      </w:r>
      <w:r w:rsidRPr="00BF17B0">
        <w:rPr>
          <w:rFonts w:asciiTheme="minorHAnsi" w:hAnsiTheme="minorHAnsi" w:cstheme="minorHAnsi"/>
          <w:i/>
          <w:iCs/>
          <w:color w:val="000000"/>
          <w:bdr w:val="none" w:sz="0" w:space="0" w:color="auto" w:frame="1"/>
          <w:lang w:val="en-GB"/>
        </w:rPr>
        <w:t>eport:</w:t>
      </w:r>
      <w:r w:rsidR="00C04F25" w:rsidRPr="00BF17B0">
        <w:rPr>
          <w:rFonts w:asciiTheme="minorHAnsi" w:hAnsiTheme="minorHAnsi" w:cstheme="minorHAnsi"/>
          <w:i/>
          <w:iCs/>
          <w:color w:val="000000"/>
          <w:bdr w:val="none" w:sz="0" w:space="0" w:color="auto" w:frame="1"/>
          <w:lang w:val="en-GB"/>
        </w:rPr>
        <w:t xml:space="preserve"> A S</w:t>
      </w:r>
      <w:r w:rsidRPr="00BF17B0">
        <w:rPr>
          <w:rFonts w:asciiTheme="minorHAnsi" w:hAnsiTheme="minorHAnsi" w:cstheme="minorHAnsi"/>
          <w:i/>
          <w:iCs/>
          <w:color w:val="000000"/>
          <w:bdr w:val="none" w:sz="0" w:space="0" w:color="auto" w:frame="1"/>
          <w:lang w:val="en-GB"/>
        </w:rPr>
        <w:t xml:space="preserve">trategy for Mindanao </w:t>
      </w:r>
      <w:r w:rsidR="00C04F25" w:rsidRPr="00BF17B0">
        <w:rPr>
          <w:rFonts w:asciiTheme="minorHAnsi" w:hAnsiTheme="minorHAnsi" w:cstheme="minorHAnsi"/>
          <w:i/>
          <w:iCs/>
          <w:color w:val="000000"/>
          <w:bdr w:val="none" w:sz="0" w:space="0" w:color="auto" w:frame="1"/>
          <w:lang w:val="en-GB"/>
        </w:rPr>
        <w:t>R</w:t>
      </w:r>
      <w:r w:rsidRPr="00BF17B0">
        <w:rPr>
          <w:rFonts w:asciiTheme="minorHAnsi" w:hAnsiTheme="minorHAnsi" w:cstheme="minorHAnsi"/>
          <w:i/>
          <w:iCs/>
          <w:color w:val="000000"/>
          <w:bdr w:val="none" w:sz="0" w:space="0" w:color="auto" w:frame="1"/>
          <w:lang w:val="en-GB"/>
        </w:rPr>
        <w:t xml:space="preserve">egional </w:t>
      </w:r>
      <w:r w:rsidR="00C04F25" w:rsidRPr="00BF17B0">
        <w:rPr>
          <w:rFonts w:asciiTheme="minorHAnsi" w:hAnsiTheme="minorHAnsi" w:cstheme="minorHAnsi"/>
          <w:i/>
          <w:iCs/>
          <w:color w:val="000000"/>
          <w:bdr w:val="none" w:sz="0" w:space="0" w:color="auto" w:frame="1"/>
          <w:lang w:val="en-GB"/>
        </w:rPr>
        <w:t>D</w:t>
      </w:r>
      <w:r w:rsidRPr="00BF17B0">
        <w:rPr>
          <w:rFonts w:asciiTheme="minorHAnsi" w:hAnsiTheme="minorHAnsi" w:cstheme="minorHAnsi"/>
          <w:i/>
          <w:iCs/>
          <w:color w:val="000000"/>
          <w:bdr w:val="none" w:sz="0" w:space="0" w:color="auto" w:frame="1"/>
          <w:lang w:val="en-GB"/>
        </w:rPr>
        <w:t>evelopment.</w:t>
      </w:r>
      <w:r w:rsidRPr="00BF17B0">
        <w:rPr>
          <w:rFonts w:asciiTheme="minorHAnsi" w:hAnsiTheme="minorHAnsi" w:cstheme="minorHAnsi"/>
          <w:iCs/>
          <w:color w:val="000000"/>
          <w:bdr w:val="none" w:sz="0" w:space="0" w:color="auto" w:frame="1"/>
          <w:lang w:val="en-GB"/>
        </w:rPr>
        <w:t xml:space="preserve"> </w:t>
      </w:r>
      <w:r w:rsidRPr="00BF17B0">
        <w:rPr>
          <w:rFonts w:asciiTheme="minorHAnsi" w:hAnsiTheme="minorHAnsi" w:cstheme="minorHAnsi"/>
          <w:color w:val="000000"/>
          <w:lang w:val="en-GB"/>
        </w:rPr>
        <w:t>Washington, D</w:t>
      </w:r>
      <w:r w:rsidR="00C04F25" w:rsidRPr="00BF17B0">
        <w:rPr>
          <w:rFonts w:asciiTheme="minorHAnsi" w:hAnsiTheme="minorHAnsi" w:cstheme="minorHAnsi"/>
          <w:color w:val="000000"/>
          <w:lang w:val="en-GB"/>
        </w:rPr>
        <w:t>C:</w:t>
      </w:r>
      <w:r w:rsidRPr="00BF17B0">
        <w:rPr>
          <w:rFonts w:asciiTheme="minorHAnsi" w:hAnsiTheme="minorHAnsi" w:cstheme="minorHAnsi"/>
          <w:color w:val="000000"/>
          <w:lang w:val="en-GB"/>
        </w:rPr>
        <w:t xml:space="preserve"> World Bank</w:t>
      </w:r>
      <w:r w:rsidR="00F032B2" w:rsidRPr="00BF17B0">
        <w:rPr>
          <w:rFonts w:asciiTheme="minorHAnsi" w:hAnsiTheme="minorHAnsi" w:cstheme="minorHAnsi"/>
          <w:color w:val="000000"/>
          <w:lang w:val="en-GB"/>
        </w:rPr>
        <w:t xml:space="preserve"> Group</w:t>
      </w:r>
      <w:r w:rsidRPr="00BF17B0">
        <w:rPr>
          <w:rFonts w:asciiTheme="minorHAnsi" w:hAnsiTheme="minorHAnsi" w:cstheme="minorHAnsi"/>
          <w:color w:val="000000"/>
          <w:lang w:val="en-GB"/>
        </w:rPr>
        <w:t>.</w:t>
      </w:r>
      <w:r w:rsidR="00C04F25" w:rsidRPr="00BF17B0">
        <w:rPr>
          <w:rFonts w:asciiTheme="minorHAnsi" w:hAnsiTheme="minorHAnsi" w:cstheme="minorHAnsi"/>
          <w:color w:val="000000"/>
          <w:lang w:val="en-GB"/>
        </w:rPr>
        <w:t xml:space="preserve"> http://documents.worldbank.org/curated/en/395661498616337079/Philippines-Mindanao-jobs-report-a-strategy-for-Mindanao-regional-development</w:t>
      </w:r>
    </w:p>
    <w:p w14:paraId="0991AC86" w14:textId="77777777" w:rsidR="00877940" w:rsidRPr="00BF17B0" w:rsidRDefault="00877940" w:rsidP="00602B25">
      <w:pPr>
        <w:ind w:left="720" w:hanging="720"/>
        <w:rPr>
          <w:rFonts w:asciiTheme="minorHAnsi" w:hAnsiTheme="minorHAnsi" w:cstheme="minorHAnsi"/>
          <w:lang w:val="en-GB"/>
        </w:rPr>
      </w:pPr>
      <w:r w:rsidRPr="00BF17B0">
        <w:rPr>
          <w:rFonts w:asciiTheme="minorHAnsi" w:hAnsiTheme="minorHAnsi" w:cstheme="minorHAnsi"/>
          <w:lang w:val="en-GB"/>
        </w:rPr>
        <w:t>Honorati, Maddalena</w:t>
      </w:r>
      <w:r w:rsidR="00C04F25" w:rsidRPr="00BF17B0">
        <w:rPr>
          <w:rFonts w:asciiTheme="minorHAnsi" w:hAnsiTheme="minorHAnsi" w:cstheme="minorHAnsi"/>
          <w:lang w:val="en-GB"/>
        </w:rPr>
        <w:t>,</w:t>
      </w:r>
      <w:r w:rsidRPr="00BF17B0">
        <w:rPr>
          <w:rFonts w:asciiTheme="minorHAnsi" w:hAnsiTheme="minorHAnsi" w:cstheme="minorHAnsi"/>
          <w:lang w:val="en-GB"/>
        </w:rPr>
        <w:t xml:space="preserve"> </w:t>
      </w:r>
      <w:r w:rsidR="00C04F25" w:rsidRPr="00BF17B0">
        <w:rPr>
          <w:rFonts w:asciiTheme="minorHAnsi" w:hAnsiTheme="minorHAnsi" w:cstheme="minorHAnsi"/>
          <w:lang w:val="en-GB"/>
        </w:rPr>
        <w:t xml:space="preserve">Ugo </w:t>
      </w:r>
      <w:r w:rsidRPr="00BF17B0">
        <w:rPr>
          <w:rFonts w:asciiTheme="minorHAnsi" w:hAnsiTheme="minorHAnsi" w:cstheme="minorHAnsi"/>
          <w:lang w:val="en-GB"/>
        </w:rPr>
        <w:t>Gentilini</w:t>
      </w:r>
      <w:r w:rsidR="00C04F25" w:rsidRPr="00BF17B0">
        <w:rPr>
          <w:rFonts w:asciiTheme="minorHAnsi" w:hAnsiTheme="minorHAnsi" w:cstheme="minorHAnsi"/>
          <w:lang w:val="en-GB"/>
        </w:rPr>
        <w:t xml:space="preserve">, Ruslan </w:t>
      </w:r>
      <w:r w:rsidRPr="00BF17B0">
        <w:rPr>
          <w:rFonts w:asciiTheme="minorHAnsi" w:hAnsiTheme="minorHAnsi" w:cstheme="minorHAnsi"/>
          <w:lang w:val="en-GB"/>
        </w:rPr>
        <w:t>Yemtsov</w:t>
      </w:r>
      <w:r w:rsidR="00C04F25" w:rsidRPr="00BF17B0">
        <w:rPr>
          <w:rFonts w:asciiTheme="minorHAnsi" w:hAnsiTheme="minorHAnsi" w:cstheme="minorHAnsi"/>
          <w:lang w:val="en-GB"/>
        </w:rPr>
        <w:t xml:space="preserve">. </w:t>
      </w:r>
      <w:r w:rsidRPr="00BF17B0">
        <w:rPr>
          <w:rFonts w:asciiTheme="minorHAnsi" w:hAnsiTheme="minorHAnsi" w:cstheme="minorHAnsi"/>
          <w:lang w:val="en-GB"/>
        </w:rPr>
        <w:t xml:space="preserve">2015. </w:t>
      </w:r>
      <w:r w:rsidRPr="00BF17B0">
        <w:rPr>
          <w:rFonts w:asciiTheme="minorHAnsi" w:hAnsiTheme="minorHAnsi" w:cstheme="minorHAnsi"/>
          <w:i/>
          <w:lang w:val="en-GB"/>
        </w:rPr>
        <w:t xml:space="preserve">The </w:t>
      </w:r>
      <w:r w:rsidR="00C04F25" w:rsidRPr="00BF17B0">
        <w:rPr>
          <w:rFonts w:asciiTheme="minorHAnsi" w:hAnsiTheme="minorHAnsi" w:cstheme="minorHAnsi"/>
          <w:i/>
          <w:lang w:val="en-GB"/>
        </w:rPr>
        <w:t>S</w:t>
      </w:r>
      <w:r w:rsidRPr="00BF17B0">
        <w:rPr>
          <w:rFonts w:asciiTheme="minorHAnsi" w:hAnsiTheme="minorHAnsi" w:cstheme="minorHAnsi"/>
          <w:i/>
          <w:lang w:val="en-GB"/>
        </w:rPr>
        <w:t xml:space="preserve">tate of </w:t>
      </w:r>
      <w:r w:rsidR="00C04F25" w:rsidRPr="00BF17B0">
        <w:rPr>
          <w:rFonts w:asciiTheme="minorHAnsi" w:hAnsiTheme="minorHAnsi" w:cstheme="minorHAnsi"/>
          <w:i/>
          <w:lang w:val="en-GB"/>
        </w:rPr>
        <w:t>S</w:t>
      </w:r>
      <w:r w:rsidRPr="00BF17B0">
        <w:rPr>
          <w:rFonts w:asciiTheme="minorHAnsi" w:hAnsiTheme="minorHAnsi" w:cstheme="minorHAnsi"/>
          <w:i/>
          <w:lang w:val="en-GB"/>
        </w:rPr>
        <w:t xml:space="preserve">ocial </w:t>
      </w:r>
      <w:r w:rsidR="00C04F25" w:rsidRPr="00BF17B0">
        <w:rPr>
          <w:rFonts w:asciiTheme="minorHAnsi" w:hAnsiTheme="minorHAnsi" w:cstheme="minorHAnsi"/>
          <w:i/>
          <w:lang w:val="en-GB"/>
        </w:rPr>
        <w:t>S</w:t>
      </w:r>
      <w:r w:rsidRPr="00BF17B0">
        <w:rPr>
          <w:rFonts w:asciiTheme="minorHAnsi" w:hAnsiTheme="minorHAnsi" w:cstheme="minorHAnsi"/>
          <w:i/>
          <w:lang w:val="en-GB"/>
        </w:rPr>
        <w:t xml:space="preserve">afety </w:t>
      </w:r>
      <w:r w:rsidR="00C04F25" w:rsidRPr="00BF17B0">
        <w:rPr>
          <w:rFonts w:asciiTheme="minorHAnsi" w:hAnsiTheme="minorHAnsi" w:cstheme="minorHAnsi"/>
          <w:i/>
          <w:lang w:val="en-GB"/>
        </w:rPr>
        <w:t>N</w:t>
      </w:r>
      <w:r w:rsidRPr="00BF17B0">
        <w:rPr>
          <w:rFonts w:asciiTheme="minorHAnsi" w:hAnsiTheme="minorHAnsi" w:cstheme="minorHAnsi"/>
          <w:i/>
          <w:lang w:val="en-GB"/>
        </w:rPr>
        <w:t>ets</w:t>
      </w:r>
      <w:r w:rsidR="00F032B2" w:rsidRPr="00BF17B0">
        <w:rPr>
          <w:rFonts w:asciiTheme="minorHAnsi" w:hAnsiTheme="minorHAnsi" w:cstheme="minorHAnsi"/>
          <w:lang w:val="en-GB"/>
        </w:rPr>
        <w:t xml:space="preserve">. </w:t>
      </w:r>
      <w:r w:rsidRPr="00BF17B0">
        <w:rPr>
          <w:rFonts w:asciiTheme="minorHAnsi" w:hAnsiTheme="minorHAnsi" w:cstheme="minorHAnsi"/>
          <w:lang w:val="en-GB"/>
        </w:rPr>
        <w:t>Washington, DC: World Bank Group. http://documents.worldbank.org/curated/en/415491467994645020/The-state-of-social-safety-nets-2015</w:t>
      </w:r>
    </w:p>
    <w:p w14:paraId="34945038" w14:textId="77777777" w:rsidR="0009355B" w:rsidRPr="00BF17B0" w:rsidRDefault="0009355B" w:rsidP="00602B25">
      <w:pPr>
        <w:ind w:left="720" w:hanging="720"/>
        <w:rPr>
          <w:rFonts w:asciiTheme="minorHAnsi" w:hAnsiTheme="minorHAnsi" w:cstheme="minorHAnsi"/>
          <w:lang w:val="en-GB"/>
        </w:rPr>
      </w:pPr>
      <w:r w:rsidRPr="00BF17B0">
        <w:rPr>
          <w:rFonts w:asciiTheme="minorHAnsi" w:hAnsiTheme="minorHAnsi" w:cstheme="minorHAnsi"/>
          <w:lang w:val="en-GB"/>
        </w:rPr>
        <w:t>Morton, Matthew</w:t>
      </w:r>
      <w:r w:rsidR="00F032B2" w:rsidRPr="00BF17B0">
        <w:rPr>
          <w:rFonts w:asciiTheme="minorHAnsi" w:hAnsiTheme="minorHAnsi" w:cstheme="minorHAnsi"/>
          <w:lang w:val="en-GB"/>
        </w:rPr>
        <w:t xml:space="preserve"> et al. </w:t>
      </w:r>
      <w:r w:rsidRPr="00BF17B0">
        <w:rPr>
          <w:rFonts w:asciiTheme="minorHAnsi" w:hAnsiTheme="minorHAnsi" w:cstheme="minorHAnsi"/>
          <w:lang w:val="en-GB"/>
        </w:rPr>
        <w:t xml:space="preserve">2014. </w:t>
      </w:r>
      <w:r w:rsidRPr="00BF17B0">
        <w:rPr>
          <w:rFonts w:asciiTheme="minorHAnsi" w:hAnsiTheme="minorHAnsi" w:cstheme="minorHAnsi"/>
          <w:i/>
          <w:lang w:val="en-GB"/>
        </w:rPr>
        <w:t xml:space="preserve">Gender at </w:t>
      </w:r>
      <w:r w:rsidR="00F032B2" w:rsidRPr="00BF17B0">
        <w:rPr>
          <w:rFonts w:asciiTheme="minorHAnsi" w:hAnsiTheme="minorHAnsi" w:cstheme="minorHAnsi"/>
          <w:i/>
          <w:lang w:val="en-GB"/>
        </w:rPr>
        <w:t>W</w:t>
      </w:r>
      <w:r w:rsidRPr="00BF17B0">
        <w:rPr>
          <w:rFonts w:asciiTheme="minorHAnsi" w:hAnsiTheme="minorHAnsi" w:cstheme="minorHAnsi"/>
          <w:i/>
          <w:lang w:val="en-GB"/>
        </w:rPr>
        <w:t xml:space="preserve">ork: </w:t>
      </w:r>
      <w:r w:rsidR="00F032B2" w:rsidRPr="00BF17B0">
        <w:rPr>
          <w:rFonts w:asciiTheme="minorHAnsi" w:hAnsiTheme="minorHAnsi" w:cstheme="minorHAnsi"/>
          <w:i/>
          <w:lang w:val="en-GB"/>
        </w:rPr>
        <w:t>A</w:t>
      </w:r>
      <w:r w:rsidRPr="00BF17B0">
        <w:rPr>
          <w:rFonts w:asciiTheme="minorHAnsi" w:hAnsiTheme="minorHAnsi" w:cstheme="minorHAnsi"/>
          <w:i/>
          <w:lang w:val="en-GB"/>
        </w:rPr>
        <w:t xml:space="preserve"> </w:t>
      </w:r>
      <w:r w:rsidR="00F032B2" w:rsidRPr="00BF17B0">
        <w:rPr>
          <w:rFonts w:asciiTheme="minorHAnsi" w:hAnsiTheme="minorHAnsi" w:cstheme="minorHAnsi"/>
          <w:i/>
          <w:lang w:val="en-GB"/>
        </w:rPr>
        <w:t>C</w:t>
      </w:r>
      <w:r w:rsidRPr="00BF17B0">
        <w:rPr>
          <w:rFonts w:asciiTheme="minorHAnsi" w:hAnsiTheme="minorHAnsi" w:cstheme="minorHAnsi"/>
          <w:i/>
          <w:lang w:val="en-GB"/>
        </w:rPr>
        <w:t xml:space="preserve">ompanion to the </w:t>
      </w:r>
      <w:r w:rsidR="00F032B2" w:rsidRPr="00BF17B0">
        <w:rPr>
          <w:rFonts w:asciiTheme="minorHAnsi" w:hAnsiTheme="minorHAnsi" w:cstheme="minorHAnsi"/>
          <w:i/>
          <w:lang w:val="en-GB"/>
        </w:rPr>
        <w:t>W</w:t>
      </w:r>
      <w:r w:rsidRPr="00BF17B0">
        <w:rPr>
          <w:rFonts w:asciiTheme="minorHAnsi" w:hAnsiTheme="minorHAnsi" w:cstheme="minorHAnsi"/>
          <w:i/>
          <w:lang w:val="en-GB"/>
        </w:rPr>
        <w:t xml:space="preserve">orld </w:t>
      </w:r>
      <w:r w:rsidR="00F032B2" w:rsidRPr="00BF17B0">
        <w:rPr>
          <w:rFonts w:asciiTheme="minorHAnsi" w:hAnsiTheme="minorHAnsi" w:cstheme="minorHAnsi"/>
          <w:i/>
          <w:lang w:val="en-GB"/>
        </w:rPr>
        <w:t>D</w:t>
      </w:r>
      <w:r w:rsidRPr="00BF17B0">
        <w:rPr>
          <w:rFonts w:asciiTheme="minorHAnsi" w:hAnsiTheme="minorHAnsi" w:cstheme="minorHAnsi"/>
          <w:i/>
          <w:lang w:val="en-GB"/>
        </w:rPr>
        <w:t xml:space="preserve">evelopment </w:t>
      </w:r>
      <w:r w:rsidR="00F032B2" w:rsidRPr="00BF17B0">
        <w:rPr>
          <w:rFonts w:asciiTheme="minorHAnsi" w:hAnsiTheme="minorHAnsi" w:cstheme="minorHAnsi"/>
          <w:i/>
          <w:lang w:val="en-GB"/>
        </w:rPr>
        <w:t>R</w:t>
      </w:r>
      <w:r w:rsidRPr="00BF17B0">
        <w:rPr>
          <w:rFonts w:asciiTheme="minorHAnsi" w:hAnsiTheme="minorHAnsi" w:cstheme="minorHAnsi"/>
          <w:i/>
          <w:lang w:val="en-GB"/>
        </w:rPr>
        <w:t xml:space="preserve">eport on </w:t>
      </w:r>
      <w:r w:rsidR="00F032B2" w:rsidRPr="00BF17B0">
        <w:rPr>
          <w:rFonts w:asciiTheme="minorHAnsi" w:hAnsiTheme="minorHAnsi" w:cstheme="minorHAnsi"/>
          <w:i/>
          <w:lang w:val="en-GB"/>
        </w:rPr>
        <w:t>J</w:t>
      </w:r>
      <w:r w:rsidRPr="00BF17B0">
        <w:rPr>
          <w:rFonts w:asciiTheme="minorHAnsi" w:hAnsiTheme="minorHAnsi" w:cstheme="minorHAnsi"/>
          <w:i/>
          <w:lang w:val="en-GB"/>
        </w:rPr>
        <w:t>obs</w:t>
      </w:r>
      <w:r w:rsidR="00F032B2" w:rsidRPr="00BF17B0">
        <w:rPr>
          <w:rFonts w:asciiTheme="minorHAnsi" w:hAnsiTheme="minorHAnsi" w:cstheme="minorHAnsi"/>
          <w:i/>
          <w:lang w:val="en-GB"/>
        </w:rPr>
        <w:t>.</w:t>
      </w:r>
      <w:r w:rsidR="00F032B2" w:rsidRPr="00BF17B0">
        <w:rPr>
          <w:rFonts w:asciiTheme="minorHAnsi" w:hAnsiTheme="minorHAnsi" w:cstheme="minorHAnsi"/>
          <w:lang w:val="en-GB"/>
        </w:rPr>
        <w:t xml:space="preserve"> </w:t>
      </w:r>
      <w:r w:rsidRPr="00BF17B0">
        <w:rPr>
          <w:rFonts w:asciiTheme="minorHAnsi" w:hAnsiTheme="minorHAnsi" w:cstheme="minorHAnsi"/>
          <w:lang w:val="en-GB"/>
        </w:rPr>
        <w:t xml:space="preserve">Washington, DC : World Bank Group. http://documents.worldbank.org/curated/en/884131468332686103/Gender-at-work-a-companion-to-the-world-development-report-on-jobs </w:t>
      </w:r>
    </w:p>
    <w:p w14:paraId="38D64F62" w14:textId="77777777" w:rsidR="00356565" w:rsidRPr="00BF17B0" w:rsidRDefault="00356565" w:rsidP="00602B25">
      <w:pPr>
        <w:ind w:left="720" w:hanging="720"/>
        <w:rPr>
          <w:rFonts w:asciiTheme="minorHAnsi" w:hAnsiTheme="minorHAnsi" w:cstheme="minorHAnsi"/>
          <w:lang w:val="en-GB"/>
        </w:rPr>
      </w:pPr>
      <w:r w:rsidRPr="00BF17B0">
        <w:rPr>
          <w:rFonts w:asciiTheme="minorHAnsi" w:hAnsiTheme="minorHAnsi" w:cstheme="minorHAnsi"/>
          <w:lang w:val="en-GB"/>
        </w:rPr>
        <w:t xml:space="preserve">Philippine Statistics Authority. 2016. </w:t>
      </w:r>
      <w:r w:rsidR="009330B2" w:rsidRPr="00BF17B0">
        <w:rPr>
          <w:rFonts w:asciiTheme="minorHAnsi" w:hAnsiTheme="minorHAnsi" w:cstheme="minorHAnsi"/>
          <w:i/>
          <w:lang w:val="en-GB"/>
        </w:rPr>
        <w:t>2015 Family Income and Expenditure Survey.</w:t>
      </w:r>
      <w:r w:rsidR="009330B2" w:rsidRPr="00BF17B0">
        <w:rPr>
          <w:rFonts w:asciiTheme="minorHAnsi" w:hAnsiTheme="minorHAnsi" w:cstheme="minorHAnsi"/>
          <w:lang w:val="en-GB"/>
        </w:rPr>
        <w:t xml:space="preserve"> Manila: PSA. </w:t>
      </w:r>
    </w:p>
    <w:p w14:paraId="10B030AE" w14:textId="77777777" w:rsidR="00BC754F" w:rsidRPr="00BF17B0" w:rsidRDefault="00BC754F" w:rsidP="00602B25">
      <w:pPr>
        <w:ind w:left="720" w:hanging="720"/>
        <w:rPr>
          <w:rFonts w:asciiTheme="minorHAnsi" w:hAnsiTheme="minorHAnsi" w:cstheme="minorHAnsi"/>
          <w:lang w:val="en-GB"/>
        </w:rPr>
      </w:pPr>
      <w:r w:rsidRPr="00BF17B0">
        <w:rPr>
          <w:rFonts w:asciiTheme="minorHAnsi" w:hAnsiTheme="minorHAnsi" w:cstheme="minorHAnsi"/>
          <w:lang w:val="en-GB"/>
        </w:rPr>
        <w:t xml:space="preserve">Potten, </w:t>
      </w:r>
      <w:r w:rsidR="00F032B2" w:rsidRPr="00BF17B0">
        <w:rPr>
          <w:rFonts w:asciiTheme="minorHAnsi" w:hAnsiTheme="minorHAnsi" w:cstheme="minorHAnsi"/>
          <w:lang w:val="en-GB"/>
        </w:rPr>
        <w:t xml:space="preserve">David. </w:t>
      </w:r>
      <w:r w:rsidRPr="00BF17B0">
        <w:rPr>
          <w:rFonts w:asciiTheme="minorHAnsi" w:hAnsiTheme="minorHAnsi" w:cstheme="minorHAnsi"/>
          <w:lang w:val="en-GB"/>
        </w:rPr>
        <w:t>2018</w:t>
      </w:r>
      <w:r w:rsidR="00481E13" w:rsidRPr="00BF17B0">
        <w:rPr>
          <w:rFonts w:asciiTheme="minorHAnsi" w:hAnsiTheme="minorHAnsi" w:cstheme="minorHAnsi"/>
          <w:lang w:val="en-GB"/>
        </w:rPr>
        <w:t>a</w:t>
      </w:r>
      <w:r w:rsidR="00F032B2" w:rsidRPr="00BF17B0">
        <w:rPr>
          <w:rFonts w:asciiTheme="minorHAnsi" w:hAnsiTheme="minorHAnsi" w:cstheme="minorHAnsi"/>
          <w:lang w:val="en-GB"/>
        </w:rPr>
        <w:t xml:space="preserve">. </w:t>
      </w:r>
      <w:r w:rsidRPr="00BF17B0">
        <w:rPr>
          <w:rFonts w:asciiTheme="minorHAnsi" w:hAnsiTheme="minorHAnsi" w:cstheme="minorHAnsi"/>
          <w:i/>
          <w:lang w:val="en-GB"/>
        </w:rPr>
        <w:t>Evaluation Plan for Australia-World Bank Philippines Development Trust Fund</w:t>
      </w:r>
      <w:r w:rsidR="00F032B2" w:rsidRPr="00BF17B0">
        <w:rPr>
          <w:rFonts w:asciiTheme="minorHAnsi" w:hAnsiTheme="minorHAnsi" w:cstheme="minorHAnsi"/>
          <w:lang w:val="en-GB"/>
        </w:rPr>
        <w:t>.</w:t>
      </w:r>
    </w:p>
    <w:p w14:paraId="52484107" w14:textId="77777777" w:rsidR="00A50ACC" w:rsidRPr="00BF17B0" w:rsidRDefault="00E93163" w:rsidP="00E93163">
      <w:pPr>
        <w:ind w:left="720" w:hanging="720"/>
        <w:rPr>
          <w:rFonts w:asciiTheme="minorHAnsi" w:hAnsiTheme="minorHAnsi" w:cstheme="minorHAnsi"/>
          <w:lang w:val="en-GB"/>
        </w:rPr>
      </w:pPr>
      <w:r w:rsidRPr="00BF17B0">
        <w:rPr>
          <w:rFonts w:asciiTheme="minorHAnsi" w:hAnsiTheme="minorHAnsi" w:cstheme="minorHAnsi"/>
          <w:lang w:val="en-GB"/>
        </w:rPr>
        <w:t xml:space="preserve">________. </w:t>
      </w:r>
      <w:r w:rsidR="00A50ACC" w:rsidRPr="00BF17B0">
        <w:rPr>
          <w:rFonts w:asciiTheme="minorHAnsi" w:hAnsiTheme="minorHAnsi" w:cstheme="minorHAnsi"/>
          <w:lang w:val="en-GB"/>
        </w:rPr>
        <w:t>2018</w:t>
      </w:r>
      <w:r w:rsidR="00481E13" w:rsidRPr="00BF17B0">
        <w:rPr>
          <w:rFonts w:asciiTheme="minorHAnsi" w:hAnsiTheme="minorHAnsi" w:cstheme="minorHAnsi"/>
          <w:lang w:val="en-GB"/>
        </w:rPr>
        <w:t>b</w:t>
      </w:r>
      <w:r w:rsidR="00A50ACC" w:rsidRPr="00BF17B0">
        <w:rPr>
          <w:rFonts w:asciiTheme="minorHAnsi" w:hAnsiTheme="minorHAnsi" w:cstheme="minorHAnsi"/>
          <w:lang w:val="en-GB"/>
        </w:rPr>
        <w:t xml:space="preserve">. </w:t>
      </w:r>
      <w:r w:rsidRPr="00BF17B0">
        <w:rPr>
          <w:rFonts w:asciiTheme="minorHAnsi" w:hAnsiTheme="minorHAnsi" w:cstheme="minorHAnsi"/>
          <w:i/>
          <w:lang w:val="en-GB"/>
        </w:rPr>
        <w:t>Australia – World Bank Philippines Development Trust Fund Evaluation</w:t>
      </w:r>
      <w:r w:rsidRPr="00BF17B0">
        <w:rPr>
          <w:rFonts w:asciiTheme="minorHAnsi" w:hAnsiTheme="minorHAnsi" w:cstheme="minorHAnsi"/>
          <w:lang w:val="en-GB"/>
        </w:rPr>
        <w:t xml:space="preserve">. </w:t>
      </w:r>
    </w:p>
    <w:p w14:paraId="38F37DC3" w14:textId="77777777" w:rsidR="005E70F7" w:rsidRPr="00BF17B0" w:rsidRDefault="005E70F7" w:rsidP="005E70F7">
      <w:pPr>
        <w:ind w:left="720" w:hanging="720"/>
        <w:rPr>
          <w:rFonts w:asciiTheme="minorHAnsi" w:hAnsiTheme="minorHAnsi" w:cstheme="minorHAnsi"/>
          <w:lang w:val="en-GB"/>
        </w:rPr>
      </w:pPr>
      <w:r w:rsidRPr="00BF17B0">
        <w:rPr>
          <w:rFonts w:asciiTheme="minorHAnsi" w:hAnsiTheme="minorHAnsi" w:cstheme="minorHAnsi"/>
          <w:lang w:val="en-GB"/>
        </w:rPr>
        <w:t xml:space="preserve">World Bank. 2013. </w:t>
      </w:r>
      <w:r w:rsidRPr="00BF17B0">
        <w:rPr>
          <w:rFonts w:asciiTheme="minorHAnsi" w:hAnsiTheme="minorHAnsi" w:cstheme="minorHAnsi"/>
          <w:i/>
          <w:lang w:val="en-GB"/>
        </w:rPr>
        <w:t>Philippines Conditional Cash Transfer Program: Impact Evaluation 2012.</w:t>
      </w:r>
      <w:r w:rsidRPr="00BF17B0">
        <w:rPr>
          <w:rFonts w:asciiTheme="minorHAnsi" w:hAnsiTheme="minorHAnsi" w:cstheme="minorHAnsi"/>
          <w:lang w:val="en-GB"/>
        </w:rPr>
        <w:t xml:space="preserve"> Washington, DC</w:t>
      </w:r>
      <w:r w:rsidR="00F032B2" w:rsidRPr="00BF17B0">
        <w:rPr>
          <w:rFonts w:asciiTheme="minorHAnsi" w:hAnsiTheme="minorHAnsi" w:cstheme="minorHAnsi"/>
          <w:lang w:val="en-GB"/>
        </w:rPr>
        <w:t xml:space="preserve">: </w:t>
      </w:r>
      <w:r w:rsidRPr="00BF17B0">
        <w:rPr>
          <w:rFonts w:asciiTheme="minorHAnsi" w:hAnsiTheme="minorHAnsi" w:cstheme="minorHAnsi"/>
          <w:lang w:val="en-GB"/>
        </w:rPr>
        <w:t>World Bank. https://openknowledge.worldbank.org/handle/10986/13244 License: CC BY 3.0 IGO.” http://hdl.handle.net/10986/13244</w:t>
      </w:r>
    </w:p>
    <w:p w14:paraId="702C81F8" w14:textId="77777777" w:rsidR="00F032B2" w:rsidRPr="00BF17B0" w:rsidRDefault="00F032B2" w:rsidP="00F032B2">
      <w:pPr>
        <w:ind w:left="720" w:hanging="720"/>
        <w:rPr>
          <w:rFonts w:asciiTheme="minorHAnsi" w:hAnsiTheme="minorHAnsi" w:cstheme="minorHAnsi"/>
          <w:lang w:val="en-GB"/>
        </w:rPr>
      </w:pPr>
      <w:r w:rsidRPr="00BF17B0">
        <w:rPr>
          <w:rFonts w:asciiTheme="minorHAnsi" w:hAnsiTheme="minorHAnsi" w:cstheme="minorHAnsi"/>
          <w:lang w:val="en-GB"/>
        </w:rPr>
        <w:t xml:space="preserve">________. 2015. </w:t>
      </w:r>
      <w:r w:rsidRPr="00BF17B0">
        <w:rPr>
          <w:rFonts w:asciiTheme="minorHAnsi" w:hAnsiTheme="minorHAnsi" w:cstheme="minorHAnsi"/>
          <w:i/>
          <w:lang w:val="en-GB"/>
        </w:rPr>
        <w:t>Philippines - Second Phase of the Mindanao Rural Development Project.</w:t>
      </w:r>
      <w:r w:rsidRPr="00BF17B0">
        <w:rPr>
          <w:rFonts w:asciiTheme="minorHAnsi" w:hAnsiTheme="minorHAnsi" w:cstheme="minorHAnsi"/>
          <w:lang w:val="en-GB"/>
        </w:rPr>
        <w:t xml:space="preserve"> Washington, DC: World Bank Group. http://documents.worldbank.org/curated/en/527421467998194076/Philippines-Second-Phase-of-the-Mindanao-Rural-Development-Project</w:t>
      </w:r>
    </w:p>
    <w:p w14:paraId="76830904" w14:textId="77777777" w:rsidR="00C41908" w:rsidRPr="00BF17B0" w:rsidRDefault="00C41908" w:rsidP="00C41908">
      <w:pPr>
        <w:ind w:left="720" w:hanging="720"/>
        <w:rPr>
          <w:rFonts w:asciiTheme="minorHAnsi" w:hAnsiTheme="minorHAnsi" w:cstheme="minorHAnsi"/>
          <w:lang w:val="en-GB"/>
        </w:rPr>
      </w:pPr>
      <w:r w:rsidRPr="00BF17B0">
        <w:rPr>
          <w:rFonts w:asciiTheme="minorHAnsi" w:hAnsiTheme="minorHAnsi" w:cstheme="minorHAnsi"/>
          <w:lang w:val="en-GB"/>
        </w:rPr>
        <w:t xml:space="preserve">________. 2016 Jun 3. </w:t>
      </w:r>
      <w:r w:rsidRPr="00BF17B0">
        <w:rPr>
          <w:rFonts w:asciiTheme="minorHAnsi" w:hAnsiTheme="minorHAnsi" w:cstheme="minorHAnsi"/>
          <w:i/>
          <w:lang w:val="en-GB"/>
        </w:rPr>
        <w:t>Technical Assistance to the PPP Program</w:t>
      </w:r>
      <w:r w:rsidRPr="00BF17B0">
        <w:rPr>
          <w:rFonts w:asciiTheme="minorHAnsi" w:hAnsiTheme="minorHAnsi" w:cstheme="minorHAnsi"/>
          <w:lang w:val="en-GB"/>
        </w:rPr>
        <w:t>. Washington, DC: World Bank.</w:t>
      </w:r>
    </w:p>
    <w:p w14:paraId="1BFDDD76" w14:textId="77777777" w:rsidR="00F032B2" w:rsidRPr="00BF17B0" w:rsidRDefault="00F032B2" w:rsidP="00F032B2">
      <w:pPr>
        <w:ind w:left="720" w:hanging="720"/>
        <w:rPr>
          <w:rFonts w:asciiTheme="minorHAnsi" w:hAnsiTheme="minorHAnsi" w:cstheme="minorHAnsi"/>
          <w:lang w:val="en-GB"/>
        </w:rPr>
      </w:pPr>
      <w:r w:rsidRPr="00BF17B0">
        <w:rPr>
          <w:rFonts w:asciiTheme="minorHAnsi" w:hAnsiTheme="minorHAnsi" w:cstheme="minorHAnsi"/>
          <w:lang w:val="en-GB"/>
        </w:rPr>
        <w:t>________. 2016</w:t>
      </w:r>
      <w:r w:rsidR="00C41908" w:rsidRPr="00BF17B0">
        <w:rPr>
          <w:rFonts w:asciiTheme="minorHAnsi" w:hAnsiTheme="minorHAnsi" w:cstheme="minorHAnsi"/>
          <w:lang w:val="en-GB"/>
        </w:rPr>
        <w:t xml:space="preserve"> </w:t>
      </w:r>
      <w:r w:rsidRPr="00BF17B0">
        <w:rPr>
          <w:rFonts w:asciiTheme="minorHAnsi" w:hAnsiTheme="minorHAnsi" w:cstheme="minorHAnsi"/>
          <w:lang w:val="en-GB"/>
        </w:rPr>
        <w:t xml:space="preserve">Jun 21. </w:t>
      </w:r>
      <w:r w:rsidRPr="00BF17B0">
        <w:rPr>
          <w:rFonts w:asciiTheme="minorHAnsi" w:hAnsiTheme="minorHAnsi" w:cstheme="minorHAnsi"/>
          <w:i/>
          <w:lang w:val="en-GB"/>
        </w:rPr>
        <w:t>Supporting Business Innovations in DPWH, Completion Report</w:t>
      </w:r>
      <w:r w:rsidRPr="00BF17B0">
        <w:rPr>
          <w:rFonts w:asciiTheme="minorHAnsi" w:hAnsiTheme="minorHAnsi" w:cstheme="minorHAnsi"/>
          <w:lang w:val="en-GB"/>
        </w:rPr>
        <w:t xml:space="preserve">. </w:t>
      </w:r>
    </w:p>
    <w:p w14:paraId="7525A6D8" w14:textId="77777777" w:rsidR="00BC754F" w:rsidRPr="00BF17B0" w:rsidRDefault="00F032B2" w:rsidP="00602B25">
      <w:pPr>
        <w:ind w:left="720" w:hanging="720"/>
        <w:rPr>
          <w:rFonts w:asciiTheme="minorHAnsi" w:hAnsiTheme="minorHAnsi" w:cstheme="minorHAnsi"/>
          <w:lang w:val="en-GB"/>
        </w:rPr>
      </w:pPr>
      <w:r w:rsidRPr="00BF17B0">
        <w:rPr>
          <w:rFonts w:asciiTheme="minorHAnsi" w:hAnsiTheme="minorHAnsi" w:cstheme="minorHAnsi"/>
          <w:lang w:val="en-GB"/>
        </w:rPr>
        <w:t xml:space="preserve">________. </w:t>
      </w:r>
      <w:r w:rsidR="00BC754F" w:rsidRPr="00BF17B0">
        <w:rPr>
          <w:rFonts w:asciiTheme="minorHAnsi" w:hAnsiTheme="minorHAnsi" w:cstheme="minorHAnsi"/>
          <w:lang w:val="en-GB"/>
        </w:rPr>
        <w:t xml:space="preserve"> 2017</w:t>
      </w:r>
      <w:r w:rsidR="00D36692" w:rsidRPr="00BF17B0">
        <w:rPr>
          <w:rFonts w:asciiTheme="minorHAnsi" w:hAnsiTheme="minorHAnsi" w:cstheme="minorHAnsi"/>
          <w:lang w:val="en-GB"/>
        </w:rPr>
        <w:t>a</w:t>
      </w:r>
      <w:r w:rsidRPr="00BF17B0">
        <w:rPr>
          <w:rFonts w:asciiTheme="minorHAnsi" w:hAnsiTheme="minorHAnsi" w:cstheme="minorHAnsi"/>
          <w:lang w:val="en-GB"/>
        </w:rPr>
        <w:t xml:space="preserve"> Apr.</w:t>
      </w:r>
      <w:r w:rsidRPr="00BF17B0">
        <w:rPr>
          <w:rFonts w:asciiTheme="minorHAnsi" w:hAnsiTheme="minorHAnsi" w:cstheme="minorHAnsi"/>
          <w:i/>
          <w:lang w:val="en-GB"/>
        </w:rPr>
        <w:t xml:space="preserve"> </w:t>
      </w:r>
      <w:r w:rsidR="00BC754F" w:rsidRPr="00BF17B0">
        <w:rPr>
          <w:rFonts w:asciiTheme="minorHAnsi" w:hAnsiTheme="minorHAnsi" w:cstheme="minorHAnsi"/>
          <w:i/>
          <w:lang w:val="en-GB"/>
        </w:rPr>
        <w:t>Supporting Reform Coalitions for Sustainable Change in the Philippines:</w:t>
      </w:r>
      <w:r w:rsidRPr="00BF17B0">
        <w:rPr>
          <w:rFonts w:asciiTheme="minorHAnsi" w:hAnsiTheme="minorHAnsi" w:cstheme="minorHAnsi"/>
          <w:i/>
          <w:lang w:val="en-GB"/>
        </w:rPr>
        <w:t xml:space="preserve"> </w:t>
      </w:r>
      <w:r w:rsidR="00BC754F" w:rsidRPr="00BF17B0">
        <w:rPr>
          <w:rFonts w:asciiTheme="minorHAnsi" w:hAnsiTheme="minorHAnsi" w:cstheme="minorHAnsi"/>
          <w:i/>
          <w:lang w:val="en-GB"/>
        </w:rPr>
        <w:t>Program for Good Governance</w:t>
      </w:r>
      <w:r w:rsidRPr="00BF17B0">
        <w:rPr>
          <w:rFonts w:asciiTheme="minorHAnsi" w:hAnsiTheme="minorHAnsi" w:cstheme="minorHAnsi"/>
          <w:i/>
          <w:lang w:val="en-GB"/>
        </w:rPr>
        <w:t>.</w:t>
      </w:r>
      <w:r w:rsidRPr="00BF17B0">
        <w:rPr>
          <w:rFonts w:asciiTheme="minorHAnsi" w:hAnsiTheme="minorHAnsi" w:cstheme="minorHAnsi"/>
          <w:lang w:val="en-GB"/>
        </w:rPr>
        <w:t xml:space="preserve"> Washington, DC: </w:t>
      </w:r>
      <w:r w:rsidR="00BC754F" w:rsidRPr="00BF17B0">
        <w:rPr>
          <w:rFonts w:asciiTheme="minorHAnsi" w:hAnsiTheme="minorHAnsi" w:cstheme="minorHAnsi"/>
          <w:lang w:val="en-GB"/>
        </w:rPr>
        <w:t>World Bank</w:t>
      </w:r>
      <w:r w:rsidRPr="00BF17B0">
        <w:rPr>
          <w:rFonts w:asciiTheme="minorHAnsi" w:hAnsiTheme="minorHAnsi" w:cstheme="minorHAnsi"/>
          <w:lang w:val="en-GB"/>
        </w:rPr>
        <w:t>.</w:t>
      </w:r>
    </w:p>
    <w:p w14:paraId="407EA867" w14:textId="77777777" w:rsidR="00BC754F" w:rsidRPr="00BF17B0" w:rsidRDefault="00F032B2" w:rsidP="00602B25">
      <w:pPr>
        <w:ind w:left="720" w:hanging="720"/>
        <w:rPr>
          <w:rFonts w:asciiTheme="minorHAnsi" w:hAnsiTheme="minorHAnsi" w:cstheme="minorHAnsi"/>
          <w:color w:val="000000"/>
          <w:lang w:val="en-GB"/>
        </w:rPr>
      </w:pPr>
      <w:r w:rsidRPr="00BF17B0">
        <w:rPr>
          <w:rFonts w:asciiTheme="minorHAnsi" w:hAnsiTheme="minorHAnsi" w:cstheme="minorHAnsi"/>
          <w:lang w:val="en-GB"/>
        </w:rPr>
        <w:t xml:space="preserve">________. </w:t>
      </w:r>
      <w:r w:rsidR="00BC754F" w:rsidRPr="00BF17B0">
        <w:rPr>
          <w:rFonts w:asciiTheme="minorHAnsi" w:hAnsiTheme="minorHAnsi" w:cstheme="minorHAnsi"/>
          <w:lang w:val="en-GB"/>
        </w:rPr>
        <w:t>2017</w:t>
      </w:r>
      <w:r w:rsidR="00D36692" w:rsidRPr="00BF17B0">
        <w:rPr>
          <w:rFonts w:asciiTheme="minorHAnsi" w:hAnsiTheme="minorHAnsi" w:cstheme="minorHAnsi"/>
          <w:lang w:val="en-GB"/>
        </w:rPr>
        <w:t>b</w:t>
      </w:r>
      <w:r w:rsidRPr="00BF17B0">
        <w:rPr>
          <w:rFonts w:asciiTheme="minorHAnsi" w:hAnsiTheme="minorHAnsi" w:cstheme="minorHAnsi"/>
          <w:lang w:val="en-GB"/>
        </w:rPr>
        <w:t xml:space="preserve">. </w:t>
      </w:r>
      <w:r w:rsidR="00BC754F" w:rsidRPr="00BF17B0">
        <w:rPr>
          <w:rFonts w:asciiTheme="minorHAnsi" w:hAnsiTheme="minorHAnsi" w:cstheme="minorHAnsi"/>
          <w:i/>
          <w:iCs/>
          <w:color w:val="000000"/>
          <w:bdr w:val="none" w:sz="0" w:space="0" w:color="auto" w:frame="1"/>
          <w:lang w:val="en-GB"/>
        </w:rPr>
        <w:t xml:space="preserve">Land: </w:t>
      </w:r>
      <w:r w:rsidR="00C41908" w:rsidRPr="00BF17B0">
        <w:rPr>
          <w:rFonts w:asciiTheme="minorHAnsi" w:hAnsiTheme="minorHAnsi" w:cstheme="minorHAnsi"/>
          <w:i/>
          <w:iCs/>
          <w:color w:val="000000"/>
          <w:bdr w:val="none" w:sz="0" w:space="0" w:color="auto" w:frame="1"/>
          <w:lang w:val="en-GB"/>
        </w:rPr>
        <w:t>T</w:t>
      </w:r>
      <w:r w:rsidR="00BC754F" w:rsidRPr="00BF17B0">
        <w:rPr>
          <w:rFonts w:asciiTheme="minorHAnsi" w:hAnsiTheme="minorHAnsi" w:cstheme="minorHAnsi"/>
          <w:i/>
          <w:iCs/>
          <w:color w:val="000000"/>
          <w:bdr w:val="none" w:sz="0" w:space="0" w:color="auto" w:frame="1"/>
          <w:lang w:val="en-GB"/>
        </w:rPr>
        <w:t>erritory,</w:t>
      </w:r>
      <w:r w:rsidR="00C41908" w:rsidRPr="00BF17B0">
        <w:rPr>
          <w:rFonts w:asciiTheme="minorHAnsi" w:hAnsiTheme="minorHAnsi" w:cstheme="minorHAnsi"/>
          <w:i/>
          <w:iCs/>
          <w:color w:val="000000"/>
          <w:bdr w:val="none" w:sz="0" w:space="0" w:color="auto" w:frame="1"/>
          <w:lang w:val="en-GB"/>
        </w:rPr>
        <w:t xml:space="preserve"> D</w:t>
      </w:r>
      <w:r w:rsidR="00BC754F" w:rsidRPr="00BF17B0">
        <w:rPr>
          <w:rFonts w:asciiTheme="minorHAnsi" w:hAnsiTheme="minorHAnsi" w:cstheme="minorHAnsi"/>
          <w:i/>
          <w:iCs/>
          <w:color w:val="000000"/>
          <w:bdr w:val="none" w:sz="0" w:space="0" w:color="auto" w:frame="1"/>
          <w:lang w:val="en-GB"/>
        </w:rPr>
        <w:t xml:space="preserve">omain, and </w:t>
      </w:r>
      <w:r w:rsidR="00C41908" w:rsidRPr="00BF17B0">
        <w:rPr>
          <w:rFonts w:asciiTheme="minorHAnsi" w:hAnsiTheme="minorHAnsi" w:cstheme="minorHAnsi"/>
          <w:i/>
          <w:iCs/>
          <w:color w:val="000000"/>
          <w:bdr w:val="none" w:sz="0" w:space="0" w:color="auto" w:frame="1"/>
          <w:lang w:val="en-GB"/>
        </w:rPr>
        <w:t>I</w:t>
      </w:r>
      <w:r w:rsidR="00BC754F" w:rsidRPr="00BF17B0">
        <w:rPr>
          <w:rFonts w:asciiTheme="minorHAnsi" w:hAnsiTheme="minorHAnsi" w:cstheme="minorHAnsi"/>
          <w:i/>
          <w:iCs/>
          <w:color w:val="000000"/>
          <w:bdr w:val="none" w:sz="0" w:space="0" w:color="auto" w:frame="1"/>
          <w:lang w:val="en-GB"/>
        </w:rPr>
        <w:t>dentity</w:t>
      </w:r>
      <w:r w:rsidR="00C41908" w:rsidRPr="00BF17B0">
        <w:rPr>
          <w:rFonts w:asciiTheme="minorHAnsi" w:hAnsiTheme="minorHAnsi" w:cstheme="minorHAnsi"/>
          <w:i/>
          <w:iCs/>
          <w:color w:val="000000"/>
          <w:bdr w:val="none" w:sz="0" w:space="0" w:color="auto" w:frame="1"/>
          <w:lang w:val="en-GB"/>
        </w:rPr>
        <w:t xml:space="preserve"> - </w:t>
      </w:r>
      <w:r w:rsidR="00BC754F" w:rsidRPr="00BF17B0">
        <w:rPr>
          <w:rFonts w:asciiTheme="minorHAnsi" w:hAnsiTheme="minorHAnsi" w:cstheme="minorHAnsi"/>
          <w:i/>
          <w:iCs/>
          <w:color w:val="000000"/>
          <w:bdr w:val="none" w:sz="0" w:space="0" w:color="auto" w:frame="1"/>
          <w:lang w:val="en-GB"/>
        </w:rPr>
        <w:t xml:space="preserve">Report </w:t>
      </w:r>
      <w:r w:rsidR="00C41908" w:rsidRPr="00BF17B0">
        <w:rPr>
          <w:rFonts w:asciiTheme="minorHAnsi" w:hAnsiTheme="minorHAnsi" w:cstheme="minorHAnsi"/>
          <w:i/>
          <w:iCs/>
          <w:color w:val="000000"/>
          <w:bdr w:val="none" w:sz="0" w:space="0" w:color="auto" w:frame="1"/>
          <w:lang w:val="en-GB"/>
        </w:rPr>
        <w:t>S</w:t>
      </w:r>
      <w:r w:rsidR="00BC754F" w:rsidRPr="00BF17B0">
        <w:rPr>
          <w:rFonts w:asciiTheme="minorHAnsi" w:hAnsiTheme="minorHAnsi" w:cstheme="minorHAnsi"/>
          <w:i/>
          <w:iCs/>
          <w:color w:val="000000"/>
          <w:bdr w:val="none" w:sz="0" w:space="0" w:color="auto" w:frame="1"/>
          <w:lang w:val="en-GB"/>
        </w:rPr>
        <w:t xml:space="preserve">ubmitted by the WB-IOM </w:t>
      </w:r>
      <w:r w:rsidR="00C41908" w:rsidRPr="00BF17B0">
        <w:rPr>
          <w:rFonts w:asciiTheme="minorHAnsi" w:hAnsiTheme="minorHAnsi" w:cstheme="minorHAnsi"/>
          <w:i/>
          <w:iCs/>
          <w:color w:val="000000"/>
          <w:bdr w:val="none" w:sz="0" w:space="0" w:color="auto" w:frame="1"/>
          <w:lang w:val="en-GB"/>
        </w:rPr>
        <w:t>T</w:t>
      </w:r>
      <w:r w:rsidR="00BC754F" w:rsidRPr="00BF17B0">
        <w:rPr>
          <w:rFonts w:asciiTheme="minorHAnsi" w:hAnsiTheme="minorHAnsi" w:cstheme="minorHAnsi"/>
          <w:i/>
          <w:iCs/>
          <w:color w:val="000000"/>
          <w:bdr w:val="none" w:sz="0" w:space="0" w:color="auto" w:frame="1"/>
          <w:lang w:val="en-GB"/>
        </w:rPr>
        <w:t xml:space="preserve">echnical </w:t>
      </w:r>
      <w:r w:rsidR="00C41908" w:rsidRPr="00BF17B0">
        <w:rPr>
          <w:rFonts w:asciiTheme="minorHAnsi" w:hAnsiTheme="minorHAnsi" w:cstheme="minorHAnsi"/>
          <w:i/>
          <w:iCs/>
          <w:color w:val="000000"/>
          <w:bdr w:val="none" w:sz="0" w:space="0" w:color="auto" w:frame="1"/>
          <w:lang w:val="en-GB"/>
        </w:rPr>
        <w:t>T</w:t>
      </w:r>
      <w:r w:rsidR="00BC754F" w:rsidRPr="00BF17B0">
        <w:rPr>
          <w:rFonts w:asciiTheme="minorHAnsi" w:hAnsiTheme="minorHAnsi" w:cstheme="minorHAnsi"/>
          <w:i/>
          <w:iCs/>
          <w:color w:val="000000"/>
          <w:bdr w:val="none" w:sz="0" w:space="0" w:color="auto" w:frame="1"/>
          <w:lang w:val="en-GB"/>
        </w:rPr>
        <w:t>eam to the Transitional Justice and Reconciliation Commission.</w:t>
      </w:r>
      <w:r w:rsidR="00BC754F" w:rsidRPr="00BF17B0">
        <w:rPr>
          <w:rFonts w:asciiTheme="minorHAnsi" w:hAnsiTheme="minorHAnsi" w:cstheme="minorHAnsi"/>
          <w:iCs/>
          <w:color w:val="000000"/>
          <w:bdr w:val="none" w:sz="0" w:space="0" w:color="auto" w:frame="1"/>
          <w:lang w:val="en-GB"/>
        </w:rPr>
        <w:t xml:space="preserve"> </w:t>
      </w:r>
      <w:r w:rsidR="00BC754F" w:rsidRPr="00BF17B0">
        <w:rPr>
          <w:rFonts w:asciiTheme="minorHAnsi" w:hAnsiTheme="minorHAnsi" w:cstheme="minorHAnsi"/>
          <w:color w:val="000000"/>
          <w:lang w:val="en-GB"/>
        </w:rPr>
        <w:t xml:space="preserve">Washington, </w:t>
      </w:r>
      <w:r w:rsidR="00C41908" w:rsidRPr="00BF17B0">
        <w:rPr>
          <w:rFonts w:asciiTheme="minorHAnsi" w:hAnsiTheme="minorHAnsi" w:cstheme="minorHAnsi"/>
          <w:color w:val="000000"/>
          <w:lang w:val="en-GB"/>
        </w:rPr>
        <w:t>DC:</w:t>
      </w:r>
      <w:r w:rsidR="00BC754F" w:rsidRPr="00BF17B0">
        <w:rPr>
          <w:rFonts w:asciiTheme="minorHAnsi" w:hAnsiTheme="minorHAnsi" w:cstheme="minorHAnsi"/>
          <w:color w:val="000000"/>
          <w:lang w:val="en-GB"/>
        </w:rPr>
        <w:t xml:space="preserve"> World Bank Group.</w:t>
      </w:r>
      <w:r w:rsidR="00C41908" w:rsidRPr="00BF17B0">
        <w:rPr>
          <w:rFonts w:asciiTheme="minorHAnsi" w:hAnsiTheme="minorHAnsi" w:cstheme="minorHAnsi"/>
          <w:color w:val="000000"/>
          <w:lang w:val="en-GB"/>
        </w:rPr>
        <w:t xml:space="preserve"> http://documents.worldbank.org/curated/en/968161490797321335/pdf/113866-WP-P156212-GSU02-PUBLIC-Land-Territory-Domain-and-Identity-Web.pdf</w:t>
      </w:r>
    </w:p>
    <w:p w14:paraId="560F3BAD" w14:textId="77777777" w:rsidR="005B2894" w:rsidRPr="00BF17B0" w:rsidRDefault="005B2894" w:rsidP="005B2894">
      <w:pPr>
        <w:ind w:left="720" w:hanging="720"/>
        <w:rPr>
          <w:rFonts w:asciiTheme="minorHAnsi" w:hAnsiTheme="minorHAnsi" w:cstheme="minorHAnsi"/>
          <w:lang w:val="en-GB"/>
        </w:rPr>
      </w:pPr>
      <w:r w:rsidRPr="00BF17B0">
        <w:rPr>
          <w:rFonts w:asciiTheme="minorHAnsi" w:hAnsiTheme="minorHAnsi" w:cstheme="minorHAnsi"/>
          <w:lang w:val="en-GB"/>
        </w:rPr>
        <w:t xml:space="preserve">________. 2017c. </w:t>
      </w:r>
      <w:r w:rsidRPr="00BF17B0">
        <w:rPr>
          <w:rFonts w:asciiTheme="minorHAnsi" w:hAnsiTheme="minorHAnsi" w:cstheme="minorHAnsi"/>
          <w:i/>
          <w:lang w:val="en-GB"/>
        </w:rPr>
        <w:t>Philippines - Performance and Learning Review of the Country Partnership Strategy for the Period FY15 - FY19.</w:t>
      </w:r>
      <w:r w:rsidRPr="00BF17B0">
        <w:rPr>
          <w:rFonts w:asciiTheme="minorHAnsi" w:hAnsiTheme="minorHAnsi" w:cstheme="minorHAnsi"/>
          <w:lang w:val="en-GB"/>
        </w:rPr>
        <w:t xml:space="preserve"> Washington, D.C.: World Bank Group. http://documents.worldbank.org/curated/en/516821504404047783/Philippines-Performance-and-learning-review-of-the-country-partnership-strategy-for-the-period-FY15-FY19</w:t>
      </w:r>
    </w:p>
    <w:p w14:paraId="217147E5" w14:textId="77777777" w:rsidR="00C41908" w:rsidRPr="00BF17B0" w:rsidRDefault="00F032B2" w:rsidP="00C41908">
      <w:pPr>
        <w:ind w:left="720" w:hanging="720"/>
        <w:rPr>
          <w:rFonts w:asciiTheme="minorHAnsi" w:hAnsiTheme="minorHAnsi" w:cstheme="minorHAnsi"/>
          <w:lang w:val="en-GB"/>
        </w:rPr>
      </w:pPr>
      <w:r w:rsidRPr="00BF17B0">
        <w:rPr>
          <w:rFonts w:asciiTheme="minorHAnsi" w:hAnsiTheme="minorHAnsi" w:cstheme="minorHAnsi"/>
          <w:lang w:val="en-GB"/>
        </w:rPr>
        <w:t xml:space="preserve">________. </w:t>
      </w:r>
      <w:r w:rsidR="00BC754F" w:rsidRPr="00BF17B0">
        <w:rPr>
          <w:rFonts w:asciiTheme="minorHAnsi" w:hAnsiTheme="minorHAnsi" w:cstheme="minorHAnsi"/>
          <w:lang w:val="en-GB"/>
        </w:rPr>
        <w:t>2017</w:t>
      </w:r>
      <w:r w:rsidR="005B2894" w:rsidRPr="00BF17B0">
        <w:rPr>
          <w:rFonts w:asciiTheme="minorHAnsi" w:hAnsiTheme="minorHAnsi" w:cstheme="minorHAnsi"/>
          <w:lang w:val="en-GB"/>
        </w:rPr>
        <w:t>d</w:t>
      </w:r>
      <w:r w:rsidR="00C41908" w:rsidRPr="00BF17B0">
        <w:rPr>
          <w:rFonts w:asciiTheme="minorHAnsi" w:hAnsiTheme="minorHAnsi" w:cstheme="minorHAnsi"/>
          <w:lang w:val="en-GB"/>
        </w:rPr>
        <w:t xml:space="preserve">. </w:t>
      </w:r>
      <w:r w:rsidR="00BC754F" w:rsidRPr="00BF17B0">
        <w:rPr>
          <w:rFonts w:asciiTheme="minorHAnsi" w:hAnsiTheme="minorHAnsi" w:cstheme="minorHAnsi"/>
          <w:i/>
          <w:lang w:val="en-GB"/>
        </w:rPr>
        <w:t>Australia World Bank Philippines Development Trust Fund, Results Framewor</w:t>
      </w:r>
      <w:r w:rsidR="00C41908" w:rsidRPr="00BF17B0">
        <w:rPr>
          <w:rFonts w:asciiTheme="minorHAnsi" w:hAnsiTheme="minorHAnsi" w:cstheme="minorHAnsi"/>
          <w:i/>
          <w:lang w:val="en-GB"/>
        </w:rPr>
        <w:t>k.</w:t>
      </w:r>
    </w:p>
    <w:p w14:paraId="11DFF330" w14:textId="77777777" w:rsidR="00633549" w:rsidRPr="00BF17B0" w:rsidRDefault="00633549">
      <w:pPr>
        <w:spacing w:before="0" w:line="259" w:lineRule="auto"/>
        <w:rPr>
          <w:rFonts w:asciiTheme="minorHAnsi" w:hAnsiTheme="minorHAnsi" w:cstheme="minorHAnsi"/>
          <w:lang w:val="en-GB"/>
        </w:rPr>
      </w:pPr>
      <w:r w:rsidRPr="00BF17B0">
        <w:rPr>
          <w:rFonts w:asciiTheme="minorHAnsi" w:hAnsiTheme="minorHAnsi" w:cstheme="minorHAnsi"/>
          <w:lang w:val="en-GB"/>
        </w:rPr>
        <w:br w:type="page"/>
      </w:r>
    </w:p>
    <w:p w14:paraId="5781277E" w14:textId="77777777" w:rsidR="00C41908" w:rsidRPr="00BF17B0" w:rsidRDefault="00C41908" w:rsidP="00C41908">
      <w:pPr>
        <w:ind w:left="720" w:hanging="720"/>
        <w:rPr>
          <w:rFonts w:asciiTheme="minorHAnsi" w:hAnsiTheme="minorHAnsi" w:cstheme="minorHAnsi"/>
          <w:lang w:val="en-GB"/>
        </w:rPr>
      </w:pPr>
      <w:r w:rsidRPr="00BF17B0">
        <w:rPr>
          <w:rFonts w:asciiTheme="minorHAnsi" w:hAnsiTheme="minorHAnsi" w:cstheme="minorHAnsi"/>
          <w:lang w:val="en-GB"/>
        </w:rPr>
        <w:t xml:space="preserve">________. 2018a. </w:t>
      </w:r>
      <w:r w:rsidRPr="00BF17B0">
        <w:rPr>
          <w:rFonts w:asciiTheme="minorHAnsi" w:hAnsiTheme="minorHAnsi" w:cstheme="minorHAnsi"/>
          <w:i/>
          <w:lang w:val="en-GB"/>
        </w:rPr>
        <w:t>Growth and Productivity in the Philippines: Winning the Future.</w:t>
      </w:r>
      <w:r w:rsidRPr="00BF17B0">
        <w:rPr>
          <w:rFonts w:asciiTheme="minorHAnsi" w:hAnsiTheme="minorHAnsi" w:cstheme="minorHAnsi"/>
          <w:lang w:val="en-GB"/>
        </w:rPr>
        <w:t xml:space="preserve"> Washington, DC: World Bank. </w:t>
      </w:r>
      <w:r w:rsidRPr="00BF17B0">
        <w:rPr>
          <w:rStyle w:val="Hyperlink"/>
          <w:rFonts w:asciiTheme="minorHAnsi" w:hAnsiTheme="minorHAnsi" w:cstheme="minorHAnsi"/>
          <w:color w:val="auto"/>
          <w:u w:val="none"/>
          <w:lang w:val="en-GB"/>
        </w:rPr>
        <w:t>http://documents.worldbank.org/curated/en/586871537541775427/Growth-and-Productivity-in-the-Philippines-Winning-the-Future</w:t>
      </w:r>
    </w:p>
    <w:p w14:paraId="10D4E950" w14:textId="77777777" w:rsidR="00C41908" w:rsidRPr="00BF17B0" w:rsidRDefault="00C41908" w:rsidP="00C41908">
      <w:pPr>
        <w:ind w:left="720" w:hanging="720"/>
        <w:rPr>
          <w:rStyle w:val="Hyperlink"/>
          <w:rFonts w:asciiTheme="minorHAnsi" w:hAnsiTheme="minorHAnsi" w:cstheme="minorHAnsi"/>
          <w:color w:val="auto"/>
          <w:u w:val="none"/>
          <w:lang w:val="en-GB"/>
        </w:rPr>
      </w:pPr>
      <w:r w:rsidRPr="00BF17B0">
        <w:rPr>
          <w:rFonts w:asciiTheme="minorHAnsi" w:hAnsiTheme="minorHAnsi" w:cstheme="minorHAnsi"/>
          <w:lang w:val="en-GB"/>
        </w:rPr>
        <w:t xml:space="preserve">________. 2018b. </w:t>
      </w:r>
      <w:r w:rsidRPr="00BF17B0">
        <w:rPr>
          <w:rFonts w:asciiTheme="minorHAnsi" w:hAnsiTheme="minorHAnsi" w:cstheme="minorHAnsi"/>
          <w:i/>
          <w:lang w:val="en-GB"/>
        </w:rPr>
        <w:t>Making Growth Work for the Poor: A Poverty Assessment for the Philippines.</w:t>
      </w:r>
      <w:r w:rsidRPr="00BF17B0">
        <w:rPr>
          <w:rFonts w:asciiTheme="minorHAnsi" w:hAnsiTheme="minorHAnsi" w:cstheme="minorHAnsi"/>
          <w:lang w:val="en-GB"/>
        </w:rPr>
        <w:t xml:space="preserve"> Manila: World Bank. https://openknowledge.worldbank.org/handle/10986/29960 License: CC BY 3.0 IGO.” </w:t>
      </w:r>
      <w:r w:rsidR="00B57508" w:rsidRPr="00BF17B0">
        <w:rPr>
          <w:rStyle w:val="Hyperlink"/>
          <w:rFonts w:asciiTheme="minorHAnsi" w:hAnsiTheme="minorHAnsi" w:cstheme="minorHAnsi"/>
          <w:color w:val="auto"/>
          <w:u w:val="none"/>
          <w:lang w:val="en-GB"/>
        </w:rPr>
        <w:t>http://hdl.handle.net/10986/29960</w:t>
      </w:r>
    </w:p>
    <w:p w14:paraId="5307620D" w14:textId="77777777" w:rsidR="00A424E1" w:rsidRPr="00BF17B0" w:rsidRDefault="00A424E1" w:rsidP="00C41908">
      <w:pPr>
        <w:ind w:left="720" w:hanging="720"/>
        <w:rPr>
          <w:rFonts w:asciiTheme="minorHAnsi" w:hAnsiTheme="minorHAnsi" w:cstheme="minorHAnsi"/>
          <w:lang w:val="en-GB"/>
        </w:rPr>
      </w:pPr>
      <w:r w:rsidRPr="00BF17B0">
        <w:rPr>
          <w:rFonts w:asciiTheme="minorHAnsi" w:hAnsiTheme="minorHAnsi" w:cstheme="minorHAnsi"/>
        </w:rPr>
        <w:t xml:space="preserve">World Economic Forum. 2017. </w:t>
      </w:r>
      <w:r w:rsidRPr="00BF17B0">
        <w:rPr>
          <w:rFonts w:asciiTheme="minorHAnsi" w:hAnsiTheme="minorHAnsi" w:cstheme="minorHAnsi"/>
          <w:i/>
        </w:rPr>
        <w:t>The Global Gender Gap Report.</w:t>
      </w:r>
      <w:r w:rsidRPr="00BF17B0">
        <w:rPr>
          <w:rFonts w:asciiTheme="minorHAnsi" w:hAnsiTheme="minorHAnsi" w:cstheme="minorHAnsi"/>
        </w:rPr>
        <w:t xml:space="preserve"> </w:t>
      </w:r>
      <w:r w:rsidR="00030210" w:rsidRPr="00BF17B0">
        <w:rPr>
          <w:rFonts w:asciiTheme="minorHAnsi" w:hAnsiTheme="minorHAnsi" w:cstheme="minorHAnsi"/>
        </w:rPr>
        <w:t xml:space="preserve">Geneva: World Economic Forum. </w:t>
      </w:r>
      <w:r w:rsidRPr="00BF17B0">
        <w:rPr>
          <w:rFonts w:asciiTheme="minorHAnsi" w:hAnsiTheme="minorHAnsi" w:cstheme="minorHAnsi"/>
        </w:rPr>
        <w:t>http://www3.weforum.org/docs/WEF_GGGR_2017.pdf</w:t>
      </w:r>
    </w:p>
    <w:p w14:paraId="5D496B35" w14:textId="77777777" w:rsidR="003D631B" w:rsidRPr="00BF17B0" w:rsidRDefault="003D631B" w:rsidP="00030210">
      <w:pPr>
        <w:rPr>
          <w:rFonts w:asciiTheme="minorHAnsi" w:hAnsiTheme="minorHAnsi" w:cstheme="minorHAnsi"/>
          <w:lang w:val="en-GB"/>
        </w:rPr>
      </w:pPr>
    </w:p>
    <w:p w14:paraId="64A2ABF7" w14:textId="77777777" w:rsidR="00BC754F" w:rsidRPr="00BF17B0" w:rsidRDefault="00030210" w:rsidP="00F213C8">
      <w:pPr>
        <w:rPr>
          <w:rFonts w:asciiTheme="minorHAnsi" w:hAnsiTheme="minorHAnsi" w:cstheme="minorHAnsi"/>
          <w:lang w:val="en-GB"/>
        </w:rPr>
      </w:pPr>
      <w:r w:rsidRPr="00BF17B0">
        <w:rPr>
          <w:rFonts w:asciiTheme="minorHAnsi" w:hAnsiTheme="minorHAnsi" w:cstheme="minorHAnsi"/>
          <w:lang w:val="en-GB"/>
        </w:rPr>
        <w:t xml:space="preserve">Other references used included </w:t>
      </w:r>
      <w:r w:rsidR="00BC754F" w:rsidRPr="00BF17B0">
        <w:rPr>
          <w:rFonts w:asciiTheme="minorHAnsi" w:hAnsiTheme="minorHAnsi" w:cstheme="minorHAnsi"/>
          <w:lang w:val="en-GB"/>
        </w:rPr>
        <w:t>(inter alia)</w:t>
      </w:r>
      <w:r w:rsidRPr="00BF17B0">
        <w:rPr>
          <w:rFonts w:asciiTheme="minorHAnsi" w:hAnsiTheme="minorHAnsi" w:cstheme="minorHAnsi"/>
          <w:lang w:val="en-GB"/>
        </w:rPr>
        <w:t xml:space="preserve"> the </w:t>
      </w:r>
      <w:r w:rsidR="00BC754F" w:rsidRPr="00BF17B0">
        <w:rPr>
          <w:rFonts w:asciiTheme="minorHAnsi" w:hAnsiTheme="minorHAnsi" w:cstheme="minorHAnsi"/>
          <w:lang w:val="en-GB"/>
        </w:rPr>
        <w:t>Grant Funding Requests for all projects reviewed</w:t>
      </w:r>
      <w:r w:rsidRPr="00BF17B0">
        <w:rPr>
          <w:rFonts w:asciiTheme="minorHAnsi" w:hAnsiTheme="minorHAnsi" w:cstheme="minorHAnsi"/>
          <w:lang w:val="en-GB"/>
        </w:rPr>
        <w:t xml:space="preserve">; </w:t>
      </w:r>
      <w:r w:rsidR="00BC754F" w:rsidRPr="00BF17B0">
        <w:rPr>
          <w:rFonts w:asciiTheme="minorHAnsi" w:hAnsiTheme="minorHAnsi" w:cstheme="minorHAnsi"/>
          <w:lang w:val="en-GB"/>
        </w:rPr>
        <w:t xml:space="preserve">Grant Completion Reports </w:t>
      </w:r>
      <w:r w:rsidRPr="00BF17B0">
        <w:rPr>
          <w:rFonts w:asciiTheme="minorHAnsi" w:hAnsiTheme="minorHAnsi" w:cstheme="minorHAnsi"/>
          <w:lang w:val="en-GB"/>
        </w:rPr>
        <w:t>f</w:t>
      </w:r>
      <w:r w:rsidR="00BC754F" w:rsidRPr="00BF17B0">
        <w:rPr>
          <w:rFonts w:asciiTheme="minorHAnsi" w:hAnsiTheme="minorHAnsi" w:cstheme="minorHAnsi"/>
          <w:lang w:val="en-GB"/>
        </w:rPr>
        <w:t>rom the World Bank</w:t>
      </w:r>
      <w:r w:rsidRPr="00BF17B0">
        <w:rPr>
          <w:rFonts w:asciiTheme="minorHAnsi" w:hAnsiTheme="minorHAnsi" w:cstheme="minorHAnsi"/>
          <w:lang w:val="en-GB"/>
        </w:rPr>
        <w:t>’</w:t>
      </w:r>
      <w:r w:rsidR="00BC754F" w:rsidRPr="00BF17B0">
        <w:rPr>
          <w:rFonts w:asciiTheme="minorHAnsi" w:hAnsiTheme="minorHAnsi" w:cstheme="minorHAnsi"/>
          <w:lang w:val="en-GB"/>
        </w:rPr>
        <w:t xml:space="preserve">s Grant Reporting and Monitoring </w:t>
      </w:r>
      <w:r w:rsidRPr="00BF17B0">
        <w:rPr>
          <w:rFonts w:asciiTheme="minorHAnsi" w:hAnsiTheme="minorHAnsi" w:cstheme="minorHAnsi"/>
          <w:lang w:val="en-GB"/>
        </w:rPr>
        <w:t xml:space="preserve">system; </w:t>
      </w:r>
      <w:r w:rsidR="00BC754F" w:rsidRPr="00BF17B0">
        <w:rPr>
          <w:rFonts w:asciiTheme="minorHAnsi" w:hAnsiTheme="minorHAnsi" w:cstheme="minorHAnsi"/>
          <w:lang w:val="en-GB"/>
        </w:rPr>
        <w:t xml:space="preserve">Program Concept Notes and Program Completion Reports for all Programmatic AAAs </w:t>
      </w:r>
      <w:r w:rsidRPr="00BF17B0">
        <w:rPr>
          <w:rFonts w:asciiTheme="minorHAnsi" w:hAnsiTheme="minorHAnsi" w:cstheme="minorHAnsi"/>
          <w:lang w:val="en-GB"/>
        </w:rPr>
        <w:t xml:space="preserve">that </w:t>
      </w:r>
      <w:r w:rsidR="00BC754F" w:rsidRPr="00BF17B0">
        <w:rPr>
          <w:rFonts w:asciiTheme="minorHAnsi" w:hAnsiTheme="minorHAnsi" w:cstheme="minorHAnsi"/>
          <w:lang w:val="en-GB"/>
        </w:rPr>
        <w:t xml:space="preserve">included </w:t>
      </w:r>
      <w:r w:rsidR="00D576DD" w:rsidRPr="00BF17B0">
        <w:rPr>
          <w:rFonts w:asciiTheme="minorHAnsi" w:hAnsiTheme="minorHAnsi" w:cstheme="minorHAnsi"/>
          <w:lang w:val="en-GB"/>
        </w:rPr>
        <w:t>PH-</w:t>
      </w:r>
      <w:r w:rsidRPr="00BF17B0">
        <w:rPr>
          <w:rFonts w:asciiTheme="minorHAnsi" w:hAnsiTheme="minorHAnsi" w:cstheme="minorHAnsi"/>
          <w:lang w:val="en-GB"/>
        </w:rPr>
        <w:t>PTF-</w:t>
      </w:r>
      <w:r w:rsidR="00BC754F" w:rsidRPr="00BF17B0">
        <w:rPr>
          <w:rFonts w:asciiTheme="minorHAnsi" w:hAnsiTheme="minorHAnsi" w:cstheme="minorHAnsi"/>
          <w:lang w:val="en-GB"/>
        </w:rPr>
        <w:t>funded grants.  Other documents reviewed included</w:t>
      </w:r>
      <w:r w:rsidR="00DC4650" w:rsidRPr="00BF17B0">
        <w:rPr>
          <w:rFonts w:asciiTheme="minorHAnsi" w:hAnsiTheme="minorHAnsi" w:cstheme="minorHAnsi"/>
          <w:lang w:val="en-GB"/>
        </w:rPr>
        <w:t xml:space="preserve"> the Operating Guidelines (2009</w:t>
      </w:r>
      <w:r w:rsidR="00BC754F" w:rsidRPr="00BF17B0">
        <w:rPr>
          <w:rFonts w:asciiTheme="minorHAnsi" w:hAnsiTheme="minorHAnsi" w:cstheme="minorHAnsi"/>
          <w:lang w:val="en-GB"/>
        </w:rPr>
        <w:t>), Trust Fund financial statements, Minutes of Steering Committee meetings, Minutes of Operational Meetings</w:t>
      </w:r>
      <w:r w:rsidRPr="00BF17B0">
        <w:rPr>
          <w:rFonts w:asciiTheme="minorHAnsi" w:hAnsiTheme="minorHAnsi" w:cstheme="minorHAnsi"/>
          <w:lang w:val="en-GB"/>
        </w:rPr>
        <w:t>,</w:t>
      </w:r>
      <w:r w:rsidR="00BC754F" w:rsidRPr="00BF17B0">
        <w:rPr>
          <w:rFonts w:asciiTheme="minorHAnsi" w:hAnsiTheme="minorHAnsi" w:cstheme="minorHAnsi"/>
          <w:lang w:val="en-GB"/>
        </w:rPr>
        <w:t xml:space="preserve"> and the PH-PTF Communication Guidelines (July 2014).  </w:t>
      </w:r>
    </w:p>
    <w:p w14:paraId="4FAC0928" w14:textId="77777777" w:rsidR="00BC754F" w:rsidRPr="00BF17B0" w:rsidRDefault="00BC754F" w:rsidP="009469C2">
      <w:pPr>
        <w:pStyle w:val="AnnexHead"/>
        <w:rPr>
          <w:rFonts w:asciiTheme="minorHAnsi" w:hAnsiTheme="minorHAnsi" w:cstheme="minorHAnsi"/>
        </w:rPr>
      </w:pPr>
    </w:p>
    <w:sectPr w:rsidR="00BC754F" w:rsidRPr="00BF17B0" w:rsidSect="00A31F64">
      <w:footerReference w:type="first" r:id="rId34"/>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088A2" w14:textId="77777777" w:rsidR="00F338BE" w:rsidRDefault="00F338BE" w:rsidP="006B2AE4">
      <w:pPr>
        <w:spacing w:after="0"/>
      </w:pPr>
      <w:r>
        <w:separator/>
      </w:r>
    </w:p>
  </w:endnote>
  <w:endnote w:type="continuationSeparator" w:id="0">
    <w:p w14:paraId="65C281AB" w14:textId="77777777" w:rsidR="00F338BE" w:rsidRDefault="00F338BE" w:rsidP="006B2A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386144"/>
      <w:docPartObj>
        <w:docPartGallery w:val="Page Numbers (Bottom of Page)"/>
        <w:docPartUnique/>
      </w:docPartObj>
    </w:sdtPr>
    <w:sdtEndPr>
      <w:rPr>
        <w:noProof/>
      </w:rPr>
    </w:sdtEndPr>
    <w:sdtContent>
      <w:p w14:paraId="3834D335" w14:textId="77777777" w:rsidR="00F338BE" w:rsidRDefault="00F338BE" w:rsidP="009E74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328739"/>
      <w:docPartObj>
        <w:docPartGallery w:val="Page Numbers (Bottom of Page)"/>
        <w:docPartUnique/>
      </w:docPartObj>
    </w:sdtPr>
    <w:sdtEndPr>
      <w:rPr>
        <w:noProof/>
      </w:rPr>
    </w:sdtEndPr>
    <w:sdtContent>
      <w:p w14:paraId="154E9C69" w14:textId="77777777" w:rsidR="00F338BE" w:rsidRPr="0074690E" w:rsidRDefault="00F338BE" w:rsidP="0075589F">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26199"/>
      <w:docPartObj>
        <w:docPartGallery w:val="Page Numbers (Bottom of Page)"/>
        <w:docPartUnique/>
      </w:docPartObj>
    </w:sdtPr>
    <w:sdtEndPr>
      <w:rPr>
        <w:noProof/>
      </w:rPr>
    </w:sdtEndPr>
    <w:sdtContent>
      <w:p w14:paraId="5891C97F" w14:textId="634EA0D2" w:rsidR="00F338BE" w:rsidRDefault="00F338BE" w:rsidP="009E7475">
        <w:pPr>
          <w:pStyle w:val="Footer"/>
          <w:jc w:val="right"/>
        </w:pPr>
        <w:r>
          <w:fldChar w:fldCharType="begin"/>
        </w:r>
        <w:r>
          <w:instrText xml:space="preserve"> PAGE   \* MERGEFORMAT </w:instrText>
        </w:r>
        <w:r>
          <w:fldChar w:fldCharType="separate"/>
        </w:r>
        <w:r w:rsidR="00E90149">
          <w:rPr>
            <w:noProof/>
          </w:rPr>
          <w:t>ix</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602020"/>
      <w:docPartObj>
        <w:docPartGallery w:val="Page Numbers (Bottom of Page)"/>
        <w:docPartUnique/>
      </w:docPartObj>
    </w:sdtPr>
    <w:sdtEndPr>
      <w:rPr>
        <w:noProof/>
      </w:rPr>
    </w:sdtEndPr>
    <w:sdtContent>
      <w:p w14:paraId="55E60106" w14:textId="5921A34F" w:rsidR="00F338BE" w:rsidRDefault="00F338BE">
        <w:pPr>
          <w:pStyle w:val="Footer"/>
          <w:jc w:val="right"/>
        </w:pPr>
        <w:r>
          <w:fldChar w:fldCharType="begin"/>
        </w:r>
        <w:r>
          <w:instrText xml:space="preserve"> PAGE   \* MERGEFORMAT </w:instrText>
        </w:r>
        <w:r>
          <w:fldChar w:fldCharType="separate"/>
        </w:r>
        <w:r w:rsidR="00E90149">
          <w:rPr>
            <w:noProof/>
          </w:rPr>
          <w:t>i</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924505"/>
      <w:docPartObj>
        <w:docPartGallery w:val="Page Numbers (Bottom of Page)"/>
        <w:docPartUnique/>
      </w:docPartObj>
    </w:sdtPr>
    <w:sdtEndPr>
      <w:rPr>
        <w:noProof/>
      </w:rPr>
    </w:sdtEndPr>
    <w:sdtContent>
      <w:p w14:paraId="79C61024" w14:textId="015ACDE7" w:rsidR="00F338BE" w:rsidRDefault="00F338BE">
        <w:pPr>
          <w:pStyle w:val="Footer"/>
          <w:jc w:val="right"/>
        </w:pPr>
        <w:r>
          <w:fldChar w:fldCharType="begin"/>
        </w:r>
        <w:r>
          <w:instrText xml:space="preserve"> PAGE   \* MERGEFORMAT </w:instrText>
        </w:r>
        <w:r>
          <w:fldChar w:fldCharType="separate"/>
        </w:r>
        <w:r w:rsidR="00E9014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559862"/>
      <w:docPartObj>
        <w:docPartGallery w:val="Page Numbers (Bottom of Page)"/>
        <w:docPartUnique/>
      </w:docPartObj>
    </w:sdtPr>
    <w:sdtEndPr>
      <w:rPr>
        <w:rFonts w:asciiTheme="minorHAnsi" w:hAnsiTheme="minorHAnsi" w:cstheme="minorHAnsi"/>
        <w:noProof/>
      </w:rPr>
    </w:sdtEndPr>
    <w:sdtContent>
      <w:p w14:paraId="6EA184BC" w14:textId="391A498B" w:rsidR="00F338BE" w:rsidRPr="00774495" w:rsidRDefault="00F338BE">
        <w:pPr>
          <w:pStyle w:val="Footer"/>
          <w:jc w:val="right"/>
          <w:rPr>
            <w:rFonts w:asciiTheme="minorHAnsi" w:hAnsiTheme="minorHAnsi" w:cstheme="minorHAnsi"/>
          </w:rPr>
        </w:pPr>
        <w:r w:rsidRPr="00774495">
          <w:rPr>
            <w:rFonts w:asciiTheme="minorHAnsi" w:hAnsiTheme="minorHAnsi" w:cstheme="minorHAnsi"/>
          </w:rPr>
          <w:fldChar w:fldCharType="begin"/>
        </w:r>
        <w:r w:rsidRPr="00774495">
          <w:rPr>
            <w:rFonts w:asciiTheme="minorHAnsi" w:hAnsiTheme="minorHAnsi" w:cstheme="minorHAnsi"/>
          </w:rPr>
          <w:instrText xml:space="preserve"> PAGE   \* MERGEFORMAT </w:instrText>
        </w:r>
        <w:r w:rsidRPr="00774495">
          <w:rPr>
            <w:rFonts w:asciiTheme="minorHAnsi" w:hAnsiTheme="minorHAnsi" w:cstheme="minorHAnsi"/>
          </w:rPr>
          <w:fldChar w:fldCharType="separate"/>
        </w:r>
        <w:r w:rsidR="00E90149">
          <w:rPr>
            <w:rFonts w:asciiTheme="minorHAnsi" w:hAnsiTheme="minorHAnsi" w:cstheme="minorHAnsi"/>
            <w:noProof/>
          </w:rPr>
          <w:t>27</w:t>
        </w:r>
        <w:r w:rsidRPr="00774495">
          <w:rPr>
            <w:rFonts w:asciiTheme="minorHAnsi" w:hAnsiTheme="minorHAnsi" w:cstheme="minorHAnsi"/>
            <w:noProof/>
          </w:rPr>
          <w:fldChar w:fldCharType="end"/>
        </w:r>
      </w:p>
    </w:sdtContent>
  </w:sdt>
  <w:p w14:paraId="456E03F4" w14:textId="77777777" w:rsidR="00F338BE" w:rsidRDefault="00F338B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766518"/>
      <w:docPartObj>
        <w:docPartGallery w:val="Page Numbers (Bottom of Page)"/>
        <w:docPartUnique/>
      </w:docPartObj>
    </w:sdtPr>
    <w:sdtEndPr>
      <w:rPr>
        <w:noProof/>
      </w:rPr>
    </w:sdtEndPr>
    <w:sdtContent>
      <w:p w14:paraId="4804B8C6" w14:textId="3FE03202" w:rsidR="00F338BE" w:rsidRDefault="00F338BE">
        <w:pPr>
          <w:pStyle w:val="Footer"/>
          <w:jc w:val="right"/>
        </w:pPr>
        <w:r>
          <w:fldChar w:fldCharType="begin"/>
        </w:r>
        <w:r>
          <w:instrText xml:space="preserve"> PAGE   \* MERGEFORMAT </w:instrText>
        </w:r>
        <w:r>
          <w:fldChar w:fldCharType="separate"/>
        </w:r>
        <w:r w:rsidR="00E90149">
          <w:rPr>
            <w:noProof/>
          </w:rPr>
          <w:t>8</w:t>
        </w:r>
        <w:r>
          <w:rPr>
            <w:noProof/>
          </w:rPr>
          <w:fldChar w:fldCharType="end"/>
        </w:r>
      </w:p>
    </w:sdtContent>
  </w:sdt>
  <w:p w14:paraId="783154A0" w14:textId="77777777" w:rsidR="00F338BE" w:rsidRDefault="00F338B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269290"/>
      <w:docPartObj>
        <w:docPartGallery w:val="Page Numbers (Bottom of Page)"/>
        <w:docPartUnique/>
      </w:docPartObj>
    </w:sdtPr>
    <w:sdtEndPr>
      <w:rPr>
        <w:noProof/>
      </w:rPr>
    </w:sdtEndPr>
    <w:sdtContent>
      <w:p w14:paraId="683E26E3" w14:textId="05F3394B" w:rsidR="00F338BE" w:rsidRDefault="00F338BE">
        <w:pPr>
          <w:pStyle w:val="Footer"/>
          <w:jc w:val="right"/>
        </w:pPr>
        <w:r>
          <w:fldChar w:fldCharType="begin"/>
        </w:r>
        <w:r>
          <w:instrText xml:space="preserve"> PAGE   \* MERGEFORMAT </w:instrText>
        </w:r>
        <w:r>
          <w:fldChar w:fldCharType="separate"/>
        </w:r>
        <w:r w:rsidR="00E90149">
          <w:rPr>
            <w:noProof/>
          </w:rPr>
          <w:t>9</w:t>
        </w:r>
        <w:r>
          <w:rPr>
            <w:noProof/>
          </w:rPr>
          <w:fldChar w:fldCharType="end"/>
        </w:r>
      </w:p>
    </w:sdtContent>
  </w:sdt>
  <w:p w14:paraId="3366BFB6" w14:textId="77777777" w:rsidR="00F338BE" w:rsidRDefault="00F33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51E06" w14:textId="77777777" w:rsidR="00F338BE" w:rsidRDefault="00F338BE" w:rsidP="006B2AE4">
      <w:pPr>
        <w:spacing w:after="0"/>
      </w:pPr>
      <w:r>
        <w:separator/>
      </w:r>
    </w:p>
  </w:footnote>
  <w:footnote w:type="continuationSeparator" w:id="0">
    <w:p w14:paraId="598EC6A8" w14:textId="77777777" w:rsidR="00F338BE" w:rsidRDefault="00F338BE" w:rsidP="006B2AE4">
      <w:pPr>
        <w:spacing w:after="0"/>
      </w:pPr>
      <w:r>
        <w:continuationSeparator/>
      </w:r>
    </w:p>
  </w:footnote>
  <w:footnote w:id="1">
    <w:p w14:paraId="07BAB755" w14:textId="252E424A" w:rsidR="00F338BE" w:rsidRPr="004B5FB1" w:rsidRDefault="00F338BE">
      <w:pPr>
        <w:pStyle w:val="FootnoteText"/>
        <w:rPr>
          <w:rFonts w:asciiTheme="minorHAnsi" w:hAnsiTheme="minorHAnsi" w:cstheme="minorHAnsi"/>
        </w:rPr>
      </w:pPr>
      <w:r>
        <w:rPr>
          <w:rStyle w:val="FootnoteReference"/>
        </w:rPr>
        <w:footnoteRef/>
      </w:r>
      <w:r>
        <w:t xml:space="preserve">  </w:t>
      </w:r>
      <w:r w:rsidRPr="004B5FB1">
        <w:rPr>
          <w:rFonts w:asciiTheme="minorHAnsi" w:hAnsiTheme="minorHAnsi" w:cstheme="minorHAnsi"/>
        </w:rPr>
        <w:t xml:space="preserve">The </w:t>
      </w:r>
      <w:r>
        <w:rPr>
          <w:rFonts w:asciiTheme="minorHAnsi" w:hAnsiTheme="minorHAnsi" w:cstheme="minorHAnsi"/>
        </w:rPr>
        <w:t>trust</w:t>
      </w:r>
      <w:r w:rsidRPr="004B5FB1">
        <w:rPr>
          <w:rFonts w:asciiTheme="minorHAnsi" w:hAnsiTheme="minorHAnsi" w:cstheme="minorHAnsi"/>
        </w:rPr>
        <w:t xml:space="preserve"> was also called </w:t>
      </w:r>
      <w:r w:rsidRPr="00EF2683">
        <w:rPr>
          <w:rFonts w:asciiTheme="minorHAnsi" w:hAnsiTheme="minorHAnsi" w:cstheme="minorHAnsi"/>
        </w:rPr>
        <w:t>the umbrella trust fund or UTF at times during its implementation.</w:t>
      </w:r>
      <w:r>
        <w:rPr>
          <w:rFonts w:asciiTheme="minorHAnsi" w:hAnsiTheme="minorHAnsi" w:cstheme="minorHAnsi"/>
        </w:rPr>
        <w:t xml:space="preserve"> In the World Bank, it is officially referred to as the Philippines programmatic trust fund (PH-PTF) and this acronym will be used consistently throughout the rest of this report.</w:t>
      </w:r>
    </w:p>
  </w:footnote>
  <w:footnote w:id="2">
    <w:p w14:paraId="4CE90BBE" w14:textId="77777777" w:rsidR="00F338BE" w:rsidRDefault="00F338BE" w:rsidP="00EF2683">
      <w:pPr>
        <w:pStyle w:val="FootnoteText"/>
      </w:pPr>
      <w:r w:rsidRPr="00FD782E">
        <w:rPr>
          <w:rStyle w:val="FootnoteReference"/>
          <w:rFonts w:asciiTheme="minorHAnsi" w:hAnsiTheme="minorHAnsi" w:cstheme="minorHAnsi"/>
        </w:rPr>
        <w:footnoteRef/>
      </w:r>
      <w:r w:rsidRPr="00FD782E">
        <w:rPr>
          <w:rFonts w:asciiTheme="minorHAnsi" w:hAnsiTheme="minorHAnsi" w:cstheme="minorHAnsi"/>
        </w:rPr>
        <w:t xml:space="preserve"> The </w:t>
      </w:r>
      <w:r>
        <w:rPr>
          <w:rFonts w:asciiTheme="minorHAnsi" w:hAnsiTheme="minorHAnsi" w:cstheme="minorHAnsi"/>
        </w:rPr>
        <w:t>PH-PTF</w:t>
      </w:r>
      <w:r w:rsidRPr="00FD782E">
        <w:rPr>
          <w:rFonts w:asciiTheme="minorHAnsi" w:hAnsiTheme="minorHAnsi" w:cstheme="minorHAnsi"/>
        </w:rPr>
        <w:t xml:space="preserve"> </w:t>
      </w:r>
      <w:r w:rsidRPr="00EF2683">
        <w:rPr>
          <w:rFonts w:asciiTheme="minorHAnsi" w:hAnsiTheme="minorHAnsi" w:cstheme="minorHAnsi"/>
        </w:rPr>
        <w:t>Midterm Review (MTR) conducted in 2012 analyzed these various modalities of collaboration between World Bank and Australia and concluded that the programmatic trust fund was the most appropriate tool for achieving the desired outcomes. This current evaluation concurs with the MTR conclusion</w:t>
      </w:r>
      <w:r w:rsidRPr="00BF17B0">
        <w:rPr>
          <w:rFonts w:asciiTheme="minorHAnsi" w:hAnsiTheme="minorHAnsi" w:cstheme="minorHAnsi"/>
        </w:rPr>
        <w:t>.</w:t>
      </w:r>
    </w:p>
  </w:footnote>
  <w:footnote w:id="3">
    <w:p w14:paraId="7DFDBCC4" w14:textId="582E08DE" w:rsidR="00F338BE" w:rsidRPr="004B5FB1" w:rsidRDefault="00F338BE" w:rsidP="000F774A">
      <w:pPr>
        <w:pStyle w:val="FootnoteText"/>
        <w:rPr>
          <w:rFonts w:asciiTheme="minorHAnsi" w:hAnsiTheme="minorHAnsi" w:cstheme="minorHAnsi"/>
        </w:rPr>
      </w:pPr>
      <w:r>
        <w:rPr>
          <w:rStyle w:val="FootnoteReference"/>
        </w:rPr>
        <w:footnoteRef/>
      </w:r>
      <w:r>
        <w:t xml:space="preserve">  </w:t>
      </w:r>
      <w:r w:rsidRPr="004B5FB1">
        <w:rPr>
          <w:rFonts w:asciiTheme="minorHAnsi" w:hAnsiTheme="minorHAnsi" w:cstheme="minorHAnsi"/>
        </w:rPr>
        <w:t xml:space="preserve">The </w:t>
      </w:r>
      <w:r>
        <w:rPr>
          <w:rFonts w:asciiTheme="minorHAnsi" w:hAnsiTheme="minorHAnsi" w:cstheme="minorHAnsi"/>
        </w:rPr>
        <w:t>trust</w:t>
      </w:r>
      <w:r w:rsidRPr="004B5FB1">
        <w:rPr>
          <w:rFonts w:asciiTheme="minorHAnsi" w:hAnsiTheme="minorHAnsi" w:cstheme="minorHAnsi"/>
        </w:rPr>
        <w:t xml:space="preserve"> was also called </w:t>
      </w:r>
      <w:r w:rsidRPr="00EF2683">
        <w:rPr>
          <w:rFonts w:asciiTheme="minorHAnsi" w:hAnsiTheme="minorHAnsi" w:cstheme="minorHAnsi"/>
        </w:rPr>
        <w:t>the umbrella trust fund or UTF at times during its implementation.</w:t>
      </w:r>
      <w:r>
        <w:rPr>
          <w:rFonts w:asciiTheme="minorHAnsi" w:hAnsiTheme="minorHAnsi" w:cstheme="minorHAnsi"/>
        </w:rPr>
        <w:t xml:space="preserve"> In the World Bank, it is officially referred to as the Philippines programmatic trust fund (PH-PTF) and this acronym will be used consistently throughout the rest of this report.</w:t>
      </w:r>
    </w:p>
  </w:footnote>
  <w:footnote w:id="4">
    <w:p w14:paraId="104AADA5" w14:textId="77777777" w:rsidR="00F338BE" w:rsidRPr="00F043CF" w:rsidRDefault="00F338BE" w:rsidP="0055613B">
      <w:pPr>
        <w:pStyle w:val="EndNote"/>
      </w:pPr>
      <w:r w:rsidRPr="0094177D">
        <w:rPr>
          <w:rStyle w:val="FootnoteReference"/>
        </w:rPr>
        <w:footnoteRef/>
      </w:r>
      <w:r w:rsidRPr="0094177D">
        <w:t xml:space="preserve"> </w:t>
      </w:r>
      <w:r w:rsidRPr="00F043CF">
        <w:t>Measured by the annual per capita official poverty line of ₱18,935 (or approximately $2.66 a day in 2011 purchasing power parity)</w:t>
      </w:r>
      <w:r w:rsidRPr="00F043CF">
        <w:rPr>
          <w:i/>
          <w:iCs/>
        </w:rPr>
        <w:t>.</w:t>
      </w:r>
      <w:r w:rsidRPr="00F043CF">
        <w:t xml:space="preserve"> The Philippine Development Plan 2011– 2016 targeted a poverty incidence of 22.5 percent by 2016.</w:t>
      </w:r>
    </w:p>
  </w:footnote>
  <w:footnote w:id="5">
    <w:p w14:paraId="1BF440F3" w14:textId="77777777" w:rsidR="00F338BE" w:rsidRPr="00E84B1F" w:rsidRDefault="00F338BE" w:rsidP="0055613B">
      <w:pPr>
        <w:pStyle w:val="EndNote"/>
        <w:rPr>
          <w:rFonts w:ascii="Times New Roman" w:hAnsi="Times New Roman" w:cs="Times New Roman"/>
          <w:sz w:val="16"/>
          <w:szCs w:val="16"/>
        </w:rPr>
      </w:pPr>
      <w:r w:rsidRPr="00F043CF">
        <w:rPr>
          <w:rStyle w:val="FootnoteReference"/>
        </w:rPr>
        <w:footnoteRef/>
      </w:r>
      <w:r w:rsidRPr="00F043CF">
        <w:t xml:space="preserve"> World Bank research </w:t>
      </w:r>
      <w:r>
        <w:t xml:space="preserve">(Morton et al. 2014) </w:t>
      </w:r>
      <w:r w:rsidRPr="00F043CF">
        <w:t xml:space="preserve">suggests that in 2012-2015, wage growth for women </w:t>
      </w:r>
      <w:r>
        <w:t>wa</w:t>
      </w:r>
      <w:r w:rsidRPr="00F043CF">
        <w:t>s faster than for men, though women earn</w:t>
      </w:r>
      <w:r>
        <w:t>ed</w:t>
      </w:r>
      <w:r w:rsidRPr="00F043CF">
        <w:t xml:space="preserve"> less than men </w:t>
      </w:r>
      <w:r>
        <w:t>in</w:t>
      </w:r>
      <w:r w:rsidRPr="00F043CF">
        <w:t xml:space="preserve"> the same level of education</w:t>
      </w:r>
    </w:p>
  </w:footnote>
  <w:footnote w:id="6">
    <w:p w14:paraId="046C71FD" w14:textId="77777777" w:rsidR="00F338BE" w:rsidRPr="00B763AF" w:rsidRDefault="00F338BE" w:rsidP="0055613B">
      <w:pPr>
        <w:pStyle w:val="EndNote"/>
      </w:pPr>
      <w:r w:rsidRPr="00B763AF">
        <w:rPr>
          <w:rStyle w:val="FootnoteReference"/>
        </w:rPr>
        <w:footnoteRef/>
      </w:r>
      <w:r w:rsidRPr="00B763AF">
        <w:t xml:space="preserve"> While stunting</w:t>
      </w:r>
      <w:r>
        <w:t xml:space="preserve"> </w:t>
      </w:r>
      <w:r w:rsidRPr="00B763AF">
        <w:t xml:space="preserve">prevalence </w:t>
      </w:r>
      <w:r>
        <w:t xml:space="preserve">was </w:t>
      </w:r>
      <w:r w:rsidRPr="00B763AF">
        <w:t xml:space="preserve">not </w:t>
      </w:r>
      <w:r>
        <w:t xml:space="preserve">specified in the </w:t>
      </w:r>
      <w:r w:rsidRPr="00B763AF">
        <w:t>MDG, it is highlighted here as an important human development indicator for monitoring in the</w:t>
      </w:r>
      <w:r>
        <w:t xml:space="preserve"> </w:t>
      </w:r>
      <w:r w:rsidRPr="00B763AF">
        <w:t>Philippines.</w:t>
      </w:r>
    </w:p>
  </w:footnote>
  <w:footnote w:id="7">
    <w:p w14:paraId="4F5DA3DE" w14:textId="77777777" w:rsidR="00F338BE" w:rsidRPr="00B763AF" w:rsidRDefault="00F338BE" w:rsidP="000D24AC">
      <w:pPr>
        <w:pStyle w:val="EndNote"/>
      </w:pPr>
      <w:r w:rsidRPr="00B763AF">
        <w:rPr>
          <w:rStyle w:val="footnotemark"/>
          <w:rFonts w:asciiTheme="minorHAnsi" w:hAnsiTheme="minorHAnsi" w:cstheme="minorHAnsi"/>
          <w:sz w:val="20"/>
        </w:rPr>
        <w:footnoteRef/>
      </w:r>
      <w:r w:rsidRPr="00B763AF">
        <w:t xml:space="preserve"> </w:t>
      </w:r>
      <w:r w:rsidRPr="00161945">
        <w:t>National Review at the 2016 High-Level Political Forum</w:t>
      </w:r>
      <w:r>
        <w:t xml:space="preserve"> o</w:t>
      </w:r>
      <w:r w:rsidRPr="00161945">
        <w:t>n the Sustainable Development Goals (SDGs)</w:t>
      </w:r>
      <w:r>
        <w:t xml:space="preserve"> </w:t>
      </w:r>
      <w:r w:rsidRPr="00161945">
        <w:t>PHILIPPINES</w:t>
      </w:r>
    </w:p>
  </w:footnote>
  <w:footnote w:id="8">
    <w:p w14:paraId="566454E3" w14:textId="77777777" w:rsidR="00F338BE" w:rsidRDefault="00F338BE" w:rsidP="00FA1D32">
      <w:pPr>
        <w:pStyle w:val="EndNote"/>
      </w:pPr>
      <w:r>
        <w:rPr>
          <w:rStyle w:val="FootnoteReference"/>
        </w:rPr>
        <w:footnoteRef/>
      </w:r>
      <w:r>
        <w:t xml:space="preserve"> AusAID has since become part of the Department of Foreign Affairs and Trade (DFAT). All references to AusAID and DFAT in this report are to DFAT.</w:t>
      </w:r>
    </w:p>
  </w:footnote>
  <w:footnote w:id="9">
    <w:p w14:paraId="112A1D48" w14:textId="77777777" w:rsidR="00F338BE" w:rsidRDefault="00F338BE" w:rsidP="009C7FE7">
      <w:pPr>
        <w:pStyle w:val="EndNote"/>
      </w:pPr>
      <w:r>
        <w:rPr>
          <w:rStyle w:val="FootnoteReference"/>
        </w:rPr>
        <w:footnoteRef/>
      </w:r>
      <w:r>
        <w:t xml:space="preserve">  It is not uncommon to have disbursements below accumulated income in closing trust funds, and the balance is always returned to the donor.</w:t>
      </w:r>
      <w:r w:rsidRPr="006F3DDC">
        <w:rPr>
          <w:lang w:eastAsia="en-GB"/>
        </w:rPr>
        <w:t xml:space="preserve"> In the </w:t>
      </w:r>
      <w:r w:rsidRPr="004E10F6">
        <w:t>PH-PTF</w:t>
      </w:r>
      <w:r>
        <w:t>,</w:t>
      </w:r>
      <w:r w:rsidRPr="006F3DDC">
        <w:rPr>
          <w:lang w:eastAsia="en-GB"/>
        </w:rPr>
        <w:t xml:space="preserve"> disbursements over the final few months of the </w:t>
      </w:r>
      <w:r w:rsidRPr="00F91818">
        <w:t>trust</w:t>
      </w:r>
      <w:r>
        <w:t xml:space="preserve"> fund </w:t>
      </w:r>
      <w:r w:rsidRPr="006F3DDC">
        <w:rPr>
          <w:lang w:eastAsia="en-GB"/>
        </w:rPr>
        <w:t>will be monitored</w:t>
      </w:r>
      <w:r>
        <w:rPr>
          <w:lang w:eastAsia="en-GB"/>
        </w:rPr>
        <w:t xml:space="preserve"> closely. </w:t>
      </w:r>
      <w:r w:rsidRPr="006F3DDC">
        <w:rPr>
          <w:lang w:eastAsia="en-GB"/>
        </w:rPr>
        <w:t xml:space="preserve">Several small quick-disbursing grants have been </w:t>
      </w:r>
      <w:r w:rsidRPr="007D4222">
        <w:t>agreed upon to ensure that</w:t>
      </w:r>
      <w:r w:rsidRPr="006F3DDC">
        <w:rPr>
          <w:lang w:eastAsia="en-GB"/>
        </w:rPr>
        <w:t xml:space="preserve"> the final balance is </w:t>
      </w:r>
      <w:r>
        <w:rPr>
          <w:lang w:eastAsia="en-GB"/>
        </w:rPr>
        <w:t>kept to a minimum</w:t>
      </w:r>
      <w:r w:rsidRPr="006F3DDC">
        <w:rPr>
          <w:lang w:eastAsia="en-GB"/>
        </w:rPr>
        <w:t>.</w:t>
      </w:r>
      <w:r>
        <w:rPr>
          <w:lang w:eastAsia="en-GB"/>
        </w:rPr>
        <w:t xml:space="preserve"> </w:t>
      </w:r>
    </w:p>
  </w:footnote>
  <w:footnote w:id="10">
    <w:p w14:paraId="04C8A5E6" w14:textId="77777777" w:rsidR="00F338BE" w:rsidRPr="00A424E1" w:rsidRDefault="00F338BE" w:rsidP="002C183A">
      <w:pPr>
        <w:pStyle w:val="EndNote"/>
      </w:pPr>
      <w:r>
        <w:rPr>
          <w:rStyle w:val="FootnoteReference"/>
        </w:rPr>
        <w:footnoteRef/>
      </w:r>
      <w:r>
        <w:t xml:space="preserve"> </w:t>
      </w:r>
      <w:r w:rsidRPr="00A424E1">
        <w:t xml:space="preserve">DFAT strategies on Gender </w:t>
      </w:r>
      <w:hyperlink r:id="rId1" w:history="1">
        <w:r w:rsidRPr="00A424E1">
          <w:rPr>
            <w:rStyle w:val="Hyperlink"/>
            <w:color w:val="auto"/>
          </w:rPr>
          <w:t>https://dfat.gov.au/about-us/publications/Pages/gender-equality-and-womens-empowerment-strategy.aspx</w:t>
        </w:r>
      </w:hyperlink>
      <w:r w:rsidRPr="00A424E1">
        <w:rPr>
          <w:rStyle w:val="Hyperlink"/>
          <w:color w:val="auto"/>
        </w:rPr>
        <w:t xml:space="preserve">; </w:t>
      </w:r>
      <w:r w:rsidRPr="00A424E1">
        <w:t xml:space="preserve"> Disability </w:t>
      </w:r>
      <w:hyperlink r:id="rId2" w:history="1">
        <w:r w:rsidRPr="00A424E1">
          <w:rPr>
            <w:rStyle w:val="Hyperlink"/>
            <w:color w:val="auto"/>
          </w:rPr>
          <w:t>https://dfat.gov.au/about-us/publications/Pages/development-for-all-2015-2020.aspx</w:t>
        </w:r>
      </w:hyperlink>
      <w:r w:rsidRPr="00A424E1">
        <w:rPr>
          <w:rStyle w:val="Hyperlink"/>
          <w:color w:val="auto"/>
        </w:rPr>
        <w:t xml:space="preserve">; </w:t>
      </w:r>
      <w:r w:rsidRPr="00A424E1">
        <w:t xml:space="preserve">Indigenous Peoples </w:t>
      </w:r>
      <w:hyperlink r:id="rId3" w:history="1">
        <w:r w:rsidRPr="00A424E1">
          <w:rPr>
            <w:rStyle w:val="Hyperlink"/>
            <w:color w:val="auto"/>
          </w:rPr>
          <w:t>https://dfat.gov.au/about-us/publications/Pages/dfat-indigenous-peoples-strategy-2015-2019.aspx</w:t>
        </w:r>
      </w:hyperlink>
      <w:r w:rsidRPr="00A424E1">
        <w:rPr>
          <w:rStyle w:val="Hyperlink"/>
          <w:color w:val="auto"/>
        </w:rPr>
        <w:t xml:space="preserve">; </w:t>
      </w:r>
      <w:r w:rsidRPr="00A424E1">
        <w:t xml:space="preserve">Innovation  </w:t>
      </w:r>
      <w:hyperlink r:id="rId4" w:history="1">
        <w:r w:rsidRPr="00A424E1">
          <w:rPr>
            <w:rStyle w:val="Hyperlink"/>
            <w:color w:val="auto"/>
          </w:rPr>
          <w:t>https://ixc.dfat.gov.au/research-resources/</w:t>
        </w:r>
      </w:hyperlink>
      <w:r w:rsidRPr="00A424E1">
        <w:t xml:space="preserve">; Private Sector </w:t>
      </w:r>
      <w:hyperlink r:id="rId5" w:history="1">
        <w:r w:rsidRPr="00A424E1">
          <w:rPr>
            <w:rStyle w:val="Hyperlink"/>
            <w:color w:val="auto"/>
          </w:rPr>
          <w:t>https://dfat.gov.au/aid/who-we-work-with/private-sector-partnerships/Pages/private-sector-partnerships.aspx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46A"/>
    <w:multiLevelType w:val="hybridMultilevel"/>
    <w:tmpl w:val="941EE6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E73906"/>
    <w:multiLevelType w:val="hybridMultilevel"/>
    <w:tmpl w:val="9C6C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D1813"/>
    <w:multiLevelType w:val="hybridMultilevel"/>
    <w:tmpl w:val="76D2E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92B87"/>
    <w:multiLevelType w:val="multilevel"/>
    <w:tmpl w:val="59103056"/>
    <w:lvl w:ilvl="0">
      <w:start w:val="1"/>
      <w:numFmt w:val="decimal"/>
      <w:pStyle w:val="Heading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136" w:hanging="576"/>
      </w:pPr>
      <w:rPr>
        <w:b w:val="0"/>
      </w:rPr>
    </w:lvl>
    <w:lvl w:ilvl="2">
      <w:start w:val="1"/>
      <w:numFmt w:val="decimal"/>
      <w:lvlText w:val="%1.%2.%3"/>
      <w:lvlJc w:val="left"/>
      <w:pPr>
        <w:ind w:left="135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0F6336D"/>
    <w:multiLevelType w:val="multilevel"/>
    <w:tmpl w:val="9AECE790"/>
    <w:lvl w:ilvl="0">
      <w:start w:val="1"/>
      <w:numFmt w:val="lowerLetter"/>
      <w:lvlText w:val="%1)"/>
      <w:lvlJc w:val="left"/>
      <w:pPr>
        <w:ind w:left="0" w:hanging="360"/>
      </w:p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5" w15:restartNumberingAfterBreak="0">
    <w:nsid w:val="2AD86A8B"/>
    <w:multiLevelType w:val="hybridMultilevel"/>
    <w:tmpl w:val="EAB26662"/>
    <w:lvl w:ilvl="0" w:tplc="3E12A94A">
      <w:start w:val="1"/>
      <w:numFmt w:val="upperLetter"/>
      <w:pStyle w:val="AnnexHead2"/>
      <w:lvlText w:val="Annex %1"/>
      <w:lvlJc w:val="left"/>
      <w:pPr>
        <w:ind w:left="945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4803C6"/>
    <w:multiLevelType w:val="multilevel"/>
    <w:tmpl w:val="64DEEF0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A82667"/>
    <w:multiLevelType w:val="hybridMultilevel"/>
    <w:tmpl w:val="1058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1585D"/>
    <w:multiLevelType w:val="hybridMultilevel"/>
    <w:tmpl w:val="A4ACD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1670BC"/>
    <w:multiLevelType w:val="hybridMultilevel"/>
    <w:tmpl w:val="56E852E8"/>
    <w:lvl w:ilvl="0" w:tplc="87AC5592">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3"/>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0"/>
  </w:num>
  <w:num w:numId="9">
    <w:abstractNumId w:val="2"/>
  </w:num>
  <w:num w:numId="10">
    <w:abstractNumId w:val="5"/>
  </w:num>
  <w:num w:numId="11">
    <w:abstractNumId w:val="9"/>
  </w:num>
  <w:num w:numId="12">
    <w:abstractNumId w:val="9"/>
    <w:lvlOverride w:ilvl="0">
      <w:startOverride w:val="1"/>
    </w:lvlOverride>
  </w:num>
  <w:num w:numId="13">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DC"/>
    <w:rsid w:val="0000012A"/>
    <w:rsid w:val="0000150E"/>
    <w:rsid w:val="000031BC"/>
    <w:rsid w:val="00004DAB"/>
    <w:rsid w:val="000058FB"/>
    <w:rsid w:val="00006940"/>
    <w:rsid w:val="00006957"/>
    <w:rsid w:val="00006DFE"/>
    <w:rsid w:val="0000702E"/>
    <w:rsid w:val="00007573"/>
    <w:rsid w:val="00010802"/>
    <w:rsid w:val="00011A5E"/>
    <w:rsid w:val="00011B81"/>
    <w:rsid w:val="000128D1"/>
    <w:rsid w:val="00012E3A"/>
    <w:rsid w:val="00015A04"/>
    <w:rsid w:val="00015A86"/>
    <w:rsid w:val="00015F80"/>
    <w:rsid w:val="00016D76"/>
    <w:rsid w:val="00017930"/>
    <w:rsid w:val="00020262"/>
    <w:rsid w:val="00020280"/>
    <w:rsid w:val="00020716"/>
    <w:rsid w:val="00020A20"/>
    <w:rsid w:val="00021964"/>
    <w:rsid w:val="00022047"/>
    <w:rsid w:val="0002265D"/>
    <w:rsid w:val="00023632"/>
    <w:rsid w:val="00023DF7"/>
    <w:rsid w:val="00024AF3"/>
    <w:rsid w:val="00024E06"/>
    <w:rsid w:val="00025104"/>
    <w:rsid w:val="000257A7"/>
    <w:rsid w:val="0002606D"/>
    <w:rsid w:val="00027194"/>
    <w:rsid w:val="00027F65"/>
    <w:rsid w:val="00030210"/>
    <w:rsid w:val="0003025E"/>
    <w:rsid w:val="00030752"/>
    <w:rsid w:val="00032B55"/>
    <w:rsid w:val="000355EE"/>
    <w:rsid w:val="00035B7D"/>
    <w:rsid w:val="0003618D"/>
    <w:rsid w:val="000364D5"/>
    <w:rsid w:val="00037AC9"/>
    <w:rsid w:val="00040643"/>
    <w:rsid w:val="00041902"/>
    <w:rsid w:val="00042BCA"/>
    <w:rsid w:val="0004414D"/>
    <w:rsid w:val="0004504F"/>
    <w:rsid w:val="00045F57"/>
    <w:rsid w:val="0004683D"/>
    <w:rsid w:val="00046C00"/>
    <w:rsid w:val="00047269"/>
    <w:rsid w:val="00047B81"/>
    <w:rsid w:val="00047CB9"/>
    <w:rsid w:val="00050AF7"/>
    <w:rsid w:val="00051727"/>
    <w:rsid w:val="00052940"/>
    <w:rsid w:val="00052B3D"/>
    <w:rsid w:val="00052BD6"/>
    <w:rsid w:val="000531CB"/>
    <w:rsid w:val="00053305"/>
    <w:rsid w:val="00053459"/>
    <w:rsid w:val="00053ACB"/>
    <w:rsid w:val="000546FC"/>
    <w:rsid w:val="00054802"/>
    <w:rsid w:val="0005500F"/>
    <w:rsid w:val="0005506E"/>
    <w:rsid w:val="000552AC"/>
    <w:rsid w:val="000563CC"/>
    <w:rsid w:val="00056DC1"/>
    <w:rsid w:val="000572B7"/>
    <w:rsid w:val="00057896"/>
    <w:rsid w:val="00060360"/>
    <w:rsid w:val="0006042B"/>
    <w:rsid w:val="0006052E"/>
    <w:rsid w:val="0006276A"/>
    <w:rsid w:val="00063409"/>
    <w:rsid w:val="00064A1B"/>
    <w:rsid w:val="0006539C"/>
    <w:rsid w:val="000653E5"/>
    <w:rsid w:val="00066D52"/>
    <w:rsid w:val="000703B8"/>
    <w:rsid w:val="00071297"/>
    <w:rsid w:val="000714A2"/>
    <w:rsid w:val="000714D5"/>
    <w:rsid w:val="00071BCD"/>
    <w:rsid w:val="00074787"/>
    <w:rsid w:val="00077128"/>
    <w:rsid w:val="0007738E"/>
    <w:rsid w:val="000774B8"/>
    <w:rsid w:val="00081620"/>
    <w:rsid w:val="00081CA4"/>
    <w:rsid w:val="00081F57"/>
    <w:rsid w:val="00081FE2"/>
    <w:rsid w:val="00082B9F"/>
    <w:rsid w:val="000849FC"/>
    <w:rsid w:val="00085BD9"/>
    <w:rsid w:val="000872CA"/>
    <w:rsid w:val="00087996"/>
    <w:rsid w:val="00087ACA"/>
    <w:rsid w:val="0009076C"/>
    <w:rsid w:val="0009136E"/>
    <w:rsid w:val="00093190"/>
    <w:rsid w:val="0009355B"/>
    <w:rsid w:val="00094797"/>
    <w:rsid w:val="0009510B"/>
    <w:rsid w:val="00096625"/>
    <w:rsid w:val="00097B7F"/>
    <w:rsid w:val="000A0E7D"/>
    <w:rsid w:val="000A0FFE"/>
    <w:rsid w:val="000A34B3"/>
    <w:rsid w:val="000A3800"/>
    <w:rsid w:val="000A4C8E"/>
    <w:rsid w:val="000A57A2"/>
    <w:rsid w:val="000A59A6"/>
    <w:rsid w:val="000A62D9"/>
    <w:rsid w:val="000A7A26"/>
    <w:rsid w:val="000A7C2F"/>
    <w:rsid w:val="000B0FFD"/>
    <w:rsid w:val="000B2696"/>
    <w:rsid w:val="000B269E"/>
    <w:rsid w:val="000B522A"/>
    <w:rsid w:val="000B6345"/>
    <w:rsid w:val="000B64AF"/>
    <w:rsid w:val="000C0114"/>
    <w:rsid w:val="000C1505"/>
    <w:rsid w:val="000C242B"/>
    <w:rsid w:val="000C2683"/>
    <w:rsid w:val="000C47F0"/>
    <w:rsid w:val="000C5245"/>
    <w:rsid w:val="000C579F"/>
    <w:rsid w:val="000C6096"/>
    <w:rsid w:val="000C6468"/>
    <w:rsid w:val="000D0E82"/>
    <w:rsid w:val="000D142C"/>
    <w:rsid w:val="000D24AC"/>
    <w:rsid w:val="000D3111"/>
    <w:rsid w:val="000D3232"/>
    <w:rsid w:val="000D3AD3"/>
    <w:rsid w:val="000D493C"/>
    <w:rsid w:val="000D54C9"/>
    <w:rsid w:val="000D589D"/>
    <w:rsid w:val="000E0043"/>
    <w:rsid w:val="000E03AA"/>
    <w:rsid w:val="000E1113"/>
    <w:rsid w:val="000E156A"/>
    <w:rsid w:val="000E2325"/>
    <w:rsid w:val="000E2864"/>
    <w:rsid w:val="000E3CB3"/>
    <w:rsid w:val="000E54BC"/>
    <w:rsid w:val="000E55C5"/>
    <w:rsid w:val="000E7326"/>
    <w:rsid w:val="000E78AD"/>
    <w:rsid w:val="000F0B73"/>
    <w:rsid w:val="000F0DC3"/>
    <w:rsid w:val="000F19A7"/>
    <w:rsid w:val="000F3120"/>
    <w:rsid w:val="000F5A19"/>
    <w:rsid w:val="000F698A"/>
    <w:rsid w:val="000F774A"/>
    <w:rsid w:val="0010341B"/>
    <w:rsid w:val="0010409E"/>
    <w:rsid w:val="00104BC6"/>
    <w:rsid w:val="00105036"/>
    <w:rsid w:val="001056FC"/>
    <w:rsid w:val="001061D7"/>
    <w:rsid w:val="0011054B"/>
    <w:rsid w:val="0011281F"/>
    <w:rsid w:val="00113613"/>
    <w:rsid w:val="00113D42"/>
    <w:rsid w:val="001144B5"/>
    <w:rsid w:val="001155D8"/>
    <w:rsid w:val="00115D9C"/>
    <w:rsid w:val="00116285"/>
    <w:rsid w:val="00120B39"/>
    <w:rsid w:val="00121A5C"/>
    <w:rsid w:val="001221B5"/>
    <w:rsid w:val="00123087"/>
    <w:rsid w:val="001233B9"/>
    <w:rsid w:val="00123BBE"/>
    <w:rsid w:val="001242B6"/>
    <w:rsid w:val="00124416"/>
    <w:rsid w:val="00124DF6"/>
    <w:rsid w:val="00124F59"/>
    <w:rsid w:val="00125816"/>
    <w:rsid w:val="001271DD"/>
    <w:rsid w:val="001272BE"/>
    <w:rsid w:val="00127717"/>
    <w:rsid w:val="00127748"/>
    <w:rsid w:val="00127872"/>
    <w:rsid w:val="00130807"/>
    <w:rsid w:val="00131F00"/>
    <w:rsid w:val="00132223"/>
    <w:rsid w:val="00133C6C"/>
    <w:rsid w:val="00134B72"/>
    <w:rsid w:val="001352AE"/>
    <w:rsid w:val="00135679"/>
    <w:rsid w:val="00135AF1"/>
    <w:rsid w:val="001377F8"/>
    <w:rsid w:val="00140C31"/>
    <w:rsid w:val="0014123A"/>
    <w:rsid w:val="00141614"/>
    <w:rsid w:val="00141DD7"/>
    <w:rsid w:val="00142597"/>
    <w:rsid w:val="001430F2"/>
    <w:rsid w:val="00143D52"/>
    <w:rsid w:val="00143FD6"/>
    <w:rsid w:val="00146861"/>
    <w:rsid w:val="00147D95"/>
    <w:rsid w:val="00150715"/>
    <w:rsid w:val="00150C63"/>
    <w:rsid w:val="00150F55"/>
    <w:rsid w:val="00152177"/>
    <w:rsid w:val="001534AE"/>
    <w:rsid w:val="00153C55"/>
    <w:rsid w:val="001544E6"/>
    <w:rsid w:val="00155929"/>
    <w:rsid w:val="001559B8"/>
    <w:rsid w:val="00156447"/>
    <w:rsid w:val="001574A8"/>
    <w:rsid w:val="001577EC"/>
    <w:rsid w:val="0016131F"/>
    <w:rsid w:val="00161945"/>
    <w:rsid w:val="00162333"/>
    <w:rsid w:val="00162453"/>
    <w:rsid w:val="0016353B"/>
    <w:rsid w:val="0016370F"/>
    <w:rsid w:val="001639F3"/>
    <w:rsid w:val="00163DF6"/>
    <w:rsid w:val="00164284"/>
    <w:rsid w:val="00164F1F"/>
    <w:rsid w:val="0016609E"/>
    <w:rsid w:val="00170271"/>
    <w:rsid w:val="00170838"/>
    <w:rsid w:val="001722DC"/>
    <w:rsid w:val="001727BA"/>
    <w:rsid w:val="00172BDB"/>
    <w:rsid w:val="00172CC8"/>
    <w:rsid w:val="00173079"/>
    <w:rsid w:val="001733F5"/>
    <w:rsid w:val="00173A9A"/>
    <w:rsid w:val="00174B87"/>
    <w:rsid w:val="00174C5F"/>
    <w:rsid w:val="00176F80"/>
    <w:rsid w:val="00177F53"/>
    <w:rsid w:val="00180B02"/>
    <w:rsid w:val="00180D29"/>
    <w:rsid w:val="00181723"/>
    <w:rsid w:val="001834E6"/>
    <w:rsid w:val="00183CB1"/>
    <w:rsid w:val="00184888"/>
    <w:rsid w:val="00185320"/>
    <w:rsid w:val="0018695E"/>
    <w:rsid w:val="00187739"/>
    <w:rsid w:val="00187903"/>
    <w:rsid w:val="001905AB"/>
    <w:rsid w:val="00191774"/>
    <w:rsid w:val="00192177"/>
    <w:rsid w:val="00192996"/>
    <w:rsid w:val="0019390D"/>
    <w:rsid w:val="00193B9E"/>
    <w:rsid w:val="0019537D"/>
    <w:rsid w:val="00196D80"/>
    <w:rsid w:val="0019711F"/>
    <w:rsid w:val="001A0F96"/>
    <w:rsid w:val="001A18EC"/>
    <w:rsid w:val="001A22B4"/>
    <w:rsid w:val="001A31AC"/>
    <w:rsid w:val="001A3867"/>
    <w:rsid w:val="001A39F3"/>
    <w:rsid w:val="001A3E32"/>
    <w:rsid w:val="001A4EF2"/>
    <w:rsid w:val="001A6117"/>
    <w:rsid w:val="001A6393"/>
    <w:rsid w:val="001A7C78"/>
    <w:rsid w:val="001B17F9"/>
    <w:rsid w:val="001B1CFC"/>
    <w:rsid w:val="001B1E75"/>
    <w:rsid w:val="001B287B"/>
    <w:rsid w:val="001B4FD5"/>
    <w:rsid w:val="001B5EE2"/>
    <w:rsid w:val="001B69F8"/>
    <w:rsid w:val="001B72CF"/>
    <w:rsid w:val="001B72E8"/>
    <w:rsid w:val="001C23C5"/>
    <w:rsid w:val="001C3D0D"/>
    <w:rsid w:val="001C3DA8"/>
    <w:rsid w:val="001C4146"/>
    <w:rsid w:val="001C414A"/>
    <w:rsid w:val="001C4E94"/>
    <w:rsid w:val="001C5468"/>
    <w:rsid w:val="001C5D88"/>
    <w:rsid w:val="001C62FD"/>
    <w:rsid w:val="001C65C2"/>
    <w:rsid w:val="001C7B29"/>
    <w:rsid w:val="001D1640"/>
    <w:rsid w:val="001D34E3"/>
    <w:rsid w:val="001D3783"/>
    <w:rsid w:val="001D3D86"/>
    <w:rsid w:val="001D447B"/>
    <w:rsid w:val="001D4EA9"/>
    <w:rsid w:val="001E0AE5"/>
    <w:rsid w:val="001E169A"/>
    <w:rsid w:val="001E1C5E"/>
    <w:rsid w:val="001E1F17"/>
    <w:rsid w:val="001E2D5A"/>
    <w:rsid w:val="001E3140"/>
    <w:rsid w:val="001E3203"/>
    <w:rsid w:val="001E4B7A"/>
    <w:rsid w:val="001E4CF1"/>
    <w:rsid w:val="001E6622"/>
    <w:rsid w:val="001F0BCB"/>
    <w:rsid w:val="001F15FC"/>
    <w:rsid w:val="001F1F6D"/>
    <w:rsid w:val="001F2696"/>
    <w:rsid w:val="001F3EF0"/>
    <w:rsid w:val="001F4B94"/>
    <w:rsid w:val="001F52DF"/>
    <w:rsid w:val="001F53D1"/>
    <w:rsid w:val="001F6087"/>
    <w:rsid w:val="001F6FC5"/>
    <w:rsid w:val="001F7110"/>
    <w:rsid w:val="001F7786"/>
    <w:rsid w:val="001F796B"/>
    <w:rsid w:val="00200030"/>
    <w:rsid w:val="00200260"/>
    <w:rsid w:val="002017FA"/>
    <w:rsid w:val="002031ED"/>
    <w:rsid w:val="00203523"/>
    <w:rsid w:val="002058D5"/>
    <w:rsid w:val="002060DE"/>
    <w:rsid w:val="002073A6"/>
    <w:rsid w:val="00207A7A"/>
    <w:rsid w:val="0021143D"/>
    <w:rsid w:val="00212428"/>
    <w:rsid w:val="00212873"/>
    <w:rsid w:val="00212D8B"/>
    <w:rsid w:val="002131E2"/>
    <w:rsid w:val="00213A8A"/>
    <w:rsid w:val="00216BD3"/>
    <w:rsid w:val="00216CDB"/>
    <w:rsid w:val="002171B0"/>
    <w:rsid w:val="00217B57"/>
    <w:rsid w:val="00220BBE"/>
    <w:rsid w:val="00220F0C"/>
    <w:rsid w:val="00222172"/>
    <w:rsid w:val="00222C72"/>
    <w:rsid w:val="00222DF3"/>
    <w:rsid w:val="0022489D"/>
    <w:rsid w:val="00224F7E"/>
    <w:rsid w:val="002262D4"/>
    <w:rsid w:val="00226A05"/>
    <w:rsid w:val="00230D4F"/>
    <w:rsid w:val="0023138D"/>
    <w:rsid w:val="00232310"/>
    <w:rsid w:val="00232D19"/>
    <w:rsid w:val="002335BC"/>
    <w:rsid w:val="0023427D"/>
    <w:rsid w:val="00234D02"/>
    <w:rsid w:val="002350EB"/>
    <w:rsid w:val="00235A5E"/>
    <w:rsid w:val="00236388"/>
    <w:rsid w:val="002364D1"/>
    <w:rsid w:val="00236A5E"/>
    <w:rsid w:val="0023717E"/>
    <w:rsid w:val="002403B9"/>
    <w:rsid w:val="00240782"/>
    <w:rsid w:val="00240E24"/>
    <w:rsid w:val="00240EA0"/>
    <w:rsid w:val="00241D1D"/>
    <w:rsid w:val="002429C7"/>
    <w:rsid w:val="0024359F"/>
    <w:rsid w:val="00244597"/>
    <w:rsid w:val="00244D34"/>
    <w:rsid w:val="0024541E"/>
    <w:rsid w:val="0025281A"/>
    <w:rsid w:val="00252BA3"/>
    <w:rsid w:val="00253FB7"/>
    <w:rsid w:val="0025461F"/>
    <w:rsid w:val="00255085"/>
    <w:rsid w:val="002550EB"/>
    <w:rsid w:val="00255177"/>
    <w:rsid w:val="00255547"/>
    <w:rsid w:val="00255702"/>
    <w:rsid w:val="0025621C"/>
    <w:rsid w:val="002570A1"/>
    <w:rsid w:val="00260EEC"/>
    <w:rsid w:val="00261DF7"/>
    <w:rsid w:val="0026237A"/>
    <w:rsid w:val="0026297C"/>
    <w:rsid w:val="00262CC9"/>
    <w:rsid w:val="00264209"/>
    <w:rsid w:val="002651A3"/>
    <w:rsid w:val="0026576A"/>
    <w:rsid w:val="002667C0"/>
    <w:rsid w:val="002718CA"/>
    <w:rsid w:val="00271A98"/>
    <w:rsid w:val="00275829"/>
    <w:rsid w:val="0027582B"/>
    <w:rsid w:val="002764E0"/>
    <w:rsid w:val="00276FFD"/>
    <w:rsid w:val="00277DAC"/>
    <w:rsid w:val="00277FE9"/>
    <w:rsid w:val="0028069F"/>
    <w:rsid w:val="002819DA"/>
    <w:rsid w:val="00281BE1"/>
    <w:rsid w:val="002827B0"/>
    <w:rsid w:val="002843E3"/>
    <w:rsid w:val="00284FEE"/>
    <w:rsid w:val="00285296"/>
    <w:rsid w:val="00285C7C"/>
    <w:rsid w:val="00286343"/>
    <w:rsid w:val="00286AFD"/>
    <w:rsid w:val="002872DE"/>
    <w:rsid w:val="002916F8"/>
    <w:rsid w:val="00292D07"/>
    <w:rsid w:val="002930F4"/>
    <w:rsid w:val="00294406"/>
    <w:rsid w:val="00294B08"/>
    <w:rsid w:val="00294BCF"/>
    <w:rsid w:val="00294D6A"/>
    <w:rsid w:val="0029578A"/>
    <w:rsid w:val="00295ADE"/>
    <w:rsid w:val="00297538"/>
    <w:rsid w:val="002A096F"/>
    <w:rsid w:val="002A1205"/>
    <w:rsid w:val="002A25D4"/>
    <w:rsid w:val="002A52B0"/>
    <w:rsid w:val="002A5A0F"/>
    <w:rsid w:val="002A6F8E"/>
    <w:rsid w:val="002A7205"/>
    <w:rsid w:val="002A76B4"/>
    <w:rsid w:val="002A77ED"/>
    <w:rsid w:val="002B13DD"/>
    <w:rsid w:val="002B1624"/>
    <w:rsid w:val="002B4437"/>
    <w:rsid w:val="002B4558"/>
    <w:rsid w:val="002B4B3A"/>
    <w:rsid w:val="002B69C8"/>
    <w:rsid w:val="002B6F22"/>
    <w:rsid w:val="002B7063"/>
    <w:rsid w:val="002B70C5"/>
    <w:rsid w:val="002B7D95"/>
    <w:rsid w:val="002C0044"/>
    <w:rsid w:val="002C113C"/>
    <w:rsid w:val="002C13C4"/>
    <w:rsid w:val="002C183A"/>
    <w:rsid w:val="002C229B"/>
    <w:rsid w:val="002C280D"/>
    <w:rsid w:val="002C3458"/>
    <w:rsid w:val="002C7379"/>
    <w:rsid w:val="002D1046"/>
    <w:rsid w:val="002D2252"/>
    <w:rsid w:val="002D235A"/>
    <w:rsid w:val="002D23BD"/>
    <w:rsid w:val="002D4486"/>
    <w:rsid w:val="002D4677"/>
    <w:rsid w:val="002D6119"/>
    <w:rsid w:val="002D6175"/>
    <w:rsid w:val="002D66E1"/>
    <w:rsid w:val="002D71DE"/>
    <w:rsid w:val="002E03AB"/>
    <w:rsid w:val="002E0C9E"/>
    <w:rsid w:val="002E1F22"/>
    <w:rsid w:val="002E26CF"/>
    <w:rsid w:val="002E2F70"/>
    <w:rsid w:val="002E3520"/>
    <w:rsid w:val="002E3D05"/>
    <w:rsid w:val="002E3DB7"/>
    <w:rsid w:val="002E437C"/>
    <w:rsid w:val="002E7260"/>
    <w:rsid w:val="002F0B15"/>
    <w:rsid w:val="002F1128"/>
    <w:rsid w:val="002F18AE"/>
    <w:rsid w:val="002F4671"/>
    <w:rsid w:val="002F5EF5"/>
    <w:rsid w:val="0030229A"/>
    <w:rsid w:val="00302469"/>
    <w:rsid w:val="00302492"/>
    <w:rsid w:val="00302BB9"/>
    <w:rsid w:val="00302EA6"/>
    <w:rsid w:val="003032D4"/>
    <w:rsid w:val="00304F52"/>
    <w:rsid w:val="00305F11"/>
    <w:rsid w:val="003104E4"/>
    <w:rsid w:val="003115BE"/>
    <w:rsid w:val="00312E0C"/>
    <w:rsid w:val="00312FB0"/>
    <w:rsid w:val="00314587"/>
    <w:rsid w:val="00314CA4"/>
    <w:rsid w:val="00315C61"/>
    <w:rsid w:val="00316989"/>
    <w:rsid w:val="00317434"/>
    <w:rsid w:val="00317DC9"/>
    <w:rsid w:val="0032063D"/>
    <w:rsid w:val="003219F7"/>
    <w:rsid w:val="0032240C"/>
    <w:rsid w:val="00322660"/>
    <w:rsid w:val="003253E3"/>
    <w:rsid w:val="00325B2D"/>
    <w:rsid w:val="00326E27"/>
    <w:rsid w:val="00326FD2"/>
    <w:rsid w:val="00327C3D"/>
    <w:rsid w:val="00327F35"/>
    <w:rsid w:val="003301D5"/>
    <w:rsid w:val="003315AC"/>
    <w:rsid w:val="00331CA4"/>
    <w:rsid w:val="00331EC0"/>
    <w:rsid w:val="00332D5C"/>
    <w:rsid w:val="0033314A"/>
    <w:rsid w:val="00334C1C"/>
    <w:rsid w:val="00334C95"/>
    <w:rsid w:val="0033530C"/>
    <w:rsid w:val="00335425"/>
    <w:rsid w:val="003410F0"/>
    <w:rsid w:val="003413F0"/>
    <w:rsid w:val="00343501"/>
    <w:rsid w:val="0034414B"/>
    <w:rsid w:val="0034571B"/>
    <w:rsid w:val="003458CA"/>
    <w:rsid w:val="00350AB7"/>
    <w:rsid w:val="00351D73"/>
    <w:rsid w:val="003525DD"/>
    <w:rsid w:val="00353561"/>
    <w:rsid w:val="00353E2D"/>
    <w:rsid w:val="00355A3C"/>
    <w:rsid w:val="00356565"/>
    <w:rsid w:val="003568FD"/>
    <w:rsid w:val="0035717D"/>
    <w:rsid w:val="0035784B"/>
    <w:rsid w:val="00360335"/>
    <w:rsid w:val="003613C6"/>
    <w:rsid w:val="00365015"/>
    <w:rsid w:val="003654C0"/>
    <w:rsid w:val="00365A71"/>
    <w:rsid w:val="00366728"/>
    <w:rsid w:val="00366991"/>
    <w:rsid w:val="00366B1A"/>
    <w:rsid w:val="003679F3"/>
    <w:rsid w:val="00370D71"/>
    <w:rsid w:val="003711C7"/>
    <w:rsid w:val="00372265"/>
    <w:rsid w:val="00372485"/>
    <w:rsid w:val="003728F8"/>
    <w:rsid w:val="0037486F"/>
    <w:rsid w:val="00374D1F"/>
    <w:rsid w:val="0037599B"/>
    <w:rsid w:val="0037634D"/>
    <w:rsid w:val="00376E61"/>
    <w:rsid w:val="00377D1F"/>
    <w:rsid w:val="00380317"/>
    <w:rsid w:val="00382432"/>
    <w:rsid w:val="00382689"/>
    <w:rsid w:val="00382BE6"/>
    <w:rsid w:val="00382F64"/>
    <w:rsid w:val="00383730"/>
    <w:rsid w:val="003837D7"/>
    <w:rsid w:val="00383CBD"/>
    <w:rsid w:val="00384155"/>
    <w:rsid w:val="003845EE"/>
    <w:rsid w:val="00384E6D"/>
    <w:rsid w:val="00386CC7"/>
    <w:rsid w:val="0038706A"/>
    <w:rsid w:val="003871B0"/>
    <w:rsid w:val="00387294"/>
    <w:rsid w:val="0038758D"/>
    <w:rsid w:val="00387EB8"/>
    <w:rsid w:val="0039030B"/>
    <w:rsid w:val="003919D3"/>
    <w:rsid w:val="003924A7"/>
    <w:rsid w:val="003932D5"/>
    <w:rsid w:val="00394C4D"/>
    <w:rsid w:val="003963E0"/>
    <w:rsid w:val="00396845"/>
    <w:rsid w:val="00397C89"/>
    <w:rsid w:val="003A0D88"/>
    <w:rsid w:val="003A1774"/>
    <w:rsid w:val="003A7773"/>
    <w:rsid w:val="003B0B41"/>
    <w:rsid w:val="003B104B"/>
    <w:rsid w:val="003B1456"/>
    <w:rsid w:val="003B1DBD"/>
    <w:rsid w:val="003B2159"/>
    <w:rsid w:val="003B4E9A"/>
    <w:rsid w:val="003B6440"/>
    <w:rsid w:val="003C1981"/>
    <w:rsid w:val="003C1C14"/>
    <w:rsid w:val="003C207B"/>
    <w:rsid w:val="003C25BD"/>
    <w:rsid w:val="003C3051"/>
    <w:rsid w:val="003C38A4"/>
    <w:rsid w:val="003C3920"/>
    <w:rsid w:val="003C50DC"/>
    <w:rsid w:val="003C53D1"/>
    <w:rsid w:val="003C5566"/>
    <w:rsid w:val="003C607B"/>
    <w:rsid w:val="003C7925"/>
    <w:rsid w:val="003C7EC1"/>
    <w:rsid w:val="003D0872"/>
    <w:rsid w:val="003D1547"/>
    <w:rsid w:val="003D1FBA"/>
    <w:rsid w:val="003D2F34"/>
    <w:rsid w:val="003D35C1"/>
    <w:rsid w:val="003D3DB0"/>
    <w:rsid w:val="003D3DE8"/>
    <w:rsid w:val="003D5408"/>
    <w:rsid w:val="003D5726"/>
    <w:rsid w:val="003D572B"/>
    <w:rsid w:val="003D5C5B"/>
    <w:rsid w:val="003D5F0D"/>
    <w:rsid w:val="003D6068"/>
    <w:rsid w:val="003D631B"/>
    <w:rsid w:val="003D6E82"/>
    <w:rsid w:val="003D7557"/>
    <w:rsid w:val="003D75B9"/>
    <w:rsid w:val="003E00FC"/>
    <w:rsid w:val="003E70B3"/>
    <w:rsid w:val="003E752E"/>
    <w:rsid w:val="003F0352"/>
    <w:rsid w:val="003F09D2"/>
    <w:rsid w:val="003F0F27"/>
    <w:rsid w:val="003F212C"/>
    <w:rsid w:val="003F23BF"/>
    <w:rsid w:val="003F292C"/>
    <w:rsid w:val="003F2967"/>
    <w:rsid w:val="003F35F9"/>
    <w:rsid w:val="003F406F"/>
    <w:rsid w:val="003F499C"/>
    <w:rsid w:val="003F5DDD"/>
    <w:rsid w:val="003F6195"/>
    <w:rsid w:val="003F61A3"/>
    <w:rsid w:val="003F68C2"/>
    <w:rsid w:val="003F71CD"/>
    <w:rsid w:val="003F743A"/>
    <w:rsid w:val="004009BF"/>
    <w:rsid w:val="00401E7F"/>
    <w:rsid w:val="00402195"/>
    <w:rsid w:val="004026B8"/>
    <w:rsid w:val="004038D2"/>
    <w:rsid w:val="00404FD0"/>
    <w:rsid w:val="004050ED"/>
    <w:rsid w:val="0040539B"/>
    <w:rsid w:val="00407541"/>
    <w:rsid w:val="00407909"/>
    <w:rsid w:val="00410DC1"/>
    <w:rsid w:val="00410E72"/>
    <w:rsid w:val="0041224F"/>
    <w:rsid w:val="00412FAB"/>
    <w:rsid w:val="00413E59"/>
    <w:rsid w:val="00414610"/>
    <w:rsid w:val="0041479A"/>
    <w:rsid w:val="00415737"/>
    <w:rsid w:val="004163D8"/>
    <w:rsid w:val="004168D2"/>
    <w:rsid w:val="0041764F"/>
    <w:rsid w:val="004179FD"/>
    <w:rsid w:val="00417EE8"/>
    <w:rsid w:val="00421A99"/>
    <w:rsid w:val="00421C1B"/>
    <w:rsid w:val="0042236D"/>
    <w:rsid w:val="004230C5"/>
    <w:rsid w:val="00423F03"/>
    <w:rsid w:val="0042481A"/>
    <w:rsid w:val="00425F7F"/>
    <w:rsid w:val="004268C3"/>
    <w:rsid w:val="0042760B"/>
    <w:rsid w:val="00430271"/>
    <w:rsid w:val="004302E4"/>
    <w:rsid w:val="00430657"/>
    <w:rsid w:val="00430E60"/>
    <w:rsid w:val="00431197"/>
    <w:rsid w:val="00432E2C"/>
    <w:rsid w:val="004331D0"/>
    <w:rsid w:val="004339DC"/>
    <w:rsid w:val="00433C65"/>
    <w:rsid w:val="00435374"/>
    <w:rsid w:val="00435498"/>
    <w:rsid w:val="0044095C"/>
    <w:rsid w:val="004412D2"/>
    <w:rsid w:val="00441316"/>
    <w:rsid w:val="00442218"/>
    <w:rsid w:val="004425F5"/>
    <w:rsid w:val="004426C3"/>
    <w:rsid w:val="004427CD"/>
    <w:rsid w:val="0044304D"/>
    <w:rsid w:val="00443E47"/>
    <w:rsid w:val="00443EF3"/>
    <w:rsid w:val="004450E3"/>
    <w:rsid w:val="00445562"/>
    <w:rsid w:val="004467B3"/>
    <w:rsid w:val="00447AF7"/>
    <w:rsid w:val="00447C2B"/>
    <w:rsid w:val="00450B16"/>
    <w:rsid w:val="0045104B"/>
    <w:rsid w:val="0045197F"/>
    <w:rsid w:val="00451A54"/>
    <w:rsid w:val="00452021"/>
    <w:rsid w:val="00453A7F"/>
    <w:rsid w:val="004547E4"/>
    <w:rsid w:val="00454A92"/>
    <w:rsid w:val="00454F52"/>
    <w:rsid w:val="004561F7"/>
    <w:rsid w:val="00456D9A"/>
    <w:rsid w:val="00456ECE"/>
    <w:rsid w:val="004572AC"/>
    <w:rsid w:val="0046039C"/>
    <w:rsid w:val="00460700"/>
    <w:rsid w:val="00461EEC"/>
    <w:rsid w:val="00462162"/>
    <w:rsid w:val="00463A6A"/>
    <w:rsid w:val="00463CEC"/>
    <w:rsid w:val="004640B0"/>
    <w:rsid w:val="004653CF"/>
    <w:rsid w:val="00465B36"/>
    <w:rsid w:val="0046752A"/>
    <w:rsid w:val="00467856"/>
    <w:rsid w:val="00467B56"/>
    <w:rsid w:val="00467EC9"/>
    <w:rsid w:val="00471B5C"/>
    <w:rsid w:val="00474B5A"/>
    <w:rsid w:val="00474F32"/>
    <w:rsid w:val="00477724"/>
    <w:rsid w:val="0048010D"/>
    <w:rsid w:val="004803D0"/>
    <w:rsid w:val="004808A0"/>
    <w:rsid w:val="00480E22"/>
    <w:rsid w:val="00481E13"/>
    <w:rsid w:val="00483082"/>
    <w:rsid w:val="00484482"/>
    <w:rsid w:val="00485CE9"/>
    <w:rsid w:val="00486B3F"/>
    <w:rsid w:val="00486D75"/>
    <w:rsid w:val="004873FE"/>
    <w:rsid w:val="00490B61"/>
    <w:rsid w:val="0049102B"/>
    <w:rsid w:val="004914C9"/>
    <w:rsid w:val="00493697"/>
    <w:rsid w:val="00493C79"/>
    <w:rsid w:val="004946CD"/>
    <w:rsid w:val="00495F1F"/>
    <w:rsid w:val="00496C6E"/>
    <w:rsid w:val="004A2125"/>
    <w:rsid w:val="004A24B8"/>
    <w:rsid w:val="004A2B1F"/>
    <w:rsid w:val="004A3BEB"/>
    <w:rsid w:val="004A3D40"/>
    <w:rsid w:val="004A50FE"/>
    <w:rsid w:val="004A5489"/>
    <w:rsid w:val="004A5872"/>
    <w:rsid w:val="004A6645"/>
    <w:rsid w:val="004A6AF8"/>
    <w:rsid w:val="004A76A8"/>
    <w:rsid w:val="004A7BF8"/>
    <w:rsid w:val="004A7C7E"/>
    <w:rsid w:val="004B178C"/>
    <w:rsid w:val="004B3E58"/>
    <w:rsid w:val="004B5261"/>
    <w:rsid w:val="004B5CD3"/>
    <w:rsid w:val="004B5FB1"/>
    <w:rsid w:val="004B6186"/>
    <w:rsid w:val="004C0079"/>
    <w:rsid w:val="004C2151"/>
    <w:rsid w:val="004C3226"/>
    <w:rsid w:val="004C3468"/>
    <w:rsid w:val="004C410A"/>
    <w:rsid w:val="004C57B9"/>
    <w:rsid w:val="004C707A"/>
    <w:rsid w:val="004C754F"/>
    <w:rsid w:val="004C79C3"/>
    <w:rsid w:val="004D0E54"/>
    <w:rsid w:val="004D0F29"/>
    <w:rsid w:val="004D1B5E"/>
    <w:rsid w:val="004D276D"/>
    <w:rsid w:val="004D426F"/>
    <w:rsid w:val="004D447B"/>
    <w:rsid w:val="004D4A3A"/>
    <w:rsid w:val="004D4E97"/>
    <w:rsid w:val="004D542A"/>
    <w:rsid w:val="004D54F2"/>
    <w:rsid w:val="004D6038"/>
    <w:rsid w:val="004D6F91"/>
    <w:rsid w:val="004E0246"/>
    <w:rsid w:val="004E10F6"/>
    <w:rsid w:val="004E13D6"/>
    <w:rsid w:val="004E18C1"/>
    <w:rsid w:val="004E58B6"/>
    <w:rsid w:val="004E6614"/>
    <w:rsid w:val="004E693D"/>
    <w:rsid w:val="004E747A"/>
    <w:rsid w:val="004E75DA"/>
    <w:rsid w:val="004E7668"/>
    <w:rsid w:val="004F1350"/>
    <w:rsid w:val="004F1635"/>
    <w:rsid w:val="004F302C"/>
    <w:rsid w:val="004F32AA"/>
    <w:rsid w:val="004F4A22"/>
    <w:rsid w:val="004F4ECE"/>
    <w:rsid w:val="004F5479"/>
    <w:rsid w:val="004F57EC"/>
    <w:rsid w:val="004F5AB0"/>
    <w:rsid w:val="004F67F4"/>
    <w:rsid w:val="004F7F98"/>
    <w:rsid w:val="005002A3"/>
    <w:rsid w:val="0050201A"/>
    <w:rsid w:val="00502E30"/>
    <w:rsid w:val="00502F31"/>
    <w:rsid w:val="00503D0C"/>
    <w:rsid w:val="00504348"/>
    <w:rsid w:val="00504FAC"/>
    <w:rsid w:val="005055BB"/>
    <w:rsid w:val="00505D06"/>
    <w:rsid w:val="00506277"/>
    <w:rsid w:val="00506932"/>
    <w:rsid w:val="00507AF6"/>
    <w:rsid w:val="005106BD"/>
    <w:rsid w:val="00510EFC"/>
    <w:rsid w:val="00511BA4"/>
    <w:rsid w:val="00511EED"/>
    <w:rsid w:val="00513AB6"/>
    <w:rsid w:val="0051433B"/>
    <w:rsid w:val="00514593"/>
    <w:rsid w:val="00515423"/>
    <w:rsid w:val="005168AC"/>
    <w:rsid w:val="005202F2"/>
    <w:rsid w:val="00521DA2"/>
    <w:rsid w:val="005227EB"/>
    <w:rsid w:val="00522A30"/>
    <w:rsid w:val="00525641"/>
    <w:rsid w:val="00530431"/>
    <w:rsid w:val="005311B4"/>
    <w:rsid w:val="00531981"/>
    <w:rsid w:val="00531BAC"/>
    <w:rsid w:val="005334C0"/>
    <w:rsid w:val="005345E8"/>
    <w:rsid w:val="0053472E"/>
    <w:rsid w:val="0053487D"/>
    <w:rsid w:val="00534B9B"/>
    <w:rsid w:val="00534D29"/>
    <w:rsid w:val="00536189"/>
    <w:rsid w:val="0053634D"/>
    <w:rsid w:val="005372B1"/>
    <w:rsid w:val="00537623"/>
    <w:rsid w:val="00537FA0"/>
    <w:rsid w:val="005405DA"/>
    <w:rsid w:val="00541B90"/>
    <w:rsid w:val="00544ED4"/>
    <w:rsid w:val="00545661"/>
    <w:rsid w:val="005473B7"/>
    <w:rsid w:val="00547732"/>
    <w:rsid w:val="0055026B"/>
    <w:rsid w:val="0055050A"/>
    <w:rsid w:val="00551D55"/>
    <w:rsid w:val="00554902"/>
    <w:rsid w:val="00554F9D"/>
    <w:rsid w:val="00555EE3"/>
    <w:rsid w:val="0055613B"/>
    <w:rsid w:val="00556440"/>
    <w:rsid w:val="0055789B"/>
    <w:rsid w:val="005579B7"/>
    <w:rsid w:val="00557E54"/>
    <w:rsid w:val="00560BA9"/>
    <w:rsid w:val="005615D0"/>
    <w:rsid w:val="0056186A"/>
    <w:rsid w:val="00562A0B"/>
    <w:rsid w:val="00563378"/>
    <w:rsid w:val="00564CA1"/>
    <w:rsid w:val="00565A2D"/>
    <w:rsid w:val="00566C4A"/>
    <w:rsid w:val="0056741B"/>
    <w:rsid w:val="005705E5"/>
    <w:rsid w:val="00570BC0"/>
    <w:rsid w:val="005710FD"/>
    <w:rsid w:val="0057134E"/>
    <w:rsid w:val="00571C88"/>
    <w:rsid w:val="00574F59"/>
    <w:rsid w:val="0057538C"/>
    <w:rsid w:val="00575AEC"/>
    <w:rsid w:val="00576B2A"/>
    <w:rsid w:val="00577124"/>
    <w:rsid w:val="005775F7"/>
    <w:rsid w:val="00577662"/>
    <w:rsid w:val="00582466"/>
    <w:rsid w:val="00582D8E"/>
    <w:rsid w:val="00583131"/>
    <w:rsid w:val="00583B00"/>
    <w:rsid w:val="00584F1B"/>
    <w:rsid w:val="00585F09"/>
    <w:rsid w:val="00586E0A"/>
    <w:rsid w:val="00587AF4"/>
    <w:rsid w:val="0059054C"/>
    <w:rsid w:val="00591AB2"/>
    <w:rsid w:val="00592267"/>
    <w:rsid w:val="005925BF"/>
    <w:rsid w:val="005927D3"/>
    <w:rsid w:val="00592F04"/>
    <w:rsid w:val="0059333C"/>
    <w:rsid w:val="005933E2"/>
    <w:rsid w:val="00594CAF"/>
    <w:rsid w:val="005967C1"/>
    <w:rsid w:val="005A0C6F"/>
    <w:rsid w:val="005A105C"/>
    <w:rsid w:val="005A1DEC"/>
    <w:rsid w:val="005A2537"/>
    <w:rsid w:val="005A28E1"/>
    <w:rsid w:val="005A29C7"/>
    <w:rsid w:val="005A2BAD"/>
    <w:rsid w:val="005A2E6A"/>
    <w:rsid w:val="005A2EC1"/>
    <w:rsid w:val="005A3BA0"/>
    <w:rsid w:val="005A419D"/>
    <w:rsid w:val="005A4781"/>
    <w:rsid w:val="005A4883"/>
    <w:rsid w:val="005A5C2E"/>
    <w:rsid w:val="005A6086"/>
    <w:rsid w:val="005A6869"/>
    <w:rsid w:val="005A7009"/>
    <w:rsid w:val="005B0176"/>
    <w:rsid w:val="005B0402"/>
    <w:rsid w:val="005B05DD"/>
    <w:rsid w:val="005B0663"/>
    <w:rsid w:val="005B196D"/>
    <w:rsid w:val="005B1D83"/>
    <w:rsid w:val="005B1FE4"/>
    <w:rsid w:val="005B2693"/>
    <w:rsid w:val="005B2894"/>
    <w:rsid w:val="005B2F32"/>
    <w:rsid w:val="005B3150"/>
    <w:rsid w:val="005B37DB"/>
    <w:rsid w:val="005B4577"/>
    <w:rsid w:val="005B4896"/>
    <w:rsid w:val="005B4A2C"/>
    <w:rsid w:val="005B4DEA"/>
    <w:rsid w:val="005B633F"/>
    <w:rsid w:val="005B7C21"/>
    <w:rsid w:val="005C0CBA"/>
    <w:rsid w:val="005C1637"/>
    <w:rsid w:val="005C2BAA"/>
    <w:rsid w:val="005C338B"/>
    <w:rsid w:val="005C3E3D"/>
    <w:rsid w:val="005C6764"/>
    <w:rsid w:val="005D0A3E"/>
    <w:rsid w:val="005D17AC"/>
    <w:rsid w:val="005D2767"/>
    <w:rsid w:val="005D37FE"/>
    <w:rsid w:val="005D4569"/>
    <w:rsid w:val="005D51BC"/>
    <w:rsid w:val="005D5381"/>
    <w:rsid w:val="005D64D6"/>
    <w:rsid w:val="005D6AB2"/>
    <w:rsid w:val="005D6E7D"/>
    <w:rsid w:val="005D6F9E"/>
    <w:rsid w:val="005D7F44"/>
    <w:rsid w:val="005E004A"/>
    <w:rsid w:val="005E2B1D"/>
    <w:rsid w:val="005E2E02"/>
    <w:rsid w:val="005E38B7"/>
    <w:rsid w:val="005E40EC"/>
    <w:rsid w:val="005E51B1"/>
    <w:rsid w:val="005E580A"/>
    <w:rsid w:val="005E5AB5"/>
    <w:rsid w:val="005E689D"/>
    <w:rsid w:val="005E70F7"/>
    <w:rsid w:val="005E7270"/>
    <w:rsid w:val="005F01C3"/>
    <w:rsid w:val="005F0874"/>
    <w:rsid w:val="005F1E46"/>
    <w:rsid w:val="005F2127"/>
    <w:rsid w:val="005F2F88"/>
    <w:rsid w:val="005F2FFC"/>
    <w:rsid w:val="005F3EE1"/>
    <w:rsid w:val="005F4406"/>
    <w:rsid w:val="005F44CB"/>
    <w:rsid w:val="005F4B87"/>
    <w:rsid w:val="006013EA"/>
    <w:rsid w:val="00601C4D"/>
    <w:rsid w:val="0060277E"/>
    <w:rsid w:val="0060285A"/>
    <w:rsid w:val="00602B25"/>
    <w:rsid w:val="00605235"/>
    <w:rsid w:val="0060525D"/>
    <w:rsid w:val="00612A49"/>
    <w:rsid w:val="00613C21"/>
    <w:rsid w:val="00613CEA"/>
    <w:rsid w:val="0061458C"/>
    <w:rsid w:val="00615610"/>
    <w:rsid w:val="0061597D"/>
    <w:rsid w:val="006165A9"/>
    <w:rsid w:val="00617E1B"/>
    <w:rsid w:val="00621E05"/>
    <w:rsid w:val="00622ECA"/>
    <w:rsid w:val="00623319"/>
    <w:rsid w:val="00623419"/>
    <w:rsid w:val="00623658"/>
    <w:rsid w:val="00623775"/>
    <w:rsid w:val="00624EF9"/>
    <w:rsid w:val="00627A2A"/>
    <w:rsid w:val="006328CC"/>
    <w:rsid w:val="00633549"/>
    <w:rsid w:val="00634D21"/>
    <w:rsid w:val="00635659"/>
    <w:rsid w:val="006357F0"/>
    <w:rsid w:val="00635E6B"/>
    <w:rsid w:val="00635F0A"/>
    <w:rsid w:val="006364FA"/>
    <w:rsid w:val="006366E2"/>
    <w:rsid w:val="00636C78"/>
    <w:rsid w:val="00640156"/>
    <w:rsid w:val="00640304"/>
    <w:rsid w:val="00640EC8"/>
    <w:rsid w:val="00641399"/>
    <w:rsid w:val="00641EEC"/>
    <w:rsid w:val="00642042"/>
    <w:rsid w:val="0064271D"/>
    <w:rsid w:val="00642C6C"/>
    <w:rsid w:val="006453E1"/>
    <w:rsid w:val="00645E9A"/>
    <w:rsid w:val="00645FDA"/>
    <w:rsid w:val="006464C3"/>
    <w:rsid w:val="00650542"/>
    <w:rsid w:val="006512A7"/>
    <w:rsid w:val="00652AC9"/>
    <w:rsid w:val="0065348A"/>
    <w:rsid w:val="00655DFD"/>
    <w:rsid w:val="00655E90"/>
    <w:rsid w:val="00656B56"/>
    <w:rsid w:val="00660763"/>
    <w:rsid w:val="00660B5E"/>
    <w:rsid w:val="0066217F"/>
    <w:rsid w:val="0066301D"/>
    <w:rsid w:val="00663427"/>
    <w:rsid w:val="006643D7"/>
    <w:rsid w:val="006676EB"/>
    <w:rsid w:val="00667A74"/>
    <w:rsid w:val="00667B80"/>
    <w:rsid w:val="006707D9"/>
    <w:rsid w:val="00670B94"/>
    <w:rsid w:val="006720BC"/>
    <w:rsid w:val="00672125"/>
    <w:rsid w:val="006724EE"/>
    <w:rsid w:val="0067358D"/>
    <w:rsid w:val="006743EC"/>
    <w:rsid w:val="00675711"/>
    <w:rsid w:val="006759FB"/>
    <w:rsid w:val="0067702C"/>
    <w:rsid w:val="0067771F"/>
    <w:rsid w:val="00677EA3"/>
    <w:rsid w:val="0068054E"/>
    <w:rsid w:val="0068105F"/>
    <w:rsid w:val="006813F9"/>
    <w:rsid w:val="00681982"/>
    <w:rsid w:val="00682033"/>
    <w:rsid w:val="00682288"/>
    <w:rsid w:val="00682644"/>
    <w:rsid w:val="00682AB6"/>
    <w:rsid w:val="006834DD"/>
    <w:rsid w:val="00684FB9"/>
    <w:rsid w:val="00685105"/>
    <w:rsid w:val="006852E6"/>
    <w:rsid w:val="0068539E"/>
    <w:rsid w:val="00685458"/>
    <w:rsid w:val="006859AB"/>
    <w:rsid w:val="00685BF8"/>
    <w:rsid w:val="006860D4"/>
    <w:rsid w:val="00686F09"/>
    <w:rsid w:val="00687594"/>
    <w:rsid w:val="0068766F"/>
    <w:rsid w:val="00687707"/>
    <w:rsid w:val="006879D6"/>
    <w:rsid w:val="0069004E"/>
    <w:rsid w:val="00691D72"/>
    <w:rsid w:val="006922B8"/>
    <w:rsid w:val="00692AA2"/>
    <w:rsid w:val="0069370A"/>
    <w:rsid w:val="00694967"/>
    <w:rsid w:val="00694A76"/>
    <w:rsid w:val="006951C1"/>
    <w:rsid w:val="006967B4"/>
    <w:rsid w:val="00696E5F"/>
    <w:rsid w:val="00697462"/>
    <w:rsid w:val="00697749"/>
    <w:rsid w:val="0069786C"/>
    <w:rsid w:val="006A2A62"/>
    <w:rsid w:val="006A3E2B"/>
    <w:rsid w:val="006A4BF0"/>
    <w:rsid w:val="006B1779"/>
    <w:rsid w:val="006B1DAE"/>
    <w:rsid w:val="006B2AE4"/>
    <w:rsid w:val="006B2CC0"/>
    <w:rsid w:val="006B4711"/>
    <w:rsid w:val="006B5C2B"/>
    <w:rsid w:val="006B67AA"/>
    <w:rsid w:val="006C08F3"/>
    <w:rsid w:val="006C12F8"/>
    <w:rsid w:val="006C1537"/>
    <w:rsid w:val="006C1C4D"/>
    <w:rsid w:val="006C1F9D"/>
    <w:rsid w:val="006C2D4D"/>
    <w:rsid w:val="006C39F1"/>
    <w:rsid w:val="006C4FF1"/>
    <w:rsid w:val="006C5144"/>
    <w:rsid w:val="006C5722"/>
    <w:rsid w:val="006C5B30"/>
    <w:rsid w:val="006C60C6"/>
    <w:rsid w:val="006C6B2A"/>
    <w:rsid w:val="006C6DA2"/>
    <w:rsid w:val="006C708E"/>
    <w:rsid w:val="006C70BA"/>
    <w:rsid w:val="006C7188"/>
    <w:rsid w:val="006C73C0"/>
    <w:rsid w:val="006C7B40"/>
    <w:rsid w:val="006D00FF"/>
    <w:rsid w:val="006D053C"/>
    <w:rsid w:val="006D05AB"/>
    <w:rsid w:val="006D175B"/>
    <w:rsid w:val="006D1856"/>
    <w:rsid w:val="006D1C71"/>
    <w:rsid w:val="006D21CB"/>
    <w:rsid w:val="006D2EDF"/>
    <w:rsid w:val="006D366B"/>
    <w:rsid w:val="006D3D4F"/>
    <w:rsid w:val="006D4E18"/>
    <w:rsid w:val="006D5B4B"/>
    <w:rsid w:val="006D5CDB"/>
    <w:rsid w:val="006D68DC"/>
    <w:rsid w:val="006D6B6A"/>
    <w:rsid w:val="006D6D24"/>
    <w:rsid w:val="006D7558"/>
    <w:rsid w:val="006E0BD9"/>
    <w:rsid w:val="006E17EF"/>
    <w:rsid w:val="006E1E90"/>
    <w:rsid w:val="006E2BC2"/>
    <w:rsid w:val="006E4430"/>
    <w:rsid w:val="006E4476"/>
    <w:rsid w:val="006E452A"/>
    <w:rsid w:val="006E54DD"/>
    <w:rsid w:val="006F0F4F"/>
    <w:rsid w:val="006F107D"/>
    <w:rsid w:val="006F1994"/>
    <w:rsid w:val="006F1A3F"/>
    <w:rsid w:val="006F34DD"/>
    <w:rsid w:val="006F3DDC"/>
    <w:rsid w:val="006F4CA9"/>
    <w:rsid w:val="006F55F4"/>
    <w:rsid w:val="006F578B"/>
    <w:rsid w:val="006F5996"/>
    <w:rsid w:val="006F5F48"/>
    <w:rsid w:val="006F69C4"/>
    <w:rsid w:val="007003EC"/>
    <w:rsid w:val="00700C6F"/>
    <w:rsid w:val="00701B49"/>
    <w:rsid w:val="00702F92"/>
    <w:rsid w:val="0070381F"/>
    <w:rsid w:val="00703B8A"/>
    <w:rsid w:val="00704575"/>
    <w:rsid w:val="007049F5"/>
    <w:rsid w:val="00704D17"/>
    <w:rsid w:val="0070625F"/>
    <w:rsid w:val="00706BF6"/>
    <w:rsid w:val="00710D6A"/>
    <w:rsid w:val="00715339"/>
    <w:rsid w:val="00720A5F"/>
    <w:rsid w:val="00721262"/>
    <w:rsid w:val="007216FF"/>
    <w:rsid w:val="00721838"/>
    <w:rsid w:val="00721D89"/>
    <w:rsid w:val="007223C6"/>
    <w:rsid w:val="00722A94"/>
    <w:rsid w:val="00723F09"/>
    <w:rsid w:val="007248CE"/>
    <w:rsid w:val="00730982"/>
    <w:rsid w:val="007324EC"/>
    <w:rsid w:val="00732FBD"/>
    <w:rsid w:val="00733CCB"/>
    <w:rsid w:val="00734EF4"/>
    <w:rsid w:val="0073681F"/>
    <w:rsid w:val="00741F7F"/>
    <w:rsid w:val="00742364"/>
    <w:rsid w:val="00742891"/>
    <w:rsid w:val="007434BD"/>
    <w:rsid w:val="00744893"/>
    <w:rsid w:val="00745840"/>
    <w:rsid w:val="007460B2"/>
    <w:rsid w:val="0074690E"/>
    <w:rsid w:val="00747BBC"/>
    <w:rsid w:val="00750A48"/>
    <w:rsid w:val="007513BA"/>
    <w:rsid w:val="007513F5"/>
    <w:rsid w:val="00751BC4"/>
    <w:rsid w:val="00751D9C"/>
    <w:rsid w:val="007534AF"/>
    <w:rsid w:val="00753DA0"/>
    <w:rsid w:val="0075589F"/>
    <w:rsid w:val="007569AE"/>
    <w:rsid w:val="00757093"/>
    <w:rsid w:val="00757E5A"/>
    <w:rsid w:val="00760C2E"/>
    <w:rsid w:val="0076284B"/>
    <w:rsid w:val="00762D4F"/>
    <w:rsid w:val="00764492"/>
    <w:rsid w:val="007646DA"/>
    <w:rsid w:val="007669A4"/>
    <w:rsid w:val="00766E4A"/>
    <w:rsid w:val="007673E2"/>
    <w:rsid w:val="00767721"/>
    <w:rsid w:val="007731AB"/>
    <w:rsid w:val="00773E75"/>
    <w:rsid w:val="00774495"/>
    <w:rsid w:val="0077560F"/>
    <w:rsid w:val="0077623F"/>
    <w:rsid w:val="007777CE"/>
    <w:rsid w:val="007779A0"/>
    <w:rsid w:val="00780412"/>
    <w:rsid w:val="00781079"/>
    <w:rsid w:val="007812F7"/>
    <w:rsid w:val="007821D2"/>
    <w:rsid w:val="00782209"/>
    <w:rsid w:val="00782C1B"/>
    <w:rsid w:val="00784B7E"/>
    <w:rsid w:val="00786DB0"/>
    <w:rsid w:val="0078704E"/>
    <w:rsid w:val="007901CD"/>
    <w:rsid w:val="00790F7B"/>
    <w:rsid w:val="00791076"/>
    <w:rsid w:val="00792965"/>
    <w:rsid w:val="0079312C"/>
    <w:rsid w:val="00793E2B"/>
    <w:rsid w:val="00793EE8"/>
    <w:rsid w:val="00794268"/>
    <w:rsid w:val="00795D95"/>
    <w:rsid w:val="007979B2"/>
    <w:rsid w:val="007A03C9"/>
    <w:rsid w:val="007A09B9"/>
    <w:rsid w:val="007A0E72"/>
    <w:rsid w:val="007A1164"/>
    <w:rsid w:val="007A4A58"/>
    <w:rsid w:val="007B148A"/>
    <w:rsid w:val="007B245A"/>
    <w:rsid w:val="007B2C72"/>
    <w:rsid w:val="007B43BE"/>
    <w:rsid w:val="007B4548"/>
    <w:rsid w:val="007B4A76"/>
    <w:rsid w:val="007B4F41"/>
    <w:rsid w:val="007B5F0A"/>
    <w:rsid w:val="007B6DD9"/>
    <w:rsid w:val="007B749C"/>
    <w:rsid w:val="007B7672"/>
    <w:rsid w:val="007B77A6"/>
    <w:rsid w:val="007B7829"/>
    <w:rsid w:val="007B7CCC"/>
    <w:rsid w:val="007C13D5"/>
    <w:rsid w:val="007C199A"/>
    <w:rsid w:val="007C2868"/>
    <w:rsid w:val="007C4D2E"/>
    <w:rsid w:val="007C6B91"/>
    <w:rsid w:val="007C7F42"/>
    <w:rsid w:val="007D10C5"/>
    <w:rsid w:val="007D1661"/>
    <w:rsid w:val="007D3F0C"/>
    <w:rsid w:val="007D4222"/>
    <w:rsid w:val="007D4662"/>
    <w:rsid w:val="007D4E64"/>
    <w:rsid w:val="007D74B6"/>
    <w:rsid w:val="007D7A3B"/>
    <w:rsid w:val="007D7A7D"/>
    <w:rsid w:val="007D7AFE"/>
    <w:rsid w:val="007E1BFF"/>
    <w:rsid w:val="007E3B56"/>
    <w:rsid w:val="007E52FD"/>
    <w:rsid w:val="007E65E1"/>
    <w:rsid w:val="007E6E46"/>
    <w:rsid w:val="007E7474"/>
    <w:rsid w:val="007E7960"/>
    <w:rsid w:val="007E7A87"/>
    <w:rsid w:val="007F1206"/>
    <w:rsid w:val="007F1831"/>
    <w:rsid w:val="007F1852"/>
    <w:rsid w:val="007F1B1C"/>
    <w:rsid w:val="007F2A65"/>
    <w:rsid w:val="007F30DF"/>
    <w:rsid w:val="007F5C7E"/>
    <w:rsid w:val="007F5F78"/>
    <w:rsid w:val="007F6CC1"/>
    <w:rsid w:val="007F6DC7"/>
    <w:rsid w:val="007F7A43"/>
    <w:rsid w:val="0080144D"/>
    <w:rsid w:val="008045A6"/>
    <w:rsid w:val="00804FD7"/>
    <w:rsid w:val="008050D6"/>
    <w:rsid w:val="00805188"/>
    <w:rsid w:val="008068CE"/>
    <w:rsid w:val="008079D7"/>
    <w:rsid w:val="008107F0"/>
    <w:rsid w:val="00811269"/>
    <w:rsid w:val="0081233A"/>
    <w:rsid w:val="00812F2C"/>
    <w:rsid w:val="00813310"/>
    <w:rsid w:val="00816765"/>
    <w:rsid w:val="00817195"/>
    <w:rsid w:val="0081759B"/>
    <w:rsid w:val="008200ED"/>
    <w:rsid w:val="00821EDC"/>
    <w:rsid w:val="00822584"/>
    <w:rsid w:val="008228DC"/>
    <w:rsid w:val="00822B50"/>
    <w:rsid w:val="0082390D"/>
    <w:rsid w:val="008254C0"/>
    <w:rsid w:val="008254CC"/>
    <w:rsid w:val="00825630"/>
    <w:rsid w:val="008263B5"/>
    <w:rsid w:val="008269D6"/>
    <w:rsid w:val="0083025B"/>
    <w:rsid w:val="008308C5"/>
    <w:rsid w:val="0083225D"/>
    <w:rsid w:val="0083251A"/>
    <w:rsid w:val="00833B01"/>
    <w:rsid w:val="00836A2D"/>
    <w:rsid w:val="00837608"/>
    <w:rsid w:val="00837A9F"/>
    <w:rsid w:val="00840077"/>
    <w:rsid w:val="0084009F"/>
    <w:rsid w:val="0084094E"/>
    <w:rsid w:val="00841872"/>
    <w:rsid w:val="008419AD"/>
    <w:rsid w:val="00842EE5"/>
    <w:rsid w:val="00843CCD"/>
    <w:rsid w:val="008449DC"/>
    <w:rsid w:val="008453BE"/>
    <w:rsid w:val="008457DD"/>
    <w:rsid w:val="00845AAF"/>
    <w:rsid w:val="0084637D"/>
    <w:rsid w:val="008473BA"/>
    <w:rsid w:val="00847BFE"/>
    <w:rsid w:val="008502A9"/>
    <w:rsid w:val="00850B4D"/>
    <w:rsid w:val="0085184F"/>
    <w:rsid w:val="0085231F"/>
    <w:rsid w:val="00853D95"/>
    <w:rsid w:val="00853DC4"/>
    <w:rsid w:val="008550BF"/>
    <w:rsid w:val="00855B62"/>
    <w:rsid w:val="00855EDC"/>
    <w:rsid w:val="008564CC"/>
    <w:rsid w:val="00856B2B"/>
    <w:rsid w:val="008602FB"/>
    <w:rsid w:val="008604C7"/>
    <w:rsid w:val="00860572"/>
    <w:rsid w:val="00864BD4"/>
    <w:rsid w:val="00865809"/>
    <w:rsid w:val="00865D8C"/>
    <w:rsid w:val="008666D0"/>
    <w:rsid w:val="00867CAD"/>
    <w:rsid w:val="00870939"/>
    <w:rsid w:val="008716AD"/>
    <w:rsid w:val="0087238B"/>
    <w:rsid w:val="00872C7F"/>
    <w:rsid w:val="00872E82"/>
    <w:rsid w:val="0087504A"/>
    <w:rsid w:val="00875F9C"/>
    <w:rsid w:val="00876BC4"/>
    <w:rsid w:val="00877940"/>
    <w:rsid w:val="00877C5C"/>
    <w:rsid w:val="00881FEC"/>
    <w:rsid w:val="00882BD2"/>
    <w:rsid w:val="008839BC"/>
    <w:rsid w:val="00884B04"/>
    <w:rsid w:val="0088515F"/>
    <w:rsid w:val="00885E32"/>
    <w:rsid w:val="00886787"/>
    <w:rsid w:val="00886D63"/>
    <w:rsid w:val="00890BB2"/>
    <w:rsid w:val="00892D89"/>
    <w:rsid w:val="008930C3"/>
    <w:rsid w:val="00893775"/>
    <w:rsid w:val="008945E5"/>
    <w:rsid w:val="00894C2E"/>
    <w:rsid w:val="00894E79"/>
    <w:rsid w:val="0089757F"/>
    <w:rsid w:val="00897E88"/>
    <w:rsid w:val="008A24C5"/>
    <w:rsid w:val="008A3DAA"/>
    <w:rsid w:val="008A4577"/>
    <w:rsid w:val="008A55F9"/>
    <w:rsid w:val="008B1A88"/>
    <w:rsid w:val="008B334C"/>
    <w:rsid w:val="008B44F4"/>
    <w:rsid w:val="008B5864"/>
    <w:rsid w:val="008B5ACC"/>
    <w:rsid w:val="008B65B9"/>
    <w:rsid w:val="008B6801"/>
    <w:rsid w:val="008B7192"/>
    <w:rsid w:val="008B7A3E"/>
    <w:rsid w:val="008C04E3"/>
    <w:rsid w:val="008C20A0"/>
    <w:rsid w:val="008C2A79"/>
    <w:rsid w:val="008C39AF"/>
    <w:rsid w:val="008C41BF"/>
    <w:rsid w:val="008C5A67"/>
    <w:rsid w:val="008C70F6"/>
    <w:rsid w:val="008C7FC6"/>
    <w:rsid w:val="008D11D8"/>
    <w:rsid w:val="008D2343"/>
    <w:rsid w:val="008D2C01"/>
    <w:rsid w:val="008D48E0"/>
    <w:rsid w:val="008D4E7A"/>
    <w:rsid w:val="008D509C"/>
    <w:rsid w:val="008D6084"/>
    <w:rsid w:val="008D7681"/>
    <w:rsid w:val="008E0209"/>
    <w:rsid w:val="008E0FE1"/>
    <w:rsid w:val="008E1C10"/>
    <w:rsid w:val="008E2202"/>
    <w:rsid w:val="008E26DF"/>
    <w:rsid w:val="008E2FAE"/>
    <w:rsid w:val="008E3BA1"/>
    <w:rsid w:val="008E4ED7"/>
    <w:rsid w:val="008E628E"/>
    <w:rsid w:val="008E639F"/>
    <w:rsid w:val="008E6640"/>
    <w:rsid w:val="008E719A"/>
    <w:rsid w:val="008E761A"/>
    <w:rsid w:val="008F0155"/>
    <w:rsid w:val="008F1A73"/>
    <w:rsid w:val="008F332D"/>
    <w:rsid w:val="008F3898"/>
    <w:rsid w:val="008F4B29"/>
    <w:rsid w:val="008F79AD"/>
    <w:rsid w:val="009013B5"/>
    <w:rsid w:val="0090148E"/>
    <w:rsid w:val="009014AD"/>
    <w:rsid w:val="00901E30"/>
    <w:rsid w:val="00902E5F"/>
    <w:rsid w:val="00903B7E"/>
    <w:rsid w:val="00904C45"/>
    <w:rsid w:val="00905435"/>
    <w:rsid w:val="00905752"/>
    <w:rsid w:val="0090594F"/>
    <w:rsid w:val="00906CC3"/>
    <w:rsid w:val="00906F86"/>
    <w:rsid w:val="00910234"/>
    <w:rsid w:val="009103B6"/>
    <w:rsid w:val="009108B0"/>
    <w:rsid w:val="009108C5"/>
    <w:rsid w:val="00910C8E"/>
    <w:rsid w:val="009134DA"/>
    <w:rsid w:val="00913B9E"/>
    <w:rsid w:val="00914BC9"/>
    <w:rsid w:val="009151E7"/>
    <w:rsid w:val="009151FE"/>
    <w:rsid w:val="00920175"/>
    <w:rsid w:val="00920FD7"/>
    <w:rsid w:val="009216F7"/>
    <w:rsid w:val="00921E96"/>
    <w:rsid w:val="00922BD0"/>
    <w:rsid w:val="00922F93"/>
    <w:rsid w:val="0092699E"/>
    <w:rsid w:val="009275D6"/>
    <w:rsid w:val="009302BB"/>
    <w:rsid w:val="0093155A"/>
    <w:rsid w:val="00932464"/>
    <w:rsid w:val="009330B2"/>
    <w:rsid w:val="00935A8D"/>
    <w:rsid w:val="0093796D"/>
    <w:rsid w:val="00937ED5"/>
    <w:rsid w:val="00940025"/>
    <w:rsid w:val="00940FC2"/>
    <w:rsid w:val="0094177D"/>
    <w:rsid w:val="00941C7D"/>
    <w:rsid w:val="009420A1"/>
    <w:rsid w:val="009428D4"/>
    <w:rsid w:val="00942B78"/>
    <w:rsid w:val="00943010"/>
    <w:rsid w:val="00945F21"/>
    <w:rsid w:val="009461E1"/>
    <w:rsid w:val="009469C2"/>
    <w:rsid w:val="00950382"/>
    <w:rsid w:val="00950CA2"/>
    <w:rsid w:val="009513AC"/>
    <w:rsid w:val="0095155E"/>
    <w:rsid w:val="009525CD"/>
    <w:rsid w:val="00952C41"/>
    <w:rsid w:val="0095480E"/>
    <w:rsid w:val="00956BFD"/>
    <w:rsid w:val="00956E76"/>
    <w:rsid w:val="00960E27"/>
    <w:rsid w:val="00962023"/>
    <w:rsid w:val="00962378"/>
    <w:rsid w:val="00963CD0"/>
    <w:rsid w:val="00963D90"/>
    <w:rsid w:val="00964974"/>
    <w:rsid w:val="00965956"/>
    <w:rsid w:val="00967027"/>
    <w:rsid w:val="00970C7A"/>
    <w:rsid w:val="009717FA"/>
    <w:rsid w:val="00971C2B"/>
    <w:rsid w:val="00974629"/>
    <w:rsid w:val="0097483A"/>
    <w:rsid w:val="00974F30"/>
    <w:rsid w:val="00976119"/>
    <w:rsid w:val="00977F05"/>
    <w:rsid w:val="0098028F"/>
    <w:rsid w:val="0098156D"/>
    <w:rsid w:val="00982994"/>
    <w:rsid w:val="009830D1"/>
    <w:rsid w:val="00984839"/>
    <w:rsid w:val="00985759"/>
    <w:rsid w:val="009866B9"/>
    <w:rsid w:val="00987135"/>
    <w:rsid w:val="00987C21"/>
    <w:rsid w:val="009904B1"/>
    <w:rsid w:val="00991F24"/>
    <w:rsid w:val="00992490"/>
    <w:rsid w:val="009925E7"/>
    <w:rsid w:val="00995144"/>
    <w:rsid w:val="00997B90"/>
    <w:rsid w:val="009A0E84"/>
    <w:rsid w:val="009A3218"/>
    <w:rsid w:val="009A57F1"/>
    <w:rsid w:val="009A5BFE"/>
    <w:rsid w:val="009B0768"/>
    <w:rsid w:val="009B251C"/>
    <w:rsid w:val="009B3285"/>
    <w:rsid w:val="009B4AD6"/>
    <w:rsid w:val="009B4BBF"/>
    <w:rsid w:val="009B530C"/>
    <w:rsid w:val="009B68FA"/>
    <w:rsid w:val="009C19AB"/>
    <w:rsid w:val="009C1AEC"/>
    <w:rsid w:val="009C2776"/>
    <w:rsid w:val="009C4AAF"/>
    <w:rsid w:val="009C670F"/>
    <w:rsid w:val="009C6A95"/>
    <w:rsid w:val="009C79EB"/>
    <w:rsid w:val="009C7FE7"/>
    <w:rsid w:val="009D0432"/>
    <w:rsid w:val="009D127B"/>
    <w:rsid w:val="009D26C0"/>
    <w:rsid w:val="009D2796"/>
    <w:rsid w:val="009D405E"/>
    <w:rsid w:val="009D4618"/>
    <w:rsid w:val="009D4C50"/>
    <w:rsid w:val="009D4C66"/>
    <w:rsid w:val="009D5C27"/>
    <w:rsid w:val="009D5D22"/>
    <w:rsid w:val="009E02B4"/>
    <w:rsid w:val="009E0D52"/>
    <w:rsid w:val="009E0F48"/>
    <w:rsid w:val="009E11CD"/>
    <w:rsid w:val="009E18F4"/>
    <w:rsid w:val="009E1FA5"/>
    <w:rsid w:val="009E31F4"/>
    <w:rsid w:val="009E3DCD"/>
    <w:rsid w:val="009E4E1D"/>
    <w:rsid w:val="009E4E63"/>
    <w:rsid w:val="009E5A78"/>
    <w:rsid w:val="009E713B"/>
    <w:rsid w:val="009E7475"/>
    <w:rsid w:val="009F051A"/>
    <w:rsid w:val="009F0882"/>
    <w:rsid w:val="009F2241"/>
    <w:rsid w:val="009F2D20"/>
    <w:rsid w:val="009F2E1C"/>
    <w:rsid w:val="009F359A"/>
    <w:rsid w:val="009F41E0"/>
    <w:rsid w:val="009F46C5"/>
    <w:rsid w:val="009F4737"/>
    <w:rsid w:val="009F49E8"/>
    <w:rsid w:val="009F4FB5"/>
    <w:rsid w:val="009F5AD0"/>
    <w:rsid w:val="009F644A"/>
    <w:rsid w:val="009F69DC"/>
    <w:rsid w:val="00A0008A"/>
    <w:rsid w:val="00A00328"/>
    <w:rsid w:val="00A00C20"/>
    <w:rsid w:val="00A013A4"/>
    <w:rsid w:val="00A02687"/>
    <w:rsid w:val="00A02FF9"/>
    <w:rsid w:val="00A03AAE"/>
    <w:rsid w:val="00A04A78"/>
    <w:rsid w:val="00A04BE6"/>
    <w:rsid w:val="00A05065"/>
    <w:rsid w:val="00A051F8"/>
    <w:rsid w:val="00A06093"/>
    <w:rsid w:val="00A060F0"/>
    <w:rsid w:val="00A06335"/>
    <w:rsid w:val="00A06E4A"/>
    <w:rsid w:val="00A07D1B"/>
    <w:rsid w:val="00A10162"/>
    <w:rsid w:val="00A1063E"/>
    <w:rsid w:val="00A11379"/>
    <w:rsid w:val="00A121AF"/>
    <w:rsid w:val="00A1297C"/>
    <w:rsid w:val="00A135EF"/>
    <w:rsid w:val="00A13946"/>
    <w:rsid w:val="00A1485B"/>
    <w:rsid w:val="00A16691"/>
    <w:rsid w:val="00A16CA1"/>
    <w:rsid w:val="00A1733E"/>
    <w:rsid w:val="00A1766D"/>
    <w:rsid w:val="00A21334"/>
    <w:rsid w:val="00A2185D"/>
    <w:rsid w:val="00A23406"/>
    <w:rsid w:val="00A23B77"/>
    <w:rsid w:val="00A2436E"/>
    <w:rsid w:val="00A244AC"/>
    <w:rsid w:val="00A247C0"/>
    <w:rsid w:val="00A26620"/>
    <w:rsid w:val="00A26A50"/>
    <w:rsid w:val="00A27551"/>
    <w:rsid w:val="00A27A34"/>
    <w:rsid w:val="00A31764"/>
    <w:rsid w:val="00A31F64"/>
    <w:rsid w:val="00A323CF"/>
    <w:rsid w:val="00A328CD"/>
    <w:rsid w:val="00A3470B"/>
    <w:rsid w:val="00A3671D"/>
    <w:rsid w:val="00A371F6"/>
    <w:rsid w:val="00A40144"/>
    <w:rsid w:val="00A406BD"/>
    <w:rsid w:val="00A41C1D"/>
    <w:rsid w:val="00A41F63"/>
    <w:rsid w:val="00A424E1"/>
    <w:rsid w:val="00A42C4D"/>
    <w:rsid w:val="00A43777"/>
    <w:rsid w:val="00A46FE2"/>
    <w:rsid w:val="00A50ACC"/>
    <w:rsid w:val="00A5185F"/>
    <w:rsid w:val="00A51910"/>
    <w:rsid w:val="00A51F99"/>
    <w:rsid w:val="00A52817"/>
    <w:rsid w:val="00A52D3F"/>
    <w:rsid w:val="00A52E96"/>
    <w:rsid w:val="00A52F75"/>
    <w:rsid w:val="00A530FD"/>
    <w:rsid w:val="00A53818"/>
    <w:rsid w:val="00A539A6"/>
    <w:rsid w:val="00A54026"/>
    <w:rsid w:val="00A54246"/>
    <w:rsid w:val="00A55054"/>
    <w:rsid w:val="00A57472"/>
    <w:rsid w:val="00A57E25"/>
    <w:rsid w:val="00A603ED"/>
    <w:rsid w:val="00A616CE"/>
    <w:rsid w:val="00A62144"/>
    <w:rsid w:val="00A6232B"/>
    <w:rsid w:val="00A6240C"/>
    <w:rsid w:val="00A62A9E"/>
    <w:rsid w:val="00A62D26"/>
    <w:rsid w:val="00A64939"/>
    <w:rsid w:val="00A6691D"/>
    <w:rsid w:val="00A67248"/>
    <w:rsid w:val="00A70E50"/>
    <w:rsid w:val="00A712EF"/>
    <w:rsid w:val="00A71C33"/>
    <w:rsid w:val="00A732A9"/>
    <w:rsid w:val="00A73E89"/>
    <w:rsid w:val="00A76AF4"/>
    <w:rsid w:val="00A81F77"/>
    <w:rsid w:val="00A82E4D"/>
    <w:rsid w:val="00A82FDB"/>
    <w:rsid w:val="00A83C52"/>
    <w:rsid w:val="00A84C05"/>
    <w:rsid w:val="00A8619B"/>
    <w:rsid w:val="00A86955"/>
    <w:rsid w:val="00A86CEB"/>
    <w:rsid w:val="00A87058"/>
    <w:rsid w:val="00A8711B"/>
    <w:rsid w:val="00A87187"/>
    <w:rsid w:val="00A90339"/>
    <w:rsid w:val="00A90F1D"/>
    <w:rsid w:val="00A90F50"/>
    <w:rsid w:val="00A91611"/>
    <w:rsid w:val="00A92476"/>
    <w:rsid w:val="00A92500"/>
    <w:rsid w:val="00A92685"/>
    <w:rsid w:val="00A92730"/>
    <w:rsid w:val="00A939A1"/>
    <w:rsid w:val="00A93A4C"/>
    <w:rsid w:val="00A93EBF"/>
    <w:rsid w:val="00A94B17"/>
    <w:rsid w:val="00A94EC4"/>
    <w:rsid w:val="00A96777"/>
    <w:rsid w:val="00A9695F"/>
    <w:rsid w:val="00AA0715"/>
    <w:rsid w:val="00AA0992"/>
    <w:rsid w:val="00AA1939"/>
    <w:rsid w:val="00AA336E"/>
    <w:rsid w:val="00AA406B"/>
    <w:rsid w:val="00AA4930"/>
    <w:rsid w:val="00AA5026"/>
    <w:rsid w:val="00AA7FEB"/>
    <w:rsid w:val="00AB0D72"/>
    <w:rsid w:val="00AB1196"/>
    <w:rsid w:val="00AB20C2"/>
    <w:rsid w:val="00AB2B0C"/>
    <w:rsid w:val="00AB3A1D"/>
    <w:rsid w:val="00AB3C42"/>
    <w:rsid w:val="00AB41F8"/>
    <w:rsid w:val="00AB49C0"/>
    <w:rsid w:val="00AB6D15"/>
    <w:rsid w:val="00AC0F5E"/>
    <w:rsid w:val="00AC1CC3"/>
    <w:rsid w:val="00AC2103"/>
    <w:rsid w:val="00AC26AB"/>
    <w:rsid w:val="00AC3E23"/>
    <w:rsid w:val="00AC3EC3"/>
    <w:rsid w:val="00AC424F"/>
    <w:rsid w:val="00AC49A2"/>
    <w:rsid w:val="00AC6CE0"/>
    <w:rsid w:val="00AC6D19"/>
    <w:rsid w:val="00AD0DAC"/>
    <w:rsid w:val="00AD20D0"/>
    <w:rsid w:val="00AD24E1"/>
    <w:rsid w:val="00AD34F6"/>
    <w:rsid w:val="00AD46E9"/>
    <w:rsid w:val="00AD5994"/>
    <w:rsid w:val="00AD7C27"/>
    <w:rsid w:val="00AE004E"/>
    <w:rsid w:val="00AE02C1"/>
    <w:rsid w:val="00AE0CAB"/>
    <w:rsid w:val="00AE3327"/>
    <w:rsid w:val="00AE3416"/>
    <w:rsid w:val="00AE406C"/>
    <w:rsid w:val="00AE58D0"/>
    <w:rsid w:val="00AE6D9E"/>
    <w:rsid w:val="00AF0538"/>
    <w:rsid w:val="00AF1752"/>
    <w:rsid w:val="00AF1EBE"/>
    <w:rsid w:val="00AF4798"/>
    <w:rsid w:val="00AF59DF"/>
    <w:rsid w:val="00AF5DD8"/>
    <w:rsid w:val="00AF648C"/>
    <w:rsid w:val="00AF694A"/>
    <w:rsid w:val="00AF6D5B"/>
    <w:rsid w:val="00AF6EA4"/>
    <w:rsid w:val="00AF79F7"/>
    <w:rsid w:val="00AF7C4D"/>
    <w:rsid w:val="00B0103A"/>
    <w:rsid w:val="00B026DF"/>
    <w:rsid w:val="00B02BD9"/>
    <w:rsid w:val="00B04607"/>
    <w:rsid w:val="00B04645"/>
    <w:rsid w:val="00B04DB0"/>
    <w:rsid w:val="00B057EA"/>
    <w:rsid w:val="00B06937"/>
    <w:rsid w:val="00B06DCD"/>
    <w:rsid w:val="00B07072"/>
    <w:rsid w:val="00B07C17"/>
    <w:rsid w:val="00B10473"/>
    <w:rsid w:val="00B111DF"/>
    <w:rsid w:val="00B12375"/>
    <w:rsid w:val="00B12D75"/>
    <w:rsid w:val="00B132A8"/>
    <w:rsid w:val="00B13AA2"/>
    <w:rsid w:val="00B13CF3"/>
    <w:rsid w:val="00B14C8E"/>
    <w:rsid w:val="00B17140"/>
    <w:rsid w:val="00B1725A"/>
    <w:rsid w:val="00B17CDA"/>
    <w:rsid w:val="00B2086E"/>
    <w:rsid w:val="00B215C7"/>
    <w:rsid w:val="00B21732"/>
    <w:rsid w:val="00B21BE7"/>
    <w:rsid w:val="00B21C86"/>
    <w:rsid w:val="00B22437"/>
    <w:rsid w:val="00B23CD9"/>
    <w:rsid w:val="00B2437F"/>
    <w:rsid w:val="00B24694"/>
    <w:rsid w:val="00B24BEB"/>
    <w:rsid w:val="00B25C5D"/>
    <w:rsid w:val="00B25FA1"/>
    <w:rsid w:val="00B279A7"/>
    <w:rsid w:val="00B27B8E"/>
    <w:rsid w:val="00B27C32"/>
    <w:rsid w:val="00B30800"/>
    <w:rsid w:val="00B3194C"/>
    <w:rsid w:val="00B3288D"/>
    <w:rsid w:val="00B32D00"/>
    <w:rsid w:val="00B34615"/>
    <w:rsid w:val="00B34E74"/>
    <w:rsid w:val="00B35502"/>
    <w:rsid w:val="00B372FB"/>
    <w:rsid w:val="00B37E9F"/>
    <w:rsid w:val="00B37F66"/>
    <w:rsid w:val="00B40310"/>
    <w:rsid w:val="00B437C5"/>
    <w:rsid w:val="00B446A1"/>
    <w:rsid w:val="00B458FD"/>
    <w:rsid w:val="00B47134"/>
    <w:rsid w:val="00B4732F"/>
    <w:rsid w:val="00B47771"/>
    <w:rsid w:val="00B478A2"/>
    <w:rsid w:val="00B47D5B"/>
    <w:rsid w:val="00B50179"/>
    <w:rsid w:val="00B50325"/>
    <w:rsid w:val="00B50665"/>
    <w:rsid w:val="00B50B5C"/>
    <w:rsid w:val="00B50FDE"/>
    <w:rsid w:val="00B51668"/>
    <w:rsid w:val="00B51D79"/>
    <w:rsid w:val="00B523D5"/>
    <w:rsid w:val="00B52FCC"/>
    <w:rsid w:val="00B5588A"/>
    <w:rsid w:val="00B57508"/>
    <w:rsid w:val="00B578FA"/>
    <w:rsid w:val="00B57C79"/>
    <w:rsid w:val="00B6004B"/>
    <w:rsid w:val="00B60B6D"/>
    <w:rsid w:val="00B61450"/>
    <w:rsid w:val="00B61B33"/>
    <w:rsid w:val="00B623A4"/>
    <w:rsid w:val="00B627A3"/>
    <w:rsid w:val="00B62AAD"/>
    <w:rsid w:val="00B631B3"/>
    <w:rsid w:val="00B63555"/>
    <w:rsid w:val="00B661B3"/>
    <w:rsid w:val="00B66806"/>
    <w:rsid w:val="00B66D8D"/>
    <w:rsid w:val="00B7088B"/>
    <w:rsid w:val="00B71A6A"/>
    <w:rsid w:val="00B71F6D"/>
    <w:rsid w:val="00B72660"/>
    <w:rsid w:val="00B72937"/>
    <w:rsid w:val="00B72A2D"/>
    <w:rsid w:val="00B75410"/>
    <w:rsid w:val="00B755C5"/>
    <w:rsid w:val="00B763AF"/>
    <w:rsid w:val="00B76A8A"/>
    <w:rsid w:val="00B76BE3"/>
    <w:rsid w:val="00B76EC2"/>
    <w:rsid w:val="00B77688"/>
    <w:rsid w:val="00B7792D"/>
    <w:rsid w:val="00B77946"/>
    <w:rsid w:val="00B802A0"/>
    <w:rsid w:val="00B802B4"/>
    <w:rsid w:val="00B819E9"/>
    <w:rsid w:val="00B81ED3"/>
    <w:rsid w:val="00B8251B"/>
    <w:rsid w:val="00B82583"/>
    <w:rsid w:val="00B82772"/>
    <w:rsid w:val="00B833B3"/>
    <w:rsid w:val="00B85A32"/>
    <w:rsid w:val="00B869C5"/>
    <w:rsid w:val="00B870B2"/>
    <w:rsid w:val="00B878D3"/>
    <w:rsid w:val="00B9144F"/>
    <w:rsid w:val="00B918B3"/>
    <w:rsid w:val="00B92B78"/>
    <w:rsid w:val="00B93526"/>
    <w:rsid w:val="00B93CE7"/>
    <w:rsid w:val="00B94133"/>
    <w:rsid w:val="00B94DE2"/>
    <w:rsid w:val="00B95E8A"/>
    <w:rsid w:val="00B965F5"/>
    <w:rsid w:val="00B97D8E"/>
    <w:rsid w:val="00B97E70"/>
    <w:rsid w:val="00BA1025"/>
    <w:rsid w:val="00BA10B8"/>
    <w:rsid w:val="00BA18D1"/>
    <w:rsid w:val="00BA2CB8"/>
    <w:rsid w:val="00BA3D34"/>
    <w:rsid w:val="00BA47B0"/>
    <w:rsid w:val="00BA49DD"/>
    <w:rsid w:val="00BB03F7"/>
    <w:rsid w:val="00BB0C7D"/>
    <w:rsid w:val="00BB1A65"/>
    <w:rsid w:val="00BB1D47"/>
    <w:rsid w:val="00BB2CC8"/>
    <w:rsid w:val="00BB379F"/>
    <w:rsid w:val="00BB3E9D"/>
    <w:rsid w:val="00BB4D7B"/>
    <w:rsid w:val="00BB660F"/>
    <w:rsid w:val="00BB6A29"/>
    <w:rsid w:val="00BB6C31"/>
    <w:rsid w:val="00BB7379"/>
    <w:rsid w:val="00BC093E"/>
    <w:rsid w:val="00BC0C61"/>
    <w:rsid w:val="00BC1E56"/>
    <w:rsid w:val="00BC2506"/>
    <w:rsid w:val="00BC2BC6"/>
    <w:rsid w:val="00BC471C"/>
    <w:rsid w:val="00BC49F8"/>
    <w:rsid w:val="00BC5ED8"/>
    <w:rsid w:val="00BC61F4"/>
    <w:rsid w:val="00BC6731"/>
    <w:rsid w:val="00BC754F"/>
    <w:rsid w:val="00BC776A"/>
    <w:rsid w:val="00BC78E4"/>
    <w:rsid w:val="00BC793A"/>
    <w:rsid w:val="00BD06A2"/>
    <w:rsid w:val="00BD1EC5"/>
    <w:rsid w:val="00BD1F45"/>
    <w:rsid w:val="00BD3AB3"/>
    <w:rsid w:val="00BD50A3"/>
    <w:rsid w:val="00BD5DA9"/>
    <w:rsid w:val="00BD62EA"/>
    <w:rsid w:val="00BD6F6C"/>
    <w:rsid w:val="00BD71C9"/>
    <w:rsid w:val="00BD7E48"/>
    <w:rsid w:val="00BE1FDE"/>
    <w:rsid w:val="00BE3DBE"/>
    <w:rsid w:val="00BE5418"/>
    <w:rsid w:val="00BE58FA"/>
    <w:rsid w:val="00BE6D09"/>
    <w:rsid w:val="00BE7DBD"/>
    <w:rsid w:val="00BF07B4"/>
    <w:rsid w:val="00BF07C4"/>
    <w:rsid w:val="00BF17B0"/>
    <w:rsid w:val="00BF28AC"/>
    <w:rsid w:val="00BF5E28"/>
    <w:rsid w:val="00BF6A3A"/>
    <w:rsid w:val="00BF7475"/>
    <w:rsid w:val="00BF75EF"/>
    <w:rsid w:val="00BF7C30"/>
    <w:rsid w:val="00C013FB"/>
    <w:rsid w:val="00C0205B"/>
    <w:rsid w:val="00C02444"/>
    <w:rsid w:val="00C02689"/>
    <w:rsid w:val="00C02D0E"/>
    <w:rsid w:val="00C04527"/>
    <w:rsid w:val="00C04F25"/>
    <w:rsid w:val="00C050AF"/>
    <w:rsid w:val="00C059C7"/>
    <w:rsid w:val="00C05CDC"/>
    <w:rsid w:val="00C064FD"/>
    <w:rsid w:val="00C068C4"/>
    <w:rsid w:val="00C07984"/>
    <w:rsid w:val="00C07BE5"/>
    <w:rsid w:val="00C07C1C"/>
    <w:rsid w:val="00C11807"/>
    <w:rsid w:val="00C133BE"/>
    <w:rsid w:val="00C139DC"/>
    <w:rsid w:val="00C1540C"/>
    <w:rsid w:val="00C16AB4"/>
    <w:rsid w:val="00C17D95"/>
    <w:rsid w:val="00C2085D"/>
    <w:rsid w:val="00C20E9C"/>
    <w:rsid w:val="00C21322"/>
    <w:rsid w:val="00C21454"/>
    <w:rsid w:val="00C22A03"/>
    <w:rsid w:val="00C22BFB"/>
    <w:rsid w:val="00C22E13"/>
    <w:rsid w:val="00C231FD"/>
    <w:rsid w:val="00C235F4"/>
    <w:rsid w:val="00C237D8"/>
    <w:rsid w:val="00C24BF4"/>
    <w:rsid w:val="00C24C01"/>
    <w:rsid w:val="00C26012"/>
    <w:rsid w:val="00C26EF9"/>
    <w:rsid w:val="00C27B89"/>
    <w:rsid w:val="00C27CA8"/>
    <w:rsid w:val="00C3006A"/>
    <w:rsid w:val="00C307D2"/>
    <w:rsid w:val="00C309E3"/>
    <w:rsid w:val="00C30B97"/>
    <w:rsid w:val="00C3147C"/>
    <w:rsid w:val="00C3214C"/>
    <w:rsid w:val="00C32935"/>
    <w:rsid w:val="00C333F1"/>
    <w:rsid w:val="00C33C74"/>
    <w:rsid w:val="00C34803"/>
    <w:rsid w:val="00C3671B"/>
    <w:rsid w:val="00C36EE8"/>
    <w:rsid w:val="00C3737A"/>
    <w:rsid w:val="00C37B92"/>
    <w:rsid w:val="00C40262"/>
    <w:rsid w:val="00C40BCA"/>
    <w:rsid w:val="00C40E34"/>
    <w:rsid w:val="00C41908"/>
    <w:rsid w:val="00C42F50"/>
    <w:rsid w:val="00C431E1"/>
    <w:rsid w:val="00C43622"/>
    <w:rsid w:val="00C44045"/>
    <w:rsid w:val="00C45CC7"/>
    <w:rsid w:val="00C45DB5"/>
    <w:rsid w:val="00C46217"/>
    <w:rsid w:val="00C4689A"/>
    <w:rsid w:val="00C46EA3"/>
    <w:rsid w:val="00C46EEF"/>
    <w:rsid w:val="00C474DE"/>
    <w:rsid w:val="00C50396"/>
    <w:rsid w:val="00C51CF8"/>
    <w:rsid w:val="00C52140"/>
    <w:rsid w:val="00C52428"/>
    <w:rsid w:val="00C52FA4"/>
    <w:rsid w:val="00C53373"/>
    <w:rsid w:val="00C53434"/>
    <w:rsid w:val="00C5499A"/>
    <w:rsid w:val="00C55139"/>
    <w:rsid w:val="00C55309"/>
    <w:rsid w:val="00C558EF"/>
    <w:rsid w:val="00C55CC8"/>
    <w:rsid w:val="00C57374"/>
    <w:rsid w:val="00C57375"/>
    <w:rsid w:val="00C6014B"/>
    <w:rsid w:val="00C61069"/>
    <w:rsid w:val="00C6197C"/>
    <w:rsid w:val="00C63C5C"/>
    <w:rsid w:val="00C641C1"/>
    <w:rsid w:val="00C6539D"/>
    <w:rsid w:val="00C662E9"/>
    <w:rsid w:val="00C67BFA"/>
    <w:rsid w:val="00C700A1"/>
    <w:rsid w:val="00C700E4"/>
    <w:rsid w:val="00C71254"/>
    <w:rsid w:val="00C71743"/>
    <w:rsid w:val="00C71C4A"/>
    <w:rsid w:val="00C71FEB"/>
    <w:rsid w:val="00C72276"/>
    <w:rsid w:val="00C724C6"/>
    <w:rsid w:val="00C72FEC"/>
    <w:rsid w:val="00C736DD"/>
    <w:rsid w:val="00C776CC"/>
    <w:rsid w:val="00C779F7"/>
    <w:rsid w:val="00C77FDE"/>
    <w:rsid w:val="00C801F1"/>
    <w:rsid w:val="00C81175"/>
    <w:rsid w:val="00C82B6D"/>
    <w:rsid w:val="00C83CCE"/>
    <w:rsid w:val="00C8402D"/>
    <w:rsid w:val="00C841DE"/>
    <w:rsid w:val="00C843B3"/>
    <w:rsid w:val="00C844DD"/>
    <w:rsid w:val="00C85E33"/>
    <w:rsid w:val="00C87308"/>
    <w:rsid w:val="00C87430"/>
    <w:rsid w:val="00C900AF"/>
    <w:rsid w:val="00C90A76"/>
    <w:rsid w:val="00C90FB7"/>
    <w:rsid w:val="00C91B0F"/>
    <w:rsid w:val="00C91D2F"/>
    <w:rsid w:val="00C927A4"/>
    <w:rsid w:val="00C9296C"/>
    <w:rsid w:val="00C93C88"/>
    <w:rsid w:val="00C94C53"/>
    <w:rsid w:val="00C95330"/>
    <w:rsid w:val="00C95701"/>
    <w:rsid w:val="00C95F30"/>
    <w:rsid w:val="00C977D5"/>
    <w:rsid w:val="00C97E52"/>
    <w:rsid w:val="00CA2961"/>
    <w:rsid w:val="00CA3891"/>
    <w:rsid w:val="00CA47B1"/>
    <w:rsid w:val="00CA5040"/>
    <w:rsid w:val="00CA5394"/>
    <w:rsid w:val="00CA6567"/>
    <w:rsid w:val="00CB04D8"/>
    <w:rsid w:val="00CB084C"/>
    <w:rsid w:val="00CB08B0"/>
    <w:rsid w:val="00CB0FAA"/>
    <w:rsid w:val="00CB10A2"/>
    <w:rsid w:val="00CB2A99"/>
    <w:rsid w:val="00CB2BA5"/>
    <w:rsid w:val="00CB3913"/>
    <w:rsid w:val="00CB5C31"/>
    <w:rsid w:val="00CB6B44"/>
    <w:rsid w:val="00CC01F9"/>
    <w:rsid w:val="00CC03D8"/>
    <w:rsid w:val="00CC108D"/>
    <w:rsid w:val="00CC1557"/>
    <w:rsid w:val="00CC1594"/>
    <w:rsid w:val="00CC1776"/>
    <w:rsid w:val="00CC19CE"/>
    <w:rsid w:val="00CC3C88"/>
    <w:rsid w:val="00CC3D27"/>
    <w:rsid w:val="00CC4E08"/>
    <w:rsid w:val="00CC54D9"/>
    <w:rsid w:val="00CC5C39"/>
    <w:rsid w:val="00CC75E1"/>
    <w:rsid w:val="00CC7C63"/>
    <w:rsid w:val="00CD067D"/>
    <w:rsid w:val="00CD09DD"/>
    <w:rsid w:val="00CD0F5D"/>
    <w:rsid w:val="00CD131F"/>
    <w:rsid w:val="00CD3180"/>
    <w:rsid w:val="00CD3868"/>
    <w:rsid w:val="00CD3DA0"/>
    <w:rsid w:val="00CD3F1A"/>
    <w:rsid w:val="00CD44BE"/>
    <w:rsid w:val="00CD44D3"/>
    <w:rsid w:val="00CD75FA"/>
    <w:rsid w:val="00CD77D4"/>
    <w:rsid w:val="00CE0406"/>
    <w:rsid w:val="00CE081C"/>
    <w:rsid w:val="00CE0DA8"/>
    <w:rsid w:val="00CE10A3"/>
    <w:rsid w:val="00CE1DAD"/>
    <w:rsid w:val="00CE2C0F"/>
    <w:rsid w:val="00CE3D12"/>
    <w:rsid w:val="00CE4E24"/>
    <w:rsid w:val="00CE53E7"/>
    <w:rsid w:val="00CE54BE"/>
    <w:rsid w:val="00CE704D"/>
    <w:rsid w:val="00CF0CD6"/>
    <w:rsid w:val="00CF2AA8"/>
    <w:rsid w:val="00CF2F12"/>
    <w:rsid w:val="00CF3107"/>
    <w:rsid w:val="00CF3C6D"/>
    <w:rsid w:val="00CF451F"/>
    <w:rsid w:val="00CF4748"/>
    <w:rsid w:val="00CF477D"/>
    <w:rsid w:val="00CF5077"/>
    <w:rsid w:val="00CF5291"/>
    <w:rsid w:val="00CF6174"/>
    <w:rsid w:val="00CF6189"/>
    <w:rsid w:val="00CF7005"/>
    <w:rsid w:val="00CF7A1A"/>
    <w:rsid w:val="00D00042"/>
    <w:rsid w:val="00D0025B"/>
    <w:rsid w:val="00D00C6F"/>
    <w:rsid w:val="00D01B76"/>
    <w:rsid w:val="00D02C8F"/>
    <w:rsid w:val="00D03DAE"/>
    <w:rsid w:val="00D04C27"/>
    <w:rsid w:val="00D05BA9"/>
    <w:rsid w:val="00D101AE"/>
    <w:rsid w:val="00D10672"/>
    <w:rsid w:val="00D10D3B"/>
    <w:rsid w:val="00D11BB2"/>
    <w:rsid w:val="00D11D5F"/>
    <w:rsid w:val="00D1229C"/>
    <w:rsid w:val="00D13004"/>
    <w:rsid w:val="00D1385D"/>
    <w:rsid w:val="00D14104"/>
    <w:rsid w:val="00D156D3"/>
    <w:rsid w:val="00D156F0"/>
    <w:rsid w:val="00D15ADA"/>
    <w:rsid w:val="00D16892"/>
    <w:rsid w:val="00D17F6E"/>
    <w:rsid w:val="00D21536"/>
    <w:rsid w:val="00D264A3"/>
    <w:rsid w:val="00D2687A"/>
    <w:rsid w:val="00D26CC6"/>
    <w:rsid w:val="00D27A2A"/>
    <w:rsid w:val="00D27F62"/>
    <w:rsid w:val="00D30388"/>
    <w:rsid w:val="00D305B6"/>
    <w:rsid w:val="00D31305"/>
    <w:rsid w:val="00D331FA"/>
    <w:rsid w:val="00D3343B"/>
    <w:rsid w:val="00D33600"/>
    <w:rsid w:val="00D33AD8"/>
    <w:rsid w:val="00D33EEB"/>
    <w:rsid w:val="00D34031"/>
    <w:rsid w:val="00D34153"/>
    <w:rsid w:val="00D35A54"/>
    <w:rsid w:val="00D362ED"/>
    <w:rsid w:val="00D36692"/>
    <w:rsid w:val="00D372B6"/>
    <w:rsid w:val="00D373B0"/>
    <w:rsid w:val="00D374AE"/>
    <w:rsid w:val="00D37F48"/>
    <w:rsid w:val="00D40D7C"/>
    <w:rsid w:val="00D40F35"/>
    <w:rsid w:val="00D41CC3"/>
    <w:rsid w:val="00D423BD"/>
    <w:rsid w:val="00D43A03"/>
    <w:rsid w:val="00D43E42"/>
    <w:rsid w:val="00D44665"/>
    <w:rsid w:val="00D45223"/>
    <w:rsid w:val="00D47A3A"/>
    <w:rsid w:val="00D501F7"/>
    <w:rsid w:val="00D506B1"/>
    <w:rsid w:val="00D50A34"/>
    <w:rsid w:val="00D52DD8"/>
    <w:rsid w:val="00D5333B"/>
    <w:rsid w:val="00D544B2"/>
    <w:rsid w:val="00D55AB3"/>
    <w:rsid w:val="00D55FF5"/>
    <w:rsid w:val="00D57094"/>
    <w:rsid w:val="00D5716D"/>
    <w:rsid w:val="00D571EF"/>
    <w:rsid w:val="00D574B5"/>
    <w:rsid w:val="00D576DD"/>
    <w:rsid w:val="00D60E1C"/>
    <w:rsid w:val="00D60F75"/>
    <w:rsid w:val="00D61D27"/>
    <w:rsid w:val="00D62470"/>
    <w:rsid w:val="00D62491"/>
    <w:rsid w:val="00D63423"/>
    <w:rsid w:val="00D66231"/>
    <w:rsid w:val="00D70088"/>
    <w:rsid w:val="00D71127"/>
    <w:rsid w:val="00D74E60"/>
    <w:rsid w:val="00D75C6B"/>
    <w:rsid w:val="00D75FBA"/>
    <w:rsid w:val="00D761E7"/>
    <w:rsid w:val="00D77C7D"/>
    <w:rsid w:val="00D802E6"/>
    <w:rsid w:val="00D8198D"/>
    <w:rsid w:val="00D81F30"/>
    <w:rsid w:val="00D824F7"/>
    <w:rsid w:val="00D8266A"/>
    <w:rsid w:val="00D82CA6"/>
    <w:rsid w:val="00D83F58"/>
    <w:rsid w:val="00D8412D"/>
    <w:rsid w:val="00D85F05"/>
    <w:rsid w:val="00D86300"/>
    <w:rsid w:val="00D86349"/>
    <w:rsid w:val="00D90A28"/>
    <w:rsid w:val="00D92E1A"/>
    <w:rsid w:val="00D9305A"/>
    <w:rsid w:val="00D93317"/>
    <w:rsid w:val="00D93C10"/>
    <w:rsid w:val="00D93FF4"/>
    <w:rsid w:val="00D96A1F"/>
    <w:rsid w:val="00DA0232"/>
    <w:rsid w:val="00DA0A69"/>
    <w:rsid w:val="00DA2996"/>
    <w:rsid w:val="00DA29C5"/>
    <w:rsid w:val="00DA3302"/>
    <w:rsid w:val="00DA38D2"/>
    <w:rsid w:val="00DA3E0B"/>
    <w:rsid w:val="00DA4E5C"/>
    <w:rsid w:val="00DA526A"/>
    <w:rsid w:val="00DA6C62"/>
    <w:rsid w:val="00DB05E9"/>
    <w:rsid w:val="00DB0962"/>
    <w:rsid w:val="00DB0ADF"/>
    <w:rsid w:val="00DB2186"/>
    <w:rsid w:val="00DB2F6A"/>
    <w:rsid w:val="00DB3E3F"/>
    <w:rsid w:val="00DB483B"/>
    <w:rsid w:val="00DB4B6A"/>
    <w:rsid w:val="00DB5D9A"/>
    <w:rsid w:val="00DB657F"/>
    <w:rsid w:val="00DB730C"/>
    <w:rsid w:val="00DC3388"/>
    <w:rsid w:val="00DC3BA2"/>
    <w:rsid w:val="00DC4650"/>
    <w:rsid w:val="00DC5871"/>
    <w:rsid w:val="00DC5F66"/>
    <w:rsid w:val="00DC6CDD"/>
    <w:rsid w:val="00DC7568"/>
    <w:rsid w:val="00DC77A6"/>
    <w:rsid w:val="00DC77BC"/>
    <w:rsid w:val="00DC7D15"/>
    <w:rsid w:val="00DD218E"/>
    <w:rsid w:val="00DD228A"/>
    <w:rsid w:val="00DD22C1"/>
    <w:rsid w:val="00DD393C"/>
    <w:rsid w:val="00DD3E3B"/>
    <w:rsid w:val="00DD5119"/>
    <w:rsid w:val="00DD5A13"/>
    <w:rsid w:val="00DE1B18"/>
    <w:rsid w:val="00DE1C2C"/>
    <w:rsid w:val="00DE2CF0"/>
    <w:rsid w:val="00DE30EE"/>
    <w:rsid w:val="00DE3A80"/>
    <w:rsid w:val="00DE40AA"/>
    <w:rsid w:val="00DE4748"/>
    <w:rsid w:val="00DE4908"/>
    <w:rsid w:val="00DE5E75"/>
    <w:rsid w:val="00DF0CCD"/>
    <w:rsid w:val="00DF3570"/>
    <w:rsid w:val="00DF3E73"/>
    <w:rsid w:val="00DF426E"/>
    <w:rsid w:val="00DF4621"/>
    <w:rsid w:val="00DF66B0"/>
    <w:rsid w:val="00E000D8"/>
    <w:rsid w:val="00E06ECF"/>
    <w:rsid w:val="00E118E0"/>
    <w:rsid w:val="00E11F2B"/>
    <w:rsid w:val="00E12856"/>
    <w:rsid w:val="00E1484D"/>
    <w:rsid w:val="00E14F1B"/>
    <w:rsid w:val="00E17193"/>
    <w:rsid w:val="00E17C4D"/>
    <w:rsid w:val="00E21E9D"/>
    <w:rsid w:val="00E2439C"/>
    <w:rsid w:val="00E24556"/>
    <w:rsid w:val="00E246C9"/>
    <w:rsid w:val="00E24769"/>
    <w:rsid w:val="00E25117"/>
    <w:rsid w:val="00E25B1C"/>
    <w:rsid w:val="00E25E25"/>
    <w:rsid w:val="00E271EB"/>
    <w:rsid w:val="00E27D69"/>
    <w:rsid w:val="00E3257E"/>
    <w:rsid w:val="00E328A8"/>
    <w:rsid w:val="00E32D08"/>
    <w:rsid w:val="00E33672"/>
    <w:rsid w:val="00E349DC"/>
    <w:rsid w:val="00E35240"/>
    <w:rsid w:val="00E352B6"/>
    <w:rsid w:val="00E35C68"/>
    <w:rsid w:val="00E36A6B"/>
    <w:rsid w:val="00E406E4"/>
    <w:rsid w:val="00E411D4"/>
    <w:rsid w:val="00E41632"/>
    <w:rsid w:val="00E41767"/>
    <w:rsid w:val="00E41BF4"/>
    <w:rsid w:val="00E429A5"/>
    <w:rsid w:val="00E431AB"/>
    <w:rsid w:val="00E44CA6"/>
    <w:rsid w:val="00E47706"/>
    <w:rsid w:val="00E50158"/>
    <w:rsid w:val="00E503D2"/>
    <w:rsid w:val="00E50A15"/>
    <w:rsid w:val="00E51635"/>
    <w:rsid w:val="00E51B24"/>
    <w:rsid w:val="00E522BF"/>
    <w:rsid w:val="00E54744"/>
    <w:rsid w:val="00E552BF"/>
    <w:rsid w:val="00E55806"/>
    <w:rsid w:val="00E56E7A"/>
    <w:rsid w:val="00E57304"/>
    <w:rsid w:val="00E604EE"/>
    <w:rsid w:val="00E60EB9"/>
    <w:rsid w:val="00E61203"/>
    <w:rsid w:val="00E61B78"/>
    <w:rsid w:val="00E61BEE"/>
    <w:rsid w:val="00E62099"/>
    <w:rsid w:val="00E6373E"/>
    <w:rsid w:val="00E63E82"/>
    <w:rsid w:val="00E654D5"/>
    <w:rsid w:val="00E667C2"/>
    <w:rsid w:val="00E66813"/>
    <w:rsid w:val="00E66F37"/>
    <w:rsid w:val="00E67238"/>
    <w:rsid w:val="00E674A3"/>
    <w:rsid w:val="00E67568"/>
    <w:rsid w:val="00E70A0A"/>
    <w:rsid w:val="00E70F26"/>
    <w:rsid w:val="00E722FE"/>
    <w:rsid w:val="00E72349"/>
    <w:rsid w:val="00E7259D"/>
    <w:rsid w:val="00E72D35"/>
    <w:rsid w:val="00E744B9"/>
    <w:rsid w:val="00E77026"/>
    <w:rsid w:val="00E80026"/>
    <w:rsid w:val="00E81E5C"/>
    <w:rsid w:val="00E8300B"/>
    <w:rsid w:val="00E83868"/>
    <w:rsid w:val="00E86018"/>
    <w:rsid w:val="00E86C0A"/>
    <w:rsid w:val="00E86FF5"/>
    <w:rsid w:val="00E90149"/>
    <w:rsid w:val="00E90887"/>
    <w:rsid w:val="00E92005"/>
    <w:rsid w:val="00E92504"/>
    <w:rsid w:val="00E9278A"/>
    <w:rsid w:val="00E927F7"/>
    <w:rsid w:val="00E93163"/>
    <w:rsid w:val="00E93F33"/>
    <w:rsid w:val="00E94291"/>
    <w:rsid w:val="00E9634A"/>
    <w:rsid w:val="00E96A1A"/>
    <w:rsid w:val="00E96BCE"/>
    <w:rsid w:val="00E9778A"/>
    <w:rsid w:val="00E97D76"/>
    <w:rsid w:val="00EA02A4"/>
    <w:rsid w:val="00EA1F60"/>
    <w:rsid w:val="00EA2137"/>
    <w:rsid w:val="00EA33BA"/>
    <w:rsid w:val="00EA3516"/>
    <w:rsid w:val="00EA3FE8"/>
    <w:rsid w:val="00EA44E2"/>
    <w:rsid w:val="00EA4D34"/>
    <w:rsid w:val="00EA5173"/>
    <w:rsid w:val="00EA5C51"/>
    <w:rsid w:val="00EA5F1F"/>
    <w:rsid w:val="00EA5F93"/>
    <w:rsid w:val="00EA605F"/>
    <w:rsid w:val="00EA60F7"/>
    <w:rsid w:val="00EA64C0"/>
    <w:rsid w:val="00EA6B96"/>
    <w:rsid w:val="00EB0147"/>
    <w:rsid w:val="00EB1E03"/>
    <w:rsid w:val="00EB211F"/>
    <w:rsid w:val="00EB267A"/>
    <w:rsid w:val="00EB5C5B"/>
    <w:rsid w:val="00EB661B"/>
    <w:rsid w:val="00EB7BC1"/>
    <w:rsid w:val="00EC1489"/>
    <w:rsid w:val="00EC181C"/>
    <w:rsid w:val="00EC3976"/>
    <w:rsid w:val="00EC3EE9"/>
    <w:rsid w:val="00EC4909"/>
    <w:rsid w:val="00EC4C76"/>
    <w:rsid w:val="00EC4EB4"/>
    <w:rsid w:val="00EC57C9"/>
    <w:rsid w:val="00EC57FF"/>
    <w:rsid w:val="00EC5D7A"/>
    <w:rsid w:val="00EC6121"/>
    <w:rsid w:val="00EC6BAB"/>
    <w:rsid w:val="00EC6EBD"/>
    <w:rsid w:val="00EC7EC9"/>
    <w:rsid w:val="00ED094E"/>
    <w:rsid w:val="00ED0AA0"/>
    <w:rsid w:val="00ED0F8E"/>
    <w:rsid w:val="00ED2195"/>
    <w:rsid w:val="00ED342A"/>
    <w:rsid w:val="00ED3C88"/>
    <w:rsid w:val="00ED4E4B"/>
    <w:rsid w:val="00ED5A63"/>
    <w:rsid w:val="00ED6084"/>
    <w:rsid w:val="00ED6660"/>
    <w:rsid w:val="00ED6FAE"/>
    <w:rsid w:val="00ED74DB"/>
    <w:rsid w:val="00ED7947"/>
    <w:rsid w:val="00EE16A6"/>
    <w:rsid w:val="00EE1B07"/>
    <w:rsid w:val="00EE2DC5"/>
    <w:rsid w:val="00EE321A"/>
    <w:rsid w:val="00EE431B"/>
    <w:rsid w:val="00EE548D"/>
    <w:rsid w:val="00EE7AB5"/>
    <w:rsid w:val="00EF0FB9"/>
    <w:rsid w:val="00EF2683"/>
    <w:rsid w:val="00EF2FB2"/>
    <w:rsid w:val="00EF5439"/>
    <w:rsid w:val="00EF5847"/>
    <w:rsid w:val="00EF59EA"/>
    <w:rsid w:val="00EF632E"/>
    <w:rsid w:val="00EF6DEF"/>
    <w:rsid w:val="00EF79CA"/>
    <w:rsid w:val="00EF7F30"/>
    <w:rsid w:val="00EF7F64"/>
    <w:rsid w:val="00F00155"/>
    <w:rsid w:val="00F0088A"/>
    <w:rsid w:val="00F014D5"/>
    <w:rsid w:val="00F032B2"/>
    <w:rsid w:val="00F03840"/>
    <w:rsid w:val="00F0407E"/>
    <w:rsid w:val="00F043CF"/>
    <w:rsid w:val="00F046AC"/>
    <w:rsid w:val="00F0572E"/>
    <w:rsid w:val="00F05A23"/>
    <w:rsid w:val="00F0692B"/>
    <w:rsid w:val="00F10322"/>
    <w:rsid w:val="00F10852"/>
    <w:rsid w:val="00F1297C"/>
    <w:rsid w:val="00F15122"/>
    <w:rsid w:val="00F16F9E"/>
    <w:rsid w:val="00F17812"/>
    <w:rsid w:val="00F17EC5"/>
    <w:rsid w:val="00F20E40"/>
    <w:rsid w:val="00F213C8"/>
    <w:rsid w:val="00F214A2"/>
    <w:rsid w:val="00F21993"/>
    <w:rsid w:val="00F21F54"/>
    <w:rsid w:val="00F22880"/>
    <w:rsid w:val="00F2465C"/>
    <w:rsid w:val="00F26C39"/>
    <w:rsid w:val="00F276EC"/>
    <w:rsid w:val="00F30056"/>
    <w:rsid w:val="00F31B49"/>
    <w:rsid w:val="00F32992"/>
    <w:rsid w:val="00F32A8B"/>
    <w:rsid w:val="00F338BE"/>
    <w:rsid w:val="00F33EAC"/>
    <w:rsid w:val="00F36D9C"/>
    <w:rsid w:val="00F37493"/>
    <w:rsid w:val="00F374C4"/>
    <w:rsid w:val="00F37529"/>
    <w:rsid w:val="00F42B22"/>
    <w:rsid w:val="00F43753"/>
    <w:rsid w:val="00F4443F"/>
    <w:rsid w:val="00F45409"/>
    <w:rsid w:val="00F456DD"/>
    <w:rsid w:val="00F46415"/>
    <w:rsid w:val="00F471F3"/>
    <w:rsid w:val="00F47497"/>
    <w:rsid w:val="00F509E0"/>
    <w:rsid w:val="00F51937"/>
    <w:rsid w:val="00F529C9"/>
    <w:rsid w:val="00F52FC5"/>
    <w:rsid w:val="00F53484"/>
    <w:rsid w:val="00F5508B"/>
    <w:rsid w:val="00F559E7"/>
    <w:rsid w:val="00F5639C"/>
    <w:rsid w:val="00F57555"/>
    <w:rsid w:val="00F60297"/>
    <w:rsid w:val="00F605F0"/>
    <w:rsid w:val="00F6089A"/>
    <w:rsid w:val="00F611B1"/>
    <w:rsid w:val="00F64CCF"/>
    <w:rsid w:val="00F67C3C"/>
    <w:rsid w:val="00F70B58"/>
    <w:rsid w:val="00F70DAA"/>
    <w:rsid w:val="00F71D11"/>
    <w:rsid w:val="00F7273E"/>
    <w:rsid w:val="00F72AD2"/>
    <w:rsid w:val="00F72DA3"/>
    <w:rsid w:val="00F73DA3"/>
    <w:rsid w:val="00F76BE6"/>
    <w:rsid w:val="00F76DD5"/>
    <w:rsid w:val="00F81B49"/>
    <w:rsid w:val="00F82F09"/>
    <w:rsid w:val="00F83316"/>
    <w:rsid w:val="00F83483"/>
    <w:rsid w:val="00F838A0"/>
    <w:rsid w:val="00F847CD"/>
    <w:rsid w:val="00F84F59"/>
    <w:rsid w:val="00F8616F"/>
    <w:rsid w:val="00F871BE"/>
    <w:rsid w:val="00F91818"/>
    <w:rsid w:val="00F91B1E"/>
    <w:rsid w:val="00F93188"/>
    <w:rsid w:val="00F93367"/>
    <w:rsid w:val="00F934D3"/>
    <w:rsid w:val="00F936A4"/>
    <w:rsid w:val="00F94B5C"/>
    <w:rsid w:val="00F965CA"/>
    <w:rsid w:val="00F973CE"/>
    <w:rsid w:val="00F977D3"/>
    <w:rsid w:val="00F97BE1"/>
    <w:rsid w:val="00FA0FB4"/>
    <w:rsid w:val="00FA188C"/>
    <w:rsid w:val="00FA1D32"/>
    <w:rsid w:val="00FA2017"/>
    <w:rsid w:val="00FA20DF"/>
    <w:rsid w:val="00FA3276"/>
    <w:rsid w:val="00FA3653"/>
    <w:rsid w:val="00FA3931"/>
    <w:rsid w:val="00FA3AE5"/>
    <w:rsid w:val="00FA50F0"/>
    <w:rsid w:val="00FA51A9"/>
    <w:rsid w:val="00FA57AF"/>
    <w:rsid w:val="00FA5B20"/>
    <w:rsid w:val="00FA5E6A"/>
    <w:rsid w:val="00FA720E"/>
    <w:rsid w:val="00FB0160"/>
    <w:rsid w:val="00FB02B2"/>
    <w:rsid w:val="00FB47B8"/>
    <w:rsid w:val="00FB49D7"/>
    <w:rsid w:val="00FB7A38"/>
    <w:rsid w:val="00FB7F00"/>
    <w:rsid w:val="00FC080C"/>
    <w:rsid w:val="00FC0B17"/>
    <w:rsid w:val="00FC0B4C"/>
    <w:rsid w:val="00FC14CA"/>
    <w:rsid w:val="00FC1B88"/>
    <w:rsid w:val="00FC2631"/>
    <w:rsid w:val="00FC28DF"/>
    <w:rsid w:val="00FC3062"/>
    <w:rsid w:val="00FC419E"/>
    <w:rsid w:val="00FC45E5"/>
    <w:rsid w:val="00FC4617"/>
    <w:rsid w:val="00FC5E5F"/>
    <w:rsid w:val="00FC7130"/>
    <w:rsid w:val="00FC71DB"/>
    <w:rsid w:val="00FC78EF"/>
    <w:rsid w:val="00FD0673"/>
    <w:rsid w:val="00FD08BE"/>
    <w:rsid w:val="00FD20D8"/>
    <w:rsid w:val="00FD3352"/>
    <w:rsid w:val="00FD3B84"/>
    <w:rsid w:val="00FD3F47"/>
    <w:rsid w:val="00FD5E19"/>
    <w:rsid w:val="00FD6D04"/>
    <w:rsid w:val="00FE04DA"/>
    <w:rsid w:val="00FE0601"/>
    <w:rsid w:val="00FE068C"/>
    <w:rsid w:val="00FE0844"/>
    <w:rsid w:val="00FE11A2"/>
    <w:rsid w:val="00FE1489"/>
    <w:rsid w:val="00FE332C"/>
    <w:rsid w:val="00FE53C5"/>
    <w:rsid w:val="00FE571B"/>
    <w:rsid w:val="00FE60B5"/>
    <w:rsid w:val="00FF114E"/>
    <w:rsid w:val="00FF147C"/>
    <w:rsid w:val="00FF207D"/>
    <w:rsid w:val="00FF3590"/>
    <w:rsid w:val="00FF46F1"/>
    <w:rsid w:val="00FF53D8"/>
    <w:rsid w:val="00FF54DD"/>
    <w:rsid w:val="00FF63B3"/>
    <w:rsid w:val="00FF6D4E"/>
    <w:rsid w:val="00FF7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490E2F"/>
  <w15:chartTrackingRefBased/>
  <w15:docId w15:val="{345D597A-3659-46D4-8E9F-CB0D52B1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F50"/>
    <w:pPr>
      <w:spacing w:before="100" w:line="240" w:lineRule="auto"/>
    </w:pPr>
    <w:rPr>
      <w:rFonts w:ascii="Century Schoolbook" w:hAnsi="Century Schoolbook"/>
      <w:sz w:val="24"/>
      <w:lang w:val="en-US"/>
    </w:rPr>
  </w:style>
  <w:style w:type="paragraph" w:styleId="Heading1">
    <w:name w:val="heading 1"/>
    <w:basedOn w:val="Normal"/>
    <w:next w:val="Normal"/>
    <w:link w:val="Heading1Char"/>
    <w:uiPriority w:val="9"/>
    <w:qFormat/>
    <w:rsid w:val="00530431"/>
    <w:pPr>
      <w:keepNext/>
      <w:keepLines/>
      <w:numPr>
        <w:numId w:val="3"/>
      </w:numPr>
      <w:spacing w:before="240" w:after="0"/>
      <w:outlineLvl w:val="0"/>
    </w:pPr>
    <w:rPr>
      <w:rFonts w:ascii="Calibri" w:eastAsiaTheme="majorEastAsia" w:hAnsi="Calibri" w:cstheme="majorBidi"/>
      <w:b/>
      <w:sz w:val="28"/>
      <w:szCs w:val="32"/>
    </w:rPr>
  </w:style>
  <w:style w:type="paragraph" w:styleId="Heading2">
    <w:name w:val="heading 2"/>
    <w:basedOn w:val="Heading1"/>
    <w:next w:val="Normal"/>
    <w:link w:val="Heading2Char"/>
    <w:autoRedefine/>
    <w:uiPriority w:val="9"/>
    <w:unhideWhenUsed/>
    <w:qFormat/>
    <w:rsid w:val="00945F21"/>
    <w:pPr>
      <w:numPr>
        <w:numId w:val="11"/>
      </w:numPr>
      <w:spacing w:before="120"/>
      <w:outlineLvl w:val="1"/>
    </w:pPr>
    <w:rPr>
      <w:rFonts w:eastAsia="+mn-ea"/>
      <w:color w:val="000000"/>
      <w:szCs w:val="26"/>
    </w:rPr>
  </w:style>
  <w:style w:type="paragraph" w:styleId="Heading3">
    <w:name w:val="heading 3"/>
    <w:basedOn w:val="Normal"/>
    <w:next w:val="Normal"/>
    <w:link w:val="Heading3Char"/>
    <w:uiPriority w:val="9"/>
    <w:unhideWhenUsed/>
    <w:qFormat/>
    <w:rsid w:val="009C79EB"/>
    <w:pPr>
      <w:keepNext/>
      <w:keepLines/>
      <w:ind w:left="720"/>
      <w:outlineLvl w:val="2"/>
    </w:pPr>
    <w:rPr>
      <w:rFonts w:asciiTheme="minorHAnsi" w:eastAsiaTheme="majorEastAsia" w:hAnsiTheme="minorHAnsi" w:cstheme="minorHAnsi"/>
      <w:b/>
      <w:szCs w:val="24"/>
    </w:rPr>
  </w:style>
  <w:style w:type="paragraph" w:styleId="Heading4">
    <w:name w:val="heading 4"/>
    <w:basedOn w:val="Normal"/>
    <w:next w:val="Normal"/>
    <w:link w:val="Heading4Char"/>
    <w:uiPriority w:val="9"/>
    <w:semiHidden/>
    <w:unhideWhenUsed/>
    <w:qFormat/>
    <w:rsid w:val="00715339"/>
    <w:pPr>
      <w:keepNext/>
      <w:keepLines/>
      <w:numPr>
        <w:ilvl w:val="3"/>
        <w:numId w:val="3"/>
      </w:numPr>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6C2D4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C2D4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C2D4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C2D4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2D4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868"/>
    <w:pPr>
      <w:ind w:left="720"/>
    </w:pPr>
  </w:style>
  <w:style w:type="paragraph" w:styleId="FootnoteText">
    <w:name w:val="footnote text"/>
    <w:basedOn w:val="Normal"/>
    <w:link w:val="FootnoteTextChar"/>
    <w:unhideWhenUsed/>
    <w:rsid w:val="006B2AE4"/>
    <w:pPr>
      <w:spacing w:after="0"/>
    </w:pPr>
    <w:rPr>
      <w:sz w:val="20"/>
      <w:szCs w:val="20"/>
    </w:rPr>
  </w:style>
  <w:style w:type="character" w:customStyle="1" w:styleId="FootnoteTextChar">
    <w:name w:val="Footnote Text Char"/>
    <w:basedOn w:val="DefaultParagraphFont"/>
    <w:link w:val="FootnoteText"/>
    <w:uiPriority w:val="99"/>
    <w:rsid w:val="006B2AE4"/>
    <w:rPr>
      <w:sz w:val="20"/>
      <w:szCs w:val="20"/>
    </w:rPr>
  </w:style>
  <w:style w:type="character" w:styleId="FootnoteReference">
    <w:name w:val="footnote reference"/>
    <w:basedOn w:val="DefaultParagraphFont"/>
    <w:semiHidden/>
    <w:unhideWhenUsed/>
    <w:rsid w:val="006B2AE4"/>
    <w:rPr>
      <w:vertAlign w:val="superscript"/>
    </w:rPr>
  </w:style>
  <w:style w:type="paragraph" w:customStyle="1" w:styleId="Default">
    <w:name w:val="Default"/>
    <w:rsid w:val="00314587"/>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Level1BodyText">
    <w:name w:val="Level 1 Body Text"/>
    <w:basedOn w:val="Normal"/>
    <w:rsid w:val="00314587"/>
    <w:pPr>
      <w:spacing w:after="240" w:line="300" w:lineRule="atLeast"/>
      <w:ind w:right="-14"/>
    </w:pPr>
    <w:rPr>
      <w:rFonts w:ascii="Book Antiqua" w:eastAsia="Times New Roman" w:hAnsi="Book Antiqua" w:cs="Times New Roman"/>
    </w:rPr>
  </w:style>
  <w:style w:type="paragraph" w:styleId="NoSpacing">
    <w:name w:val="No Spacing"/>
    <w:link w:val="NoSpacingChar"/>
    <w:uiPriority w:val="1"/>
    <w:qFormat/>
    <w:rsid w:val="00F91818"/>
    <w:pPr>
      <w:spacing w:after="0" w:line="240" w:lineRule="auto"/>
    </w:pPr>
    <w:rPr>
      <w:rFonts w:ascii="Arial" w:hAnsi="Arial"/>
      <w:lang w:val="en-AU"/>
    </w:rPr>
  </w:style>
  <w:style w:type="paragraph" w:styleId="PlainText">
    <w:name w:val="Plain Text"/>
    <w:aliases w:val="Box text"/>
    <w:basedOn w:val="Normal"/>
    <w:link w:val="PlainTextChar"/>
    <w:rsid w:val="00200030"/>
    <w:rPr>
      <w:rFonts w:ascii="Arial" w:eastAsia="Calibri" w:hAnsi="Arial" w:cs="Arial"/>
      <w:sz w:val="22"/>
    </w:rPr>
  </w:style>
  <w:style w:type="character" w:customStyle="1" w:styleId="PlainTextChar">
    <w:name w:val="Plain Text Char"/>
    <w:aliases w:val="Box text Char"/>
    <w:basedOn w:val="DefaultParagraphFont"/>
    <w:link w:val="PlainText"/>
    <w:rsid w:val="00200030"/>
    <w:rPr>
      <w:rFonts w:ascii="Arial" w:eastAsia="Calibri" w:hAnsi="Arial" w:cs="Arial"/>
      <w:lang w:val="en-US"/>
    </w:rPr>
  </w:style>
  <w:style w:type="table" w:styleId="TableGrid">
    <w:name w:val="Table Grid"/>
    <w:basedOn w:val="TableNormal"/>
    <w:uiPriority w:val="39"/>
    <w:rsid w:val="00314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587"/>
    <w:pPr>
      <w:tabs>
        <w:tab w:val="center" w:pos="4513"/>
        <w:tab w:val="right" w:pos="9026"/>
      </w:tabs>
      <w:spacing w:after="0"/>
    </w:pPr>
  </w:style>
  <w:style w:type="character" w:customStyle="1" w:styleId="HeaderChar">
    <w:name w:val="Header Char"/>
    <w:basedOn w:val="DefaultParagraphFont"/>
    <w:link w:val="Header"/>
    <w:uiPriority w:val="99"/>
    <w:rsid w:val="00314587"/>
  </w:style>
  <w:style w:type="paragraph" w:styleId="Footer">
    <w:name w:val="footer"/>
    <w:basedOn w:val="Normal"/>
    <w:link w:val="FooterChar"/>
    <w:uiPriority w:val="99"/>
    <w:unhideWhenUsed/>
    <w:rsid w:val="00314587"/>
    <w:pPr>
      <w:tabs>
        <w:tab w:val="center" w:pos="4513"/>
        <w:tab w:val="right" w:pos="9026"/>
      </w:tabs>
      <w:spacing w:after="0"/>
    </w:pPr>
  </w:style>
  <w:style w:type="character" w:customStyle="1" w:styleId="FooterChar">
    <w:name w:val="Footer Char"/>
    <w:basedOn w:val="DefaultParagraphFont"/>
    <w:link w:val="Footer"/>
    <w:uiPriority w:val="99"/>
    <w:rsid w:val="00314587"/>
  </w:style>
  <w:style w:type="character" w:customStyle="1" w:styleId="NoSpacingChar">
    <w:name w:val="No Spacing Char"/>
    <w:basedOn w:val="DefaultParagraphFont"/>
    <w:link w:val="NoSpacing"/>
    <w:uiPriority w:val="1"/>
    <w:rsid w:val="00F91818"/>
    <w:rPr>
      <w:rFonts w:ascii="Arial" w:hAnsi="Arial"/>
      <w:lang w:val="en-AU"/>
    </w:rPr>
  </w:style>
  <w:style w:type="character" w:styleId="Hyperlink">
    <w:name w:val="Hyperlink"/>
    <w:basedOn w:val="DefaultParagraphFont"/>
    <w:uiPriority w:val="99"/>
    <w:unhideWhenUsed/>
    <w:rsid w:val="001E3140"/>
    <w:rPr>
      <w:color w:val="0563C1" w:themeColor="hyperlink"/>
      <w:u w:val="single"/>
    </w:rPr>
  </w:style>
  <w:style w:type="character" w:styleId="CommentReference">
    <w:name w:val="annotation reference"/>
    <w:basedOn w:val="DefaultParagraphFont"/>
    <w:uiPriority w:val="99"/>
    <w:semiHidden/>
    <w:unhideWhenUsed/>
    <w:rsid w:val="00096625"/>
    <w:rPr>
      <w:sz w:val="16"/>
      <w:szCs w:val="16"/>
    </w:rPr>
  </w:style>
  <w:style w:type="paragraph" w:styleId="CommentText">
    <w:name w:val="annotation text"/>
    <w:basedOn w:val="Normal"/>
    <w:link w:val="CommentTextChar"/>
    <w:uiPriority w:val="99"/>
    <w:unhideWhenUsed/>
    <w:rsid w:val="00096625"/>
    <w:rPr>
      <w:sz w:val="20"/>
      <w:szCs w:val="20"/>
    </w:rPr>
  </w:style>
  <w:style w:type="character" w:customStyle="1" w:styleId="CommentTextChar">
    <w:name w:val="Comment Text Char"/>
    <w:basedOn w:val="DefaultParagraphFont"/>
    <w:link w:val="CommentText"/>
    <w:uiPriority w:val="99"/>
    <w:rsid w:val="00096625"/>
    <w:rPr>
      <w:sz w:val="20"/>
      <w:szCs w:val="20"/>
    </w:rPr>
  </w:style>
  <w:style w:type="paragraph" w:styleId="CommentSubject">
    <w:name w:val="annotation subject"/>
    <w:basedOn w:val="CommentText"/>
    <w:next w:val="CommentText"/>
    <w:link w:val="CommentSubjectChar"/>
    <w:uiPriority w:val="99"/>
    <w:semiHidden/>
    <w:unhideWhenUsed/>
    <w:rsid w:val="00096625"/>
    <w:rPr>
      <w:b/>
      <w:bCs/>
    </w:rPr>
  </w:style>
  <w:style w:type="character" w:customStyle="1" w:styleId="CommentSubjectChar">
    <w:name w:val="Comment Subject Char"/>
    <w:basedOn w:val="CommentTextChar"/>
    <w:link w:val="CommentSubject"/>
    <w:uiPriority w:val="99"/>
    <w:semiHidden/>
    <w:rsid w:val="00096625"/>
    <w:rPr>
      <w:b/>
      <w:bCs/>
      <w:sz w:val="20"/>
      <w:szCs w:val="20"/>
    </w:rPr>
  </w:style>
  <w:style w:type="paragraph" w:styleId="BalloonText">
    <w:name w:val="Balloon Text"/>
    <w:basedOn w:val="Normal"/>
    <w:link w:val="BalloonTextChar"/>
    <w:uiPriority w:val="99"/>
    <w:semiHidden/>
    <w:unhideWhenUsed/>
    <w:rsid w:val="0009662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625"/>
    <w:rPr>
      <w:rFonts w:ascii="Segoe UI" w:hAnsi="Segoe UI" w:cs="Segoe UI"/>
      <w:sz w:val="18"/>
      <w:szCs w:val="18"/>
    </w:rPr>
  </w:style>
  <w:style w:type="paragraph" w:styleId="Revision">
    <w:name w:val="Revision"/>
    <w:hidden/>
    <w:uiPriority w:val="99"/>
    <w:semiHidden/>
    <w:rsid w:val="00884B04"/>
    <w:pPr>
      <w:spacing w:after="0" w:line="240" w:lineRule="auto"/>
    </w:pPr>
  </w:style>
  <w:style w:type="paragraph" w:customStyle="1" w:styleId="Letdate">
    <w:name w:val="Let: date"/>
    <w:basedOn w:val="Normal"/>
    <w:rsid w:val="00C333F1"/>
    <w:pPr>
      <w:tabs>
        <w:tab w:val="left" w:pos="5400"/>
        <w:tab w:val="left" w:pos="7200"/>
      </w:tabs>
      <w:spacing w:after="0"/>
    </w:pPr>
    <w:rPr>
      <w:rFonts w:ascii="Times New Roman" w:eastAsia="Times New Roman" w:hAnsi="Times New Roman" w:cs="Times New Roman"/>
      <w:szCs w:val="20"/>
    </w:rPr>
  </w:style>
  <w:style w:type="paragraph" w:customStyle="1" w:styleId="Text1">
    <w:name w:val="Text1"/>
    <w:basedOn w:val="Normal"/>
    <w:rsid w:val="00C333F1"/>
    <w:pPr>
      <w:spacing w:after="0"/>
    </w:pPr>
    <w:rPr>
      <w:rFonts w:ascii="Times New Roman" w:eastAsia="Times New Roman" w:hAnsi="Times New Roman" w:cs="Times New Roman"/>
      <w:szCs w:val="24"/>
    </w:rPr>
  </w:style>
  <w:style w:type="paragraph" w:styleId="NormalWeb">
    <w:name w:val="Normal (Web)"/>
    <w:basedOn w:val="Normal"/>
    <w:uiPriority w:val="99"/>
    <w:semiHidden/>
    <w:unhideWhenUsed/>
    <w:rsid w:val="006E17EF"/>
    <w:pPr>
      <w:spacing w:beforeAutospacing="1" w:afterAutospacing="1"/>
    </w:pPr>
    <w:rPr>
      <w:rFonts w:ascii="Times New Roman" w:eastAsia="Times New Roman" w:hAnsi="Times New Roman" w:cs="Times New Roman"/>
      <w:szCs w:val="24"/>
      <w:lang w:eastAsia="en-GB"/>
    </w:rPr>
  </w:style>
  <w:style w:type="table" w:customStyle="1" w:styleId="TableGrid1">
    <w:name w:val="Table Grid1"/>
    <w:basedOn w:val="TableNormal"/>
    <w:next w:val="TableGrid"/>
    <w:uiPriority w:val="39"/>
    <w:rsid w:val="00554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60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3D52"/>
    <w:rPr>
      <w:rFonts w:ascii="Calibri" w:eastAsiaTheme="majorEastAsia" w:hAnsi="Calibri" w:cstheme="majorBidi"/>
      <w:b/>
      <w:sz w:val="28"/>
      <w:szCs w:val="32"/>
      <w:lang w:val="en-US"/>
    </w:rPr>
  </w:style>
  <w:style w:type="character" w:customStyle="1" w:styleId="Heading2Char">
    <w:name w:val="Heading 2 Char"/>
    <w:basedOn w:val="DefaultParagraphFont"/>
    <w:link w:val="Heading2"/>
    <w:uiPriority w:val="9"/>
    <w:rsid w:val="00BF07C4"/>
    <w:rPr>
      <w:rFonts w:ascii="Calibri" w:eastAsia="+mn-ea" w:hAnsi="Calibri" w:cstheme="majorBidi"/>
      <w:b/>
      <w:color w:val="000000"/>
      <w:sz w:val="28"/>
      <w:szCs w:val="26"/>
      <w:lang w:val="en-US"/>
    </w:rPr>
  </w:style>
  <w:style w:type="paragraph" w:styleId="TOCHeading">
    <w:name w:val="TOC Heading"/>
    <w:basedOn w:val="Heading1"/>
    <w:next w:val="Normal"/>
    <w:uiPriority w:val="39"/>
    <w:unhideWhenUsed/>
    <w:qFormat/>
    <w:rsid w:val="00C139DC"/>
    <w:pPr>
      <w:numPr>
        <w:numId w:val="0"/>
      </w:numPr>
      <w:outlineLvl w:val="9"/>
    </w:pPr>
    <w:rPr>
      <w:b w:val="0"/>
      <w:color w:val="2E74B5" w:themeColor="accent1" w:themeShade="BF"/>
    </w:rPr>
  </w:style>
  <w:style w:type="paragraph" w:styleId="TOC1">
    <w:name w:val="toc 1"/>
    <w:basedOn w:val="Normal"/>
    <w:next w:val="Normal"/>
    <w:autoRedefine/>
    <w:uiPriority w:val="39"/>
    <w:unhideWhenUsed/>
    <w:rsid w:val="00216BD3"/>
    <w:pPr>
      <w:tabs>
        <w:tab w:val="left" w:pos="270"/>
        <w:tab w:val="right" w:pos="9350"/>
      </w:tabs>
    </w:pPr>
  </w:style>
  <w:style w:type="paragraph" w:styleId="TOC2">
    <w:name w:val="toc 2"/>
    <w:basedOn w:val="Normal"/>
    <w:next w:val="Normal"/>
    <w:autoRedefine/>
    <w:uiPriority w:val="39"/>
    <w:unhideWhenUsed/>
    <w:rsid w:val="00052BD6"/>
    <w:pPr>
      <w:tabs>
        <w:tab w:val="left" w:pos="270"/>
        <w:tab w:val="right" w:pos="9350"/>
      </w:tabs>
      <w:ind w:left="270"/>
    </w:pPr>
  </w:style>
  <w:style w:type="paragraph" w:styleId="Caption">
    <w:name w:val="caption"/>
    <w:aliases w:val="BFT Title"/>
    <w:basedOn w:val="Normal"/>
    <w:next w:val="Normal"/>
    <w:uiPriority w:val="35"/>
    <w:unhideWhenUsed/>
    <w:qFormat/>
    <w:rsid w:val="003D35C1"/>
    <w:pPr>
      <w:spacing w:after="200"/>
      <w:jc w:val="center"/>
    </w:pPr>
    <w:rPr>
      <w:rFonts w:ascii="Calibri" w:hAnsi="Calibri"/>
      <w:b/>
      <w:iCs/>
      <w:color w:val="44546A" w:themeColor="text2"/>
      <w:szCs w:val="18"/>
    </w:rPr>
  </w:style>
  <w:style w:type="paragraph" w:styleId="TableofFigures">
    <w:name w:val="table of figures"/>
    <w:basedOn w:val="Normal"/>
    <w:next w:val="Normal"/>
    <w:uiPriority w:val="99"/>
    <w:unhideWhenUsed/>
    <w:rsid w:val="007513BA"/>
    <w:pPr>
      <w:spacing w:after="0"/>
    </w:pPr>
  </w:style>
  <w:style w:type="character" w:customStyle="1" w:styleId="Heading3Char">
    <w:name w:val="Heading 3 Char"/>
    <w:basedOn w:val="DefaultParagraphFont"/>
    <w:link w:val="Heading3"/>
    <w:uiPriority w:val="9"/>
    <w:rsid w:val="009C79EB"/>
    <w:rPr>
      <w:rFonts w:eastAsiaTheme="majorEastAsia" w:cstheme="minorHAnsi"/>
      <w:b/>
      <w:sz w:val="24"/>
      <w:szCs w:val="24"/>
      <w:lang w:val="en-US"/>
    </w:rPr>
  </w:style>
  <w:style w:type="character" w:customStyle="1" w:styleId="Heading4Char">
    <w:name w:val="Heading 4 Char"/>
    <w:basedOn w:val="DefaultParagraphFont"/>
    <w:link w:val="Heading4"/>
    <w:uiPriority w:val="9"/>
    <w:semiHidden/>
    <w:rsid w:val="00715339"/>
    <w:rPr>
      <w:rFonts w:asciiTheme="majorHAnsi" w:eastAsiaTheme="majorEastAsia" w:hAnsiTheme="majorHAnsi" w:cstheme="majorBidi"/>
      <w:i/>
      <w:iCs/>
      <w:sz w:val="24"/>
      <w:lang w:val="en-US"/>
    </w:rPr>
  </w:style>
  <w:style w:type="character" w:customStyle="1" w:styleId="Heading5Char">
    <w:name w:val="Heading 5 Char"/>
    <w:basedOn w:val="DefaultParagraphFont"/>
    <w:link w:val="Heading5"/>
    <w:uiPriority w:val="9"/>
    <w:semiHidden/>
    <w:rsid w:val="006C2D4D"/>
    <w:rPr>
      <w:rFonts w:asciiTheme="majorHAnsi" w:eastAsiaTheme="majorEastAsia" w:hAnsiTheme="majorHAnsi" w:cstheme="majorBidi"/>
      <w:color w:val="2E74B5" w:themeColor="accent1" w:themeShade="BF"/>
      <w:sz w:val="24"/>
      <w:lang w:val="en-US"/>
    </w:rPr>
  </w:style>
  <w:style w:type="character" w:customStyle="1" w:styleId="Heading6Char">
    <w:name w:val="Heading 6 Char"/>
    <w:basedOn w:val="DefaultParagraphFont"/>
    <w:link w:val="Heading6"/>
    <w:uiPriority w:val="9"/>
    <w:semiHidden/>
    <w:rsid w:val="006C2D4D"/>
    <w:rPr>
      <w:rFonts w:asciiTheme="majorHAnsi" w:eastAsiaTheme="majorEastAsia" w:hAnsiTheme="majorHAnsi" w:cstheme="majorBidi"/>
      <w:color w:val="1F4D78" w:themeColor="accent1" w:themeShade="7F"/>
      <w:sz w:val="24"/>
      <w:lang w:val="en-US"/>
    </w:rPr>
  </w:style>
  <w:style w:type="character" w:customStyle="1" w:styleId="Heading7Char">
    <w:name w:val="Heading 7 Char"/>
    <w:basedOn w:val="DefaultParagraphFont"/>
    <w:link w:val="Heading7"/>
    <w:uiPriority w:val="9"/>
    <w:semiHidden/>
    <w:rsid w:val="006C2D4D"/>
    <w:rPr>
      <w:rFonts w:asciiTheme="majorHAnsi" w:eastAsiaTheme="majorEastAsia" w:hAnsiTheme="majorHAnsi" w:cstheme="majorBidi"/>
      <w:i/>
      <w:iCs/>
      <w:color w:val="1F4D78" w:themeColor="accent1" w:themeShade="7F"/>
      <w:sz w:val="24"/>
      <w:lang w:val="en-US"/>
    </w:rPr>
  </w:style>
  <w:style w:type="character" w:customStyle="1" w:styleId="Heading8Char">
    <w:name w:val="Heading 8 Char"/>
    <w:basedOn w:val="DefaultParagraphFont"/>
    <w:link w:val="Heading8"/>
    <w:uiPriority w:val="9"/>
    <w:semiHidden/>
    <w:rsid w:val="006C2D4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C2D4D"/>
    <w:rPr>
      <w:rFonts w:asciiTheme="majorHAnsi" w:eastAsiaTheme="majorEastAsia" w:hAnsiTheme="majorHAnsi" w:cstheme="majorBidi"/>
      <w:i/>
      <w:iCs/>
      <w:color w:val="272727" w:themeColor="text1" w:themeTint="D8"/>
      <w:sz w:val="21"/>
      <w:szCs w:val="21"/>
      <w:lang w:val="en-US"/>
    </w:rPr>
  </w:style>
  <w:style w:type="character" w:styleId="FollowedHyperlink">
    <w:name w:val="FollowedHyperlink"/>
    <w:basedOn w:val="DefaultParagraphFont"/>
    <w:uiPriority w:val="99"/>
    <w:semiHidden/>
    <w:unhideWhenUsed/>
    <w:rsid w:val="00AE406C"/>
    <w:rPr>
      <w:color w:val="954F72" w:themeColor="followedHyperlink"/>
      <w:u w:val="single"/>
    </w:rPr>
  </w:style>
  <w:style w:type="paragraph" w:styleId="TOC3">
    <w:name w:val="toc 3"/>
    <w:basedOn w:val="Normal"/>
    <w:next w:val="Normal"/>
    <w:autoRedefine/>
    <w:uiPriority w:val="39"/>
    <w:unhideWhenUsed/>
    <w:rsid w:val="007A0E72"/>
    <w:pPr>
      <w:ind w:left="440"/>
    </w:pPr>
  </w:style>
  <w:style w:type="paragraph" w:styleId="Title">
    <w:name w:val="Title"/>
    <w:basedOn w:val="Normal"/>
    <w:next w:val="Normal"/>
    <w:link w:val="TitleChar"/>
    <w:uiPriority w:val="10"/>
    <w:qFormat/>
    <w:rsid w:val="004E58B6"/>
    <w:pPr>
      <w:spacing w:after="0"/>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4E58B6"/>
    <w:rPr>
      <w:rFonts w:ascii="Calibri" w:eastAsiaTheme="majorEastAsia" w:hAnsi="Calibri" w:cstheme="majorBidi"/>
      <w:spacing w:val="-10"/>
      <w:kern w:val="28"/>
      <w:sz w:val="56"/>
      <w:szCs w:val="56"/>
    </w:rPr>
  </w:style>
  <w:style w:type="paragraph" w:styleId="EndnoteText">
    <w:name w:val="endnote text"/>
    <w:basedOn w:val="Normal"/>
    <w:link w:val="EndnoteTextChar"/>
    <w:uiPriority w:val="99"/>
    <w:semiHidden/>
    <w:unhideWhenUsed/>
    <w:rsid w:val="00A539A6"/>
    <w:pPr>
      <w:spacing w:after="0"/>
    </w:pPr>
    <w:rPr>
      <w:sz w:val="20"/>
      <w:szCs w:val="20"/>
    </w:rPr>
  </w:style>
  <w:style w:type="character" w:customStyle="1" w:styleId="EndnoteTextChar">
    <w:name w:val="Endnote Text Char"/>
    <w:basedOn w:val="DefaultParagraphFont"/>
    <w:link w:val="EndnoteText"/>
    <w:uiPriority w:val="99"/>
    <w:semiHidden/>
    <w:rsid w:val="00A539A6"/>
    <w:rPr>
      <w:sz w:val="20"/>
      <w:szCs w:val="20"/>
    </w:rPr>
  </w:style>
  <w:style w:type="character" w:styleId="EndnoteReference">
    <w:name w:val="endnote reference"/>
    <w:basedOn w:val="DefaultParagraphFont"/>
    <w:uiPriority w:val="99"/>
    <w:semiHidden/>
    <w:unhideWhenUsed/>
    <w:rsid w:val="00A539A6"/>
    <w:rPr>
      <w:vertAlign w:val="superscript"/>
    </w:rPr>
  </w:style>
  <w:style w:type="character" w:customStyle="1" w:styleId="UnresolvedMention1">
    <w:name w:val="Unresolved Mention1"/>
    <w:basedOn w:val="DefaultParagraphFont"/>
    <w:uiPriority w:val="99"/>
    <w:semiHidden/>
    <w:unhideWhenUsed/>
    <w:rsid w:val="009B4BBF"/>
    <w:rPr>
      <w:color w:val="605E5C"/>
      <w:shd w:val="clear" w:color="auto" w:fill="E1DFDD"/>
    </w:rPr>
  </w:style>
  <w:style w:type="character" w:customStyle="1" w:styleId="UnresolvedMention">
    <w:name w:val="Unresolved Mention"/>
    <w:basedOn w:val="DefaultParagraphFont"/>
    <w:uiPriority w:val="99"/>
    <w:semiHidden/>
    <w:unhideWhenUsed/>
    <w:rsid w:val="00AB41F8"/>
    <w:rPr>
      <w:color w:val="605E5C"/>
      <w:shd w:val="clear" w:color="auto" w:fill="E1DFDD"/>
    </w:rPr>
  </w:style>
  <w:style w:type="paragraph" w:customStyle="1" w:styleId="footnotedescription">
    <w:name w:val="footnote description"/>
    <w:next w:val="Normal"/>
    <w:link w:val="footnotedescriptionChar"/>
    <w:hidden/>
    <w:rsid w:val="008C7FC6"/>
    <w:pPr>
      <w:spacing w:after="0"/>
    </w:pPr>
    <w:rPr>
      <w:rFonts w:ascii="Times New Roman" w:eastAsia="Times New Roman" w:hAnsi="Times New Roman" w:cs="Times New Roman"/>
      <w:color w:val="000000"/>
      <w:sz w:val="16"/>
      <w:lang w:val="en-US"/>
    </w:rPr>
  </w:style>
  <w:style w:type="character" w:customStyle="1" w:styleId="footnotedescriptionChar">
    <w:name w:val="footnote description Char"/>
    <w:link w:val="footnotedescription"/>
    <w:rsid w:val="008C7FC6"/>
    <w:rPr>
      <w:rFonts w:ascii="Times New Roman" w:eastAsia="Times New Roman" w:hAnsi="Times New Roman" w:cs="Times New Roman"/>
      <w:color w:val="000000"/>
      <w:sz w:val="16"/>
      <w:lang w:val="en-US"/>
    </w:rPr>
  </w:style>
  <w:style w:type="character" w:customStyle="1" w:styleId="footnotemark">
    <w:name w:val="footnote mark"/>
    <w:hidden/>
    <w:rsid w:val="008C7FC6"/>
    <w:rPr>
      <w:rFonts w:ascii="Times New Roman" w:eastAsia="Times New Roman" w:hAnsi="Times New Roman" w:cs="Times New Roman"/>
      <w:color w:val="000000"/>
      <w:sz w:val="16"/>
      <w:vertAlign w:val="superscript"/>
    </w:rPr>
  </w:style>
  <w:style w:type="paragraph" w:customStyle="1" w:styleId="PANormal">
    <w:name w:val="PA Normal"/>
    <w:basedOn w:val="FootnoteText"/>
    <w:link w:val="PANormalChar"/>
    <w:qFormat/>
    <w:rsid w:val="00F91818"/>
  </w:style>
  <w:style w:type="character" w:customStyle="1" w:styleId="PANormalChar">
    <w:name w:val="PA Normal Char"/>
    <w:basedOn w:val="DefaultParagraphFont"/>
    <w:link w:val="PANormal"/>
    <w:locked/>
    <w:rsid w:val="00F91818"/>
    <w:rPr>
      <w:rFonts w:ascii="Century Schoolbook" w:hAnsi="Century Schoolbook"/>
      <w:sz w:val="20"/>
      <w:szCs w:val="20"/>
      <w:lang w:val="en-US"/>
    </w:rPr>
  </w:style>
  <w:style w:type="paragraph" w:customStyle="1" w:styleId="xl65">
    <w:name w:val="xl65"/>
    <w:basedOn w:val="Normal"/>
    <w:rsid w:val="00401E7F"/>
    <w:pPr>
      <w:spacing w:beforeAutospacing="1" w:afterAutospacing="1"/>
      <w:textAlignment w:val="top"/>
    </w:pPr>
    <w:rPr>
      <w:rFonts w:ascii="Times New Roman" w:eastAsia="Times New Roman" w:hAnsi="Times New Roman" w:cs="Times New Roman"/>
      <w:szCs w:val="24"/>
      <w:lang w:val="en-GB" w:eastAsia="en-GB"/>
    </w:rPr>
  </w:style>
  <w:style w:type="paragraph" w:customStyle="1" w:styleId="xl66">
    <w:name w:val="xl66"/>
    <w:basedOn w:val="Normal"/>
    <w:rsid w:val="00401E7F"/>
    <w:pPr>
      <w:pBdr>
        <w:top w:val="single" w:sz="4" w:space="0" w:color="auto"/>
        <w:left w:val="single" w:sz="4" w:space="0" w:color="auto"/>
        <w:bottom w:val="single" w:sz="4" w:space="0" w:color="auto"/>
        <w:right w:val="single" w:sz="4" w:space="0" w:color="auto"/>
      </w:pBdr>
      <w:spacing w:beforeAutospacing="1" w:afterAutospacing="1"/>
      <w:textAlignment w:val="top"/>
    </w:pPr>
    <w:rPr>
      <w:rFonts w:ascii="Arial Narrow" w:eastAsia="Times New Roman" w:hAnsi="Arial Narrow" w:cs="Times New Roman"/>
      <w:szCs w:val="24"/>
      <w:lang w:val="en-GB" w:eastAsia="en-GB"/>
    </w:rPr>
  </w:style>
  <w:style w:type="paragraph" w:customStyle="1" w:styleId="xl67">
    <w:name w:val="xl67"/>
    <w:basedOn w:val="Normal"/>
    <w:rsid w:val="00401E7F"/>
    <w:pPr>
      <w:pBdr>
        <w:top w:val="single" w:sz="4" w:space="0" w:color="auto"/>
        <w:left w:val="single" w:sz="4" w:space="0" w:color="auto"/>
        <w:bottom w:val="single" w:sz="4" w:space="0" w:color="auto"/>
        <w:right w:val="single" w:sz="4" w:space="0" w:color="auto"/>
      </w:pBdr>
      <w:spacing w:beforeAutospacing="1" w:afterAutospacing="1"/>
      <w:textAlignment w:val="top"/>
    </w:pPr>
    <w:rPr>
      <w:rFonts w:ascii="Arial Narrow" w:eastAsia="Times New Roman" w:hAnsi="Arial Narrow" w:cs="Times New Roman"/>
      <w:szCs w:val="24"/>
      <w:lang w:val="en-GB" w:eastAsia="en-GB"/>
    </w:rPr>
  </w:style>
  <w:style w:type="paragraph" w:customStyle="1" w:styleId="xl68">
    <w:name w:val="xl68"/>
    <w:basedOn w:val="Normal"/>
    <w:rsid w:val="00401E7F"/>
    <w:pPr>
      <w:spacing w:beforeAutospacing="1" w:afterAutospacing="1"/>
      <w:textAlignment w:val="top"/>
    </w:pPr>
    <w:rPr>
      <w:rFonts w:ascii="Times New Roman" w:eastAsia="Times New Roman" w:hAnsi="Times New Roman" w:cs="Times New Roman"/>
      <w:szCs w:val="24"/>
      <w:lang w:val="en-GB" w:eastAsia="en-GB"/>
    </w:rPr>
  </w:style>
  <w:style w:type="paragraph" w:customStyle="1" w:styleId="xl69">
    <w:name w:val="xl69"/>
    <w:basedOn w:val="Normal"/>
    <w:rsid w:val="00401E7F"/>
    <w:pPr>
      <w:pBdr>
        <w:top w:val="single" w:sz="4" w:space="0" w:color="auto"/>
        <w:left w:val="single" w:sz="4" w:space="0" w:color="auto"/>
        <w:bottom w:val="single" w:sz="4" w:space="0" w:color="auto"/>
        <w:right w:val="single" w:sz="4" w:space="0" w:color="auto"/>
      </w:pBdr>
      <w:spacing w:beforeAutospacing="1" w:afterAutospacing="1"/>
      <w:textAlignment w:val="top"/>
    </w:pPr>
    <w:rPr>
      <w:rFonts w:ascii="Arial Narrow" w:eastAsia="Times New Roman" w:hAnsi="Arial Narrow" w:cs="Times New Roman"/>
      <w:szCs w:val="24"/>
      <w:lang w:val="en-GB" w:eastAsia="en-GB"/>
    </w:rPr>
  </w:style>
  <w:style w:type="paragraph" w:customStyle="1" w:styleId="xl70">
    <w:name w:val="xl70"/>
    <w:basedOn w:val="Normal"/>
    <w:rsid w:val="00401E7F"/>
    <w:pPr>
      <w:spacing w:beforeAutospacing="1" w:afterAutospacing="1"/>
      <w:textAlignment w:val="top"/>
    </w:pPr>
    <w:rPr>
      <w:rFonts w:ascii="Times New Roman" w:eastAsia="Times New Roman" w:hAnsi="Times New Roman" w:cs="Times New Roman"/>
      <w:szCs w:val="24"/>
      <w:lang w:val="en-GB" w:eastAsia="en-GB"/>
    </w:rPr>
  </w:style>
  <w:style w:type="paragraph" w:customStyle="1" w:styleId="xl71">
    <w:name w:val="xl71"/>
    <w:basedOn w:val="Normal"/>
    <w:rsid w:val="00401E7F"/>
    <w:pPr>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textAlignment w:val="top"/>
    </w:pPr>
    <w:rPr>
      <w:rFonts w:ascii="Arial Narrow" w:eastAsia="Times New Roman" w:hAnsi="Arial Narrow" w:cs="Times New Roman"/>
      <w:b/>
      <w:bCs/>
      <w:szCs w:val="24"/>
      <w:lang w:val="en-GB" w:eastAsia="en-GB"/>
    </w:rPr>
  </w:style>
  <w:style w:type="paragraph" w:customStyle="1" w:styleId="xl72">
    <w:name w:val="xl72"/>
    <w:basedOn w:val="Normal"/>
    <w:rsid w:val="00401E7F"/>
    <w:pPr>
      <w:pBdr>
        <w:top w:val="single" w:sz="4" w:space="0" w:color="auto"/>
        <w:left w:val="single" w:sz="4" w:space="0" w:color="auto"/>
        <w:bottom w:val="single" w:sz="4" w:space="0" w:color="auto"/>
        <w:right w:val="single" w:sz="4" w:space="0" w:color="auto"/>
      </w:pBdr>
      <w:spacing w:beforeAutospacing="1" w:afterAutospacing="1"/>
      <w:jc w:val="center"/>
      <w:textAlignment w:val="top"/>
    </w:pPr>
    <w:rPr>
      <w:rFonts w:ascii="Arial Narrow" w:eastAsia="Times New Roman" w:hAnsi="Arial Narrow" w:cs="Times New Roman"/>
      <w:szCs w:val="24"/>
      <w:lang w:val="en-GB" w:eastAsia="en-GB"/>
    </w:rPr>
  </w:style>
  <w:style w:type="paragraph" w:customStyle="1" w:styleId="xl73">
    <w:name w:val="xl73"/>
    <w:basedOn w:val="Normal"/>
    <w:rsid w:val="00401E7F"/>
    <w:pPr>
      <w:spacing w:beforeAutospacing="1" w:afterAutospacing="1"/>
      <w:jc w:val="center"/>
      <w:textAlignment w:val="top"/>
    </w:pPr>
    <w:rPr>
      <w:rFonts w:ascii="Times New Roman" w:eastAsia="Times New Roman" w:hAnsi="Times New Roman" w:cs="Times New Roman"/>
      <w:szCs w:val="24"/>
      <w:lang w:val="en-GB" w:eastAsia="en-GB"/>
    </w:rPr>
  </w:style>
  <w:style w:type="paragraph" w:customStyle="1" w:styleId="xl74">
    <w:name w:val="xl74"/>
    <w:basedOn w:val="Normal"/>
    <w:rsid w:val="00401E7F"/>
    <w:pPr>
      <w:spacing w:beforeAutospacing="1" w:afterAutospacing="1"/>
      <w:jc w:val="center"/>
      <w:textAlignment w:val="top"/>
    </w:pPr>
    <w:rPr>
      <w:rFonts w:ascii="Times New Roman" w:eastAsia="Times New Roman" w:hAnsi="Times New Roman" w:cs="Times New Roman"/>
      <w:szCs w:val="24"/>
      <w:lang w:val="en-GB" w:eastAsia="en-GB"/>
    </w:rPr>
  </w:style>
  <w:style w:type="paragraph" w:customStyle="1" w:styleId="xl75">
    <w:name w:val="xl75"/>
    <w:basedOn w:val="Normal"/>
    <w:rsid w:val="00401E7F"/>
    <w:pPr>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textAlignment w:val="top"/>
    </w:pPr>
    <w:rPr>
      <w:rFonts w:ascii="Arial Narrow" w:eastAsia="Times New Roman" w:hAnsi="Arial Narrow" w:cs="Times New Roman"/>
      <w:b/>
      <w:bCs/>
      <w:szCs w:val="24"/>
      <w:lang w:val="en-GB" w:eastAsia="en-GB"/>
    </w:rPr>
  </w:style>
  <w:style w:type="paragraph" w:customStyle="1" w:styleId="xl76">
    <w:name w:val="xl76"/>
    <w:basedOn w:val="Normal"/>
    <w:rsid w:val="00401E7F"/>
    <w:pPr>
      <w:pBdr>
        <w:top w:val="single" w:sz="4" w:space="0" w:color="auto"/>
        <w:left w:val="single" w:sz="4" w:space="0" w:color="auto"/>
        <w:bottom w:val="single" w:sz="4" w:space="0" w:color="auto"/>
      </w:pBdr>
      <w:shd w:val="clear" w:color="000000" w:fill="99CCFF"/>
      <w:spacing w:beforeAutospacing="1" w:afterAutospacing="1"/>
      <w:jc w:val="center"/>
      <w:textAlignment w:val="top"/>
    </w:pPr>
    <w:rPr>
      <w:rFonts w:ascii="Arial Narrow" w:eastAsia="Times New Roman" w:hAnsi="Arial Narrow" w:cs="Times New Roman"/>
      <w:b/>
      <w:bCs/>
      <w:szCs w:val="24"/>
      <w:lang w:val="en-GB" w:eastAsia="en-GB"/>
    </w:rPr>
  </w:style>
  <w:style w:type="paragraph" w:customStyle="1" w:styleId="xl77">
    <w:name w:val="xl77"/>
    <w:basedOn w:val="Normal"/>
    <w:rsid w:val="00401E7F"/>
    <w:pPr>
      <w:pBdr>
        <w:top w:val="single" w:sz="4" w:space="0" w:color="auto"/>
        <w:bottom w:val="single" w:sz="4" w:space="0" w:color="auto"/>
      </w:pBdr>
      <w:spacing w:beforeAutospacing="1" w:afterAutospacing="1"/>
      <w:jc w:val="center"/>
      <w:textAlignment w:val="top"/>
    </w:pPr>
    <w:rPr>
      <w:rFonts w:ascii="Times New Roman" w:eastAsia="Times New Roman" w:hAnsi="Times New Roman" w:cs="Times New Roman"/>
      <w:szCs w:val="24"/>
      <w:lang w:val="en-GB" w:eastAsia="en-GB"/>
    </w:rPr>
  </w:style>
  <w:style w:type="paragraph" w:customStyle="1" w:styleId="xl78">
    <w:name w:val="xl78"/>
    <w:basedOn w:val="Normal"/>
    <w:rsid w:val="00401E7F"/>
    <w:pPr>
      <w:pBdr>
        <w:top w:val="single" w:sz="4" w:space="0" w:color="auto"/>
        <w:bottom w:val="single" w:sz="4" w:space="0" w:color="auto"/>
        <w:right w:val="single" w:sz="4" w:space="0" w:color="auto"/>
      </w:pBdr>
      <w:spacing w:beforeAutospacing="1" w:afterAutospacing="1"/>
      <w:jc w:val="center"/>
      <w:textAlignment w:val="top"/>
    </w:pPr>
    <w:rPr>
      <w:rFonts w:ascii="Times New Roman" w:eastAsia="Times New Roman" w:hAnsi="Times New Roman" w:cs="Times New Roman"/>
      <w:szCs w:val="24"/>
      <w:lang w:val="en-GB" w:eastAsia="en-GB"/>
    </w:rPr>
  </w:style>
  <w:style w:type="paragraph" w:customStyle="1" w:styleId="xl79">
    <w:name w:val="xl79"/>
    <w:basedOn w:val="Normal"/>
    <w:rsid w:val="00401E7F"/>
    <w:pPr>
      <w:shd w:val="clear" w:color="000000" w:fill="99CCFF"/>
      <w:spacing w:beforeAutospacing="1" w:afterAutospacing="1"/>
      <w:jc w:val="center"/>
      <w:textAlignment w:val="top"/>
    </w:pPr>
    <w:rPr>
      <w:rFonts w:ascii="Arial Narrow" w:eastAsia="Times New Roman" w:hAnsi="Arial Narrow" w:cs="Times New Roman"/>
      <w:b/>
      <w:bCs/>
      <w:szCs w:val="24"/>
      <w:lang w:val="en-GB" w:eastAsia="en-GB"/>
    </w:rPr>
  </w:style>
  <w:style w:type="paragraph" w:customStyle="1" w:styleId="xl80">
    <w:name w:val="xl80"/>
    <w:basedOn w:val="Normal"/>
    <w:rsid w:val="00401E7F"/>
    <w:pPr>
      <w:pBdr>
        <w:top w:val="single" w:sz="4" w:space="0" w:color="auto"/>
        <w:left w:val="single" w:sz="4" w:space="0" w:color="auto"/>
        <w:bottom w:val="single" w:sz="4" w:space="0" w:color="auto"/>
        <w:right w:val="single" w:sz="4" w:space="0" w:color="auto"/>
      </w:pBdr>
      <w:spacing w:beforeAutospacing="1" w:afterAutospacing="1"/>
      <w:jc w:val="center"/>
      <w:textAlignment w:val="top"/>
    </w:pPr>
    <w:rPr>
      <w:rFonts w:ascii="Arial" w:eastAsia="Times New Roman" w:hAnsi="Arial" w:cs="Arial"/>
      <w:b/>
      <w:bCs/>
      <w:szCs w:val="24"/>
      <w:lang w:val="en-GB" w:eastAsia="en-GB"/>
    </w:rPr>
  </w:style>
  <w:style w:type="paragraph" w:customStyle="1" w:styleId="xl81">
    <w:name w:val="xl81"/>
    <w:basedOn w:val="Normal"/>
    <w:rsid w:val="00401E7F"/>
    <w:pPr>
      <w:shd w:val="clear" w:color="000000" w:fill="9BC2E6"/>
      <w:spacing w:beforeAutospacing="1" w:afterAutospacing="1"/>
      <w:jc w:val="center"/>
      <w:textAlignment w:val="top"/>
    </w:pPr>
    <w:rPr>
      <w:rFonts w:ascii="Arial Narrow" w:eastAsia="Times New Roman" w:hAnsi="Arial Narrow" w:cs="Times New Roman"/>
      <w:b/>
      <w:bCs/>
      <w:szCs w:val="24"/>
      <w:lang w:val="en-GB" w:eastAsia="en-GB"/>
    </w:rPr>
  </w:style>
  <w:style w:type="paragraph" w:customStyle="1" w:styleId="xl82">
    <w:name w:val="xl82"/>
    <w:basedOn w:val="Normal"/>
    <w:rsid w:val="00401E7F"/>
    <w:pPr>
      <w:pBdr>
        <w:top w:val="single" w:sz="4" w:space="0" w:color="auto"/>
        <w:bottom w:val="single" w:sz="4" w:space="0" w:color="auto"/>
      </w:pBdr>
      <w:shd w:val="clear" w:color="000000" w:fill="9BC2E6"/>
      <w:spacing w:beforeAutospacing="1" w:afterAutospacing="1"/>
      <w:jc w:val="center"/>
      <w:textAlignment w:val="top"/>
    </w:pPr>
    <w:rPr>
      <w:rFonts w:ascii="Arial" w:eastAsia="Times New Roman" w:hAnsi="Arial" w:cs="Arial"/>
      <w:b/>
      <w:bCs/>
      <w:szCs w:val="24"/>
      <w:lang w:val="en-GB" w:eastAsia="en-GB"/>
    </w:rPr>
  </w:style>
  <w:style w:type="paragraph" w:customStyle="1" w:styleId="xl83">
    <w:name w:val="xl83"/>
    <w:basedOn w:val="Normal"/>
    <w:rsid w:val="00401E7F"/>
    <w:pPr>
      <w:pBdr>
        <w:top w:val="single" w:sz="4" w:space="0" w:color="auto"/>
        <w:bottom w:val="single" w:sz="4" w:space="0" w:color="auto"/>
      </w:pBdr>
      <w:shd w:val="clear" w:color="000000" w:fill="9BC2E6"/>
      <w:spacing w:beforeAutospacing="1" w:afterAutospacing="1"/>
      <w:jc w:val="center"/>
      <w:textAlignment w:val="top"/>
    </w:pPr>
    <w:rPr>
      <w:rFonts w:ascii="Times New Roman" w:eastAsia="Times New Roman" w:hAnsi="Times New Roman" w:cs="Times New Roman"/>
      <w:szCs w:val="24"/>
      <w:lang w:val="en-GB" w:eastAsia="en-GB"/>
    </w:rPr>
  </w:style>
  <w:style w:type="paragraph" w:customStyle="1" w:styleId="xl84">
    <w:name w:val="xl84"/>
    <w:basedOn w:val="Normal"/>
    <w:rsid w:val="00401E7F"/>
    <w:pPr>
      <w:pBdr>
        <w:top w:val="single" w:sz="4" w:space="0" w:color="auto"/>
        <w:bottom w:val="single" w:sz="4" w:space="0" w:color="auto"/>
        <w:right w:val="single" w:sz="4" w:space="0" w:color="auto"/>
      </w:pBdr>
      <w:shd w:val="clear" w:color="000000" w:fill="9BC2E6"/>
      <w:spacing w:beforeAutospacing="1" w:afterAutospacing="1"/>
      <w:jc w:val="center"/>
      <w:textAlignment w:val="top"/>
    </w:pPr>
    <w:rPr>
      <w:rFonts w:ascii="Times New Roman" w:eastAsia="Times New Roman" w:hAnsi="Times New Roman" w:cs="Times New Roman"/>
      <w:szCs w:val="24"/>
      <w:lang w:val="en-GB" w:eastAsia="en-GB"/>
    </w:rPr>
  </w:style>
  <w:style w:type="paragraph" w:customStyle="1" w:styleId="xl85">
    <w:name w:val="xl85"/>
    <w:basedOn w:val="Normal"/>
    <w:rsid w:val="00401E7F"/>
    <w:pPr>
      <w:pBdr>
        <w:top w:val="single" w:sz="4" w:space="0" w:color="auto"/>
        <w:left w:val="single" w:sz="4" w:space="0" w:color="auto"/>
        <w:bottom w:val="single" w:sz="4" w:space="0" w:color="auto"/>
        <w:right w:val="single" w:sz="4" w:space="0" w:color="auto"/>
      </w:pBdr>
      <w:shd w:val="clear" w:color="000000" w:fill="9BC2E6"/>
      <w:spacing w:beforeAutospacing="1" w:afterAutospacing="1"/>
      <w:jc w:val="center"/>
      <w:textAlignment w:val="top"/>
    </w:pPr>
    <w:rPr>
      <w:rFonts w:ascii="Arial Narrow" w:eastAsia="Times New Roman" w:hAnsi="Arial Narrow" w:cs="Times New Roman"/>
      <w:b/>
      <w:bCs/>
      <w:szCs w:val="24"/>
      <w:lang w:val="en-GB" w:eastAsia="en-GB"/>
    </w:rPr>
  </w:style>
  <w:style w:type="paragraph" w:customStyle="1" w:styleId="xl86">
    <w:name w:val="xl86"/>
    <w:basedOn w:val="Normal"/>
    <w:rsid w:val="00401E7F"/>
    <w:pPr>
      <w:pBdr>
        <w:top w:val="single" w:sz="4" w:space="0" w:color="auto"/>
        <w:left w:val="single" w:sz="4" w:space="0" w:color="auto"/>
        <w:bottom w:val="single" w:sz="4" w:space="0" w:color="auto"/>
        <w:right w:val="single" w:sz="4" w:space="0" w:color="auto"/>
      </w:pBdr>
      <w:shd w:val="clear" w:color="000000" w:fill="9BC2E6"/>
      <w:spacing w:beforeAutospacing="1" w:afterAutospacing="1"/>
      <w:jc w:val="center"/>
      <w:textAlignment w:val="top"/>
    </w:pPr>
    <w:rPr>
      <w:rFonts w:ascii="Arial Narrow" w:eastAsia="Times New Roman" w:hAnsi="Arial Narrow" w:cs="Times New Roman"/>
      <w:b/>
      <w:bCs/>
      <w:szCs w:val="24"/>
      <w:lang w:val="en-GB" w:eastAsia="en-GB"/>
    </w:rPr>
  </w:style>
  <w:style w:type="paragraph" w:customStyle="1" w:styleId="xl87">
    <w:name w:val="xl87"/>
    <w:basedOn w:val="Normal"/>
    <w:rsid w:val="00401E7F"/>
    <w:pPr>
      <w:pBdr>
        <w:bottom w:val="single" w:sz="4" w:space="0" w:color="auto"/>
      </w:pBdr>
      <w:shd w:val="clear" w:color="000000" w:fill="9BC2E6"/>
      <w:spacing w:beforeAutospacing="1" w:afterAutospacing="1"/>
      <w:jc w:val="center"/>
      <w:textAlignment w:val="top"/>
    </w:pPr>
    <w:rPr>
      <w:rFonts w:ascii="Arial" w:eastAsia="Times New Roman" w:hAnsi="Arial" w:cs="Arial"/>
      <w:b/>
      <w:bCs/>
      <w:szCs w:val="24"/>
      <w:lang w:val="en-GB" w:eastAsia="en-GB"/>
    </w:rPr>
  </w:style>
  <w:style w:type="paragraph" w:customStyle="1" w:styleId="xl88">
    <w:name w:val="xl88"/>
    <w:basedOn w:val="Normal"/>
    <w:rsid w:val="00401E7F"/>
    <w:pPr>
      <w:pBdr>
        <w:bottom w:val="single" w:sz="4" w:space="0" w:color="auto"/>
        <w:right w:val="single" w:sz="4" w:space="0" w:color="auto"/>
      </w:pBdr>
      <w:shd w:val="clear" w:color="000000" w:fill="9BC2E6"/>
      <w:spacing w:beforeAutospacing="1" w:afterAutospacing="1"/>
      <w:jc w:val="center"/>
      <w:textAlignment w:val="top"/>
    </w:pPr>
    <w:rPr>
      <w:rFonts w:ascii="Arial" w:eastAsia="Times New Roman" w:hAnsi="Arial" w:cs="Arial"/>
      <w:b/>
      <w:bCs/>
      <w:szCs w:val="24"/>
      <w:lang w:val="en-GB" w:eastAsia="en-GB"/>
    </w:rPr>
  </w:style>
  <w:style w:type="paragraph" w:customStyle="1" w:styleId="xl89">
    <w:name w:val="xl89"/>
    <w:basedOn w:val="Normal"/>
    <w:rsid w:val="00401E7F"/>
    <w:pPr>
      <w:pBdr>
        <w:top w:val="single" w:sz="4" w:space="0" w:color="auto"/>
        <w:bottom w:val="single" w:sz="4" w:space="0" w:color="auto"/>
        <w:right w:val="single" w:sz="4" w:space="0" w:color="auto"/>
      </w:pBdr>
      <w:shd w:val="clear" w:color="000000" w:fill="9BC2E6"/>
      <w:spacing w:beforeAutospacing="1" w:afterAutospacing="1"/>
      <w:jc w:val="center"/>
      <w:textAlignment w:val="top"/>
    </w:pPr>
    <w:rPr>
      <w:rFonts w:ascii="Arial" w:eastAsia="Times New Roman" w:hAnsi="Arial" w:cs="Arial"/>
      <w:b/>
      <w:bCs/>
      <w:szCs w:val="24"/>
      <w:lang w:val="en-GB" w:eastAsia="en-GB"/>
    </w:rPr>
  </w:style>
  <w:style w:type="paragraph" w:customStyle="1" w:styleId="xl90">
    <w:name w:val="xl90"/>
    <w:basedOn w:val="Normal"/>
    <w:rsid w:val="00401E7F"/>
    <w:pPr>
      <w:pBdr>
        <w:top w:val="single" w:sz="4" w:space="0" w:color="auto"/>
        <w:bottom w:val="single" w:sz="4" w:space="0" w:color="auto"/>
        <w:right w:val="single" w:sz="4" w:space="0" w:color="auto"/>
      </w:pBdr>
      <w:shd w:val="clear" w:color="000000" w:fill="8EA9DB"/>
      <w:spacing w:beforeAutospacing="1" w:afterAutospacing="1"/>
      <w:jc w:val="center"/>
      <w:textAlignment w:val="top"/>
    </w:pPr>
    <w:rPr>
      <w:rFonts w:ascii="Arial" w:eastAsia="Times New Roman" w:hAnsi="Arial" w:cs="Arial"/>
      <w:b/>
      <w:bCs/>
      <w:szCs w:val="24"/>
      <w:lang w:val="en-GB" w:eastAsia="en-GB"/>
    </w:rPr>
  </w:style>
  <w:style w:type="paragraph" w:customStyle="1" w:styleId="xl91">
    <w:name w:val="xl91"/>
    <w:basedOn w:val="Normal"/>
    <w:rsid w:val="00401E7F"/>
    <w:pPr>
      <w:shd w:val="clear" w:color="000000" w:fill="9BC2E6"/>
      <w:spacing w:beforeAutospacing="1" w:afterAutospacing="1"/>
      <w:jc w:val="center"/>
      <w:textAlignment w:val="top"/>
    </w:pPr>
    <w:rPr>
      <w:rFonts w:ascii="Arial" w:eastAsia="Times New Roman" w:hAnsi="Arial" w:cs="Arial"/>
      <w:b/>
      <w:bCs/>
      <w:szCs w:val="24"/>
      <w:lang w:val="en-GB" w:eastAsia="en-GB"/>
    </w:rPr>
  </w:style>
  <w:style w:type="paragraph" w:customStyle="1" w:styleId="xl92">
    <w:name w:val="xl92"/>
    <w:basedOn w:val="Normal"/>
    <w:rsid w:val="00401E7F"/>
    <w:pPr>
      <w:shd w:val="clear" w:color="000000" w:fill="9BC2E6"/>
      <w:spacing w:beforeAutospacing="1" w:afterAutospacing="1"/>
      <w:jc w:val="center"/>
      <w:textAlignment w:val="top"/>
    </w:pPr>
    <w:rPr>
      <w:rFonts w:ascii="Arial Narrow" w:eastAsia="Times New Roman" w:hAnsi="Arial Narrow" w:cs="Times New Roman"/>
      <w:b/>
      <w:bCs/>
      <w:szCs w:val="24"/>
      <w:lang w:val="en-GB" w:eastAsia="en-GB"/>
    </w:rPr>
  </w:style>
  <w:style w:type="paragraph" w:customStyle="1" w:styleId="xl93">
    <w:name w:val="xl93"/>
    <w:basedOn w:val="Normal"/>
    <w:rsid w:val="00401E7F"/>
    <w:pPr>
      <w:shd w:val="clear" w:color="000000" w:fill="9BC2E6"/>
      <w:spacing w:beforeAutospacing="1" w:afterAutospacing="1"/>
      <w:jc w:val="center"/>
      <w:textAlignment w:val="top"/>
    </w:pPr>
    <w:rPr>
      <w:rFonts w:ascii="Arial" w:eastAsia="Times New Roman" w:hAnsi="Arial" w:cs="Arial"/>
      <w:b/>
      <w:bCs/>
      <w:szCs w:val="24"/>
      <w:lang w:val="en-GB" w:eastAsia="en-GB"/>
    </w:rPr>
  </w:style>
  <w:style w:type="paragraph" w:customStyle="1" w:styleId="xl94">
    <w:name w:val="xl94"/>
    <w:basedOn w:val="Normal"/>
    <w:rsid w:val="00401E7F"/>
    <w:pPr>
      <w:pBdr>
        <w:top w:val="single" w:sz="4" w:space="0" w:color="auto"/>
        <w:left w:val="single" w:sz="4" w:space="0" w:color="auto"/>
        <w:bottom w:val="single" w:sz="4" w:space="0" w:color="auto"/>
        <w:right w:val="single" w:sz="4" w:space="0" w:color="auto"/>
      </w:pBdr>
      <w:shd w:val="clear" w:color="000000" w:fill="9BC2E6"/>
      <w:spacing w:beforeAutospacing="1" w:afterAutospacing="1"/>
      <w:jc w:val="center"/>
      <w:textAlignment w:val="top"/>
    </w:pPr>
    <w:rPr>
      <w:rFonts w:ascii="Arial" w:eastAsia="Times New Roman" w:hAnsi="Arial" w:cs="Arial"/>
      <w:b/>
      <w:bCs/>
      <w:szCs w:val="24"/>
      <w:lang w:val="en-GB" w:eastAsia="en-GB"/>
    </w:rPr>
  </w:style>
  <w:style w:type="paragraph" w:customStyle="1" w:styleId="xl95">
    <w:name w:val="xl95"/>
    <w:basedOn w:val="Normal"/>
    <w:rsid w:val="00401E7F"/>
    <w:pPr>
      <w:pBdr>
        <w:top w:val="single" w:sz="4" w:space="0" w:color="auto"/>
        <w:left w:val="single" w:sz="4" w:space="0" w:color="auto"/>
        <w:bottom w:val="single" w:sz="4" w:space="0" w:color="auto"/>
        <w:right w:val="single" w:sz="4" w:space="0" w:color="auto"/>
      </w:pBdr>
      <w:shd w:val="clear" w:color="000000" w:fill="9BC2E6"/>
      <w:spacing w:beforeAutospacing="1" w:afterAutospacing="1"/>
      <w:jc w:val="center"/>
      <w:textAlignment w:val="top"/>
    </w:pPr>
    <w:rPr>
      <w:rFonts w:ascii="Times New Roman" w:eastAsia="Times New Roman" w:hAnsi="Times New Roman" w:cs="Times New Roman"/>
      <w:szCs w:val="24"/>
      <w:lang w:val="en-GB" w:eastAsia="en-GB"/>
    </w:rPr>
  </w:style>
  <w:style w:type="paragraph" w:customStyle="1" w:styleId="xl96">
    <w:name w:val="xl96"/>
    <w:basedOn w:val="Normal"/>
    <w:rsid w:val="00401E7F"/>
    <w:pPr>
      <w:pBdr>
        <w:top w:val="single" w:sz="4" w:space="0" w:color="auto"/>
        <w:left w:val="single" w:sz="4" w:space="0" w:color="auto"/>
        <w:bottom w:val="single" w:sz="4" w:space="0" w:color="auto"/>
        <w:right w:val="single" w:sz="4" w:space="0" w:color="auto"/>
      </w:pBdr>
      <w:shd w:val="clear" w:color="000000" w:fill="9BC2E6"/>
      <w:spacing w:beforeAutospacing="1" w:afterAutospacing="1"/>
      <w:jc w:val="center"/>
      <w:textAlignment w:val="top"/>
    </w:pPr>
    <w:rPr>
      <w:rFonts w:ascii="Arial" w:eastAsia="Times New Roman" w:hAnsi="Arial" w:cs="Arial"/>
      <w:b/>
      <w:bCs/>
      <w:szCs w:val="24"/>
      <w:lang w:val="en-GB" w:eastAsia="en-GB"/>
    </w:rPr>
  </w:style>
  <w:style w:type="paragraph" w:customStyle="1" w:styleId="xl97">
    <w:name w:val="xl97"/>
    <w:basedOn w:val="Normal"/>
    <w:rsid w:val="00401E7F"/>
    <w:pPr>
      <w:shd w:val="clear" w:color="000000" w:fill="9BC2E6"/>
      <w:spacing w:beforeAutospacing="1" w:afterAutospacing="1"/>
      <w:textAlignment w:val="top"/>
    </w:pPr>
    <w:rPr>
      <w:rFonts w:ascii="Times New Roman" w:eastAsia="Times New Roman" w:hAnsi="Times New Roman" w:cs="Times New Roman"/>
      <w:szCs w:val="24"/>
      <w:lang w:val="en-GB" w:eastAsia="en-GB"/>
    </w:rPr>
  </w:style>
  <w:style w:type="paragraph" w:customStyle="1" w:styleId="xl98">
    <w:name w:val="xl98"/>
    <w:basedOn w:val="Normal"/>
    <w:rsid w:val="00401E7F"/>
    <w:pPr>
      <w:shd w:val="clear" w:color="000000" w:fill="9BC2E6"/>
      <w:spacing w:beforeAutospacing="1" w:afterAutospacing="1"/>
      <w:jc w:val="center"/>
      <w:textAlignment w:val="top"/>
    </w:pPr>
    <w:rPr>
      <w:rFonts w:ascii="Arial" w:eastAsia="Times New Roman" w:hAnsi="Arial" w:cs="Arial"/>
      <w:b/>
      <w:bCs/>
      <w:szCs w:val="24"/>
      <w:lang w:val="en-GB" w:eastAsia="en-GB"/>
    </w:rPr>
  </w:style>
  <w:style w:type="paragraph" w:customStyle="1" w:styleId="xl99">
    <w:name w:val="xl99"/>
    <w:basedOn w:val="Normal"/>
    <w:rsid w:val="00401E7F"/>
    <w:pPr>
      <w:shd w:val="clear" w:color="000000" w:fill="9BC2E6"/>
      <w:spacing w:beforeAutospacing="1" w:afterAutospacing="1"/>
      <w:textAlignment w:val="top"/>
    </w:pPr>
    <w:rPr>
      <w:rFonts w:ascii="Arial" w:eastAsia="Times New Roman" w:hAnsi="Arial" w:cs="Arial"/>
      <w:b/>
      <w:bCs/>
      <w:szCs w:val="24"/>
      <w:lang w:val="en-GB" w:eastAsia="en-GB"/>
    </w:rPr>
  </w:style>
  <w:style w:type="paragraph" w:customStyle="1" w:styleId="xl100">
    <w:name w:val="xl100"/>
    <w:basedOn w:val="Normal"/>
    <w:rsid w:val="00401E7F"/>
    <w:pPr>
      <w:shd w:val="clear" w:color="000000" w:fill="9BC2E6"/>
      <w:spacing w:beforeAutospacing="1" w:afterAutospacing="1"/>
      <w:textAlignment w:val="top"/>
    </w:pPr>
    <w:rPr>
      <w:rFonts w:ascii="Arial" w:eastAsia="Times New Roman" w:hAnsi="Arial" w:cs="Arial"/>
      <w:b/>
      <w:bCs/>
      <w:szCs w:val="24"/>
      <w:lang w:val="en-GB" w:eastAsia="en-GB"/>
    </w:rPr>
  </w:style>
  <w:style w:type="paragraph" w:customStyle="1" w:styleId="xl101">
    <w:name w:val="xl101"/>
    <w:basedOn w:val="Normal"/>
    <w:rsid w:val="00401E7F"/>
    <w:pPr>
      <w:shd w:val="clear" w:color="000000" w:fill="9BC2E6"/>
      <w:spacing w:beforeAutospacing="1" w:afterAutospacing="1"/>
      <w:jc w:val="center"/>
      <w:textAlignment w:val="top"/>
    </w:pPr>
    <w:rPr>
      <w:rFonts w:ascii="Times New Roman" w:eastAsia="Times New Roman" w:hAnsi="Times New Roman" w:cs="Times New Roman"/>
      <w:szCs w:val="24"/>
      <w:lang w:val="en-GB" w:eastAsia="en-GB"/>
    </w:rPr>
  </w:style>
  <w:style w:type="paragraph" w:customStyle="1" w:styleId="xl102">
    <w:name w:val="xl102"/>
    <w:basedOn w:val="Normal"/>
    <w:rsid w:val="00401E7F"/>
    <w:pPr>
      <w:pBdr>
        <w:top w:val="single" w:sz="4" w:space="0" w:color="auto"/>
        <w:left w:val="single" w:sz="4" w:space="0" w:color="auto"/>
        <w:bottom w:val="single" w:sz="4" w:space="0" w:color="auto"/>
        <w:right w:val="single" w:sz="4" w:space="0" w:color="auto"/>
      </w:pBdr>
      <w:shd w:val="clear" w:color="000000" w:fill="9BC2E6"/>
      <w:spacing w:beforeAutospacing="1" w:afterAutospacing="1"/>
      <w:textAlignment w:val="top"/>
    </w:pPr>
    <w:rPr>
      <w:rFonts w:ascii="Arial Narrow" w:eastAsia="Times New Roman" w:hAnsi="Arial Narrow" w:cs="Times New Roman"/>
      <w:b/>
      <w:bCs/>
      <w:szCs w:val="24"/>
      <w:lang w:val="en-GB" w:eastAsia="en-GB"/>
    </w:rPr>
  </w:style>
  <w:style w:type="paragraph" w:customStyle="1" w:styleId="xl103">
    <w:name w:val="xl103"/>
    <w:basedOn w:val="Normal"/>
    <w:rsid w:val="00401E7F"/>
    <w:pPr>
      <w:pBdr>
        <w:top w:val="single" w:sz="4" w:space="0" w:color="auto"/>
        <w:left w:val="single" w:sz="4" w:space="0" w:color="auto"/>
        <w:bottom w:val="single" w:sz="4" w:space="0" w:color="auto"/>
        <w:right w:val="single" w:sz="4" w:space="0" w:color="auto"/>
      </w:pBdr>
      <w:shd w:val="clear" w:color="000000" w:fill="9BC2E6"/>
      <w:spacing w:beforeAutospacing="1" w:afterAutospacing="1"/>
      <w:textAlignment w:val="top"/>
    </w:pPr>
    <w:rPr>
      <w:rFonts w:ascii="Arial Narrow" w:eastAsia="Times New Roman" w:hAnsi="Arial Narrow" w:cs="Times New Roman"/>
      <w:b/>
      <w:bCs/>
      <w:szCs w:val="24"/>
      <w:lang w:val="en-GB" w:eastAsia="en-GB"/>
    </w:rPr>
  </w:style>
  <w:style w:type="paragraph" w:customStyle="1" w:styleId="xl104">
    <w:name w:val="xl104"/>
    <w:basedOn w:val="Normal"/>
    <w:rsid w:val="00401E7F"/>
    <w:pPr>
      <w:pBdr>
        <w:top w:val="single" w:sz="4" w:space="0" w:color="auto"/>
        <w:left w:val="single" w:sz="4" w:space="0" w:color="auto"/>
        <w:bottom w:val="single" w:sz="4" w:space="0" w:color="auto"/>
        <w:right w:val="single" w:sz="4" w:space="0" w:color="auto"/>
      </w:pBdr>
      <w:shd w:val="clear" w:color="000000" w:fill="9BC2E6"/>
      <w:spacing w:beforeAutospacing="1" w:afterAutospacing="1"/>
      <w:textAlignment w:val="top"/>
    </w:pPr>
    <w:rPr>
      <w:rFonts w:ascii="Arial Narrow" w:eastAsia="Times New Roman" w:hAnsi="Arial Narrow" w:cs="Times New Roman"/>
      <w:szCs w:val="24"/>
      <w:lang w:val="en-GB" w:eastAsia="en-GB"/>
    </w:rPr>
  </w:style>
  <w:style w:type="paragraph" w:customStyle="1" w:styleId="xl105">
    <w:name w:val="xl105"/>
    <w:basedOn w:val="Normal"/>
    <w:rsid w:val="00401E7F"/>
    <w:pPr>
      <w:pBdr>
        <w:top w:val="single" w:sz="4" w:space="0" w:color="auto"/>
        <w:left w:val="single" w:sz="4" w:space="0" w:color="auto"/>
        <w:bottom w:val="single" w:sz="4" w:space="0" w:color="auto"/>
        <w:right w:val="single" w:sz="4" w:space="0" w:color="auto"/>
      </w:pBdr>
      <w:shd w:val="clear" w:color="000000" w:fill="9BC2E6"/>
      <w:spacing w:beforeAutospacing="1" w:afterAutospacing="1"/>
      <w:jc w:val="center"/>
      <w:textAlignment w:val="top"/>
    </w:pPr>
    <w:rPr>
      <w:rFonts w:ascii="Arial Narrow" w:eastAsia="Times New Roman" w:hAnsi="Arial Narrow" w:cs="Times New Roman"/>
      <w:szCs w:val="24"/>
      <w:lang w:val="en-GB" w:eastAsia="en-GB"/>
    </w:rPr>
  </w:style>
  <w:style w:type="paragraph" w:customStyle="1" w:styleId="xl106">
    <w:name w:val="xl106"/>
    <w:basedOn w:val="Normal"/>
    <w:rsid w:val="00401E7F"/>
    <w:pPr>
      <w:pBdr>
        <w:top w:val="single" w:sz="4" w:space="0" w:color="auto"/>
        <w:left w:val="single" w:sz="4" w:space="0" w:color="auto"/>
        <w:bottom w:val="single" w:sz="4" w:space="0" w:color="auto"/>
        <w:right w:val="single" w:sz="4" w:space="0" w:color="auto"/>
      </w:pBdr>
      <w:shd w:val="clear" w:color="000000" w:fill="9BC2E6"/>
      <w:spacing w:beforeAutospacing="1" w:afterAutospacing="1"/>
      <w:textAlignment w:val="top"/>
    </w:pPr>
    <w:rPr>
      <w:rFonts w:ascii="Arial Narrow" w:eastAsia="Times New Roman" w:hAnsi="Arial Narrow" w:cs="Times New Roman"/>
      <w:szCs w:val="24"/>
      <w:lang w:val="en-GB" w:eastAsia="en-GB"/>
    </w:rPr>
  </w:style>
  <w:style w:type="paragraph" w:customStyle="1" w:styleId="xl107">
    <w:name w:val="xl107"/>
    <w:basedOn w:val="Normal"/>
    <w:rsid w:val="00401E7F"/>
    <w:pPr>
      <w:pBdr>
        <w:top w:val="single" w:sz="4" w:space="0" w:color="auto"/>
        <w:left w:val="single" w:sz="4" w:space="0" w:color="auto"/>
        <w:bottom w:val="single" w:sz="4" w:space="0" w:color="auto"/>
        <w:right w:val="single" w:sz="4" w:space="0" w:color="auto"/>
      </w:pBdr>
      <w:spacing w:beforeAutospacing="1" w:afterAutospacing="1"/>
      <w:textAlignment w:val="top"/>
    </w:pPr>
    <w:rPr>
      <w:rFonts w:ascii="Times New Roman" w:eastAsia="Times New Roman" w:hAnsi="Times New Roman" w:cs="Times New Roman"/>
      <w:szCs w:val="24"/>
      <w:lang w:val="en-GB" w:eastAsia="en-GB"/>
    </w:rPr>
  </w:style>
  <w:style w:type="paragraph" w:customStyle="1" w:styleId="xl108">
    <w:name w:val="xl108"/>
    <w:basedOn w:val="Normal"/>
    <w:rsid w:val="00401E7F"/>
    <w:pPr>
      <w:pBdr>
        <w:top w:val="single" w:sz="4" w:space="0" w:color="auto"/>
        <w:left w:val="single" w:sz="4" w:space="0" w:color="auto"/>
        <w:bottom w:val="single" w:sz="4" w:space="0" w:color="auto"/>
        <w:right w:val="single" w:sz="4" w:space="0" w:color="auto"/>
      </w:pBdr>
      <w:shd w:val="clear" w:color="000000" w:fill="9BC2E6"/>
      <w:spacing w:beforeAutospacing="1" w:afterAutospacing="1"/>
      <w:textAlignment w:val="top"/>
    </w:pPr>
    <w:rPr>
      <w:rFonts w:ascii="Arial" w:eastAsia="Times New Roman" w:hAnsi="Arial" w:cs="Arial"/>
      <w:b/>
      <w:bCs/>
      <w:szCs w:val="24"/>
      <w:lang w:val="en-GB" w:eastAsia="en-GB"/>
    </w:rPr>
  </w:style>
  <w:style w:type="paragraph" w:customStyle="1" w:styleId="xl109">
    <w:name w:val="xl109"/>
    <w:basedOn w:val="Normal"/>
    <w:rsid w:val="00401E7F"/>
    <w:pPr>
      <w:pBdr>
        <w:top w:val="single" w:sz="4" w:space="0" w:color="auto"/>
        <w:left w:val="single" w:sz="4" w:space="0" w:color="auto"/>
        <w:bottom w:val="single" w:sz="4" w:space="0" w:color="auto"/>
        <w:right w:val="single" w:sz="4" w:space="0" w:color="auto"/>
      </w:pBdr>
      <w:shd w:val="clear" w:color="000000" w:fill="9BC2E6"/>
      <w:spacing w:beforeAutospacing="1" w:afterAutospacing="1"/>
      <w:textAlignment w:val="top"/>
    </w:pPr>
    <w:rPr>
      <w:rFonts w:ascii="Times New Roman" w:eastAsia="Times New Roman" w:hAnsi="Times New Roman" w:cs="Times New Roman"/>
      <w:szCs w:val="24"/>
      <w:lang w:val="en-GB" w:eastAsia="en-GB"/>
    </w:rPr>
  </w:style>
  <w:style w:type="paragraph" w:customStyle="1" w:styleId="xl110">
    <w:name w:val="xl110"/>
    <w:basedOn w:val="Normal"/>
    <w:rsid w:val="00401E7F"/>
    <w:pPr>
      <w:pBdr>
        <w:top w:val="single" w:sz="4" w:space="0" w:color="auto"/>
      </w:pBdr>
      <w:shd w:val="clear" w:color="000000" w:fill="9BC2E6"/>
      <w:spacing w:beforeAutospacing="1" w:afterAutospacing="1"/>
      <w:jc w:val="center"/>
      <w:textAlignment w:val="top"/>
    </w:pPr>
    <w:rPr>
      <w:rFonts w:ascii="Arial" w:eastAsia="Times New Roman" w:hAnsi="Arial" w:cs="Arial"/>
      <w:b/>
      <w:bCs/>
      <w:szCs w:val="24"/>
      <w:lang w:val="en-GB" w:eastAsia="en-GB"/>
    </w:rPr>
  </w:style>
  <w:style w:type="paragraph" w:customStyle="1" w:styleId="xl111">
    <w:name w:val="xl111"/>
    <w:basedOn w:val="Normal"/>
    <w:rsid w:val="00401E7F"/>
    <w:pPr>
      <w:pBdr>
        <w:top w:val="single" w:sz="4" w:space="0" w:color="auto"/>
      </w:pBdr>
      <w:shd w:val="clear" w:color="000000" w:fill="9BC2E6"/>
      <w:spacing w:beforeAutospacing="1" w:afterAutospacing="1"/>
      <w:jc w:val="center"/>
      <w:textAlignment w:val="top"/>
    </w:pPr>
    <w:rPr>
      <w:rFonts w:ascii="Times New Roman" w:eastAsia="Times New Roman" w:hAnsi="Times New Roman" w:cs="Times New Roman"/>
      <w:szCs w:val="24"/>
      <w:lang w:val="en-GB" w:eastAsia="en-GB"/>
    </w:rPr>
  </w:style>
  <w:style w:type="paragraph" w:customStyle="1" w:styleId="xl112">
    <w:name w:val="xl112"/>
    <w:basedOn w:val="Normal"/>
    <w:rsid w:val="00401E7F"/>
    <w:pPr>
      <w:spacing w:beforeAutospacing="1" w:afterAutospacing="1"/>
      <w:textAlignment w:val="top"/>
    </w:pPr>
    <w:rPr>
      <w:rFonts w:ascii="Arial" w:eastAsia="Times New Roman" w:hAnsi="Arial" w:cs="Arial"/>
      <w:b/>
      <w:bCs/>
      <w:szCs w:val="24"/>
      <w:lang w:val="en-GB" w:eastAsia="en-GB"/>
    </w:rPr>
  </w:style>
  <w:style w:type="table" w:styleId="ListTable3-Accent3">
    <w:name w:val="List Table 3 Accent 3"/>
    <w:basedOn w:val="TableNormal"/>
    <w:uiPriority w:val="48"/>
    <w:rsid w:val="00401E7F"/>
    <w:pPr>
      <w:spacing w:after="0" w:line="240" w:lineRule="auto"/>
    </w:pPr>
    <w:rPr>
      <w:lang w:val="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AnnexHead2">
    <w:name w:val="Annex Head 2"/>
    <w:basedOn w:val="Normal"/>
    <w:link w:val="AnnexHead2Char"/>
    <w:qFormat/>
    <w:rsid w:val="00633549"/>
    <w:pPr>
      <w:numPr>
        <w:numId w:val="10"/>
      </w:numPr>
      <w:ind w:left="1440" w:hanging="1440"/>
    </w:pPr>
    <w:rPr>
      <w:rFonts w:asciiTheme="minorHAnsi" w:hAnsiTheme="minorHAnsi" w:cstheme="minorHAnsi"/>
      <w:b/>
      <w:sz w:val="28"/>
      <w:szCs w:val="28"/>
      <w:lang w:eastAsia="en-GB"/>
    </w:rPr>
  </w:style>
  <w:style w:type="paragraph" w:customStyle="1" w:styleId="AnnexHead">
    <w:name w:val="Annex Head"/>
    <w:basedOn w:val="Normal"/>
    <w:link w:val="AnnexHeadChar"/>
    <w:qFormat/>
    <w:rsid w:val="009469C2"/>
    <w:rPr>
      <w:rFonts w:ascii="Arial" w:hAnsi="Arial"/>
      <w:b/>
      <w:sz w:val="32"/>
      <w:szCs w:val="32"/>
    </w:rPr>
  </w:style>
  <w:style w:type="character" w:customStyle="1" w:styleId="AnnexHead2Char">
    <w:name w:val="Annex Head 2 Char"/>
    <w:basedOn w:val="DefaultParagraphFont"/>
    <w:link w:val="AnnexHead2"/>
    <w:rsid w:val="00633549"/>
    <w:rPr>
      <w:rFonts w:cstheme="minorHAnsi"/>
      <w:b/>
      <w:sz w:val="28"/>
      <w:szCs w:val="28"/>
      <w:lang w:val="en-US" w:eastAsia="en-GB"/>
    </w:rPr>
  </w:style>
  <w:style w:type="character" w:customStyle="1" w:styleId="AnnexHeadChar">
    <w:name w:val="Annex Head Char"/>
    <w:basedOn w:val="DefaultParagraphFont"/>
    <w:link w:val="AnnexHead"/>
    <w:rsid w:val="009469C2"/>
    <w:rPr>
      <w:rFonts w:ascii="Arial" w:hAnsi="Arial"/>
      <w:b/>
      <w:sz w:val="32"/>
      <w:szCs w:val="32"/>
      <w:lang w:val="en-US"/>
    </w:rPr>
  </w:style>
  <w:style w:type="paragraph" w:customStyle="1" w:styleId="TableText">
    <w:name w:val="Table Text"/>
    <w:basedOn w:val="Normal"/>
    <w:link w:val="TableTextChar"/>
    <w:qFormat/>
    <w:rsid w:val="00530431"/>
    <w:pPr>
      <w:spacing w:after="0"/>
    </w:pPr>
    <w:rPr>
      <w:rFonts w:asciiTheme="minorHAnsi" w:hAnsiTheme="minorHAnsi" w:cstheme="minorHAnsi"/>
      <w:sz w:val="22"/>
    </w:rPr>
  </w:style>
  <w:style w:type="paragraph" w:customStyle="1" w:styleId="EndNote">
    <w:name w:val="EndNote"/>
    <w:basedOn w:val="footnotedescription"/>
    <w:link w:val="EndNoteChar"/>
    <w:qFormat/>
    <w:rsid w:val="000D24AC"/>
    <w:rPr>
      <w:rFonts w:asciiTheme="minorHAnsi" w:hAnsiTheme="minorHAnsi" w:cstheme="minorHAnsi"/>
      <w:sz w:val="20"/>
      <w:szCs w:val="20"/>
    </w:rPr>
  </w:style>
  <w:style w:type="character" w:customStyle="1" w:styleId="TableTextChar">
    <w:name w:val="Table Text Char"/>
    <w:basedOn w:val="DefaultParagraphFont"/>
    <w:link w:val="TableText"/>
    <w:rsid w:val="00530431"/>
    <w:rPr>
      <w:rFonts w:cstheme="minorHAnsi"/>
      <w:lang w:val="en-US"/>
    </w:rPr>
  </w:style>
  <w:style w:type="character" w:customStyle="1" w:styleId="EndNoteChar">
    <w:name w:val="EndNote Char"/>
    <w:basedOn w:val="footnotedescriptionChar"/>
    <w:link w:val="EndNote"/>
    <w:rsid w:val="000D24AC"/>
    <w:rPr>
      <w:rFonts w:ascii="Times New Roman" w:eastAsia="Times New Roman" w:hAnsi="Times New Roman" w:cstheme="minorHAnsi"/>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48586">
      <w:bodyDiv w:val="1"/>
      <w:marLeft w:val="0"/>
      <w:marRight w:val="0"/>
      <w:marTop w:val="0"/>
      <w:marBottom w:val="0"/>
      <w:divBdr>
        <w:top w:val="none" w:sz="0" w:space="0" w:color="auto"/>
        <w:left w:val="none" w:sz="0" w:space="0" w:color="auto"/>
        <w:bottom w:val="none" w:sz="0" w:space="0" w:color="auto"/>
        <w:right w:val="none" w:sz="0" w:space="0" w:color="auto"/>
      </w:divBdr>
    </w:div>
    <w:div w:id="200017709">
      <w:bodyDiv w:val="1"/>
      <w:marLeft w:val="0"/>
      <w:marRight w:val="0"/>
      <w:marTop w:val="0"/>
      <w:marBottom w:val="0"/>
      <w:divBdr>
        <w:top w:val="none" w:sz="0" w:space="0" w:color="auto"/>
        <w:left w:val="none" w:sz="0" w:space="0" w:color="auto"/>
        <w:bottom w:val="none" w:sz="0" w:space="0" w:color="auto"/>
        <w:right w:val="none" w:sz="0" w:space="0" w:color="auto"/>
      </w:divBdr>
    </w:div>
    <w:div w:id="258757121">
      <w:bodyDiv w:val="1"/>
      <w:marLeft w:val="0"/>
      <w:marRight w:val="0"/>
      <w:marTop w:val="0"/>
      <w:marBottom w:val="0"/>
      <w:divBdr>
        <w:top w:val="none" w:sz="0" w:space="0" w:color="auto"/>
        <w:left w:val="none" w:sz="0" w:space="0" w:color="auto"/>
        <w:bottom w:val="none" w:sz="0" w:space="0" w:color="auto"/>
        <w:right w:val="none" w:sz="0" w:space="0" w:color="auto"/>
      </w:divBdr>
    </w:div>
    <w:div w:id="461465652">
      <w:bodyDiv w:val="1"/>
      <w:marLeft w:val="0"/>
      <w:marRight w:val="0"/>
      <w:marTop w:val="0"/>
      <w:marBottom w:val="0"/>
      <w:divBdr>
        <w:top w:val="none" w:sz="0" w:space="0" w:color="auto"/>
        <w:left w:val="none" w:sz="0" w:space="0" w:color="auto"/>
        <w:bottom w:val="none" w:sz="0" w:space="0" w:color="auto"/>
        <w:right w:val="none" w:sz="0" w:space="0" w:color="auto"/>
      </w:divBdr>
    </w:div>
    <w:div w:id="1030229885">
      <w:bodyDiv w:val="1"/>
      <w:marLeft w:val="0"/>
      <w:marRight w:val="0"/>
      <w:marTop w:val="0"/>
      <w:marBottom w:val="0"/>
      <w:divBdr>
        <w:top w:val="none" w:sz="0" w:space="0" w:color="auto"/>
        <w:left w:val="none" w:sz="0" w:space="0" w:color="auto"/>
        <w:bottom w:val="none" w:sz="0" w:space="0" w:color="auto"/>
        <w:right w:val="none" w:sz="0" w:space="0" w:color="auto"/>
      </w:divBdr>
    </w:div>
    <w:div w:id="1051272797">
      <w:bodyDiv w:val="1"/>
      <w:marLeft w:val="0"/>
      <w:marRight w:val="0"/>
      <w:marTop w:val="0"/>
      <w:marBottom w:val="0"/>
      <w:divBdr>
        <w:top w:val="none" w:sz="0" w:space="0" w:color="auto"/>
        <w:left w:val="none" w:sz="0" w:space="0" w:color="auto"/>
        <w:bottom w:val="none" w:sz="0" w:space="0" w:color="auto"/>
        <w:right w:val="none" w:sz="0" w:space="0" w:color="auto"/>
      </w:divBdr>
    </w:div>
    <w:div w:id="1051929448">
      <w:bodyDiv w:val="1"/>
      <w:marLeft w:val="0"/>
      <w:marRight w:val="0"/>
      <w:marTop w:val="0"/>
      <w:marBottom w:val="0"/>
      <w:divBdr>
        <w:top w:val="none" w:sz="0" w:space="0" w:color="auto"/>
        <w:left w:val="none" w:sz="0" w:space="0" w:color="auto"/>
        <w:bottom w:val="none" w:sz="0" w:space="0" w:color="auto"/>
        <w:right w:val="none" w:sz="0" w:space="0" w:color="auto"/>
      </w:divBdr>
    </w:div>
    <w:div w:id="1407847175">
      <w:bodyDiv w:val="1"/>
      <w:marLeft w:val="0"/>
      <w:marRight w:val="0"/>
      <w:marTop w:val="0"/>
      <w:marBottom w:val="0"/>
      <w:divBdr>
        <w:top w:val="none" w:sz="0" w:space="0" w:color="auto"/>
        <w:left w:val="none" w:sz="0" w:space="0" w:color="auto"/>
        <w:bottom w:val="none" w:sz="0" w:space="0" w:color="auto"/>
        <w:right w:val="none" w:sz="0" w:space="0" w:color="auto"/>
      </w:divBdr>
    </w:div>
    <w:div w:id="1590507087">
      <w:bodyDiv w:val="1"/>
      <w:marLeft w:val="0"/>
      <w:marRight w:val="0"/>
      <w:marTop w:val="0"/>
      <w:marBottom w:val="0"/>
      <w:divBdr>
        <w:top w:val="none" w:sz="0" w:space="0" w:color="auto"/>
        <w:left w:val="none" w:sz="0" w:space="0" w:color="auto"/>
        <w:bottom w:val="none" w:sz="0" w:space="0" w:color="auto"/>
        <w:right w:val="none" w:sz="0" w:space="0" w:color="auto"/>
      </w:divBdr>
    </w:div>
    <w:div w:id="1769501449">
      <w:bodyDiv w:val="1"/>
      <w:marLeft w:val="0"/>
      <w:marRight w:val="0"/>
      <w:marTop w:val="0"/>
      <w:marBottom w:val="0"/>
      <w:divBdr>
        <w:top w:val="none" w:sz="0" w:space="0" w:color="auto"/>
        <w:left w:val="none" w:sz="0" w:space="0" w:color="auto"/>
        <w:bottom w:val="none" w:sz="0" w:space="0" w:color="auto"/>
        <w:right w:val="none" w:sz="0" w:space="0" w:color="auto"/>
      </w:divBdr>
    </w:div>
    <w:div w:id="1916084544">
      <w:bodyDiv w:val="1"/>
      <w:marLeft w:val="0"/>
      <w:marRight w:val="0"/>
      <w:marTop w:val="0"/>
      <w:marBottom w:val="0"/>
      <w:divBdr>
        <w:top w:val="none" w:sz="0" w:space="0" w:color="auto"/>
        <w:left w:val="none" w:sz="0" w:space="0" w:color="auto"/>
        <w:bottom w:val="none" w:sz="0" w:space="0" w:color="auto"/>
        <w:right w:val="none" w:sz="0" w:space="0" w:color="auto"/>
      </w:divBdr>
      <w:divsChild>
        <w:div w:id="1358970794">
          <w:marLeft w:val="0"/>
          <w:marRight w:val="0"/>
          <w:marTop w:val="0"/>
          <w:marBottom w:val="0"/>
          <w:divBdr>
            <w:top w:val="none" w:sz="0" w:space="0" w:color="auto"/>
            <w:left w:val="none" w:sz="0" w:space="0" w:color="auto"/>
            <w:bottom w:val="none" w:sz="0" w:space="0" w:color="auto"/>
            <w:right w:val="none" w:sz="0" w:space="0" w:color="auto"/>
          </w:divBdr>
          <w:divsChild>
            <w:div w:id="511728542">
              <w:marLeft w:val="0"/>
              <w:marRight w:val="0"/>
              <w:marTop w:val="0"/>
              <w:marBottom w:val="0"/>
              <w:divBdr>
                <w:top w:val="none" w:sz="0" w:space="0" w:color="auto"/>
                <w:left w:val="none" w:sz="0" w:space="0" w:color="auto"/>
                <w:bottom w:val="none" w:sz="0" w:space="0" w:color="auto"/>
                <w:right w:val="none" w:sz="0" w:space="0" w:color="auto"/>
              </w:divBdr>
              <w:divsChild>
                <w:div w:id="334843443">
                  <w:marLeft w:val="0"/>
                  <w:marRight w:val="0"/>
                  <w:marTop w:val="0"/>
                  <w:marBottom w:val="0"/>
                  <w:divBdr>
                    <w:top w:val="none" w:sz="0" w:space="0" w:color="auto"/>
                    <w:left w:val="none" w:sz="0" w:space="0" w:color="auto"/>
                    <w:bottom w:val="none" w:sz="0" w:space="0" w:color="auto"/>
                    <w:right w:val="none" w:sz="0" w:space="0" w:color="auto"/>
                  </w:divBdr>
                  <w:divsChild>
                    <w:div w:id="925839954">
                      <w:marLeft w:val="0"/>
                      <w:marRight w:val="0"/>
                      <w:marTop w:val="0"/>
                      <w:marBottom w:val="0"/>
                      <w:divBdr>
                        <w:top w:val="none" w:sz="0" w:space="0" w:color="auto"/>
                        <w:left w:val="none" w:sz="0" w:space="0" w:color="auto"/>
                        <w:bottom w:val="none" w:sz="0" w:space="0" w:color="auto"/>
                        <w:right w:val="none" w:sz="0" w:space="0" w:color="auto"/>
                      </w:divBdr>
                      <w:divsChild>
                        <w:div w:id="170490239">
                          <w:marLeft w:val="0"/>
                          <w:marRight w:val="0"/>
                          <w:marTop w:val="0"/>
                          <w:marBottom w:val="0"/>
                          <w:divBdr>
                            <w:top w:val="none" w:sz="0" w:space="0" w:color="auto"/>
                            <w:left w:val="none" w:sz="0" w:space="0" w:color="auto"/>
                            <w:bottom w:val="none" w:sz="0" w:space="0" w:color="auto"/>
                            <w:right w:val="none" w:sz="0" w:space="0" w:color="auto"/>
                          </w:divBdr>
                          <w:divsChild>
                            <w:div w:id="819998276">
                              <w:marLeft w:val="0"/>
                              <w:marRight w:val="0"/>
                              <w:marTop w:val="0"/>
                              <w:marBottom w:val="0"/>
                              <w:divBdr>
                                <w:top w:val="none" w:sz="0" w:space="0" w:color="auto"/>
                                <w:left w:val="none" w:sz="0" w:space="0" w:color="auto"/>
                                <w:bottom w:val="none" w:sz="0" w:space="0" w:color="auto"/>
                                <w:right w:val="none" w:sz="0" w:space="0" w:color="auto"/>
                              </w:divBdr>
                              <w:divsChild>
                                <w:div w:id="395474276">
                                  <w:marLeft w:val="0"/>
                                  <w:marRight w:val="0"/>
                                  <w:marTop w:val="0"/>
                                  <w:marBottom w:val="0"/>
                                  <w:divBdr>
                                    <w:top w:val="none" w:sz="0" w:space="0" w:color="auto"/>
                                    <w:left w:val="none" w:sz="0" w:space="0" w:color="auto"/>
                                    <w:bottom w:val="none" w:sz="0" w:space="0" w:color="auto"/>
                                    <w:right w:val="none" w:sz="0" w:space="0" w:color="auto"/>
                                  </w:divBdr>
                                  <w:divsChild>
                                    <w:div w:id="197789957">
                                      <w:marLeft w:val="0"/>
                                      <w:marRight w:val="0"/>
                                      <w:marTop w:val="0"/>
                                      <w:marBottom w:val="0"/>
                                      <w:divBdr>
                                        <w:top w:val="none" w:sz="0" w:space="0" w:color="auto"/>
                                        <w:left w:val="none" w:sz="0" w:space="0" w:color="auto"/>
                                        <w:bottom w:val="none" w:sz="0" w:space="0" w:color="auto"/>
                                        <w:right w:val="none" w:sz="0" w:space="0" w:color="auto"/>
                                      </w:divBdr>
                                      <w:divsChild>
                                        <w:div w:id="512572784">
                                          <w:marLeft w:val="0"/>
                                          <w:marRight w:val="0"/>
                                          <w:marTop w:val="0"/>
                                          <w:marBottom w:val="0"/>
                                          <w:divBdr>
                                            <w:top w:val="none" w:sz="0" w:space="0" w:color="auto"/>
                                            <w:left w:val="none" w:sz="0" w:space="0" w:color="auto"/>
                                            <w:bottom w:val="none" w:sz="0" w:space="0" w:color="auto"/>
                                            <w:right w:val="none" w:sz="0" w:space="0" w:color="auto"/>
                                          </w:divBdr>
                                          <w:divsChild>
                                            <w:div w:id="1522163539">
                                              <w:marLeft w:val="0"/>
                                              <w:marRight w:val="0"/>
                                              <w:marTop w:val="0"/>
                                              <w:marBottom w:val="0"/>
                                              <w:divBdr>
                                                <w:top w:val="none" w:sz="0" w:space="0" w:color="auto"/>
                                                <w:left w:val="none" w:sz="0" w:space="0" w:color="auto"/>
                                                <w:bottom w:val="none" w:sz="0" w:space="0" w:color="auto"/>
                                                <w:right w:val="none" w:sz="0" w:space="0" w:color="auto"/>
                                              </w:divBdr>
                                              <w:divsChild>
                                                <w:div w:id="356077169">
                                                  <w:marLeft w:val="0"/>
                                                  <w:marRight w:val="0"/>
                                                  <w:marTop w:val="0"/>
                                                  <w:marBottom w:val="0"/>
                                                  <w:divBdr>
                                                    <w:top w:val="none" w:sz="0" w:space="0" w:color="auto"/>
                                                    <w:left w:val="none" w:sz="0" w:space="0" w:color="auto"/>
                                                    <w:bottom w:val="none" w:sz="0" w:space="0" w:color="auto"/>
                                                    <w:right w:val="none" w:sz="0" w:space="0" w:color="auto"/>
                                                  </w:divBdr>
                                                  <w:divsChild>
                                                    <w:div w:id="163016058">
                                                      <w:marLeft w:val="0"/>
                                                      <w:marRight w:val="0"/>
                                                      <w:marTop w:val="0"/>
                                                      <w:marBottom w:val="0"/>
                                                      <w:divBdr>
                                                        <w:top w:val="none" w:sz="0" w:space="0" w:color="auto"/>
                                                        <w:left w:val="none" w:sz="0" w:space="0" w:color="auto"/>
                                                        <w:bottom w:val="none" w:sz="0" w:space="0" w:color="auto"/>
                                                        <w:right w:val="none" w:sz="0" w:space="0" w:color="auto"/>
                                                      </w:divBdr>
                                                      <w:divsChild>
                                                        <w:div w:id="397020598">
                                                          <w:marLeft w:val="0"/>
                                                          <w:marRight w:val="0"/>
                                                          <w:marTop w:val="225"/>
                                                          <w:marBottom w:val="0"/>
                                                          <w:divBdr>
                                                            <w:top w:val="single" w:sz="6" w:space="15" w:color="DDDDDD"/>
                                                            <w:left w:val="single" w:sz="6" w:space="15" w:color="DDDDDD"/>
                                                            <w:bottom w:val="single" w:sz="6" w:space="15" w:color="DDDDDD"/>
                                                            <w:right w:val="single" w:sz="6" w:space="15" w:color="DDDDDD"/>
                                                          </w:divBdr>
                                                          <w:divsChild>
                                                            <w:div w:id="736319481">
                                                              <w:marLeft w:val="0"/>
                                                              <w:marRight w:val="0"/>
                                                              <w:marTop w:val="0"/>
                                                              <w:marBottom w:val="0"/>
                                                              <w:divBdr>
                                                                <w:top w:val="none" w:sz="0" w:space="0" w:color="auto"/>
                                                                <w:left w:val="none" w:sz="0" w:space="0" w:color="auto"/>
                                                                <w:bottom w:val="none" w:sz="0" w:space="0" w:color="auto"/>
                                                                <w:right w:val="none" w:sz="0" w:space="0" w:color="auto"/>
                                                              </w:divBdr>
                                                              <w:divsChild>
                                                                <w:div w:id="406420345">
                                                                  <w:marLeft w:val="0"/>
                                                                  <w:marRight w:val="0"/>
                                                                  <w:marTop w:val="0"/>
                                                                  <w:marBottom w:val="0"/>
                                                                  <w:divBdr>
                                                                    <w:top w:val="none" w:sz="0" w:space="0" w:color="auto"/>
                                                                    <w:left w:val="none" w:sz="0" w:space="0" w:color="auto"/>
                                                                    <w:bottom w:val="none" w:sz="0" w:space="0" w:color="auto"/>
                                                                    <w:right w:val="none" w:sz="0" w:space="0" w:color="auto"/>
                                                                  </w:divBdr>
                                                                  <w:divsChild>
                                                                    <w:div w:id="476342600">
                                                                      <w:marLeft w:val="0"/>
                                                                      <w:marRight w:val="0"/>
                                                                      <w:marTop w:val="0"/>
                                                                      <w:marBottom w:val="0"/>
                                                                      <w:divBdr>
                                                                        <w:top w:val="none" w:sz="0" w:space="0" w:color="auto"/>
                                                                        <w:left w:val="none" w:sz="0" w:space="0" w:color="auto"/>
                                                                        <w:bottom w:val="none" w:sz="0" w:space="0" w:color="auto"/>
                                                                        <w:right w:val="none" w:sz="0" w:space="0" w:color="auto"/>
                                                                      </w:divBdr>
                                                                      <w:divsChild>
                                                                        <w:div w:id="11105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9116">
                                                                  <w:marLeft w:val="0"/>
                                                                  <w:marRight w:val="0"/>
                                                                  <w:marTop w:val="0"/>
                                                                  <w:marBottom w:val="0"/>
                                                                  <w:divBdr>
                                                                    <w:top w:val="none" w:sz="0" w:space="0" w:color="auto"/>
                                                                    <w:left w:val="none" w:sz="0" w:space="0" w:color="auto"/>
                                                                    <w:bottom w:val="none" w:sz="0" w:space="0" w:color="auto"/>
                                                                    <w:right w:val="none" w:sz="0" w:space="0" w:color="auto"/>
                                                                  </w:divBdr>
                                                                </w:div>
                                                                <w:div w:id="317618134">
                                                                  <w:marLeft w:val="0"/>
                                                                  <w:marRight w:val="0"/>
                                                                  <w:marTop w:val="0"/>
                                                                  <w:marBottom w:val="0"/>
                                                                  <w:divBdr>
                                                                    <w:top w:val="none" w:sz="0" w:space="0" w:color="auto"/>
                                                                    <w:left w:val="none" w:sz="0" w:space="0" w:color="auto"/>
                                                                    <w:bottom w:val="none" w:sz="0" w:space="0" w:color="auto"/>
                                                                    <w:right w:val="none" w:sz="0" w:space="0" w:color="auto"/>
                                                                  </w:divBdr>
                                                                  <w:divsChild>
                                                                    <w:div w:id="80614569">
                                                                      <w:marLeft w:val="0"/>
                                                                      <w:marRight w:val="0"/>
                                                                      <w:marTop w:val="0"/>
                                                                      <w:marBottom w:val="0"/>
                                                                      <w:divBdr>
                                                                        <w:top w:val="none" w:sz="0" w:space="0" w:color="auto"/>
                                                                        <w:left w:val="none" w:sz="0" w:space="0" w:color="auto"/>
                                                                        <w:bottom w:val="none" w:sz="0" w:space="0" w:color="auto"/>
                                                                        <w:right w:val="none" w:sz="0" w:space="0" w:color="auto"/>
                                                                      </w:divBdr>
                                                                      <w:divsChild>
                                                                        <w:div w:id="19836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2540">
                                                                  <w:marLeft w:val="0"/>
                                                                  <w:marRight w:val="0"/>
                                                                  <w:marTop w:val="0"/>
                                                                  <w:marBottom w:val="0"/>
                                                                  <w:divBdr>
                                                                    <w:top w:val="none" w:sz="0" w:space="0" w:color="auto"/>
                                                                    <w:left w:val="none" w:sz="0" w:space="0" w:color="auto"/>
                                                                    <w:bottom w:val="none" w:sz="0" w:space="0" w:color="auto"/>
                                                                    <w:right w:val="none" w:sz="0" w:space="0" w:color="auto"/>
                                                                  </w:divBdr>
                                                                </w:div>
                                                                <w:div w:id="1686400931">
                                                                  <w:marLeft w:val="0"/>
                                                                  <w:marRight w:val="0"/>
                                                                  <w:marTop w:val="0"/>
                                                                  <w:marBottom w:val="0"/>
                                                                  <w:divBdr>
                                                                    <w:top w:val="none" w:sz="0" w:space="0" w:color="auto"/>
                                                                    <w:left w:val="none" w:sz="0" w:space="0" w:color="auto"/>
                                                                    <w:bottom w:val="none" w:sz="0" w:space="0" w:color="auto"/>
                                                                    <w:right w:val="none" w:sz="0" w:space="0" w:color="auto"/>
                                                                  </w:divBdr>
                                                                  <w:divsChild>
                                                                    <w:div w:id="1223977667">
                                                                      <w:marLeft w:val="0"/>
                                                                      <w:marRight w:val="0"/>
                                                                      <w:marTop w:val="0"/>
                                                                      <w:marBottom w:val="0"/>
                                                                      <w:divBdr>
                                                                        <w:top w:val="none" w:sz="0" w:space="0" w:color="auto"/>
                                                                        <w:left w:val="none" w:sz="0" w:space="0" w:color="auto"/>
                                                                        <w:bottom w:val="none" w:sz="0" w:space="0" w:color="auto"/>
                                                                        <w:right w:val="none" w:sz="0" w:space="0" w:color="auto"/>
                                                                      </w:divBdr>
                                                                    </w:div>
                                                                  </w:divsChild>
                                                                </w:div>
                                                                <w:div w:id="2054577727">
                                                                  <w:marLeft w:val="0"/>
                                                                  <w:marRight w:val="0"/>
                                                                  <w:marTop w:val="0"/>
                                                                  <w:marBottom w:val="0"/>
                                                                  <w:divBdr>
                                                                    <w:top w:val="none" w:sz="0" w:space="0" w:color="auto"/>
                                                                    <w:left w:val="none" w:sz="0" w:space="0" w:color="auto"/>
                                                                    <w:bottom w:val="none" w:sz="0" w:space="0" w:color="auto"/>
                                                                    <w:right w:val="none" w:sz="0" w:space="0" w:color="auto"/>
                                                                  </w:divBdr>
                                                                </w:div>
                                                                <w:div w:id="1131051031">
                                                                  <w:marLeft w:val="0"/>
                                                                  <w:marRight w:val="0"/>
                                                                  <w:marTop w:val="0"/>
                                                                  <w:marBottom w:val="0"/>
                                                                  <w:divBdr>
                                                                    <w:top w:val="none" w:sz="0" w:space="0" w:color="auto"/>
                                                                    <w:left w:val="none" w:sz="0" w:space="0" w:color="auto"/>
                                                                    <w:bottom w:val="none" w:sz="0" w:space="0" w:color="auto"/>
                                                                    <w:right w:val="none" w:sz="0" w:space="0" w:color="auto"/>
                                                                  </w:divBdr>
                                                                </w:div>
                                                                <w:div w:id="111216263">
                                                                  <w:marLeft w:val="0"/>
                                                                  <w:marRight w:val="0"/>
                                                                  <w:marTop w:val="0"/>
                                                                  <w:marBottom w:val="0"/>
                                                                  <w:divBdr>
                                                                    <w:top w:val="none" w:sz="0" w:space="0" w:color="auto"/>
                                                                    <w:left w:val="none" w:sz="0" w:space="0" w:color="auto"/>
                                                                    <w:bottom w:val="none" w:sz="0" w:space="0" w:color="auto"/>
                                                                    <w:right w:val="none" w:sz="0" w:space="0" w:color="auto"/>
                                                                  </w:divBdr>
                                                                  <w:divsChild>
                                                                    <w:div w:id="582952572">
                                                                      <w:marLeft w:val="0"/>
                                                                      <w:marRight w:val="0"/>
                                                                      <w:marTop w:val="0"/>
                                                                      <w:marBottom w:val="0"/>
                                                                      <w:divBdr>
                                                                        <w:top w:val="none" w:sz="0" w:space="0" w:color="auto"/>
                                                                        <w:left w:val="none" w:sz="0" w:space="0" w:color="auto"/>
                                                                        <w:bottom w:val="none" w:sz="0" w:space="0" w:color="auto"/>
                                                                        <w:right w:val="none" w:sz="0" w:space="0" w:color="auto"/>
                                                                      </w:divBdr>
                                                                      <w:divsChild>
                                                                        <w:div w:id="12139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3211">
                                                                  <w:marLeft w:val="0"/>
                                                                  <w:marRight w:val="0"/>
                                                                  <w:marTop w:val="0"/>
                                                                  <w:marBottom w:val="0"/>
                                                                  <w:divBdr>
                                                                    <w:top w:val="none" w:sz="0" w:space="0" w:color="auto"/>
                                                                    <w:left w:val="none" w:sz="0" w:space="0" w:color="auto"/>
                                                                    <w:bottom w:val="none" w:sz="0" w:space="0" w:color="auto"/>
                                                                    <w:right w:val="none" w:sz="0" w:space="0" w:color="auto"/>
                                                                  </w:divBdr>
                                                                </w:div>
                                                                <w:div w:id="745885646">
                                                                  <w:marLeft w:val="0"/>
                                                                  <w:marRight w:val="0"/>
                                                                  <w:marTop w:val="0"/>
                                                                  <w:marBottom w:val="0"/>
                                                                  <w:divBdr>
                                                                    <w:top w:val="none" w:sz="0" w:space="0" w:color="auto"/>
                                                                    <w:left w:val="none" w:sz="0" w:space="0" w:color="auto"/>
                                                                    <w:bottom w:val="none" w:sz="0" w:space="0" w:color="auto"/>
                                                                    <w:right w:val="none" w:sz="0" w:space="0" w:color="auto"/>
                                                                  </w:divBdr>
                                                                  <w:divsChild>
                                                                    <w:div w:id="10898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354090">
                          <w:marLeft w:val="0"/>
                          <w:marRight w:val="0"/>
                          <w:marTop w:val="0"/>
                          <w:marBottom w:val="0"/>
                          <w:divBdr>
                            <w:top w:val="none" w:sz="0" w:space="0" w:color="auto"/>
                            <w:left w:val="none" w:sz="0" w:space="0" w:color="auto"/>
                            <w:bottom w:val="none" w:sz="0" w:space="0" w:color="auto"/>
                            <w:right w:val="none" w:sz="0" w:space="0" w:color="auto"/>
                          </w:divBdr>
                          <w:divsChild>
                            <w:div w:id="1141072323">
                              <w:marLeft w:val="0"/>
                              <w:marRight w:val="0"/>
                              <w:marTop w:val="0"/>
                              <w:marBottom w:val="0"/>
                              <w:divBdr>
                                <w:top w:val="none" w:sz="0" w:space="0" w:color="auto"/>
                                <w:left w:val="none" w:sz="0" w:space="0" w:color="auto"/>
                                <w:bottom w:val="none" w:sz="0" w:space="0" w:color="auto"/>
                                <w:right w:val="none" w:sz="0" w:space="0" w:color="auto"/>
                              </w:divBdr>
                              <w:divsChild>
                                <w:div w:id="640041937">
                                  <w:marLeft w:val="0"/>
                                  <w:marRight w:val="0"/>
                                  <w:marTop w:val="0"/>
                                  <w:marBottom w:val="0"/>
                                  <w:divBdr>
                                    <w:top w:val="none" w:sz="0" w:space="0" w:color="auto"/>
                                    <w:left w:val="none" w:sz="0" w:space="0" w:color="auto"/>
                                    <w:bottom w:val="none" w:sz="0" w:space="0" w:color="auto"/>
                                    <w:right w:val="none" w:sz="0" w:space="0" w:color="auto"/>
                                  </w:divBdr>
                                  <w:divsChild>
                                    <w:div w:id="779835129">
                                      <w:marLeft w:val="0"/>
                                      <w:marRight w:val="0"/>
                                      <w:marTop w:val="0"/>
                                      <w:marBottom w:val="0"/>
                                      <w:divBdr>
                                        <w:top w:val="none" w:sz="0" w:space="0" w:color="auto"/>
                                        <w:left w:val="none" w:sz="0" w:space="0" w:color="auto"/>
                                        <w:bottom w:val="none" w:sz="0" w:space="0" w:color="auto"/>
                                        <w:right w:val="none" w:sz="0" w:space="0" w:color="auto"/>
                                      </w:divBdr>
                                      <w:divsChild>
                                        <w:div w:id="357121446">
                                          <w:marLeft w:val="0"/>
                                          <w:marRight w:val="0"/>
                                          <w:marTop w:val="0"/>
                                          <w:marBottom w:val="300"/>
                                          <w:divBdr>
                                            <w:top w:val="none" w:sz="0" w:space="0" w:color="auto"/>
                                            <w:left w:val="none" w:sz="0" w:space="0" w:color="auto"/>
                                            <w:bottom w:val="none" w:sz="0" w:space="0" w:color="auto"/>
                                            <w:right w:val="none" w:sz="0" w:space="0" w:color="auto"/>
                                          </w:divBdr>
                                          <w:divsChild>
                                            <w:div w:id="1493763823">
                                              <w:marLeft w:val="0"/>
                                              <w:marRight w:val="0"/>
                                              <w:marTop w:val="0"/>
                                              <w:marBottom w:val="0"/>
                                              <w:divBdr>
                                                <w:top w:val="none" w:sz="0" w:space="0" w:color="auto"/>
                                                <w:left w:val="none" w:sz="0" w:space="0" w:color="auto"/>
                                                <w:bottom w:val="none" w:sz="0" w:space="0" w:color="auto"/>
                                                <w:right w:val="none" w:sz="0" w:space="0" w:color="auto"/>
                                              </w:divBdr>
                                              <w:divsChild>
                                                <w:div w:id="236403909">
                                                  <w:marLeft w:val="0"/>
                                                  <w:marRight w:val="0"/>
                                                  <w:marTop w:val="0"/>
                                                  <w:marBottom w:val="0"/>
                                                  <w:divBdr>
                                                    <w:top w:val="none" w:sz="0" w:space="0" w:color="auto"/>
                                                    <w:left w:val="none" w:sz="0" w:space="0" w:color="auto"/>
                                                    <w:bottom w:val="none" w:sz="0" w:space="0" w:color="auto"/>
                                                    <w:right w:val="none" w:sz="0" w:space="0" w:color="auto"/>
                                                  </w:divBdr>
                                                  <w:divsChild>
                                                    <w:div w:id="1461024870">
                                                      <w:marLeft w:val="0"/>
                                                      <w:marRight w:val="0"/>
                                                      <w:marTop w:val="0"/>
                                                      <w:marBottom w:val="0"/>
                                                      <w:divBdr>
                                                        <w:top w:val="none" w:sz="0" w:space="0" w:color="auto"/>
                                                        <w:left w:val="none" w:sz="0" w:space="0" w:color="auto"/>
                                                        <w:bottom w:val="none" w:sz="0" w:space="0" w:color="auto"/>
                                                        <w:right w:val="none" w:sz="0" w:space="0" w:color="auto"/>
                                                      </w:divBdr>
                                                      <w:divsChild>
                                                        <w:div w:id="943998475">
                                                          <w:marLeft w:val="0"/>
                                                          <w:marRight w:val="0"/>
                                                          <w:marTop w:val="225"/>
                                                          <w:marBottom w:val="0"/>
                                                          <w:divBdr>
                                                            <w:top w:val="single" w:sz="6" w:space="15" w:color="DDDDDD"/>
                                                            <w:left w:val="single" w:sz="6" w:space="15" w:color="DDDDDD"/>
                                                            <w:bottom w:val="single" w:sz="6" w:space="15" w:color="DDDDDD"/>
                                                            <w:right w:val="single" w:sz="6" w:space="15" w:color="DDDDDD"/>
                                                          </w:divBdr>
                                                        </w:div>
                                                        <w:div w:id="1141800767">
                                                          <w:marLeft w:val="0"/>
                                                          <w:marRight w:val="0"/>
                                                          <w:marTop w:val="225"/>
                                                          <w:marBottom w:val="0"/>
                                                          <w:divBdr>
                                                            <w:top w:val="single" w:sz="6" w:space="15" w:color="DDDDDD"/>
                                                            <w:left w:val="single" w:sz="6" w:space="15" w:color="DDDDDD"/>
                                                            <w:bottom w:val="single" w:sz="6" w:space="15" w:color="DDDDDD"/>
                                                            <w:right w:val="single" w:sz="6" w:space="15" w:color="DDDDDD"/>
                                                          </w:divBdr>
                                                          <w:divsChild>
                                                            <w:div w:id="690377132">
                                                              <w:marLeft w:val="0"/>
                                                              <w:marRight w:val="0"/>
                                                              <w:marTop w:val="0"/>
                                                              <w:marBottom w:val="0"/>
                                                              <w:divBdr>
                                                                <w:top w:val="none" w:sz="0" w:space="0" w:color="auto"/>
                                                                <w:left w:val="none" w:sz="0" w:space="0" w:color="auto"/>
                                                                <w:bottom w:val="none" w:sz="0" w:space="0" w:color="auto"/>
                                                                <w:right w:val="none" w:sz="0" w:space="0" w:color="auto"/>
                                                              </w:divBdr>
                                                              <w:divsChild>
                                                                <w:div w:id="513618163">
                                                                  <w:marLeft w:val="0"/>
                                                                  <w:marRight w:val="0"/>
                                                                  <w:marTop w:val="0"/>
                                                                  <w:marBottom w:val="0"/>
                                                                  <w:divBdr>
                                                                    <w:top w:val="none" w:sz="0" w:space="0" w:color="auto"/>
                                                                    <w:left w:val="none" w:sz="0" w:space="0" w:color="auto"/>
                                                                    <w:bottom w:val="none" w:sz="0" w:space="0" w:color="auto"/>
                                                                    <w:right w:val="none" w:sz="0" w:space="0" w:color="auto"/>
                                                                  </w:divBdr>
                                                                </w:div>
                                                                <w:div w:id="480541546">
                                                                  <w:marLeft w:val="-225"/>
                                                                  <w:marRight w:val="-225"/>
                                                                  <w:marTop w:val="0"/>
                                                                  <w:marBottom w:val="0"/>
                                                                  <w:divBdr>
                                                                    <w:top w:val="none" w:sz="0" w:space="0" w:color="auto"/>
                                                                    <w:left w:val="none" w:sz="0" w:space="0" w:color="auto"/>
                                                                    <w:bottom w:val="none" w:sz="0" w:space="0" w:color="auto"/>
                                                                    <w:right w:val="none" w:sz="0" w:space="0" w:color="auto"/>
                                                                  </w:divBdr>
                                                                  <w:divsChild>
                                                                    <w:div w:id="2103447861">
                                                                      <w:marLeft w:val="0"/>
                                                                      <w:marRight w:val="0"/>
                                                                      <w:marTop w:val="0"/>
                                                                      <w:marBottom w:val="0"/>
                                                                      <w:divBdr>
                                                                        <w:top w:val="none" w:sz="0" w:space="0" w:color="auto"/>
                                                                        <w:left w:val="none" w:sz="0" w:space="0" w:color="auto"/>
                                                                        <w:bottom w:val="none" w:sz="0" w:space="0" w:color="auto"/>
                                                                        <w:right w:val="none" w:sz="0" w:space="0" w:color="auto"/>
                                                                      </w:divBdr>
                                                                      <w:divsChild>
                                                                        <w:div w:id="20723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874">
                                                                  <w:marLeft w:val="-225"/>
                                                                  <w:marRight w:val="-225"/>
                                                                  <w:marTop w:val="0"/>
                                                                  <w:marBottom w:val="0"/>
                                                                  <w:divBdr>
                                                                    <w:top w:val="none" w:sz="0" w:space="0" w:color="auto"/>
                                                                    <w:left w:val="none" w:sz="0" w:space="0" w:color="auto"/>
                                                                    <w:bottom w:val="none" w:sz="0" w:space="0" w:color="auto"/>
                                                                    <w:right w:val="none" w:sz="0" w:space="0" w:color="auto"/>
                                                                  </w:divBdr>
                                                                  <w:divsChild>
                                                                    <w:div w:id="1063796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14667117">
                                                          <w:marLeft w:val="0"/>
                                                          <w:marRight w:val="0"/>
                                                          <w:marTop w:val="225"/>
                                                          <w:marBottom w:val="0"/>
                                                          <w:divBdr>
                                                            <w:top w:val="single" w:sz="6" w:space="15" w:color="DDDDDD"/>
                                                            <w:left w:val="single" w:sz="6" w:space="15" w:color="DDDDDD"/>
                                                            <w:bottom w:val="single" w:sz="6" w:space="15" w:color="DDDDDD"/>
                                                            <w:right w:val="single" w:sz="6" w:space="15" w:color="DDDDDD"/>
                                                          </w:divBdr>
                                                          <w:divsChild>
                                                            <w:div w:id="2069840521">
                                                              <w:marLeft w:val="0"/>
                                                              <w:marRight w:val="0"/>
                                                              <w:marTop w:val="0"/>
                                                              <w:marBottom w:val="0"/>
                                                              <w:divBdr>
                                                                <w:top w:val="none" w:sz="0" w:space="0" w:color="auto"/>
                                                                <w:left w:val="none" w:sz="0" w:space="0" w:color="auto"/>
                                                                <w:bottom w:val="none" w:sz="0" w:space="0" w:color="auto"/>
                                                                <w:right w:val="none" w:sz="0" w:space="0" w:color="auto"/>
                                                              </w:divBdr>
                                                              <w:divsChild>
                                                                <w:div w:id="1298142181">
                                                                  <w:marLeft w:val="0"/>
                                                                  <w:marRight w:val="0"/>
                                                                  <w:marTop w:val="0"/>
                                                                  <w:marBottom w:val="0"/>
                                                                  <w:divBdr>
                                                                    <w:top w:val="none" w:sz="0" w:space="0" w:color="auto"/>
                                                                    <w:left w:val="none" w:sz="0" w:space="0" w:color="auto"/>
                                                                    <w:bottom w:val="none" w:sz="0" w:space="0" w:color="auto"/>
                                                                    <w:right w:val="none" w:sz="0" w:space="0" w:color="auto"/>
                                                                  </w:divBdr>
                                                                </w:div>
                                                                <w:div w:id="1030837227">
                                                                  <w:marLeft w:val="0"/>
                                                                  <w:marRight w:val="0"/>
                                                                  <w:marTop w:val="0"/>
                                                                  <w:marBottom w:val="0"/>
                                                                  <w:divBdr>
                                                                    <w:top w:val="none" w:sz="0" w:space="0" w:color="auto"/>
                                                                    <w:left w:val="none" w:sz="0" w:space="0" w:color="auto"/>
                                                                    <w:bottom w:val="none" w:sz="0" w:space="0" w:color="auto"/>
                                                                    <w:right w:val="none" w:sz="0" w:space="0" w:color="auto"/>
                                                                  </w:divBdr>
                                                                  <w:divsChild>
                                                                    <w:div w:id="15522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bank.org" TargetMode="External"/><Relationship Id="rId18" Type="http://schemas.openxmlformats.org/officeDocument/2006/relationships/footer" Target="footer3.xml"/><Relationship Id="rId26" Type="http://schemas.openxmlformats.org/officeDocument/2006/relationships/diagramData" Target="diagrams/data2.xml"/><Relationship Id="rId3" Type="http://schemas.openxmlformats.org/officeDocument/2006/relationships/customXml" Target="../customXml/item3.xml"/><Relationship Id="rId21" Type="http://schemas.openxmlformats.org/officeDocument/2006/relationships/diagramData" Target="diagrams/data1.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d.docs.live.net/a976dcf5af66f79b/WB%20TF%20Evaluation/PH-PTF%20Evaluation%202018_Main%20Report_v17Dec.docx" TargetMode="External"/><Relationship Id="rId25" Type="http://schemas.microsoft.com/office/2007/relationships/diagramDrawing" Target="diagrams/drawing1.xml"/><Relationship Id="rId33"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d.docs.live.net/a976dcf5af66f79b/WB%20TF%20Evaluation/PH-PTF%20Evaluation%202018_Main%20Report_v17Dec.docx" TargetMode="External"/><Relationship Id="rId20" Type="http://schemas.openxmlformats.org/officeDocument/2006/relationships/footer" Target="footer5.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diagramColors" Target="diagrams/colors1.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s://d.docs.live.net/a976dcf5af66f79b/WB%20TF%20Evaluation/PH-PTF%20Evaluation%202018_Main%20Report_v17Dec.docx" TargetMode="Externa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brights@worldbank.org" TargetMode="Externa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fat.gov.au/about-us/publications/Pages/dfat-indigenous-peoples-strategy-2015-2019.aspx" TargetMode="External"/><Relationship Id="rId2" Type="http://schemas.openxmlformats.org/officeDocument/2006/relationships/hyperlink" Target="https://dfat.gov.au/about-us/publications/Pages/development-for-all-2015-2020.aspx" TargetMode="External"/><Relationship Id="rId1" Type="http://schemas.openxmlformats.org/officeDocument/2006/relationships/hyperlink" Target="https://dfat.gov.au/about-us/publications/Pages/gender-equality-and-womens-empowerment-strategy.aspx" TargetMode="External"/><Relationship Id="rId5" Type="http://schemas.openxmlformats.org/officeDocument/2006/relationships/hyperlink" Target="https://dfat.gov.au/aid/who-we-work-with/private-sector-partnerships/Pages/private-sector-partnerships.aspx" TargetMode="External"/><Relationship Id="rId4" Type="http://schemas.openxmlformats.org/officeDocument/2006/relationships/hyperlink" Target="https://ixc.dfat.gov.au/research-resources/"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6D8637-F748-436D-9FB2-DA72C365E4A4}" type="doc">
      <dgm:prSet loTypeId="urn:microsoft.com/office/officeart/2005/8/layout/lProcess2" loCatId="list" qsTypeId="urn:microsoft.com/office/officeart/2005/8/quickstyle/simple1" qsCatId="simple" csTypeId="urn:microsoft.com/office/officeart/2005/8/colors/accent0_2" csCatId="mainScheme" phldr="1"/>
      <dgm:spPr/>
      <dgm:t>
        <a:bodyPr/>
        <a:lstStyle/>
        <a:p>
          <a:endParaRPr lang="en-US"/>
        </a:p>
      </dgm:t>
    </dgm:pt>
    <dgm:pt modelId="{E09D3452-16D3-4BDA-A9C6-53CD19355CC0}">
      <dgm:prSet phldrT="[Text]" custT="1"/>
      <dgm:spPr>
        <a:xfrm>
          <a:off x="0" y="0"/>
          <a:ext cx="2061816" cy="5305425"/>
        </a:xfrm>
        <a:solidFill>
          <a:srgbClr val="44546A">
            <a:tint val="40000"/>
            <a:hueOff val="0"/>
            <a:satOff val="0"/>
            <a:lumOff val="0"/>
            <a:alphaOff val="0"/>
          </a:srgbClr>
        </a:solidFill>
        <a:ln>
          <a:noFill/>
        </a:ln>
        <a:effectLst/>
      </dgm:spPr>
      <dgm:t>
        <a:bodyPr/>
        <a:lstStyle/>
        <a:p>
          <a:pPr>
            <a:spcAft>
              <a:spcPts val="0"/>
            </a:spcAft>
            <a:buNone/>
          </a:pPr>
          <a:r>
            <a:rPr lang="en-US" sz="1600" dirty="0">
              <a:solidFill>
                <a:sysClr val="windowText" lastClr="000000">
                  <a:hueOff val="0"/>
                  <a:satOff val="0"/>
                  <a:lumOff val="0"/>
                  <a:alphaOff val="0"/>
                </a:sysClr>
              </a:solidFill>
              <a:latin typeface="+mn-lt"/>
              <a:ea typeface="+mn-ea"/>
              <a:cs typeface="Arial" panose="020B0604020202020204" pitchFamily="34" charset="0"/>
            </a:rPr>
            <a:t>Philippine Development Plans</a:t>
          </a:r>
        </a:p>
      </dgm:t>
    </dgm:pt>
    <dgm:pt modelId="{9B174BC5-8619-4DA7-92F7-851E5A07F56E}" type="parTrans" cxnId="{D5FF6CC0-5C36-4B9A-862D-4FD38A143A3F}">
      <dgm:prSet/>
      <dgm:spPr/>
      <dgm:t>
        <a:bodyPr/>
        <a:lstStyle/>
        <a:p>
          <a:endParaRPr lang="en-US" sz="4000">
            <a:solidFill>
              <a:sysClr val="windowText" lastClr="000000"/>
            </a:solidFill>
            <a:latin typeface="+mn-lt"/>
            <a:cs typeface="Arial" panose="020B0604020202020204" pitchFamily="34" charset="0"/>
          </a:endParaRPr>
        </a:p>
      </dgm:t>
    </dgm:pt>
    <dgm:pt modelId="{92536699-D18E-459A-9B74-C330ED88F9EB}" type="sibTrans" cxnId="{D5FF6CC0-5C36-4B9A-862D-4FD38A143A3F}">
      <dgm:prSet/>
      <dgm:spPr/>
      <dgm:t>
        <a:bodyPr/>
        <a:lstStyle/>
        <a:p>
          <a:endParaRPr lang="en-US" sz="4000">
            <a:solidFill>
              <a:sysClr val="windowText" lastClr="000000"/>
            </a:solidFill>
            <a:latin typeface="+mn-lt"/>
            <a:cs typeface="Arial" panose="020B0604020202020204" pitchFamily="34" charset="0"/>
          </a:endParaRPr>
        </a:p>
      </dgm:t>
    </dgm:pt>
    <dgm:pt modelId="{6001B032-9A8C-4CC8-BF9B-5ADB706EF2A0}">
      <dgm:prSet phldrT="[Text]" custT="1"/>
      <dgm:spPr>
        <a:xfrm>
          <a:off x="2218553" y="0"/>
          <a:ext cx="2061816" cy="5305425"/>
        </a:xfrm>
        <a:solidFill>
          <a:srgbClr val="44546A">
            <a:tint val="40000"/>
            <a:hueOff val="0"/>
            <a:satOff val="0"/>
            <a:lumOff val="0"/>
            <a:alphaOff val="0"/>
          </a:srgbClr>
        </a:solidFill>
        <a:ln>
          <a:noFill/>
        </a:ln>
        <a:effectLst/>
      </dgm:spPr>
      <dgm:t>
        <a:bodyPr/>
        <a:lstStyle/>
        <a:p>
          <a:pPr>
            <a:buNone/>
          </a:pPr>
          <a:r>
            <a:rPr lang="en-US" sz="1600" dirty="0">
              <a:solidFill>
                <a:sysClr val="windowText" lastClr="000000">
                  <a:hueOff val="0"/>
                  <a:satOff val="0"/>
                  <a:lumOff val="0"/>
                  <a:alphaOff val="0"/>
                </a:sysClr>
              </a:solidFill>
              <a:latin typeface="+mn-lt"/>
              <a:ea typeface="+mn-ea"/>
              <a:cs typeface="Arial" panose="020B0604020202020204" pitchFamily="34" charset="0"/>
            </a:rPr>
            <a:t>AusAID/DFAT Aid Investment Plans</a:t>
          </a:r>
        </a:p>
      </dgm:t>
    </dgm:pt>
    <dgm:pt modelId="{42804931-0267-4447-AB4D-FC9A78FD1019}" type="parTrans" cxnId="{8211CF2D-2B1F-43E5-952A-330FE3D61069}">
      <dgm:prSet/>
      <dgm:spPr/>
      <dgm:t>
        <a:bodyPr/>
        <a:lstStyle/>
        <a:p>
          <a:endParaRPr lang="en-US" sz="4000">
            <a:solidFill>
              <a:sysClr val="windowText" lastClr="000000"/>
            </a:solidFill>
            <a:latin typeface="+mn-lt"/>
            <a:cs typeface="Arial" panose="020B0604020202020204" pitchFamily="34" charset="0"/>
          </a:endParaRPr>
        </a:p>
      </dgm:t>
    </dgm:pt>
    <dgm:pt modelId="{41F7EB6C-B0A5-4AC6-BBB3-D796B8A9A674}" type="sibTrans" cxnId="{8211CF2D-2B1F-43E5-952A-330FE3D61069}">
      <dgm:prSet/>
      <dgm:spPr/>
      <dgm:t>
        <a:bodyPr/>
        <a:lstStyle/>
        <a:p>
          <a:endParaRPr lang="en-US" sz="4000">
            <a:solidFill>
              <a:sysClr val="windowText" lastClr="000000"/>
            </a:solidFill>
            <a:latin typeface="+mn-lt"/>
            <a:cs typeface="Arial" panose="020B0604020202020204" pitchFamily="34" charset="0"/>
          </a:endParaRPr>
        </a:p>
      </dgm:t>
    </dgm:pt>
    <dgm:pt modelId="{CA17D5A6-3AF2-46A1-9E61-8E4AF7A4E958}">
      <dgm:prSet phldrT="[Text]" custT="1"/>
      <dgm:spPr>
        <a:xfrm>
          <a:off x="4435005" y="0"/>
          <a:ext cx="2061816" cy="5305425"/>
        </a:xfrm>
        <a:solidFill>
          <a:srgbClr val="44546A">
            <a:tint val="40000"/>
            <a:hueOff val="0"/>
            <a:satOff val="0"/>
            <a:lumOff val="0"/>
            <a:alphaOff val="0"/>
          </a:srgbClr>
        </a:solidFill>
        <a:ln>
          <a:noFill/>
        </a:ln>
        <a:effectLst/>
      </dgm:spPr>
      <dgm:t>
        <a:bodyPr/>
        <a:lstStyle/>
        <a:p>
          <a:pPr>
            <a:spcAft>
              <a:spcPts val="0"/>
            </a:spcAft>
            <a:buNone/>
          </a:pPr>
          <a:r>
            <a:rPr lang="en-US" sz="1600" dirty="0">
              <a:solidFill>
                <a:sysClr val="windowText" lastClr="000000">
                  <a:hueOff val="0"/>
                  <a:satOff val="0"/>
                  <a:lumOff val="0"/>
                  <a:alphaOff val="0"/>
                </a:sysClr>
              </a:solidFill>
              <a:latin typeface="+mn-lt"/>
              <a:ea typeface="+mn-ea"/>
              <a:cs typeface="Arial" panose="020B0604020202020204" pitchFamily="34" charset="0"/>
            </a:rPr>
            <a:t>World Bank</a:t>
          </a:r>
        </a:p>
        <a:p>
          <a:pPr>
            <a:spcAft>
              <a:spcPts val="0"/>
            </a:spcAft>
            <a:buNone/>
          </a:pPr>
          <a:r>
            <a:rPr lang="en-US" sz="1600" dirty="0">
              <a:solidFill>
                <a:sysClr val="windowText" lastClr="000000">
                  <a:hueOff val="0"/>
                  <a:satOff val="0"/>
                  <a:lumOff val="0"/>
                  <a:alphaOff val="0"/>
                </a:sysClr>
              </a:solidFill>
              <a:latin typeface="+mn-lt"/>
              <a:ea typeface="+mn-ea"/>
              <a:cs typeface="Arial" panose="020B0604020202020204" pitchFamily="34" charset="0"/>
            </a:rPr>
            <a:t>Country Strategy</a:t>
          </a:r>
        </a:p>
      </dgm:t>
    </dgm:pt>
    <dgm:pt modelId="{3BF84FD3-957A-452A-A1B0-E5F6F3E1939E}" type="parTrans" cxnId="{0CA1C9B1-0CB5-4897-8636-01B6AAF6A9A9}">
      <dgm:prSet/>
      <dgm:spPr/>
      <dgm:t>
        <a:bodyPr/>
        <a:lstStyle/>
        <a:p>
          <a:endParaRPr lang="en-US" sz="4000">
            <a:solidFill>
              <a:sysClr val="windowText" lastClr="000000"/>
            </a:solidFill>
            <a:latin typeface="+mn-lt"/>
            <a:cs typeface="Arial" panose="020B0604020202020204" pitchFamily="34" charset="0"/>
          </a:endParaRPr>
        </a:p>
      </dgm:t>
    </dgm:pt>
    <dgm:pt modelId="{E14E0204-E5FB-4F38-983D-23148027E6A7}" type="sibTrans" cxnId="{0CA1C9B1-0CB5-4897-8636-01B6AAF6A9A9}">
      <dgm:prSet/>
      <dgm:spPr/>
      <dgm:t>
        <a:bodyPr/>
        <a:lstStyle/>
        <a:p>
          <a:endParaRPr lang="en-US" sz="4000">
            <a:solidFill>
              <a:sysClr val="windowText" lastClr="000000"/>
            </a:solidFill>
            <a:latin typeface="+mn-lt"/>
            <a:cs typeface="Arial" panose="020B0604020202020204" pitchFamily="34" charset="0"/>
          </a:endParaRPr>
        </a:p>
      </dgm:t>
    </dgm:pt>
    <dgm:pt modelId="{8D4F87C7-49A3-4B5F-AE61-EB3075C7383E}">
      <dgm:prSet phldrT="[Text]" custT="1"/>
      <dgm:spPr>
        <a:xfrm>
          <a:off x="6651457" y="0"/>
          <a:ext cx="2061816" cy="5305425"/>
        </a:xfrm>
        <a:solidFill>
          <a:srgbClr val="44546A">
            <a:tint val="40000"/>
            <a:hueOff val="0"/>
            <a:satOff val="0"/>
            <a:lumOff val="0"/>
            <a:alphaOff val="0"/>
          </a:srgbClr>
        </a:solidFill>
        <a:ln>
          <a:noFill/>
        </a:ln>
        <a:effectLst/>
      </dgm:spPr>
      <dgm:t>
        <a:bodyPr/>
        <a:lstStyle/>
        <a:p>
          <a:pPr>
            <a:buNone/>
          </a:pPr>
          <a:r>
            <a:rPr lang="en-US" sz="1600" dirty="0">
              <a:solidFill>
                <a:sysClr val="windowText" lastClr="000000">
                  <a:hueOff val="0"/>
                  <a:satOff val="0"/>
                  <a:lumOff val="0"/>
                  <a:alphaOff val="0"/>
                </a:sysClr>
              </a:solidFill>
              <a:latin typeface="+mn-lt"/>
              <a:ea typeface="+mn-ea"/>
              <a:cs typeface="Arial" panose="020B0604020202020204" pitchFamily="34" charset="0"/>
            </a:rPr>
            <a:t>PH-PTF Approach to Funding </a:t>
          </a:r>
        </a:p>
      </dgm:t>
    </dgm:pt>
    <dgm:pt modelId="{CE996096-4D34-44FC-835B-08BAE39E3836}" type="parTrans" cxnId="{4CB5A4FD-0E0A-4C9F-809E-FD3910020E87}">
      <dgm:prSet/>
      <dgm:spPr/>
      <dgm:t>
        <a:bodyPr/>
        <a:lstStyle/>
        <a:p>
          <a:endParaRPr lang="en-US" sz="4000">
            <a:solidFill>
              <a:sysClr val="windowText" lastClr="000000"/>
            </a:solidFill>
            <a:latin typeface="+mn-lt"/>
            <a:cs typeface="Arial" panose="020B0604020202020204" pitchFamily="34" charset="0"/>
          </a:endParaRPr>
        </a:p>
      </dgm:t>
    </dgm:pt>
    <dgm:pt modelId="{36E0D20D-B55F-4065-8669-86CF09699095}" type="sibTrans" cxnId="{4CB5A4FD-0E0A-4C9F-809E-FD3910020E87}">
      <dgm:prSet/>
      <dgm:spPr/>
      <dgm:t>
        <a:bodyPr/>
        <a:lstStyle/>
        <a:p>
          <a:endParaRPr lang="en-US" sz="4000">
            <a:solidFill>
              <a:sysClr val="windowText" lastClr="000000"/>
            </a:solidFill>
            <a:latin typeface="+mn-lt"/>
            <a:cs typeface="Arial" panose="020B0604020202020204" pitchFamily="34" charset="0"/>
          </a:endParaRPr>
        </a:p>
      </dgm:t>
    </dgm:pt>
    <dgm:pt modelId="{FFBD181D-31DB-4CD1-9A74-A75518C07AA1}">
      <dgm:prSet phldrT="[Text]" custT="1"/>
      <dgm:spPr>
        <a:xfrm>
          <a:off x="208282" y="1592080"/>
          <a:ext cx="1649452" cy="1042303"/>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US" sz="1100" dirty="0">
              <a:solidFill>
                <a:srgbClr val="44546A">
                  <a:hueOff val="0"/>
                  <a:satOff val="0"/>
                  <a:lumOff val="0"/>
                  <a:alphaOff val="0"/>
                </a:srgbClr>
              </a:solidFill>
              <a:latin typeface="+mn-lt"/>
              <a:ea typeface="+mn-ea"/>
              <a:cs typeface="Arial" panose="020B0604020202020204" pitchFamily="34" charset="0"/>
            </a:rPr>
            <a:t>Arroyo Administration</a:t>
          </a:r>
        </a:p>
        <a:p>
          <a:pPr>
            <a:buNone/>
          </a:pPr>
          <a:r>
            <a:rPr lang="en-US" sz="1100" dirty="0">
              <a:solidFill>
                <a:srgbClr val="44546A">
                  <a:hueOff val="0"/>
                  <a:satOff val="0"/>
                  <a:lumOff val="0"/>
                  <a:alphaOff val="0"/>
                </a:srgbClr>
              </a:solidFill>
              <a:latin typeface="+mn-lt"/>
              <a:ea typeface="+mn-ea"/>
              <a:cs typeface="Arial" panose="020B0604020202020204" pitchFamily="34" charset="0"/>
            </a:rPr>
            <a:t>2001-10</a:t>
          </a:r>
        </a:p>
      </dgm:t>
    </dgm:pt>
    <dgm:pt modelId="{BC6175E3-4FC7-43C8-8910-AC0EC8A64B83}" type="parTrans" cxnId="{B6AB460F-53A9-444F-936D-3F791B7D46C6}">
      <dgm:prSet/>
      <dgm:spPr/>
      <dgm:t>
        <a:bodyPr/>
        <a:lstStyle/>
        <a:p>
          <a:endParaRPr lang="en-US" sz="4000">
            <a:solidFill>
              <a:sysClr val="windowText" lastClr="000000"/>
            </a:solidFill>
            <a:latin typeface="+mn-lt"/>
            <a:cs typeface="Arial" panose="020B0604020202020204" pitchFamily="34" charset="0"/>
          </a:endParaRPr>
        </a:p>
      </dgm:t>
    </dgm:pt>
    <dgm:pt modelId="{9B8F1D29-8F75-4A0F-9E69-717D877FDFBE}" type="sibTrans" cxnId="{B6AB460F-53A9-444F-936D-3F791B7D46C6}">
      <dgm:prSet/>
      <dgm:spPr/>
      <dgm:t>
        <a:bodyPr/>
        <a:lstStyle/>
        <a:p>
          <a:endParaRPr lang="en-US" sz="4000">
            <a:solidFill>
              <a:sysClr val="windowText" lastClr="000000"/>
            </a:solidFill>
            <a:latin typeface="+mn-lt"/>
            <a:cs typeface="Arial" panose="020B0604020202020204" pitchFamily="34" charset="0"/>
          </a:endParaRPr>
        </a:p>
      </dgm:t>
    </dgm:pt>
    <dgm:pt modelId="{4427C6E1-B845-428B-8870-F1F2B721030C}">
      <dgm:prSet phldrT="[Text]" custT="1"/>
      <dgm:spPr>
        <a:xfrm>
          <a:off x="208282" y="2794738"/>
          <a:ext cx="1649452" cy="1042303"/>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US" sz="1100" dirty="0">
              <a:solidFill>
                <a:srgbClr val="44546A">
                  <a:hueOff val="0"/>
                  <a:satOff val="0"/>
                  <a:lumOff val="0"/>
                  <a:alphaOff val="0"/>
                </a:srgbClr>
              </a:solidFill>
              <a:latin typeface="+mn-lt"/>
              <a:ea typeface="+mn-ea"/>
              <a:cs typeface="Arial" panose="020B0604020202020204" pitchFamily="34" charset="0"/>
            </a:rPr>
            <a:t>Aquino Administration</a:t>
          </a:r>
        </a:p>
        <a:p>
          <a:pPr>
            <a:buNone/>
          </a:pPr>
          <a:r>
            <a:rPr lang="en-US" sz="1100" dirty="0">
              <a:solidFill>
                <a:srgbClr val="44546A">
                  <a:hueOff val="0"/>
                  <a:satOff val="0"/>
                  <a:lumOff val="0"/>
                  <a:alphaOff val="0"/>
                </a:srgbClr>
              </a:solidFill>
              <a:latin typeface="+mn-lt"/>
              <a:ea typeface="+mn-ea"/>
              <a:cs typeface="Arial" panose="020B0604020202020204" pitchFamily="34" charset="0"/>
            </a:rPr>
            <a:t>2010-16</a:t>
          </a:r>
        </a:p>
      </dgm:t>
    </dgm:pt>
    <dgm:pt modelId="{3459F23E-80E8-4F7F-B8E1-B3AA5042BDFC}" type="parTrans" cxnId="{15E8BF92-507B-406E-B3D4-90555D1D7A2C}">
      <dgm:prSet/>
      <dgm:spPr/>
      <dgm:t>
        <a:bodyPr/>
        <a:lstStyle/>
        <a:p>
          <a:endParaRPr lang="en-US" sz="4000">
            <a:solidFill>
              <a:sysClr val="windowText" lastClr="000000"/>
            </a:solidFill>
            <a:latin typeface="+mn-lt"/>
            <a:cs typeface="Arial" panose="020B0604020202020204" pitchFamily="34" charset="0"/>
          </a:endParaRPr>
        </a:p>
      </dgm:t>
    </dgm:pt>
    <dgm:pt modelId="{5622AA37-4E63-4D1D-BE6B-CD82A044E0B0}" type="sibTrans" cxnId="{15E8BF92-507B-406E-B3D4-90555D1D7A2C}">
      <dgm:prSet/>
      <dgm:spPr/>
      <dgm:t>
        <a:bodyPr/>
        <a:lstStyle/>
        <a:p>
          <a:endParaRPr lang="en-US" sz="4000">
            <a:solidFill>
              <a:sysClr val="windowText" lastClr="000000"/>
            </a:solidFill>
            <a:latin typeface="+mn-lt"/>
            <a:cs typeface="Arial" panose="020B0604020202020204" pitchFamily="34" charset="0"/>
          </a:endParaRPr>
        </a:p>
      </dgm:t>
    </dgm:pt>
    <dgm:pt modelId="{022CFF97-D7CE-47E7-AE6A-C4F541E68EE1}">
      <dgm:prSet phldrT="[Text]" custT="1"/>
      <dgm:spPr>
        <a:xfrm>
          <a:off x="208282" y="3997396"/>
          <a:ext cx="1649452" cy="1042303"/>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US" sz="1100" dirty="0" err="1">
              <a:solidFill>
                <a:srgbClr val="44546A">
                  <a:hueOff val="0"/>
                  <a:satOff val="0"/>
                  <a:lumOff val="0"/>
                  <a:alphaOff val="0"/>
                </a:srgbClr>
              </a:solidFill>
              <a:latin typeface="+mn-lt"/>
              <a:ea typeface="+mn-ea"/>
              <a:cs typeface="Arial" panose="020B0604020202020204" pitchFamily="34" charset="0"/>
            </a:rPr>
            <a:t>Duterte </a:t>
          </a:r>
          <a:r>
            <a:rPr lang="en-US" sz="1100" dirty="0">
              <a:solidFill>
                <a:srgbClr val="44546A">
                  <a:hueOff val="0"/>
                  <a:satOff val="0"/>
                  <a:lumOff val="0"/>
                  <a:alphaOff val="0"/>
                </a:srgbClr>
              </a:solidFill>
              <a:latin typeface="+mn-lt"/>
              <a:ea typeface="+mn-ea"/>
              <a:cs typeface="Arial" panose="020B0604020202020204" pitchFamily="34" charset="0"/>
            </a:rPr>
            <a:t>Administration</a:t>
          </a:r>
        </a:p>
        <a:p>
          <a:pPr>
            <a:buNone/>
          </a:pPr>
          <a:r>
            <a:rPr lang="en-US" sz="1100" dirty="0">
              <a:solidFill>
                <a:srgbClr val="44546A">
                  <a:hueOff val="0"/>
                  <a:satOff val="0"/>
                  <a:lumOff val="0"/>
                  <a:alphaOff val="0"/>
                </a:srgbClr>
              </a:solidFill>
              <a:latin typeface="+mn-lt"/>
              <a:ea typeface="+mn-ea"/>
              <a:cs typeface="Arial" panose="020B0604020202020204" pitchFamily="34" charset="0"/>
            </a:rPr>
            <a:t>2016-22</a:t>
          </a:r>
        </a:p>
      </dgm:t>
    </dgm:pt>
    <dgm:pt modelId="{C0FA3AA6-DDC9-42D4-A131-288C0E2E7739}" type="parTrans" cxnId="{5C38EBDD-7BDA-4EA8-9879-12C79398D5D0}">
      <dgm:prSet/>
      <dgm:spPr/>
      <dgm:t>
        <a:bodyPr/>
        <a:lstStyle/>
        <a:p>
          <a:endParaRPr lang="en-US" sz="4000">
            <a:solidFill>
              <a:sysClr val="windowText" lastClr="000000"/>
            </a:solidFill>
            <a:latin typeface="+mn-lt"/>
            <a:cs typeface="Arial" panose="020B0604020202020204" pitchFamily="34" charset="0"/>
          </a:endParaRPr>
        </a:p>
      </dgm:t>
    </dgm:pt>
    <dgm:pt modelId="{E3B2B7B1-7A7C-4FB5-9C81-7A97BAEB496D}" type="sibTrans" cxnId="{5C38EBDD-7BDA-4EA8-9879-12C79398D5D0}">
      <dgm:prSet/>
      <dgm:spPr/>
      <dgm:t>
        <a:bodyPr/>
        <a:lstStyle/>
        <a:p>
          <a:endParaRPr lang="en-US" sz="4000">
            <a:solidFill>
              <a:sysClr val="windowText" lastClr="000000"/>
            </a:solidFill>
            <a:latin typeface="+mn-lt"/>
            <a:cs typeface="Arial" panose="020B0604020202020204" pitchFamily="34" charset="0"/>
          </a:endParaRPr>
        </a:p>
      </dgm:t>
    </dgm:pt>
    <dgm:pt modelId="{BABC13DB-E292-436F-9A1C-766167A01ED2}">
      <dgm:prSet phldrT="[Text]" custT="1"/>
      <dgm:spPr>
        <a:xfrm>
          <a:off x="2424734" y="1593181"/>
          <a:ext cx="1649452" cy="1599658"/>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nSpc>
              <a:spcPct val="100000"/>
            </a:lnSpc>
            <a:spcAft>
              <a:spcPts val="0"/>
            </a:spcAft>
            <a:buNone/>
          </a:pPr>
          <a:r>
            <a:rPr lang="en-US" sz="1100" dirty="0">
              <a:solidFill>
                <a:srgbClr val="44546A">
                  <a:hueOff val="0"/>
                  <a:satOff val="0"/>
                  <a:lumOff val="0"/>
                  <a:alphaOff val="0"/>
                </a:srgbClr>
              </a:solidFill>
              <a:latin typeface="+mn-lt"/>
              <a:ea typeface="+mn-ea"/>
              <a:cs typeface="Arial" panose="020B0604020202020204" pitchFamily="34" charset="0"/>
            </a:rPr>
            <a:t>Economic Growth</a:t>
          </a:r>
        </a:p>
        <a:p>
          <a:pPr>
            <a:lnSpc>
              <a:spcPct val="100000"/>
            </a:lnSpc>
            <a:spcAft>
              <a:spcPts val="0"/>
            </a:spcAft>
            <a:buNone/>
          </a:pPr>
          <a:r>
            <a:rPr lang="en-US" sz="1100" dirty="0">
              <a:solidFill>
                <a:srgbClr val="44546A">
                  <a:hueOff val="0"/>
                  <a:satOff val="0"/>
                  <a:lumOff val="0"/>
                  <a:alphaOff val="0"/>
                </a:srgbClr>
              </a:solidFill>
              <a:latin typeface="+mn-lt"/>
              <a:ea typeface="+mn-ea"/>
              <a:cs typeface="Arial" panose="020B0604020202020204" pitchFamily="34" charset="0"/>
            </a:rPr>
            <a:t>Basic Education</a:t>
          </a:r>
        </a:p>
        <a:p>
          <a:pPr>
            <a:lnSpc>
              <a:spcPct val="100000"/>
            </a:lnSpc>
            <a:spcAft>
              <a:spcPts val="0"/>
            </a:spcAft>
            <a:buNone/>
          </a:pPr>
          <a:r>
            <a:rPr lang="en-US" sz="1100" dirty="0">
              <a:solidFill>
                <a:srgbClr val="44546A">
                  <a:hueOff val="0"/>
                  <a:satOff val="0"/>
                  <a:lumOff val="0"/>
                  <a:alphaOff val="0"/>
                </a:srgbClr>
              </a:solidFill>
              <a:latin typeface="+mn-lt"/>
              <a:ea typeface="+mn-ea"/>
              <a:cs typeface="Arial" panose="020B0604020202020204" pitchFamily="34" charset="0"/>
            </a:rPr>
            <a:t>National Stability and Human Security</a:t>
          </a:r>
        </a:p>
        <a:p>
          <a:pPr>
            <a:lnSpc>
              <a:spcPct val="100000"/>
            </a:lnSpc>
            <a:spcAft>
              <a:spcPts val="0"/>
            </a:spcAft>
            <a:buNone/>
          </a:pPr>
          <a:r>
            <a:rPr lang="en-US" sz="1100" dirty="0">
              <a:solidFill>
                <a:srgbClr val="44546A">
                  <a:hueOff val="0"/>
                  <a:satOff val="0"/>
                  <a:lumOff val="0"/>
                  <a:alphaOff val="0"/>
                </a:srgbClr>
              </a:solidFill>
              <a:latin typeface="+mn-lt"/>
              <a:ea typeface="+mn-ea"/>
              <a:cs typeface="Arial" panose="020B0604020202020204" pitchFamily="34" charset="0"/>
            </a:rPr>
            <a:t>2007-11</a:t>
          </a:r>
        </a:p>
      </dgm:t>
    </dgm:pt>
    <dgm:pt modelId="{5FE3F50A-2E19-4B95-A418-8DA6AF6B356D}" type="parTrans" cxnId="{B711A694-ACCC-493A-A810-44C670E7DB93}">
      <dgm:prSet/>
      <dgm:spPr/>
      <dgm:t>
        <a:bodyPr/>
        <a:lstStyle/>
        <a:p>
          <a:endParaRPr lang="en-US" sz="4000">
            <a:solidFill>
              <a:sysClr val="windowText" lastClr="000000"/>
            </a:solidFill>
            <a:latin typeface="+mn-lt"/>
            <a:cs typeface="Arial" panose="020B0604020202020204" pitchFamily="34" charset="0"/>
          </a:endParaRPr>
        </a:p>
      </dgm:t>
    </dgm:pt>
    <dgm:pt modelId="{2953AB8B-35D8-4598-AE03-B0B56DAE395B}" type="sibTrans" cxnId="{B711A694-ACCC-493A-A810-44C670E7DB93}">
      <dgm:prSet/>
      <dgm:spPr/>
      <dgm:t>
        <a:bodyPr/>
        <a:lstStyle/>
        <a:p>
          <a:endParaRPr lang="en-US" sz="4000">
            <a:solidFill>
              <a:sysClr val="windowText" lastClr="000000"/>
            </a:solidFill>
            <a:latin typeface="+mn-lt"/>
            <a:cs typeface="Arial" panose="020B0604020202020204" pitchFamily="34" charset="0"/>
          </a:endParaRPr>
        </a:p>
      </dgm:t>
    </dgm:pt>
    <dgm:pt modelId="{093110C8-687F-4121-ABF2-60D2DEE67AC7}">
      <dgm:prSet phldrT="[Text]" custT="1"/>
      <dgm:spPr>
        <a:xfrm>
          <a:off x="2424734" y="3438941"/>
          <a:ext cx="1649452" cy="1599658"/>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nSpc>
              <a:spcPct val="90000"/>
            </a:lnSpc>
            <a:spcAft>
              <a:spcPct val="35000"/>
            </a:spcAft>
          </a:pPr>
          <a:r>
            <a:rPr lang="en-US" sz="1000" dirty="0">
              <a:latin typeface="+mn-lt"/>
              <a:ea typeface="+mn-ea"/>
              <a:cs typeface="Arial" panose="020B0604020202020204" pitchFamily="34" charset="0"/>
            </a:rPr>
            <a:t>Strengthened Basic Services for the Poor</a:t>
          </a:r>
        </a:p>
        <a:p>
          <a:pPr>
            <a:lnSpc>
              <a:spcPct val="90000"/>
            </a:lnSpc>
            <a:spcAft>
              <a:spcPct val="35000"/>
            </a:spcAft>
          </a:pPr>
          <a:r>
            <a:rPr lang="en-US" sz="1000" dirty="0">
              <a:latin typeface="+mn-lt"/>
              <a:ea typeface="+mn-ea"/>
              <a:cs typeface="Arial" panose="020B0604020202020204" pitchFamily="34" charset="0"/>
            </a:rPr>
            <a:t>Reducing Vulnerability</a:t>
          </a:r>
        </a:p>
        <a:p>
          <a:pPr>
            <a:lnSpc>
              <a:spcPct val="90000"/>
            </a:lnSpc>
            <a:spcAft>
              <a:spcPct val="35000"/>
            </a:spcAft>
          </a:pPr>
          <a:r>
            <a:rPr lang="en-US" sz="1000" dirty="0">
              <a:latin typeface="+mn-lt"/>
              <a:ea typeface="+mn-ea"/>
              <a:cs typeface="Arial" panose="020B0604020202020204" pitchFamily="34" charset="0"/>
            </a:rPr>
            <a:t>Transparent, Accountable and Effective Governance</a:t>
          </a:r>
        </a:p>
        <a:p>
          <a:pPr>
            <a:lnSpc>
              <a:spcPct val="90000"/>
            </a:lnSpc>
            <a:spcAft>
              <a:spcPct val="35000"/>
            </a:spcAft>
          </a:pPr>
          <a:r>
            <a:rPr lang="en-US" sz="1000" dirty="0">
              <a:latin typeface="+mn-lt"/>
              <a:ea typeface="+mn-ea"/>
              <a:cs typeface="Arial" panose="020B0604020202020204" pitchFamily="34" charset="0"/>
            </a:rPr>
            <a:t>2011-2014</a:t>
          </a:r>
          <a:endParaRPr lang="en-US" sz="1000" dirty="0">
            <a:solidFill>
              <a:srgbClr val="44546A">
                <a:hueOff val="0"/>
                <a:satOff val="0"/>
                <a:lumOff val="0"/>
                <a:alphaOff val="0"/>
              </a:srgbClr>
            </a:solidFill>
            <a:latin typeface="+mn-lt"/>
            <a:ea typeface="+mn-ea"/>
            <a:cs typeface="Arial" panose="020B0604020202020204" pitchFamily="34" charset="0"/>
          </a:endParaRPr>
        </a:p>
      </dgm:t>
    </dgm:pt>
    <dgm:pt modelId="{9186796E-7AD2-478B-8BC5-2C348BFE459D}" type="parTrans" cxnId="{2E42A02E-5E6E-424F-B1CB-A79E4F2A4427}">
      <dgm:prSet/>
      <dgm:spPr/>
      <dgm:t>
        <a:bodyPr/>
        <a:lstStyle/>
        <a:p>
          <a:endParaRPr lang="en-US" sz="4000">
            <a:solidFill>
              <a:sysClr val="windowText" lastClr="000000"/>
            </a:solidFill>
            <a:latin typeface="+mn-lt"/>
            <a:cs typeface="Arial" panose="020B0604020202020204" pitchFamily="34" charset="0"/>
          </a:endParaRPr>
        </a:p>
      </dgm:t>
    </dgm:pt>
    <dgm:pt modelId="{A74A83FD-FE0E-4C14-9F07-A8B0A29AC9D4}" type="sibTrans" cxnId="{2E42A02E-5E6E-424F-B1CB-A79E4F2A4427}">
      <dgm:prSet/>
      <dgm:spPr/>
      <dgm:t>
        <a:bodyPr/>
        <a:lstStyle/>
        <a:p>
          <a:endParaRPr lang="en-US" sz="4000">
            <a:solidFill>
              <a:sysClr val="windowText" lastClr="000000"/>
            </a:solidFill>
            <a:latin typeface="+mn-lt"/>
            <a:cs typeface="Arial" panose="020B0604020202020204" pitchFamily="34" charset="0"/>
          </a:endParaRPr>
        </a:p>
      </dgm:t>
    </dgm:pt>
    <dgm:pt modelId="{E4922728-D33C-4D96-BBEA-9AB73CD132F1}">
      <dgm:prSet phldrT="[Text]" custT="1"/>
      <dgm:spPr>
        <a:xfrm>
          <a:off x="4587629" y="1592074"/>
          <a:ext cx="1756568" cy="764957"/>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nSpc>
              <a:spcPct val="100000"/>
            </a:lnSpc>
            <a:spcAft>
              <a:spcPts val="0"/>
            </a:spcAft>
            <a:buNone/>
          </a:pPr>
          <a:r>
            <a:rPr lang="en-US" sz="1000" dirty="0">
              <a:solidFill>
                <a:srgbClr val="44546A">
                  <a:hueOff val="0"/>
                  <a:satOff val="0"/>
                  <a:lumOff val="0"/>
                  <a:alphaOff val="0"/>
                </a:srgbClr>
              </a:solidFill>
              <a:latin typeface="+mn-lt"/>
              <a:ea typeface="+mn-ea"/>
              <a:cs typeface="Arial" panose="020B0604020202020204" pitchFamily="34" charset="0"/>
            </a:rPr>
            <a:t>Fiscal Stability</a:t>
          </a:r>
        </a:p>
        <a:p>
          <a:pPr>
            <a:lnSpc>
              <a:spcPct val="100000"/>
            </a:lnSpc>
            <a:spcAft>
              <a:spcPts val="0"/>
            </a:spcAft>
            <a:buNone/>
          </a:pPr>
          <a:r>
            <a:rPr lang="en-US" sz="1000" dirty="0">
              <a:solidFill>
                <a:srgbClr val="44546A">
                  <a:hueOff val="0"/>
                  <a:satOff val="0"/>
                  <a:lumOff val="0"/>
                  <a:alphaOff val="0"/>
                </a:srgbClr>
              </a:solidFill>
              <a:latin typeface="+mn-lt"/>
              <a:ea typeface="+mn-ea"/>
              <a:cs typeface="Arial" panose="020B0604020202020204" pitchFamily="34" charset="0"/>
            </a:rPr>
            <a:t>Governance</a:t>
          </a:r>
        </a:p>
        <a:p>
          <a:pPr>
            <a:lnSpc>
              <a:spcPct val="100000"/>
            </a:lnSpc>
            <a:spcAft>
              <a:spcPts val="0"/>
            </a:spcAft>
            <a:buNone/>
          </a:pPr>
          <a:r>
            <a:rPr lang="en-US" sz="1000" dirty="0">
              <a:solidFill>
                <a:srgbClr val="44546A">
                  <a:hueOff val="0"/>
                  <a:satOff val="0"/>
                  <a:lumOff val="0"/>
                  <a:alphaOff val="0"/>
                </a:srgbClr>
              </a:solidFill>
              <a:latin typeface="+mn-lt"/>
              <a:ea typeface="+mn-ea"/>
              <a:cs typeface="Arial" panose="020B0604020202020204" pitchFamily="34" charset="0"/>
            </a:rPr>
            <a:t>Growth</a:t>
          </a:r>
        </a:p>
        <a:p>
          <a:pPr>
            <a:lnSpc>
              <a:spcPct val="100000"/>
            </a:lnSpc>
            <a:spcAft>
              <a:spcPts val="0"/>
            </a:spcAft>
            <a:buNone/>
          </a:pPr>
          <a:r>
            <a:rPr lang="en-US" sz="1000" dirty="0">
              <a:solidFill>
                <a:srgbClr val="44546A">
                  <a:hueOff val="0"/>
                  <a:satOff val="0"/>
                  <a:lumOff val="0"/>
                  <a:alphaOff val="0"/>
                </a:srgbClr>
              </a:solidFill>
              <a:latin typeface="+mn-lt"/>
              <a:ea typeface="+mn-ea"/>
              <a:cs typeface="Arial" panose="020B0604020202020204" pitchFamily="34" charset="0"/>
            </a:rPr>
            <a:t>Social Inclusion</a:t>
          </a:r>
        </a:p>
        <a:p>
          <a:pPr>
            <a:lnSpc>
              <a:spcPct val="100000"/>
            </a:lnSpc>
            <a:spcAft>
              <a:spcPts val="0"/>
            </a:spcAft>
            <a:buNone/>
          </a:pPr>
          <a:r>
            <a:rPr lang="en-US" sz="1000" dirty="0">
              <a:solidFill>
                <a:srgbClr val="44546A">
                  <a:hueOff val="0"/>
                  <a:satOff val="0"/>
                  <a:lumOff val="0"/>
                  <a:alphaOff val="0"/>
                </a:srgbClr>
              </a:solidFill>
              <a:latin typeface="+mn-lt"/>
              <a:ea typeface="+mn-ea"/>
              <a:cs typeface="Arial" panose="020B0604020202020204" pitchFamily="34" charset="0"/>
            </a:rPr>
            <a:t>2006-08</a:t>
          </a:r>
        </a:p>
      </dgm:t>
    </dgm:pt>
    <dgm:pt modelId="{190DCCD9-C2DA-4254-9032-C11460875104}" type="parTrans" cxnId="{95518F0F-030F-41FF-BF9C-76AAFC53655A}">
      <dgm:prSet/>
      <dgm:spPr/>
      <dgm:t>
        <a:bodyPr/>
        <a:lstStyle/>
        <a:p>
          <a:endParaRPr lang="en-US" sz="4000">
            <a:solidFill>
              <a:sysClr val="windowText" lastClr="000000"/>
            </a:solidFill>
            <a:latin typeface="+mn-lt"/>
            <a:cs typeface="Arial" panose="020B0604020202020204" pitchFamily="34" charset="0"/>
          </a:endParaRPr>
        </a:p>
      </dgm:t>
    </dgm:pt>
    <dgm:pt modelId="{CD915B5C-9388-4130-8B19-7EA345ABDB89}" type="sibTrans" cxnId="{95518F0F-030F-41FF-BF9C-76AAFC53655A}">
      <dgm:prSet/>
      <dgm:spPr/>
      <dgm:t>
        <a:bodyPr/>
        <a:lstStyle/>
        <a:p>
          <a:endParaRPr lang="en-US" sz="4000">
            <a:solidFill>
              <a:sysClr val="windowText" lastClr="000000"/>
            </a:solidFill>
            <a:latin typeface="+mn-lt"/>
            <a:cs typeface="Arial" panose="020B0604020202020204" pitchFamily="34" charset="0"/>
          </a:endParaRPr>
        </a:p>
      </dgm:t>
    </dgm:pt>
    <dgm:pt modelId="{7EB59650-BAB6-4308-92EF-535C2A04AFA8}">
      <dgm:prSet phldrT="[Text]" custT="1"/>
      <dgm:spPr>
        <a:xfrm>
          <a:off x="4490188" y="3525630"/>
          <a:ext cx="1951451" cy="1514077"/>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nSpc>
              <a:spcPct val="100000"/>
            </a:lnSpc>
            <a:spcAft>
              <a:spcPts val="0"/>
            </a:spcAft>
            <a:buNone/>
          </a:pPr>
          <a:r>
            <a:rPr lang="en-US" sz="900" dirty="0">
              <a:solidFill>
                <a:srgbClr val="44546A">
                  <a:hueOff val="0"/>
                  <a:satOff val="0"/>
                  <a:lumOff val="0"/>
                  <a:alphaOff val="0"/>
                </a:srgbClr>
              </a:solidFill>
              <a:latin typeface="+mn-lt"/>
              <a:ea typeface="+mn-ea"/>
              <a:cs typeface="Arial" panose="020B0604020202020204" pitchFamily="34" charset="0"/>
            </a:rPr>
            <a:t>Transparent and Accountable Government</a:t>
          </a:r>
        </a:p>
        <a:p>
          <a:pPr>
            <a:lnSpc>
              <a:spcPct val="100000"/>
            </a:lnSpc>
            <a:spcAft>
              <a:spcPts val="0"/>
            </a:spcAft>
            <a:buNone/>
          </a:pPr>
          <a:r>
            <a:rPr lang="en-US" sz="900" dirty="0">
              <a:solidFill>
                <a:srgbClr val="44546A">
                  <a:hueOff val="0"/>
                  <a:satOff val="0"/>
                  <a:lumOff val="0"/>
                  <a:alphaOff val="0"/>
                </a:srgbClr>
              </a:solidFill>
              <a:latin typeface="+mn-lt"/>
              <a:ea typeface="+mn-ea"/>
              <a:cs typeface="Arial" panose="020B0604020202020204" pitchFamily="34" charset="0"/>
            </a:rPr>
            <a:t>Empowerment of the Poor and Vulnerable</a:t>
          </a:r>
        </a:p>
        <a:p>
          <a:pPr>
            <a:lnSpc>
              <a:spcPct val="100000"/>
            </a:lnSpc>
            <a:spcAft>
              <a:spcPts val="0"/>
            </a:spcAft>
            <a:buNone/>
          </a:pPr>
          <a:r>
            <a:rPr lang="en-US" sz="900" dirty="0">
              <a:solidFill>
                <a:srgbClr val="44546A">
                  <a:hueOff val="0"/>
                  <a:satOff val="0"/>
                  <a:lumOff val="0"/>
                  <a:alphaOff val="0"/>
                </a:srgbClr>
              </a:solidFill>
              <a:latin typeface="+mn-lt"/>
              <a:ea typeface="+mn-ea"/>
              <a:cs typeface="Arial" panose="020B0604020202020204" pitchFamily="34" charset="0"/>
            </a:rPr>
            <a:t>Rapid, Inclusive and Sustained Growth</a:t>
          </a:r>
        </a:p>
        <a:p>
          <a:pPr>
            <a:lnSpc>
              <a:spcPct val="100000"/>
            </a:lnSpc>
            <a:spcAft>
              <a:spcPts val="0"/>
            </a:spcAft>
            <a:buNone/>
          </a:pPr>
          <a:r>
            <a:rPr lang="en-US" sz="900" dirty="0">
              <a:solidFill>
                <a:srgbClr val="44546A">
                  <a:hueOff val="0"/>
                  <a:satOff val="0"/>
                  <a:lumOff val="0"/>
                  <a:alphaOff val="0"/>
                </a:srgbClr>
              </a:solidFill>
              <a:latin typeface="+mn-lt"/>
              <a:ea typeface="+mn-ea"/>
              <a:cs typeface="Arial" panose="020B0604020202020204" pitchFamily="34" charset="0"/>
            </a:rPr>
            <a:t>Climate Change, Disaster Risk Management,  and Environment</a:t>
          </a:r>
        </a:p>
        <a:p>
          <a:pPr>
            <a:lnSpc>
              <a:spcPct val="100000"/>
            </a:lnSpc>
            <a:spcAft>
              <a:spcPts val="0"/>
            </a:spcAft>
            <a:buNone/>
          </a:pPr>
          <a:r>
            <a:rPr lang="en-US" sz="900" dirty="0">
              <a:solidFill>
                <a:srgbClr val="44546A">
                  <a:hueOff val="0"/>
                  <a:satOff val="0"/>
                  <a:lumOff val="0"/>
                  <a:alphaOff val="0"/>
                </a:srgbClr>
              </a:solidFill>
              <a:latin typeface="+mn-lt"/>
              <a:ea typeface="+mn-ea"/>
              <a:cs typeface="Arial" panose="020B0604020202020204" pitchFamily="34" charset="0"/>
            </a:rPr>
            <a:t>Peace and Institution Building</a:t>
          </a:r>
        </a:p>
        <a:p>
          <a:pPr>
            <a:lnSpc>
              <a:spcPct val="100000"/>
            </a:lnSpc>
            <a:spcAft>
              <a:spcPts val="0"/>
            </a:spcAft>
            <a:buNone/>
          </a:pPr>
          <a:r>
            <a:rPr lang="en-US" sz="900" dirty="0">
              <a:solidFill>
                <a:srgbClr val="44546A">
                  <a:hueOff val="0"/>
                  <a:satOff val="0"/>
                  <a:lumOff val="0"/>
                  <a:alphaOff val="0"/>
                </a:srgbClr>
              </a:solidFill>
              <a:latin typeface="+mn-lt"/>
              <a:ea typeface="+mn-ea"/>
              <a:cs typeface="Arial" panose="020B0604020202020204" pitchFamily="34" charset="0"/>
            </a:rPr>
            <a:t>2015-18</a:t>
          </a:r>
        </a:p>
      </dgm:t>
    </dgm:pt>
    <dgm:pt modelId="{1B4A2D5F-BAEC-4D55-9DF0-7AF283AB05C9}" type="parTrans" cxnId="{CD231646-71FF-45AA-8A03-D8B543B45E82}">
      <dgm:prSet/>
      <dgm:spPr/>
      <dgm:t>
        <a:bodyPr/>
        <a:lstStyle/>
        <a:p>
          <a:endParaRPr lang="en-US" sz="4000">
            <a:solidFill>
              <a:sysClr val="windowText" lastClr="000000"/>
            </a:solidFill>
            <a:latin typeface="+mn-lt"/>
            <a:cs typeface="Arial" panose="020B0604020202020204" pitchFamily="34" charset="0"/>
          </a:endParaRPr>
        </a:p>
      </dgm:t>
    </dgm:pt>
    <dgm:pt modelId="{0D9344AC-8B80-41EE-9E94-2AD1E8A48959}" type="sibTrans" cxnId="{CD231646-71FF-45AA-8A03-D8B543B45E82}">
      <dgm:prSet/>
      <dgm:spPr/>
      <dgm:t>
        <a:bodyPr/>
        <a:lstStyle/>
        <a:p>
          <a:endParaRPr lang="en-US" sz="4000">
            <a:solidFill>
              <a:sysClr val="windowText" lastClr="000000"/>
            </a:solidFill>
            <a:latin typeface="+mn-lt"/>
            <a:cs typeface="Arial" panose="020B0604020202020204" pitchFamily="34" charset="0"/>
          </a:endParaRPr>
        </a:p>
      </dgm:t>
    </dgm:pt>
    <dgm:pt modelId="{536B5D49-7CC6-414F-8767-7A7E6C54F863}">
      <dgm:prSet phldrT="[Text]" custT="1"/>
      <dgm:spPr>
        <a:xfrm>
          <a:off x="6857639" y="1592080"/>
          <a:ext cx="1649452" cy="1042303"/>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ctr">
            <a:buNone/>
          </a:pPr>
          <a:r>
            <a:rPr lang="en-US" sz="800" dirty="0">
              <a:solidFill>
                <a:srgbClr val="44546A">
                  <a:hueOff val="0"/>
                  <a:satOff val="0"/>
                  <a:lumOff val="0"/>
                  <a:alphaOff val="0"/>
                </a:srgbClr>
              </a:solidFill>
              <a:latin typeface="+mn-lt"/>
              <a:ea typeface="+mn-ea"/>
              <a:cs typeface="Arial" panose="020B0604020202020204" pitchFamily="34" charset="0"/>
            </a:rPr>
            <a:t>Competitive Proposals</a:t>
          </a:r>
        </a:p>
        <a:p>
          <a:pPr algn="ctr">
            <a:buNone/>
          </a:pPr>
          <a:r>
            <a:rPr lang="en-US" sz="800" dirty="0">
              <a:solidFill>
                <a:srgbClr val="44546A">
                  <a:hueOff val="0"/>
                  <a:satOff val="0"/>
                  <a:lumOff val="0"/>
                  <a:alphaOff val="0"/>
                </a:srgbClr>
              </a:solidFill>
              <a:latin typeface="+mn-lt"/>
              <a:ea typeface="+mn-ea"/>
              <a:cs typeface="Arial" panose="020B0604020202020204" pitchFamily="34" charset="0"/>
            </a:rPr>
            <a:t>Project-Specific Grants</a:t>
          </a:r>
        </a:p>
        <a:p>
          <a:pPr algn="ctr">
            <a:buNone/>
          </a:pPr>
          <a:r>
            <a:rPr lang="en-US" sz="800" dirty="0">
              <a:solidFill>
                <a:srgbClr val="44546A">
                  <a:hueOff val="0"/>
                  <a:satOff val="0"/>
                  <a:lumOff val="0"/>
                  <a:alphaOff val="0"/>
                </a:srgbClr>
              </a:solidFill>
              <a:latin typeface="+mn-lt"/>
              <a:ea typeface="+mn-ea"/>
              <a:cs typeface="Arial" panose="020B0604020202020204" pitchFamily="34" charset="0"/>
            </a:rPr>
            <a:t>Recipient-Executed Grants</a:t>
          </a:r>
        </a:p>
      </dgm:t>
    </dgm:pt>
    <dgm:pt modelId="{990AF8BB-113B-4C36-AC70-866A7AE69B7E}" type="parTrans" cxnId="{B2C5FAB0-B9D0-4ACC-B84B-56761EFD0BA6}">
      <dgm:prSet/>
      <dgm:spPr/>
      <dgm:t>
        <a:bodyPr/>
        <a:lstStyle/>
        <a:p>
          <a:endParaRPr lang="en-US" sz="4000">
            <a:solidFill>
              <a:sysClr val="windowText" lastClr="000000"/>
            </a:solidFill>
            <a:latin typeface="+mn-lt"/>
            <a:cs typeface="Arial" panose="020B0604020202020204" pitchFamily="34" charset="0"/>
          </a:endParaRPr>
        </a:p>
      </dgm:t>
    </dgm:pt>
    <dgm:pt modelId="{2181B15C-152E-4896-818D-29E4E4D0D952}" type="sibTrans" cxnId="{B2C5FAB0-B9D0-4ACC-B84B-56761EFD0BA6}">
      <dgm:prSet/>
      <dgm:spPr/>
      <dgm:t>
        <a:bodyPr/>
        <a:lstStyle/>
        <a:p>
          <a:endParaRPr lang="en-US" sz="4000">
            <a:solidFill>
              <a:sysClr val="windowText" lastClr="000000"/>
            </a:solidFill>
            <a:latin typeface="+mn-lt"/>
            <a:cs typeface="Arial" panose="020B0604020202020204" pitchFamily="34" charset="0"/>
          </a:endParaRPr>
        </a:p>
      </dgm:t>
    </dgm:pt>
    <dgm:pt modelId="{9C344EB3-1C44-434A-99D8-C96A1E73FCCC}">
      <dgm:prSet phldrT="[Text]" custT="1"/>
      <dgm:spPr>
        <a:xfrm>
          <a:off x="6857639" y="2794738"/>
          <a:ext cx="1649452" cy="1042303"/>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n-US" sz="800" dirty="0">
              <a:solidFill>
                <a:srgbClr val="44546A">
                  <a:hueOff val="0"/>
                  <a:satOff val="0"/>
                  <a:lumOff val="0"/>
                  <a:alphaOff val="0"/>
                </a:srgbClr>
              </a:solidFill>
              <a:latin typeface="+mn-lt"/>
              <a:ea typeface="+mn-ea"/>
              <a:cs typeface="Arial" panose="020B0604020202020204" pitchFamily="34" charset="0"/>
            </a:rPr>
            <a:t>Programmatic Engagements</a:t>
          </a:r>
        </a:p>
      </dgm:t>
    </dgm:pt>
    <dgm:pt modelId="{3782AD9E-0E62-4989-9495-54E64BD4F839}" type="parTrans" cxnId="{26ED4764-611A-45D4-A2B6-D99B4F92F518}">
      <dgm:prSet/>
      <dgm:spPr/>
      <dgm:t>
        <a:bodyPr/>
        <a:lstStyle/>
        <a:p>
          <a:endParaRPr lang="en-US" sz="4000">
            <a:solidFill>
              <a:sysClr val="windowText" lastClr="000000"/>
            </a:solidFill>
            <a:latin typeface="+mn-lt"/>
            <a:cs typeface="Arial" panose="020B0604020202020204" pitchFamily="34" charset="0"/>
          </a:endParaRPr>
        </a:p>
      </dgm:t>
    </dgm:pt>
    <dgm:pt modelId="{916AED26-DC18-4463-8072-5A2E1C9C90F3}" type="sibTrans" cxnId="{26ED4764-611A-45D4-A2B6-D99B4F92F518}">
      <dgm:prSet/>
      <dgm:spPr/>
      <dgm:t>
        <a:bodyPr/>
        <a:lstStyle/>
        <a:p>
          <a:endParaRPr lang="en-US" sz="4000">
            <a:solidFill>
              <a:sysClr val="windowText" lastClr="000000"/>
            </a:solidFill>
            <a:latin typeface="+mn-lt"/>
            <a:cs typeface="Arial" panose="020B0604020202020204" pitchFamily="34" charset="0"/>
          </a:endParaRPr>
        </a:p>
      </dgm:t>
    </dgm:pt>
    <dgm:pt modelId="{D1535928-8548-435E-83D9-CA3EFB0FA427}">
      <dgm:prSet phldrT="[Text]" custT="1"/>
      <dgm:spPr>
        <a:xfrm>
          <a:off x="6857639" y="3997396"/>
          <a:ext cx="1649452" cy="1042303"/>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ctr">
            <a:buNone/>
          </a:pPr>
          <a:r>
            <a:rPr lang="en-US" sz="800" dirty="0">
              <a:solidFill>
                <a:srgbClr val="44546A">
                  <a:hueOff val="0"/>
                  <a:satOff val="0"/>
                  <a:lumOff val="0"/>
                  <a:alphaOff val="0"/>
                </a:srgbClr>
              </a:solidFill>
              <a:latin typeface="+mn-lt"/>
              <a:ea typeface="+mn-ea"/>
              <a:cs typeface="Arial" panose="020B0604020202020204" pitchFamily="34" charset="0"/>
            </a:rPr>
            <a:t>Game Changers </a:t>
          </a:r>
          <a:br>
            <a:rPr lang="en-US" sz="800" dirty="0">
              <a:solidFill>
                <a:srgbClr val="44546A">
                  <a:hueOff val="0"/>
                  <a:satOff val="0"/>
                  <a:lumOff val="0"/>
                  <a:alphaOff val="0"/>
                </a:srgbClr>
              </a:solidFill>
              <a:latin typeface="+mn-lt"/>
              <a:ea typeface="+mn-ea"/>
              <a:cs typeface="Arial" panose="020B0604020202020204" pitchFamily="34" charset="0"/>
            </a:rPr>
          </a:br>
          <a:r>
            <a:rPr lang="en-US" sz="800" dirty="0">
              <a:solidFill>
                <a:srgbClr val="44546A">
                  <a:hueOff val="0"/>
                  <a:satOff val="0"/>
                  <a:lumOff val="0"/>
                  <a:alphaOff val="0"/>
                </a:srgbClr>
              </a:solidFill>
              <a:latin typeface="+mn-lt"/>
              <a:ea typeface="+mn-ea"/>
              <a:cs typeface="Arial" panose="020B0604020202020204" pitchFamily="34" charset="0"/>
            </a:rPr>
            <a:t>Selected Project-Specific Grants </a:t>
          </a:r>
        </a:p>
      </dgm:t>
    </dgm:pt>
    <dgm:pt modelId="{9CA86320-F439-4712-8E04-E11A716AACAA}" type="parTrans" cxnId="{B95DCB4E-8FED-43C0-804C-6433546B5899}">
      <dgm:prSet/>
      <dgm:spPr/>
      <dgm:t>
        <a:bodyPr/>
        <a:lstStyle/>
        <a:p>
          <a:endParaRPr lang="en-US" sz="4000">
            <a:solidFill>
              <a:sysClr val="windowText" lastClr="000000"/>
            </a:solidFill>
            <a:latin typeface="+mn-lt"/>
            <a:cs typeface="Arial" panose="020B0604020202020204" pitchFamily="34" charset="0"/>
          </a:endParaRPr>
        </a:p>
      </dgm:t>
    </dgm:pt>
    <dgm:pt modelId="{617F8CB9-7EAE-454C-B454-D0EF7DFD3842}" type="sibTrans" cxnId="{B95DCB4E-8FED-43C0-804C-6433546B5899}">
      <dgm:prSet/>
      <dgm:spPr/>
      <dgm:t>
        <a:bodyPr/>
        <a:lstStyle/>
        <a:p>
          <a:endParaRPr lang="en-US" sz="4000">
            <a:solidFill>
              <a:sysClr val="windowText" lastClr="000000"/>
            </a:solidFill>
            <a:latin typeface="+mn-lt"/>
            <a:cs typeface="Arial" panose="020B0604020202020204" pitchFamily="34" charset="0"/>
          </a:endParaRPr>
        </a:p>
      </dgm:t>
    </dgm:pt>
    <dgm:pt modelId="{26097881-FCA0-416C-99E5-F095C9245924}">
      <dgm:prSet phldrT="[Text]" custT="1"/>
      <dgm:spPr>
        <a:xfrm>
          <a:off x="4597287" y="2398739"/>
          <a:ext cx="1737253" cy="1085183"/>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nSpc>
              <a:spcPct val="100000"/>
            </a:lnSpc>
            <a:spcAft>
              <a:spcPts val="0"/>
            </a:spcAft>
            <a:buNone/>
          </a:pPr>
          <a:r>
            <a:rPr lang="en-US" sz="1000" dirty="0">
              <a:solidFill>
                <a:srgbClr val="44546A">
                  <a:hueOff val="0"/>
                  <a:satOff val="0"/>
                  <a:lumOff val="0"/>
                  <a:alphaOff val="0"/>
                </a:srgbClr>
              </a:solidFill>
              <a:latin typeface="+mn-lt"/>
              <a:ea typeface="+mn-ea"/>
              <a:cs typeface="Arial" panose="020B0604020202020204" pitchFamily="34" charset="0"/>
            </a:rPr>
            <a:t>Stable Macro economy</a:t>
          </a:r>
        </a:p>
        <a:p>
          <a:pPr>
            <a:lnSpc>
              <a:spcPts val="800"/>
            </a:lnSpc>
            <a:spcAft>
              <a:spcPts val="0"/>
            </a:spcAft>
            <a:buNone/>
          </a:pPr>
          <a:r>
            <a:rPr lang="en-US" sz="1000" dirty="0">
              <a:solidFill>
                <a:srgbClr val="44546A">
                  <a:hueOff val="0"/>
                  <a:satOff val="0"/>
                  <a:lumOff val="0"/>
                  <a:alphaOff val="0"/>
                </a:srgbClr>
              </a:solidFill>
              <a:latin typeface="+mn-lt"/>
              <a:ea typeface="+mn-ea"/>
              <a:cs typeface="Arial" panose="020B0604020202020204" pitchFamily="34" charset="0"/>
            </a:rPr>
            <a:t>Improved Investment Climate</a:t>
          </a:r>
        </a:p>
        <a:p>
          <a:pPr>
            <a:lnSpc>
              <a:spcPts val="800"/>
            </a:lnSpc>
            <a:spcAft>
              <a:spcPct val="35000"/>
            </a:spcAft>
            <a:buNone/>
          </a:pPr>
          <a:r>
            <a:rPr lang="en-US" sz="1000" dirty="0">
              <a:solidFill>
                <a:srgbClr val="44546A">
                  <a:hueOff val="0"/>
                  <a:satOff val="0"/>
                  <a:lumOff val="0"/>
                  <a:alphaOff val="0"/>
                </a:srgbClr>
              </a:solidFill>
              <a:latin typeface="+mn-lt"/>
              <a:ea typeface="+mn-ea"/>
              <a:cs typeface="Arial" panose="020B0604020202020204" pitchFamily="34" charset="0"/>
            </a:rPr>
            <a:t>Better Service Delivery</a:t>
          </a:r>
          <a:br>
            <a:rPr lang="en-US" sz="1000" dirty="0">
              <a:solidFill>
                <a:srgbClr val="44546A">
                  <a:hueOff val="0"/>
                  <a:satOff val="0"/>
                  <a:lumOff val="0"/>
                  <a:alphaOff val="0"/>
                </a:srgbClr>
              </a:solidFill>
              <a:latin typeface="+mn-lt"/>
              <a:ea typeface="+mn-ea"/>
              <a:cs typeface="Arial" panose="020B0604020202020204" pitchFamily="34" charset="0"/>
            </a:rPr>
          </a:br>
          <a:r>
            <a:rPr lang="en-US" sz="1000" dirty="0">
              <a:solidFill>
                <a:srgbClr val="44546A">
                  <a:hueOff val="0"/>
                  <a:satOff val="0"/>
                  <a:lumOff val="0"/>
                  <a:alphaOff val="0"/>
                </a:srgbClr>
              </a:solidFill>
              <a:latin typeface="+mn-lt"/>
              <a:ea typeface="+mn-ea"/>
              <a:cs typeface="Arial" panose="020B0604020202020204" pitchFamily="34" charset="0"/>
            </a:rPr>
            <a:t>Reduced Vulnerabilities </a:t>
          </a:r>
          <a:br>
            <a:rPr lang="en-US" sz="1000" dirty="0">
              <a:solidFill>
                <a:srgbClr val="44546A">
                  <a:hueOff val="0"/>
                  <a:satOff val="0"/>
                  <a:lumOff val="0"/>
                  <a:alphaOff val="0"/>
                </a:srgbClr>
              </a:solidFill>
              <a:latin typeface="+mn-lt"/>
              <a:ea typeface="+mn-ea"/>
              <a:cs typeface="Arial" panose="020B0604020202020204" pitchFamily="34" charset="0"/>
            </a:rPr>
          </a:br>
          <a:r>
            <a:rPr lang="en-US" sz="1000" dirty="0">
              <a:solidFill>
                <a:srgbClr val="44546A">
                  <a:hueOff val="0"/>
                  <a:satOff val="0"/>
                  <a:lumOff val="0"/>
                  <a:alphaOff val="0"/>
                </a:srgbClr>
              </a:solidFill>
              <a:latin typeface="+mn-lt"/>
              <a:ea typeface="+mn-ea"/>
              <a:cs typeface="Arial" panose="020B0604020202020204" pitchFamily="34" charset="0"/>
            </a:rPr>
            <a:t>Good Governance</a:t>
          </a:r>
        </a:p>
        <a:p>
          <a:pPr>
            <a:lnSpc>
              <a:spcPts val="800"/>
            </a:lnSpc>
            <a:spcAft>
              <a:spcPct val="35000"/>
            </a:spcAft>
            <a:buNone/>
          </a:pPr>
          <a:r>
            <a:rPr lang="en-US" sz="1000" dirty="0">
              <a:solidFill>
                <a:srgbClr val="44546A">
                  <a:hueOff val="0"/>
                  <a:satOff val="0"/>
                  <a:lumOff val="0"/>
                  <a:alphaOff val="0"/>
                </a:srgbClr>
              </a:solidFill>
              <a:latin typeface="+mn-lt"/>
              <a:ea typeface="+mn-ea"/>
              <a:cs typeface="Arial" panose="020B0604020202020204" pitchFamily="34" charset="0"/>
            </a:rPr>
            <a:t>2010-13</a:t>
          </a:r>
        </a:p>
      </dgm:t>
    </dgm:pt>
    <dgm:pt modelId="{FE2AB5FB-E6B1-416C-BEBF-C3958950D1B7}" type="parTrans" cxnId="{AACD7B17-8CE0-4B20-B4B0-FD46D5D5B629}">
      <dgm:prSet/>
      <dgm:spPr/>
      <dgm:t>
        <a:bodyPr/>
        <a:lstStyle/>
        <a:p>
          <a:endParaRPr lang="en-US" sz="4000">
            <a:solidFill>
              <a:sysClr val="windowText" lastClr="000000"/>
            </a:solidFill>
            <a:latin typeface="+mn-lt"/>
            <a:cs typeface="Arial" panose="020B0604020202020204" pitchFamily="34" charset="0"/>
          </a:endParaRPr>
        </a:p>
      </dgm:t>
    </dgm:pt>
    <dgm:pt modelId="{23C566CA-5720-4A15-93F8-9D71904AB7AD}" type="sibTrans" cxnId="{AACD7B17-8CE0-4B20-B4B0-FD46D5D5B629}">
      <dgm:prSet/>
      <dgm:spPr/>
      <dgm:t>
        <a:bodyPr/>
        <a:lstStyle/>
        <a:p>
          <a:endParaRPr lang="en-US" sz="4000">
            <a:solidFill>
              <a:sysClr val="windowText" lastClr="000000"/>
            </a:solidFill>
            <a:latin typeface="+mn-lt"/>
            <a:cs typeface="Arial" panose="020B0604020202020204" pitchFamily="34" charset="0"/>
          </a:endParaRPr>
        </a:p>
      </dgm:t>
    </dgm:pt>
    <dgm:pt modelId="{9387D440-43A2-41B2-B563-3D94346AF987}">
      <dgm:prSet phldrT="[Text]" custT="1"/>
      <dgm:spPr>
        <a:xfrm>
          <a:off x="2424734" y="3438941"/>
          <a:ext cx="1649452" cy="1599658"/>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nSpc>
              <a:spcPct val="100000"/>
            </a:lnSpc>
            <a:spcAft>
              <a:spcPts val="0"/>
            </a:spcAft>
            <a:buNone/>
          </a:pPr>
          <a:r>
            <a:rPr lang="en-US" sz="1000" dirty="0">
              <a:solidFill>
                <a:srgbClr val="44546A">
                  <a:hueOff val="0"/>
                  <a:satOff val="0"/>
                  <a:lumOff val="0"/>
                  <a:alphaOff val="0"/>
                </a:srgbClr>
              </a:solidFill>
              <a:latin typeface="+mn-lt"/>
              <a:ea typeface="+mn-ea"/>
              <a:cs typeface="Arial" panose="020B0604020202020204" pitchFamily="34" charset="0"/>
            </a:rPr>
            <a:t>Enhancing Foundations for Economic Growth</a:t>
          </a:r>
        </a:p>
        <a:p>
          <a:pPr>
            <a:lnSpc>
              <a:spcPct val="100000"/>
            </a:lnSpc>
            <a:spcAft>
              <a:spcPts val="0"/>
            </a:spcAft>
            <a:buNone/>
          </a:pPr>
          <a:r>
            <a:rPr lang="en-US" sz="1000" dirty="0">
              <a:solidFill>
                <a:srgbClr val="44546A">
                  <a:hueOff val="0"/>
                  <a:satOff val="0"/>
                  <a:lumOff val="0"/>
                  <a:alphaOff val="0"/>
                </a:srgbClr>
              </a:solidFill>
              <a:latin typeface="+mn-lt"/>
              <a:ea typeface="+mn-ea"/>
              <a:cs typeface="Arial" panose="020B0604020202020204" pitchFamily="34" charset="0"/>
            </a:rPr>
            <a:t>Transparent and Accountable Governance</a:t>
          </a:r>
        </a:p>
        <a:p>
          <a:pPr>
            <a:lnSpc>
              <a:spcPct val="100000"/>
            </a:lnSpc>
            <a:spcAft>
              <a:spcPts val="0"/>
            </a:spcAft>
            <a:buNone/>
          </a:pPr>
          <a:r>
            <a:rPr lang="en-US" sz="1000" dirty="0">
              <a:solidFill>
                <a:srgbClr val="44546A">
                  <a:hueOff val="0"/>
                  <a:satOff val="0"/>
                  <a:lumOff val="0"/>
                  <a:alphaOff val="0"/>
                </a:srgbClr>
              </a:solidFill>
              <a:latin typeface="+mn-lt"/>
              <a:ea typeface="+mn-ea"/>
              <a:cs typeface="Arial" panose="020B0604020202020204" pitchFamily="34" charset="0"/>
            </a:rPr>
            <a:t>Improving Conditions for Peace and Stability</a:t>
          </a:r>
        </a:p>
        <a:p>
          <a:pPr>
            <a:lnSpc>
              <a:spcPct val="100000"/>
            </a:lnSpc>
            <a:spcAft>
              <a:spcPts val="0"/>
            </a:spcAft>
            <a:buNone/>
          </a:pPr>
          <a:r>
            <a:rPr lang="en-US" sz="1000" dirty="0">
              <a:solidFill>
                <a:srgbClr val="44546A">
                  <a:hueOff val="0"/>
                  <a:satOff val="0"/>
                  <a:lumOff val="0"/>
                  <a:alphaOff val="0"/>
                </a:srgbClr>
              </a:solidFill>
              <a:latin typeface="+mn-lt"/>
              <a:ea typeface="+mn-ea"/>
              <a:cs typeface="Arial" panose="020B0604020202020204" pitchFamily="34" charset="0"/>
            </a:rPr>
            <a:t>2015-18</a:t>
          </a:r>
        </a:p>
      </dgm:t>
    </dgm:pt>
    <dgm:pt modelId="{FF8B1261-4B56-4DE2-887A-22647C05E030}" type="parTrans" cxnId="{F9B1734B-16B7-4CE0-8F5A-C72AF0A4F143}">
      <dgm:prSet/>
      <dgm:spPr/>
      <dgm:t>
        <a:bodyPr/>
        <a:lstStyle/>
        <a:p>
          <a:endParaRPr lang="en-US">
            <a:latin typeface="+mn-lt"/>
            <a:cs typeface="Arial" panose="020B0604020202020204" pitchFamily="34" charset="0"/>
          </a:endParaRPr>
        </a:p>
      </dgm:t>
    </dgm:pt>
    <dgm:pt modelId="{7CFF10F6-C5D2-49B4-8853-F9D87EFC2455}" type="sibTrans" cxnId="{F9B1734B-16B7-4CE0-8F5A-C72AF0A4F143}">
      <dgm:prSet/>
      <dgm:spPr/>
      <dgm:t>
        <a:bodyPr/>
        <a:lstStyle/>
        <a:p>
          <a:endParaRPr lang="en-US">
            <a:latin typeface="+mn-lt"/>
            <a:cs typeface="Arial" panose="020B0604020202020204" pitchFamily="34" charset="0"/>
          </a:endParaRPr>
        </a:p>
      </dgm:t>
    </dgm:pt>
    <dgm:pt modelId="{E75485F3-7655-4B38-BFF8-BA382832A2D8}" type="pres">
      <dgm:prSet presAssocID="{796D8637-F748-436D-9FB2-DA72C365E4A4}" presName="theList" presStyleCnt="0">
        <dgm:presLayoutVars>
          <dgm:dir/>
          <dgm:animLvl val="lvl"/>
          <dgm:resizeHandles val="exact"/>
        </dgm:presLayoutVars>
      </dgm:prSet>
      <dgm:spPr/>
      <dgm:t>
        <a:bodyPr/>
        <a:lstStyle/>
        <a:p>
          <a:endParaRPr lang="en-US"/>
        </a:p>
      </dgm:t>
    </dgm:pt>
    <dgm:pt modelId="{92E4B242-DEC3-4CFE-BDD5-61CB9DECE1C6}" type="pres">
      <dgm:prSet presAssocID="{E09D3452-16D3-4BDA-A9C6-53CD19355CC0}" presName="compNode" presStyleCnt="0"/>
      <dgm:spPr/>
    </dgm:pt>
    <dgm:pt modelId="{4D3EF3B9-610C-4960-8D7E-72B38DA3A8F5}" type="pres">
      <dgm:prSet presAssocID="{E09D3452-16D3-4BDA-A9C6-53CD19355CC0}" presName="aNode" presStyleLbl="bgShp" presStyleIdx="0" presStyleCnt="4" custLinFactNeighborX="-102" custLinFactNeighborY="-624"/>
      <dgm:spPr>
        <a:prstGeom prst="roundRect">
          <a:avLst>
            <a:gd name="adj" fmla="val 10000"/>
          </a:avLst>
        </a:prstGeom>
      </dgm:spPr>
      <dgm:t>
        <a:bodyPr/>
        <a:lstStyle/>
        <a:p>
          <a:endParaRPr lang="en-US"/>
        </a:p>
      </dgm:t>
    </dgm:pt>
    <dgm:pt modelId="{0BD2217C-3E00-461F-813F-8F7CA3E7DEE1}" type="pres">
      <dgm:prSet presAssocID="{E09D3452-16D3-4BDA-A9C6-53CD19355CC0}" presName="textNode" presStyleLbl="bgShp" presStyleIdx="0" presStyleCnt="4"/>
      <dgm:spPr/>
      <dgm:t>
        <a:bodyPr/>
        <a:lstStyle/>
        <a:p>
          <a:endParaRPr lang="en-US"/>
        </a:p>
      </dgm:t>
    </dgm:pt>
    <dgm:pt modelId="{AD79184F-4EB3-41E0-B8CC-DE6A23230E3D}" type="pres">
      <dgm:prSet presAssocID="{E09D3452-16D3-4BDA-A9C6-53CD19355CC0}" presName="compChildNode" presStyleCnt="0"/>
      <dgm:spPr/>
    </dgm:pt>
    <dgm:pt modelId="{D4FA9381-6D9C-41C5-ADEC-A3597B149B0A}" type="pres">
      <dgm:prSet presAssocID="{E09D3452-16D3-4BDA-A9C6-53CD19355CC0}" presName="theInnerList" presStyleCnt="0"/>
      <dgm:spPr/>
    </dgm:pt>
    <dgm:pt modelId="{8E5AF209-F2A5-4D19-AEEC-AA9AE4C4016D}" type="pres">
      <dgm:prSet presAssocID="{FFBD181D-31DB-4CD1-9A74-A75518C07AA1}" presName="childNode" presStyleLbl="node1" presStyleIdx="0" presStyleCnt="12">
        <dgm:presLayoutVars>
          <dgm:bulletEnabled val="1"/>
        </dgm:presLayoutVars>
      </dgm:prSet>
      <dgm:spPr>
        <a:prstGeom prst="roundRect">
          <a:avLst>
            <a:gd name="adj" fmla="val 10000"/>
          </a:avLst>
        </a:prstGeom>
      </dgm:spPr>
      <dgm:t>
        <a:bodyPr/>
        <a:lstStyle/>
        <a:p>
          <a:endParaRPr lang="en-US"/>
        </a:p>
      </dgm:t>
    </dgm:pt>
    <dgm:pt modelId="{AF345E7B-A4A5-4201-BEC4-8FC43B2954B2}" type="pres">
      <dgm:prSet presAssocID="{FFBD181D-31DB-4CD1-9A74-A75518C07AA1}" presName="aSpace2" presStyleCnt="0"/>
      <dgm:spPr/>
    </dgm:pt>
    <dgm:pt modelId="{613A12C8-86D8-4CB9-9D80-E4B62ACA1486}" type="pres">
      <dgm:prSet presAssocID="{4427C6E1-B845-428B-8870-F1F2B721030C}" presName="childNode" presStyleLbl="node1" presStyleIdx="1" presStyleCnt="12">
        <dgm:presLayoutVars>
          <dgm:bulletEnabled val="1"/>
        </dgm:presLayoutVars>
      </dgm:prSet>
      <dgm:spPr>
        <a:prstGeom prst="roundRect">
          <a:avLst>
            <a:gd name="adj" fmla="val 10000"/>
          </a:avLst>
        </a:prstGeom>
      </dgm:spPr>
      <dgm:t>
        <a:bodyPr/>
        <a:lstStyle/>
        <a:p>
          <a:endParaRPr lang="en-US"/>
        </a:p>
      </dgm:t>
    </dgm:pt>
    <dgm:pt modelId="{58421249-A3E8-4880-B4B6-FE303F41CA83}" type="pres">
      <dgm:prSet presAssocID="{4427C6E1-B845-428B-8870-F1F2B721030C}" presName="aSpace2" presStyleCnt="0"/>
      <dgm:spPr/>
    </dgm:pt>
    <dgm:pt modelId="{AE30DE28-9D37-46B4-9058-9909C5105031}" type="pres">
      <dgm:prSet presAssocID="{022CFF97-D7CE-47E7-AE6A-C4F541E68EE1}" presName="childNode" presStyleLbl="node1" presStyleIdx="2" presStyleCnt="12">
        <dgm:presLayoutVars>
          <dgm:bulletEnabled val="1"/>
        </dgm:presLayoutVars>
      </dgm:prSet>
      <dgm:spPr>
        <a:prstGeom prst="roundRect">
          <a:avLst>
            <a:gd name="adj" fmla="val 10000"/>
          </a:avLst>
        </a:prstGeom>
      </dgm:spPr>
      <dgm:t>
        <a:bodyPr/>
        <a:lstStyle/>
        <a:p>
          <a:endParaRPr lang="en-US"/>
        </a:p>
      </dgm:t>
    </dgm:pt>
    <dgm:pt modelId="{17636076-A1B1-420C-987C-CBD5AE880315}" type="pres">
      <dgm:prSet presAssocID="{E09D3452-16D3-4BDA-A9C6-53CD19355CC0}" presName="aSpace" presStyleCnt="0"/>
      <dgm:spPr/>
    </dgm:pt>
    <dgm:pt modelId="{DD77C680-CAF9-4982-85EC-1EB3637F23CD}" type="pres">
      <dgm:prSet presAssocID="{6001B032-9A8C-4CC8-BF9B-5ADB706EF2A0}" presName="compNode" presStyleCnt="0"/>
      <dgm:spPr/>
    </dgm:pt>
    <dgm:pt modelId="{C7606475-8986-4181-A456-4C22F847AC28}" type="pres">
      <dgm:prSet presAssocID="{6001B032-9A8C-4CC8-BF9B-5ADB706EF2A0}" presName="aNode" presStyleLbl="bgShp" presStyleIdx="1" presStyleCnt="4"/>
      <dgm:spPr>
        <a:prstGeom prst="roundRect">
          <a:avLst>
            <a:gd name="adj" fmla="val 10000"/>
          </a:avLst>
        </a:prstGeom>
      </dgm:spPr>
      <dgm:t>
        <a:bodyPr/>
        <a:lstStyle/>
        <a:p>
          <a:endParaRPr lang="en-US"/>
        </a:p>
      </dgm:t>
    </dgm:pt>
    <dgm:pt modelId="{5E1E4472-F188-4372-8630-61B78E5E6501}" type="pres">
      <dgm:prSet presAssocID="{6001B032-9A8C-4CC8-BF9B-5ADB706EF2A0}" presName="textNode" presStyleLbl="bgShp" presStyleIdx="1" presStyleCnt="4"/>
      <dgm:spPr/>
      <dgm:t>
        <a:bodyPr/>
        <a:lstStyle/>
        <a:p>
          <a:endParaRPr lang="en-US"/>
        </a:p>
      </dgm:t>
    </dgm:pt>
    <dgm:pt modelId="{358846E5-6D17-4612-8BB1-B5B4AB4761FF}" type="pres">
      <dgm:prSet presAssocID="{6001B032-9A8C-4CC8-BF9B-5ADB706EF2A0}" presName="compChildNode" presStyleCnt="0"/>
      <dgm:spPr/>
    </dgm:pt>
    <dgm:pt modelId="{206C5378-918A-459C-8EF3-1DAB4FC26BAA}" type="pres">
      <dgm:prSet presAssocID="{6001B032-9A8C-4CC8-BF9B-5ADB706EF2A0}" presName="theInnerList" presStyleCnt="0"/>
      <dgm:spPr/>
    </dgm:pt>
    <dgm:pt modelId="{A53BB532-F373-4A6A-A755-16099D56350F}" type="pres">
      <dgm:prSet presAssocID="{BABC13DB-E292-436F-9A1C-766167A01ED2}" presName="childNode" presStyleLbl="node1" presStyleIdx="3" presStyleCnt="12">
        <dgm:presLayoutVars>
          <dgm:bulletEnabled val="1"/>
        </dgm:presLayoutVars>
      </dgm:prSet>
      <dgm:spPr>
        <a:prstGeom prst="roundRect">
          <a:avLst>
            <a:gd name="adj" fmla="val 10000"/>
          </a:avLst>
        </a:prstGeom>
      </dgm:spPr>
      <dgm:t>
        <a:bodyPr/>
        <a:lstStyle/>
        <a:p>
          <a:endParaRPr lang="en-US"/>
        </a:p>
      </dgm:t>
    </dgm:pt>
    <dgm:pt modelId="{9054C560-CD3D-45AF-9485-F284427C9A3E}" type="pres">
      <dgm:prSet presAssocID="{BABC13DB-E292-436F-9A1C-766167A01ED2}" presName="aSpace2" presStyleCnt="0"/>
      <dgm:spPr/>
    </dgm:pt>
    <dgm:pt modelId="{3C52526C-0E0A-434E-933F-5910DC2161C0}" type="pres">
      <dgm:prSet presAssocID="{093110C8-687F-4121-ABF2-60D2DEE67AC7}" presName="childNode" presStyleLbl="node1" presStyleIdx="4" presStyleCnt="12">
        <dgm:presLayoutVars>
          <dgm:bulletEnabled val="1"/>
        </dgm:presLayoutVars>
      </dgm:prSet>
      <dgm:spPr>
        <a:prstGeom prst="roundRect">
          <a:avLst>
            <a:gd name="adj" fmla="val 10000"/>
          </a:avLst>
        </a:prstGeom>
      </dgm:spPr>
      <dgm:t>
        <a:bodyPr/>
        <a:lstStyle/>
        <a:p>
          <a:endParaRPr lang="en-US"/>
        </a:p>
      </dgm:t>
    </dgm:pt>
    <dgm:pt modelId="{6D28BA55-78C8-4D7B-B843-E169F63C831E}" type="pres">
      <dgm:prSet presAssocID="{093110C8-687F-4121-ABF2-60D2DEE67AC7}" presName="aSpace2" presStyleCnt="0"/>
      <dgm:spPr/>
    </dgm:pt>
    <dgm:pt modelId="{96F4DC95-035A-4621-BB50-079EA8FA49C5}" type="pres">
      <dgm:prSet presAssocID="{9387D440-43A2-41B2-B563-3D94346AF987}" presName="childNode" presStyleLbl="node1" presStyleIdx="5" presStyleCnt="12" custScaleY="110800">
        <dgm:presLayoutVars>
          <dgm:bulletEnabled val="1"/>
        </dgm:presLayoutVars>
      </dgm:prSet>
      <dgm:spPr/>
      <dgm:t>
        <a:bodyPr/>
        <a:lstStyle/>
        <a:p>
          <a:endParaRPr lang="en-US"/>
        </a:p>
      </dgm:t>
    </dgm:pt>
    <dgm:pt modelId="{4A9AEACD-3FE0-41DC-8504-10D9666EA302}" type="pres">
      <dgm:prSet presAssocID="{6001B032-9A8C-4CC8-BF9B-5ADB706EF2A0}" presName="aSpace" presStyleCnt="0"/>
      <dgm:spPr/>
    </dgm:pt>
    <dgm:pt modelId="{2C35AD07-AE03-4CED-AF00-C48CF3B3B395}" type="pres">
      <dgm:prSet presAssocID="{CA17D5A6-3AF2-46A1-9E61-8E4AF7A4E958}" presName="compNode" presStyleCnt="0"/>
      <dgm:spPr/>
    </dgm:pt>
    <dgm:pt modelId="{520EB160-19DD-4E9B-A0C2-EB8307B333E8}" type="pres">
      <dgm:prSet presAssocID="{CA17D5A6-3AF2-46A1-9E61-8E4AF7A4E958}" presName="aNode" presStyleLbl="bgShp" presStyleIdx="2" presStyleCnt="4"/>
      <dgm:spPr>
        <a:prstGeom prst="roundRect">
          <a:avLst>
            <a:gd name="adj" fmla="val 10000"/>
          </a:avLst>
        </a:prstGeom>
      </dgm:spPr>
      <dgm:t>
        <a:bodyPr/>
        <a:lstStyle/>
        <a:p>
          <a:endParaRPr lang="en-US"/>
        </a:p>
      </dgm:t>
    </dgm:pt>
    <dgm:pt modelId="{D4F7E5DC-D793-4219-A7A7-D8B0CB9E4C1E}" type="pres">
      <dgm:prSet presAssocID="{CA17D5A6-3AF2-46A1-9E61-8E4AF7A4E958}" presName="textNode" presStyleLbl="bgShp" presStyleIdx="2" presStyleCnt="4"/>
      <dgm:spPr/>
      <dgm:t>
        <a:bodyPr/>
        <a:lstStyle/>
        <a:p>
          <a:endParaRPr lang="en-US"/>
        </a:p>
      </dgm:t>
    </dgm:pt>
    <dgm:pt modelId="{FC7822AB-660C-4482-9DC3-4C507E67CE01}" type="pres">
      <dgm:prSet presAssocID="{CA17D5A6-3AF2-46A1-9E61-8E4AF7A4E958}" presName="compChildNode" presStyleCnt="0"/>
      <dgm:spPr/>
    </dgm:pt>
    <dgm:pt modelId="{D5F3A461-A53C-4C53-82E9-DFF0A4FE573E}" type="pres">
      <dgm:prSet presAssocID="{CA17D5A6-3AF2-46A1-9E61-8E4AF7A4E958}" presName="theInnerList" presStyleCnt="0"/>
      <dgm:spPr/>
    </dgm:pt>
    <dgm:pt modelId="{94769BEC-F9DD-42EF-B78F-37AB35557D0F}" type="pres">
      <dgm:prSet presAssocID="{E4922728-D33C-4D96-BBEA-9AB73CD132F1}" presName="childNode" presStyleLbl="node1" presStyleIdx="6" presStyleCnt="12" custScaleX="106494" custScaleY="282168">
        <dgm:presLayoutVars>
          <dgm:bulletEnabled val="1"/>
        </dgm:presLayoutVars>
      </dgm:prSet>
      <dgm:spPr>
        <a:prstGeom prst="roundRect">
          <a:avLst>
            <a:gd name="adj" fmla="val 10000"/>
          </a:avLst>
        </a:prstGeom>
      </dgm:spPr>
      <dgm:t>
        <a:bodyPr/>
        <a:lstStyle/>
        <a:p>
          <a:endParaRPr lang="en-US"/>
        </a:p>
      </dgm:t>
    </dgm:pt>
    <dgm:pt modelId="{5523356B-3C65-4ED6-BC1C-4006022AF622}" type="pres">
      <dgm:prSet presAssocID="{E4922728-D33C-4D96-BBEA-9AB73CD132F1}" presName="aSpace2" presStyleCnt="0"/>
      <dgm:spPr/>
    </dgm:pt>
    <dgm:pt modelId="{E35F7EFF-0E31-4AF5-824C-325F163895F1}" type="pres">
      <dgm:prSet presAssocID="{26097881-FCA0-416C-99E5-F095C9245924}" presName="childNode" presStyleLbl="node1" presStyleIdx="7" presStyleCnt="12" custScaleX="105323" custScaleY="400289">
        <dgm:presLayoutVars>
          <dgm:bulletEnabled val="1"/>
        </dgm:presLayoutVars>
      </dgm:prSet>
      <dgm:spPr>
        <a:prstGeom prst="roundRect">
          <a:avLst>
            <a:gd name="adj" fmla="val 10000"/>
          </a:avLst>
        </a:prstGeom>
      </dgm:spPr>
      <dgm:t>
        <a:bodyPr/>
        <a:lstStyle/>
        <a:p>
          <a:endParaRPr lang="en-US"/>
        </a:p>
      </dgm:t>
    </dgm:pt>
    <dgm:pt modelId="{BC1DE5CC-AD30-4AED-8154-3DD0253D1889}" type="pres">
      <dgm:prSet presAssocID="{26097881-FCA0-416C-99E5-F095C9245924}" presName="aSpace2" presStyleCnt="0"/>
      <dgm:spPr/>
    </dgm:pt>
    <dgm:pt modelId="{58EFD5F6-4A82-46BC-A7E7-BB35ADABCF42}" type="pres">
      <dgm:prSet presAssocID="{7EB59650-BAB6-4308-92EF-535C2A04AFA8}" presName="childNode" presStyleLbl="node1" presStyleIdx="8" presStyleCnt="12" custScaleX="118309" custScaleY="558494">
        <dgm:presLayoutVars>
          <dgm:bulletEnabled val="1"/>
        </dgm:presLayoutVars>
      </dgm:prSet>
      <dgm:spPr>
        <a:prstGeom prst="roundRect">
          <a:avLst>
            <a:gd name="adj" fmla="val 10000"/>
          </a:avLst>
        </a:prstGeom>
      </dgm:spPr>
      <dgm:t>
        <a:bodyPr/>
        <a:lstStyle/>
        <a:p>
          <a:endParaRPr lang="en-US"/>
        </a:p>
      </dgm:t>
    </dgm:pt>
    <dgm:pt modelId="{830E4361-64FE-4B11-A45F-C5B32A9C6734}" type="pres">
      <dgm:prSet presAssocID="{CA17D5A6-3AF2-46A1-9E61-8E4AF7A4E958}" presName="aSpace" presStyleCnt="0"/>
      <dgm:spPr/>
    </dgm:pt>
    <dgm:pt modelId="{1E92C94B-A463-4FA1-AE20-7EA680E8B675}" type="pres">
      <dgm:prSet presAssocID="{8D4F87C7-49A3-4B5F-AE61-EB3075C7383E}" presName="compNode" presStyleCnt="0"/>
      <dgm:spPr/>
    </dgm:pt>
    <dgm:pt modelId="{AF365F4E-F5D6-4DA2-9671-B15908387117}" type="pres">
      <dgm:prSet presAssocID="{8D4F87C7-49A3-4B5F-AE61-EB3075C7383E}" presName="aNode" presStyleLbl="bgShp" presStyleIdx="3" presStyleCnt="4" custLinFactNeighborY="9844"/>
      <dgm:spPr>
        <a:prstGeom prst="roundRect">
          <a:avLst>
            <a:gd name="adj" fmla="val 10000"/>
          </a:avLst>
        </a:prstGeom>
      </dgm:spPr>
      <dgm:t>
        <a:bodyPr/>
        <a:lstStyle/>
        <a:p>
          <a:endParaRPr lang="en-US"/>
        </a:p>
      </dgm:t>
    </dgm:pt>
    <dgm:pt modelId="{60421485-D62F-45D0-959E-F30A0856EB1F}" type="pres">
      <dgm:prSet presAssocID="{8D4F87C7-49A3-4B5F-AE61-EB3075C7383E}" presName="textNode" presStyleLbl="bgShp" presStyleIdx="3" presStyleCnt="4"/>
      <dgm:spPr/>
      <dgm:t>
        <a:bodyPr/>
        <a:lstStyle/>
        <a:p>
          <a:endParaRPr lang="en-US"/>
        </a:p>
      </dgm:t>
    </dgm:pt>
    <dgm:pt modelId="{A64975E2-E0D2-42A4-BCC4-FDAE3E29D546}" type="pres">
      <dgm:prSet presAssocID="{8D4F87C7-49A3-4B5F-AE61-EB3075C7383E}" presName="compChildNode" presStyleCnt="0"/>
      <dgm:spPr/>
    </dgm:pt>
    <dgm:pt modelId="{F64AB8DB-BCCD-46C7-ABD8-EAE6381E9DC2}" type="pres">
      <dgm:prSet presAssocID="{8D4F87C7-49A3-4B5F-AE61-EB3075C7383E}" presName="theInnerList" presStyleCnt="0"/>
      <dgm:spPr/>
    </dgm:pt>
    <dgm:pt modelId="{B040D562-4AC7-4C5F-ADE5-FA7DC918C354}" type="pres">
      <dgm:prSet presAssocID="{536B5D49-7CC6-414F-8767-7A7E6C54F863}" presName="childNode" presStyleLbl="node1" presStyleIdx="9" presStyleCnt="12">
        <dgm:presLayoutVars>
          <dgm:bulletEnabled val="1"/>
        </dgm:presLayoutVars>
      </dgm:prSet>
      <dgm:spPr>
        <a:prstGeom prst="roundRect">
          <a:avLst>
            <a:gd name="adj" fmla="val 10000"/>
          </a:avLst>
        </a:prstGeom>
      </dgm:spPr>
      <dgm:t>
        <a:bodyPr/>
        <a:lstStyle/>
        <a:p>
          <a:endParaRPr lang="en-US"/>
        </a:p>
      </dgm:t>
    </dgm:pt>
    <dgm:pt modelId="{C188D8BF-3D04-48AA-987A-73D9912A01C7}" type="pres">
      <dgm:prSet presAssocID="{536B5D49-7CC6-414F-8767-7A7E6C54F863}" presName="aSpace2" presStyleCnt="0"/>
      <dgm:spPr/>
    </dgm:pt>
    <dgm:pt modelId="{CD064130-AB6C-40E9-971D-CD6624876D3E}" type="pres">
      <dgm:prSet presAssocID="{9C344EB3-1C44-434A-99D8-C96A1E73FCCC}" presName="childNode" presStyleLbl="node1" presStyleIdx="10" presStyleCnt="12">
        <dgm:presLayoutVars>
          <dgm:bulletEnabled val="1"/>
        </dgm:presLayoutVars>
      </dgm:prSet>
      <dgm:spPr>
        <a:prstGeom prst="roundRect">
          <a:avLst>
            <a:gd name="adj" fmla="val 10000"/>
          </a:avLst>
        </a:prstGeom>
      </dgm:spPr>
      <dgm:t>
        <a:bodyPr/>
        <a:lstStyle/>
        <a:p>
          <a:endParaRPr lang="en-US"/>
        </a:p>
      </dgm:t>
    </dgm:pt>
    <dgm:pt modelId="{3876C9E4-EDF2-4AFA-8596-C84A2D40A8EC}" type="pres">
      <dgm:prSet presAssocID="{9C344EB3-1C44-434A-99D8-C96A1E73FCCC}" presName="aSpace2" presStyleCnt="0"/>
      <dgm:spPr/>
    </dgm:pt>
    <dgm:pt modelId="{115239FB-15D5-4267-944C-4FBA7FB0925D}" type="pres">
      <dgm:prSet presAssocID="{D1535928-8548-435E-83D9-CA3EFB0FA427}" presName="childNode" presStyleLbl="node1" presStyleIdx="11" presStyleCnt="12">
        <dgm:presLayoutVars>
          <dgm:bulletEnabled val="1"/>
        </dgm:presLayoutVars>
      </dgm:prSet>
      <dgm:spPr>
        <a:prstGeom prst="roundRect">
          <a:avLst>
            <a:gd name="adj" fmla="val 10000"/>
          </a:avLst>
        </a:prstGeom>
      </dgm:spPr>
      <dgm:t>
        <a:bodyPr/>
        <a:lstStyle/>
        <a:p>
          <a:endParaRPr lang="en-US"/>
        </a:p>
      </dgm:t>
    </dgm:pt>
  </dgm:ptLst>
  <dgm:cxnLst>
    <dgm:cxn modelId="{13B2ED47-261F-4589-BCC1-10F5AE4F2911}" type="presOf" srcId="{D1535928-8548-435E-83D9-CA3EFB0FA427}" destId="{115239FB-15D5-4267-944C-4FBA7FB0925D}" srcOrd="0" destOrd="0" presId="urn:microsoft.com/office/officeart/2005/8/layout/lProcess2"/>
    <dgm:cxn modelId="{6B800CE2-655A-4787-862E-F23864157264}" type="presOf" srcId="{CA17D5A6-3AF2-46A1-9E61-8E4AF7A4E958}" destId="{D4F7E5DC-D793-4219-A7A7-D8B0CB9E4C1E}" srcOrd="1" destOrd="0" presId="urn:microsoft.com/office/officeart/2005/8/layout/lProcess2"/>
    <dgm:cxn modelId="{AACD7B17-8CE0-4B20-B4B0-FD46D5D5B629}" srcId="{CA17D5A6-3AF2-46A1-9E61-8E4AF7A4E958}" destId="{26097881-FCA0-416C-99E5-F095C9245924}" srcOrd="1" destOrd="0" parTransId="{FE2AB5FB-E6B1-416C-BEBF-C3958950D1B7}" sibTransId="{23C566CA-5720-4A15-93F8-9D71904AB7AD}"/>
    <dgm:cxn modelId="{B711A694-ACCC-493A-A810-44C670E7DB93}" srcId="{6001B032-9A8C-4CC8-BF9B-5ADB706EF2A0}" destId="{BABC13DB-E292-436F-9A1C-766167A01ED2}" srcOrd="0" destOrd="0" parTransId="{5FE3F50A-2E19-4B95-A418-8DA6AF6B356D}" sibTransId="{2953AB8B-35D8-4598-AE03-B0B56DAE395B}"/>
    <dgm:cxn modelId="{69D14664-55BC-4EAD-83C5-BC4D9534370C}" type="presOf" srcId="{8D4F87C7-49A3-4B5F-AE61-EB3075C7383E}" destId="{60421485-D62F-45D0-959E-F30A0856EB1F}" srcOrd="1" destOrd="0" presId="urn:microsoft.com/office/officeart/2005/8/layout/lProcess2"/>
    <dgm:cxn modelId="{2E42A02E-5E6E-424F-B1CB-A79E4F2A4427}" srcId="{6001B032-9A8C-4CC8-BF9B-5ADB706EF2A0}" destId="{093110C8-687F-4121-ABF2-60D2DEE67AC7}" srcOrd="1" destOrd="0" parTransId="{9186796E-7AD2-478B-8BC5-2C348BFE459D}" sibTransId="{A74A83FD-FE0E-4C14-9F07-A8B0A29AC9D4}"/>
    <dgm:cxn modelId="{4122D8EC-AF71-4692-BB32-1051EC5C7DEF}" type="presOf" srcId="{4427C6E1-B845-428B-8870-F1F2B721030C}" destId="{613A12C8-86D8-4CB9-9D80-E4B62ACA1486}" srcOrd="0" destOrd="0" presId="urn:microsoft.com/office/officeart/2005/8/layout/lProcess2"/>
    <dgm:cxn modelId="{C8479E33-6780-49BA-BEA3-457D1776F808}" type="presOf" srcId="{022CFF97-D7CE-47E7-AE6A-C4F541E68EE1}" destId="{AE30DE28-9D37-46B4-9058-9909C5105031}" srcOrd="0" destOrd="0" presId="urn:microsoft.com/office/officeart/2005/8/layout/lProcess2"/>
    <dgm:cxn modelId="{D9A97F04-C10E-49C6-AED5-12563981BD25}" type="presOf" srcId="{FFBD181D-31DB-4CD1-9A74-A75518C07AA1}" destId="{8E5AF209-F2A5-4D19-AEEC-AA9AE4C4016D}" srcOrd="0" destOrd="0" presId="urn:microsoft.com/office/officeart/2005/8/layout/lProcess2"/>
    <dgm:cxn modelId="{F9B1734B-16B7-4CE0-8F5A-C72AF0A4F143}" srcId="{6001B032-9A8C-4CC8-BF9B-5ADB706EF2A0}" destId="{9387D440-43A2-41B2-B563-3D94346AF987}" srcOrd="2" destOrd="0" parTransId="{FF8B1261-4B56-4DE2-887A-22647C05E030}" sibTransId="{7CFF10F6-C5D2-49B4-8853-F9D87EFC2455}"/>
    <dgm:cxn modelId="{09B94E74-B568-4298-B6A9-8ED0A373785B}" type="presOf" srcId="{6001B032-9A8C-4CC8-BF9B-5ADB706EF2A0}" destId="{C7606475-8986-4181-A456-4C22F847AC28}" srcOrd="0" destOrd="0" presId="urn:microsoft.com/office/officeart/2005/8/layout/lProcess2"/>
    <dgm:cxn modelId="{5C38EBDD-7BDA-4EA8-9879-12C79398D5D0}" srcId="{E09D3452-16D3-4BDA-A9C6-53CD19355CC0}" destId="{022CFF97-D7CE-47E7-AE6A-C4F541E68EE1}" srcOrd="2" destOrd="0" parTransId="{C0FA3AA6-DDC9-42D4-A131-288C0E2E7739}" sibTransId="{E3B2B7B1-7A7C-4FB5-9C81-7A97BAEB496D}"/>
    <dgm:cxn modelId="{8211CF2D-2B1F-43E5-952A-330FE3D61069}" srcId="{796D8637-F748-436D-9FB2-DA72C365E4A4}" destId="{6001B032-9A8C-4CC8-BF9B-5ADB706EF2A0}" srcOrd="1" destOrd="0" parTransId="{42804931-0267-4447-AB4D-FC9A78FD1019}" sibTransId="{41F7EB6C-B0A5-4AC6-BBB3-D796B8A9A674}"/>
    <dgm:cxn modelId="{0B680C44-B72C-448D-9436-7336DE19524E}" type="presOf" srcId="{E09D3452-16D3-4BDA-A9C6-53CD19355CC0}" destId="{4D3EF3B9-610C-4960-8D7E-72B38DA3A8F5}" srcOrd="0" destOrd="0" presId="urn:microsoft.com/office/officeart/2005/8/layout/lProcess2"/>
    <dgm:cxn modelId="{6EB446F2-AA52-4959-A56E-5F16C818F1B2}" type="presOf" srcId="{796D8637-F748-436D-9FB2-DA72C365E4A4}" destId="{E75485F3-7655-4B38-BFF8-BA382832A2D8}" srcOrd="0" destOrd="0" presId="urn:microsoft.com/office/officeart/2005/8/layout/lProcess2"/>
    <dgm:cxn modelId="{7900432C-D934-484A-8920-CAF26890BAC3}" type="presOf" srcId="{E4922728-D33C-4D96-BBEA-9AB73CD132F1}" destId="{94769BEC-F9DD-42EF-B78F-37AB35557D0F}" srcOrd="0" destOrd="0" presId="urn:microsoft.com/office/officeart/2005/8/layout/lProcess2"/>
    <dgm:cxn modelId="{807ED495-5589-424A-A36A-114D3337715D}" type="presOf" srcId="{CA17D5A6-3AF2-46A1-9E61-8E4AF7A4E958}" destId="{520EB160-19DD-4E9B-A0C2-EB8307B333E8}" srcOrd="0" destOrd="0" presId="urn:microsoft.com/office/officeart/2005/8/layout/lProcess2"/>
    <dgm:cxn modelId="{B6AB460F-53A9-444F-936D-3F791B7D46C6}" srcId="{E09D3452-16D3-4BDA-A9C6-53CD19355CC0}" destId="{FFBD181D-31DB-4CD1-9A74-A75518C07AA1}" srcOrd="0" destOrd="0" parTransId="{BC6175E3-4FC7-43C8-8910-AC0EC8A64B83}" sibTransId="{9B8F1D29-8F75-4A0F-9E69-717D877FDFBE}"/>
    <dgm:cxn modelId="{8962E5B8-311D-4DFC-8D14-5026DCBB1BDF}" type="presOf" srcId="{E09D3452-16D3-4BDA-A9C6-53CD19355CC0}" destId="{0BD2217C-3E00-461F-813F-8F7CA3E7DEE1}" srcOrd="1" destOrd="0" presId="urn:microsoft.com/office/officeart/2005/8/layout/lProcess2"/>
    <dgm:cxn modelId="{CD231646-71FF-45AA-8A03-D8B543B45E82}" srcId="{CA17D5A6-3AF2-46A1-9E61-8E4AF7A4E958}" destId="{7EB59650-BAB6-4308-92EF-535C2A04AFA8}" srcOrd="2" destOrd="0" parTransId="{1B4A2D5F-BAEC-4D55-9DF0-7AF283AB05C9}" sibTransId="{0D9344AC-8B80-41EE-9E94-2AD1E8A48959}"/>
    <dgm:cxn modelId="{26ED4764-611A-45D4-A2B6-D99B4F92F518}" srcId="{8D4F87C7-49A3-4B5F-AE61-EB3075C7383E}" destId="{9C344EB3-1C44-434A-99D8-C96A1E73FCCC}" srcOrd="1" destOrd="0" parTransId="{3782AD9E-0E62-4989-9495-54E64BD4F839}" sibTransId="{916AED26-DC18-4463-8072-5A2E1C9C90F3}"/>
    <dgm:cxn modelId="{648C97F0-99A2-4DFC-9908-EF94A655597F}" type="presOf" srcId="{BABC13DB-E292-436F-9A1C-766167A01ED2}" destId="{A53BB532-F373-4A6A-A755-16099D56350F}" srcOrd="0" destOrd="0" presId="urn:microsoft.com/office/officeart/2005/8/layout/lProcess2"/>
    <dgm:cxn modelId="{23E6BD8E-FA05-4594-BC8C-43D9A557AE20}" type="presOf" srcId="{9387D440-43A2-41B2-B563-3D94346AF987}" destId="{96F4DC95-035A-4621-BB50-079EA8FA49C5}" srcOrd="0" destOrd="0" presId="urn:microsoft.com/office/officeart/2005/8/layout/lProcess2"/>
    <dgm:cxn modelId="{B95DCB4E-8FED-43C0-804C-6433546B5899}" srcId="{8D4F87C7-49A3-4B5F-AE61-EB3075C7383E}" destId="{D1535928-8548-435E-83D9-CA3EFB0FA427}" srcOrd="2" destOrd="0" parTransId="{9CA86320-F439-4712-8E04-E11A716AACAA}" sibTransId="{617F8CB9-7EAE-454C-B454-D0EF7DFD3842}"/>
    <dgm:cxn modelId="{6D98608E-6B97-4855-8DB7-886157F49894}" type="presOf" srcId="{536B5D49-7CC6-414F-8767-7A7E6C54F863}" destId="{B040D562-4AC7-4C5F-ADE5-FA7DC918C354}" srcOrd="0" destOrd="0" presId="urn:microsoft.com/office/officeart/2005/8/layout/lProcess2"/>
    <dgm:cxn modelId="{D5FF6CC0-5C36-4B9A-862D-4FD38A143A3F}" srcId="{796D8637-F748-436D-9FB2-DA72C365E4A4}" destId="{E09D3452-16D3-4BDA-A9C6-53CD19355CC0}" srcOrd="0" destOrd="0" parTransId="{9B174BC5-8619-4DA7-92F7-851E5A07F56E}" sibTransId="{92536699-D18E-459A-9B74-C330ED88F9EB}"/>
    <dgm:cxn modelId="{B2C5FAB0-B9D0-4ACC-B84B-56761EFD0BA6}" srcId="{8D4F87C7-49A3-4B5F-AE61-EB3075C7383E}" destId="{536B5D49-7CC6-414F-8767-7A7E6C54F863}" srcOrd="0" destOrd="0" parTransId="{990AF8BB-113B-4C36-AC70-866A7AE69B7E}" sibTransId="{2181B15C-152E-4896-818D-29E4E4D0D952}"/>
    <dgm:cxn modelId="{C5F99803-89CE-4C71-B81B-A754AA60EE3B}" type="presOf" srcId="{6001B032-9A8C-4CC8-BF9B-5ADB706EF2A0}" destId="{5E1E4472-F188-4372-8630-61B78E5E6501}" srcOrd="1" destOrd="0" presId="urn:microsoft.com/office/officeart/2005/8/layout/lProcess2"/>
    <dgm:cxn modelId="{15E8BF92-507B-406E-B3D4-90555D1D7A2C}" srcId="{E09D3452-16D3-4BDA-A9C6-53CD19355CC0}" destId="{4427C6E1-B845-428B-8870-F1F2B721030C}" srcOrd="1" destOrd="0" parTransId="{3459F23E-80E8-4F7F-B8E1-B3AA5042BDFC}" sibTransId="{5622AA37-4E63-4D1D-BE6B-CD82A044E0B0}"/>
    <dgm:cxn modelId="{0CA1C9B1-0CB5-4897-8636-01B6AAF6A9A9}" srcId="{796D8637-F748-436D-9FB2-DA72C365E4A4}" destId="{CA17D5A6-3AF2-46A1-9E61-8E4AF7A4E958}" srcOrd="2" destOrd="0" parTransId="{3BF84FD3-957A-452A-A1B0-E5F6F3E1939E}" sibTransId="{E14E0204-E5FB-4F38-983D-23148027E6A7}"/>
    <dgm:cxn modelId="{9B7F0811-9412-4EF8-A047-2EF156D78FE8}" type="presOf" srcId="{093110C8-687F-4121-ABF2-60D2DEE67AC7}" destId="{3C52526C-0E0A-434E-933F-5910DC2161C0}" srcOrd="0" destOrd="0" presId="urn:microsoft.com/office/officeart/2005/8/layout/lProcess2"/>
    <dgm:cxn modelId="{13D9F44C-34D0-4BE5-8698-9D1C8682A02B}" type="presOf" srcId="{9C344EB3-1C44-434A-99D8-C96A1E73FCCC}" destId="{CD064130-AB6C-40E9-971D-CD6624876D3E}" srcOrd="0" destOrd="0" presId="urn:microsoft.com/office/officeart/2005/8/layout/lProcess2"/>
    <dgm:cxn modelId="{C184DFBA-46BC-4C80-80AB-CDD18D00D1EA}" type="presOf" srcId="{26097881-FCA0-416C-99E5-F095C9245924}" destId="{E35F7EFF-0E31-4AF5-824C-325F163895F1}" srcOrd="0" destOrd="0" presId="urn:microsoft.com/office/officeart/2005/8/layout/lProcess2"/>
    <dgm:cxn modelId="{663E762C-899B-48AA-8906-A92C832DACD7}" type="presOf" srcId="{7EB59650-BAB6-4308-92EF-535C2A04AFA8}" destId="{58EFD5F6-4A82-46BC-A7E7-BB35ADABCF42}" srcOrd="0" destOrd="0" presId="urn:microsoft.com/office/officeart/2005/8/layout/lProcess2"/>
    <dgm:cxn modelId="{95518F0F-030F-41FF-BF9C-76AAFC53655A}" srcId="{CA17D5A6-3AF2-46A1-9E61-8E4AF7A4E958}" destId="{E4922728-D33C-4D96-BBEA-9AB73CD132F1}" srcOrd="0" destOrd="0" parTransId="{190DCCD9-C2DA-4254-9032-C11460875104}" sibTransId="{CD915B5C-9388-4130-8B19-7EA345ABDB89}"/>
    <dgm:cxn modelId="{3252096B-DB68-421A-847D-EF796C326456}" type="presOf" srcId="{8D4F87C7-49A3-4B5F-AE61-EB3075C7383E}" destId="{AF365F4E-F5D6-4DA2-9671-B15908387117}" srcOrd="0" destOrd="0" presId="urn:microsoft.com/office/officeart/2005/8/layout/lProcess2"/>
    <dgm:cxn modelId="{4CB5A4FD-0E0A-4C9F-809E-FD3910020E87}" srcId="{796D8637-F748-436D-9FB2-DA72C365E4A4}" destId="{8D4F87C7-49A3-4B5F-AE61-EB3075C7383E}" srcOrd="3" destOrd="0" parTransId="{CE996096-4D34-44FC-835B-08BAE39E3836}" sibTransId="{36E0D20D-B55F-4065-8669-86CF09699095}"/>
    <dgm:cxn modelId="{AD9496E9-925A-47E3-83A4-90A4CF400E6A}" type="presParOf" srcId="{E75485F3-7655-4B38-BFF8-BA382832A2D8}" destId="{92E4B242-DEC3-4CFE-BDD5-61CB9DECE1C6}" srcOrd="0" destOrd="0" presId="urn:microsoft.com/office/officeart/2005/8/layout/lProcess2"/>
    <dgm:cxn modelId="{29740748-E483-4A98-98A4-33B917B39991}" type="presParOf" srcId="{92E4B242-DEC3-4CFE-BDD5-61CB9DECE1C6}" destId="{4D3EF3B9-610C-4960-8D7E-72B38DA3A8F5}" srcOrd="0" destOrd="0" presId="urn:microsoft.com/office/officeart/2005/8/layout/lProcess2"/>
    <dgm:cxn modelId="{6DE9AE0B-DE8C-43C0-88E5-7153858D86A3}" type="presParOf" srcId="{92E4B242-DEC3-4CFE-BDD5-61CB9DECE1C6}" destId="{0BD2217C-3E00-461F-813F-8F7CA3E7DEE1}" srcOrd="1" destOrd="0" presId="urn:microsoft.com/office/officeart/2005/8/layout/lProcess2"/>
    <dgm:cxn modelId="{8B0230D0-55FA-4258-B680-DF755B011401}" type="presParOf" srcId="{92E4B242-DEC3-4CFE-BDD5-61CB9DECE1C6}" destId="{AD79184F-4EB3-41E0-B8CC-DE6A23230E3D}" srcOrd="2" destOrd="0" presId="urn:microsoft.com/office/officeart/2005/8/layout/lProcess2"/>
    <dgm:cxn modelId="{F3D5159E-D9AC-426A-970B-EE2790CA6A44}" type="presParOf" srcId="{AD79184F-4EB3-41E0-B8CC-DE6A23230E3D}" destId="{D4FA9381-6D9C-41C5-ADEC-A3597B149B0A}" srcOrd="0" destOrd="0" presId="urn:microsoft.com/office/officeart/2005/8/layout/lProcess2"/>
    <dgm:cxn modelId="{923A6608-662B-4A15-884A-C493601A23AC}" type="presParOf" srcId="{D4FA9381-6D9C-41C5-ADEC-A3597B149B0A}" destId="{8E5AF209-F2A5-4D19-AEEC-AA9AE4C4016D}" srcOrd="0" destOrd="0" presId="urn:microsoft.com/office/officeart/2005/8/layout/lProcess2"/>
    <dgm:cxn modelId="{6E75D2E4-06CC-4EC2-8932-CC40A8965020}" type="presParOf" srcId="{D4FA9381-6D9C-41C5-ADEC-A3597B149B0A}" destId="{AF345E7B-A4A5-4201-BEC4-8FC43B2954B2}" srcOrd="1" destOrd="0" presId="urn:microsoft.com/office/officeart/2005/8/layout/lProcess2"/>
    <dgm:cxn modelId="{A3C108B6-40D5-4B09-ADC9-40C16F335FDF}" type="presParOf" srcId="{D4FA9381-6D9C-41C5-ADEC-A3597B149B0A}" destId="{613A12C8-86D8-4CB9-9D80-E4B62ACA1486}" srcOrd="2" destOrd="0" presId="urn:microsoft.com/office/officeart/2005/8/layout/lProcess2"/>
    <dgm:cxn modelId="{C37C1BCB-0426-485D-AA4B-650DB2AECEC8}" type="presParOf" srcId="{D4FA9381-6D9C-41C5-ADEC-A3597B149B0A}" destId="{58421249-A3E8-4880-B4B6-FE303F41CA83}" srcOrd="3" destOrd="0" presId="urn:microsoft.com/office/officeart/2005/8/layout/lProcess2"/>
    <dgm:cxn modelId="{AF9761D1-0DDF-4DA4-87B0-4F1F34E4AC50}" type="presParOf" srcId="{D4FA9381-6D9C-41C5-ADEC-A3597B149B0A}" destId="{AE30DE28-9D37-46B4-9058-9909C5105031}" srcOrd="4" destOrd="0" presId="urn:microsoft.com/office/officeart/2005/8/layout/lProcess2"/>
    <dgm:cxn modelId="{F900A7DC-5980-481D-A815-8FA59597B3BF}" type="presParOf" srcId="{E75485F3-7655-4B38-BFF8-BA382832A2D8}" destId="{17636076-A1B1-420C-987C-CBD5AE880315}" srcOrd="1" destOrd="0" presId="urn:microsoft.com/office/officeart/2005/8/layout/lProcess2"/>
    <dgm:cxn modelId="{AE731510-1EB0-4478-96D4-F9ACC610A0E9}" type="presParOf" srcId="{E75485F3-7655-4B38-BFF8-BA382832A2D8}" destId="{DD77C680-CAF9-4982-85EC-1EB3637F23CD}" srcOrd="2" destOrd="0" presId="urn:microsoft.com/office/officeart/2005/8/layout/lProcess2"/>
    <dgm:cxn modelId="{CF9B8B74-C21D-44A8-B8AD-F1D16277E92B}" type="presParOf" srcId="{DD77C680-CAF9-4982-85EC-1EB3637F23CD}" destId="{C7606475-8986-4181-A456-4C22F847AC28}" srcOrd="0" destOrd="0" presId="urn:microsoft.com/office/officeart/2005/8/layout/lProcess2"/>
    <dgm:cxn modelId="{08357584-8E5B-46D4-8571-2EDB63F0F579}" type="presParOf" srcId="{DD77C680-CAF9-4982-85EC-1EB3637F23CD}" destId="{5E1E4472-F188-4372-8630-61B78E5E6501}" srcOrd="1" destOrd="0" presId="urn:microsoft.com/office/officeart/2005/8/layout/lProcess2"/>
    <dgm:cxn modelId="{332E8E1D-9BED-4F2D-AE25-EEE5CC20EC59}" type="presParOf" srcId="{DD77C680-CAF9-4982-85EC-1EB3637F23CD}" destId="{358846E5-6D17-4612-8BB1-B5B4AB4761FF}" srcOrd="2" destOrd="0" presId="urn:microsoft.com/office/officeart/2005/8/layout/lProcess2"/>
    <dgm:cxn modelId="{12ED32A1-6367-4FFA-A35D-A68CF44409B7}" type="presParOf" srcId="{358846E5-6D17-4612-8BB1-B5B4AB4761FF}" destId="{206C5378-918A-459C-8EF3-1DAB4FC26BAA}" srcOrd="0" destOrd="0" presId="urn:microsoft.com/office/officeart/2005/8/layout/lProcess2"/>
    <dgm:cxn modelId="{A6A9A4F4-D714-4242-B6A0-1EDDDF7552E9}" type="presParOf" srcId="{206C5378-918A-459C-8EF3-1DAB4FC26BAA}" destId="{A53BB532-F373-4A6A-A755-16099D56350F}" srcOrd="0" destOrd="0" presId="urn:microsoft.com/office/officeart/2005/8/layout/lProcess2"/>
    <dgm:cxn modelId="{F5B75C8F-0B1A-4BA1-B93E-C88642724C3C}" type="presParOf" srcId="{206C5378-918A-459C-8EF3-1DAB4FC26BAA}" destId="{9054C560-CD3D-45AF-9485-F284427C9A3E}" srcOrd="1" destOrd="0" presId="urn:microsoft.com/office/officeart/2005/8/layout/lProcess2"/>
    <dgm:cxn modelId="{7E1F9950-C803-490C-8FD3-F1B530BFE66E}" type="presParOf" srcId="{206C5378-918A-459C-8EF3-1DAB4FC26BAA}" destId="{3C52526C-0E0A-434E-933F-5910DC2161C0}" srcOrd="2" destOrd="0" presId="urn:microsoft.com/office/officeart/2005/8/layout/lProcess2"/>
    <dgm:cxn modelId="{5597876A-04B6-4570-864E-9CF113C8FD6A}" type="presParOf" srcId="{206C5378-918A-459C-8EF3-1DAB4FC26BAA}" destId="{6D28BA55-78C8-4D7B-B843-E169F63C831E}" srcOrd="3" destOrd="0" presId="urn:microsoft.com/office/officeart/2005/8/layout/lProcess2"/>
    <dgm:cxn modelId="{7BEFEEEB-E13C-4437-AAA0-8D37637A0B0D}" type="presParOf" srcId="{206C5378-918A-459C-8EF3-1DAB4FC26BAA}" destId="{96F4DC95-035A-4621-BB50-079EA8FA49C5}" srcOrd="4" destOrd="0" presId="urn:microsoft.com/office/officeart/2005/8/layout/lProcess2"/>
    <dgm:cxn modelId="{CDB2C675-0A6B-493F-A4F5-4BD63C2BB7CD}" type="presParOf" srcId="{E75485F3-7655-4B38-BFF8-BA382832A2D8}" destId="{4A9AEACD-3FE0-41DC-8504-10D9666EA302}" srcOrd="3" destOrd="0" presId="urn:microsoft.com/office/officeart/2005/8/layout/lProcess2"/>
    <dgm:cxn modelId="{9637C5CD-1AF4-411B-A6EB-277C7DEB9CEA}" type="presParOf" srcId="{E75485F3-7655-4B38-BFF8-BA382832A2D8}" destId="{2C35AD07-AE03-4CED-AF00-C48CF3B3B395}" srcOrd="4" destOrd="0" presId="urn:microsoft.com/office/officeart/2005/8/layout/lProcess2"/>
    <dgm:cxn modelId="{73EDED4B-CECE-4D35-B5F7-A9C4129758DC}" type="presParOf" srcId="{2C35AD07-AE03-4CED-AF00-C48CF3B3B395}" destId="{520EB160-19DD-4E9B-A0C2-EB8307B333E8}" srcOrd="0" destOrd="0" presId="urn:microsoft.com/office/officeart/2005/8/layout/lProcess2"/>
    <dgm:cxn modelId="{B0429FE7-CB4E-4C81-9481-652CE56804D5}" type="presParOf" srcId="{2C35AD07-AE03-4CED-AF00-C48CF3B3B395}" destId="{D4F7E5DC-D793-4219-A7A7-D8B0CB9E4C1E}" srcOrd="1" destOrd="0" presId="urn:microsoft.com/office/officeart/2005/8/layout/lProcess2"/>
    <dgm:cxn modelId="{CBB9E907-2D58-4953-AD59-B88FADEDD9F7}" type="presParOf" srcId="{2C35AD07-AE03-4CED-AF00-C48CF3B3B395}" destId="{FC7822AB-660C-4482-9DC3-4C507E67CE01}" srcOrd="2" destOrd="0" presId="urn:microsoft.com/office/officeart/2005/8/layout/lProcess2"/>
    <dgm:cxn modelId="{206C09CA-25CB-4480-9797-7576577FEACF}" type="presParOf" srcId="{FC7822AB-660C-4482-9DC3-4C507E67CE01}" destId="{D5F3A461-A53C-4C53-82E9-DFF0A4FE573E}" srcOrd="0" destOrd="0" presId="urn:microsoft.com/office/officeart/2005/8/layout/lProcess2"/>
    <dgm:cxn modelId="{2DA3B3A3-F595-4804-A4AC-46E502B925D6}" type="presParOf" srcId="{D5F3A461-A53C-4C53-82E9-DFF0A4FE573E}" destId="{94769BEC-F9DD-42EF-B78F-37AB35557D0F}" srcOrd="0" destOrd="0" presId="urn:microsoft.com/office/officeart/2005/8/layout/lProcess2"/>
    <dgm:cxn modelId="{2645E036-2D11-4125-8F46-628444830D04}" type="presParOf" srcId="{D5F3A461-A53C-4C53-82E9-DFF0A4FE573E}" destId="{5523356B-3C65-4ED6-BC1C-4006022AF622}" srcOrd="1" destOrd="0" presId="urn:microsoft.com/office/officeart/2005/8/layout/lProcess2"/>
    <dgm:cxn modelId="{2AA21A4D-7C73-4CB4-9DA1-F76343DF0720}" type="presParOf" srcId="{D5F3A461-A53C-4C53-82E9-DFF0A4FE573E}" destId="{E35F7EFF-0E31-4AF5-824C-325F163895F1}" srcOrd="2" destOrd="0" presId="urn:microsoft.com/office/officeart/2005/8/layout/lProcess2"/>
    <dgm:cxn modelId="{6C121E3E-3F5B-47BB-ABF0-79E6C075B196}" type="presParOf" srcId="{D5F3A461-A53C-4C53-82E9-DFF0A4FE573E}" destId="{BC1DE5CC-AD30-4AED-8154-3DD0253D1889}" srcOrd="3" destOrd="0" presId="urn:microsoft.com/office/officeart/2005/8/layout/lProcess2"/>
    <dgm:cxn modelId="{AB1D1828-A72F-49BD-A801-A2134EC16B8D}" type="presParOf" srcId="{D5F3A461-A53C-4C53-82E9-DFF0A4FE573E}" destId="{58EFD5F6-4A82-46BC-A7E7-BB35ADABCF42}" srcOrd="4" destOrd="0" presId="urn:microsoft.com/office/officeart/2005/8/layout/lProcess2"/>
    <dgm:cxn modelId="{F90D4AEA-D29C-4F84-9D26-03EF882FD280}" type="presParOf" srcId="{E75485F3-7655-4B38-BFF8-BA382832A2D8}" destId="{830E4361-64FE-4B11-A45F-C5B32A9C6734}" srcOrd="5" destOrd="0" presId="urn:microsoft.com/office/officeart/2005/8/layout/lProcess2"/>
    <dgm:cxn modelId="{E4B6F192-4B86-4182-A54B-D3596F5DCB05}" type="presParOf" srcId="{E75485F3-7655-4B38-BFF8-BA382832A2D8}" destId="{1E92C94B-A463-4FA1-AE20-7EA680E8B675}" srcOrd="6" destOrd="0" presId="urn:microsoft.com/office/officeart/2005/8/layout/lProcess2"/>
    <dgm:cxn modelId="{D559C44D-6909-4AA9-B917-F58203CAB719}" type="presParOf" srcId="{1E92C94B-A463-4FA1-AE20-7EA680E8B675}" destId="{AF365F4E-F5D6-4DA2-9671-B15908387117}" srcOrd="0" destOrd="0" presId="urn:microsoft.com/office/officeart/2005/8/layout/lProcess2"/>
    <dgm:cxn modelId="{7AEC7B76-3939-4072-A354-E8290A7ACAC2}" type="presParOf" srcId="{1E92C94B-A463-4FA1-AE20-7EA680E8B675}" destId="{60421485-D62F-45D0-959E-F30A0856EB1F}" srcOrd="1" destOrd="0" presId="urn:microsoft.com/office/officeart/2005/8/layout/lProcess2"/>
    <dgm:cxn modelId="{18B23180-E737-4067-9183-CA1EC6D7282D}" type="presParOf" srcId="{1E92C94B-A463-4FA1-AE20-7EA680E8B675}" destId="{A64975E2-E0D2-42A4-BCC4-FDAE3E29D546}" srcOrd="2" destOrd="0" presId="urn:microsoft.com/office/officeart/2005/8/layout/lProcess2"/>
    <dgm:cxn modelId="{3ABDB557-D83C-45AE-8227-A716B5BC0B28}" type="presParOf" srcId="{A64975E2-E0D2-42A4-BCC4-FDAE3E29D546}" destId="{F64AB8DB-BCCD-46C7-ABD8-EAE6381E9DC2}" srcOrd="0" destOrd="0" presId="urn:microsoft.com/office/officeart/2005/8/layout/lProcess2"/>
    <dgm:cxn modelId="{0C762558-0A79-4A2D-9A12-FDF32699A277}" type="presParOf" srcId="{F64AB8DB-BCCD-46C7-ABD8-EAE6381E9DC2}" destId="{B040D562-4AC7-4C5F-ADE5-FA7DC918C354}" srcOrd="0" destOrd="0" presId="urn:microsoft.com/office/officeart/2005/8/layout/lProcess2"/>
    <dgm:cxn modelId="{B419334D-6A19-43EF-9D20-6256123D5368}" type="presParOf" srcId="{F64AB8DB-BCCD-46C7-ABD8-EAE6381E9DC2}" destId="{C188D8BF-3D04-48AA-987A-73D9912A01C7}" srcOrd="1" destOrd="0" presId="urn:microsoft.com/office/officeart/2005/8/layout/lProcess2"/>
    <dgm:cxn modelId="{C9F56910-898C-4211-971E-56DE6BA9A33D}" type="presParOf" srcId="{F64AB8DB-BCCD-46C7-ABD8-EAE6381E9DC2}" destId="{CD064130-AB6C-40E9-971D-CD6624876D3E}" srcOrd="2" destOrd="0" presId="urn:microsoft.com/office/officeart/2005/8/layout/lProcess2"/>
    <dgm:cxn modelId="{402562A5-C370-4819-ABED-1A9A8E0A1A91}" type="presParOf" srcId="{F64AB8DB-BCCD-46C7-ABD8-EAE6381E9DC2}" destId="{3876C9E4-EDF2-4AFA-8596-C84A2D40A8EC}" srcOrd="3" destOrd="0" presId="urn:microsoft.com/office/officeart/2005/8/layout/lProcess2"/>
    <dgm:cxn modelId="{F405865C-883B-4016-99F0-D1CECE19ACA7}" type="presParOf" srcId="{F64AB8DB-BCCD-46C7-ABD8-EAE6381E9DC2}" destId="{115239FB-15D5-4267-944C-4FBA7FB0925D}" srcOrd="4" destOrd="0" presId="urn:microsoft.com/office/officeart/2005/8/layout/lProcess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9E47BE-921C-4C6B-A13A-320880BCDCAA}" type="doc">
      <dgm:prSet loTypeId="urn:microsoft.com/office/officeart/2005/8/layout/hierarchy4" loCatId="list" qsTypeId="urn:microsoft.com/office/officeart/2005/8/quickstyle/simple1" qsCatId="simple" csTypeId="urn:microsoft.com/office/officeart/2005/8/colors/accent0_1" csCatId="mainScheme" phldr="1"/>
      <dgm:spPr/>
      <dgm:t>
        <a:bodyPr/>
        <a:lstStyle/>
        <a:p>
          <a:endParaRPr lang="en-US"/>
        </a:p>
      </dgm:t>
    </dgm:pt>
    <dgm:pt modelId="{6728856C-B893-4383-AC71-0C9368E741EB}">
      <dgm:prSet phldrT="[Text]" custT="1"/>
      <dgm:spPr/>
      <dgm:t>
        <a:bodyPr/>
        <a:lstStyle/>
        <a:p>
          <a:r>
            <a:rPr lang="en-US" sz="900">
              <a:latin typeface="+mn-lt"/>
              <a:cs typeface="Arial" panose="020B0604020202020204" pitchFamily="34" charset="0"/>
            </a:rPr>
            <a:t>Stable Macroeconomy and Good Governance</a:t>
          </a:r>
        </a:p>
      </dgm:t>
    </dgm:pt>
    <dgm:pt modelId="{44448AB2-B319-4424-BC0A-F096B1DE1836}" type="parTrans" cxnId="{EA4736F2-934F-4ECD-B2B9-7F770665B218}">
      <dgm:prSet/>
      <dgm:spPr/>
      <dgm:t>
        <a:bodyPr/>
        <a:lstStyle/>
        <a:p>
          <a:endParaRPr lang="en-US" sz="900">
            <a:latin typeface="+mn-lt"/>
          </a:endParaRPr>
        </a:p>
      </dgm:t>
    </dgm:pt>
    <dgm:pt modelId="{2FD70B37-B955-4097-B106-2B7C2E64A077}" type="sibTrans" cxnId="{EA4736F2-934F-4ECD-B2B9-7F770665B218}">
      <dgm:prSet/>
      <dgm:spPr/>
      <dgm:t>
        <a:bodyPr/>
        <a:lstStyle/>
        <a:p>
          <a:endParaRPr lang="en-US" sz="900">
            <a:latin typeface="+mn-lt"/>
          </a:endParaRPr>
        </a:p>
      </dgm:t>
    </dgm:pt>
    <dgm:pt modelId="{754E217C-2F56-4A40-ACD2-F5413E83DF13}">
      <dgm:prSet phldrT="[Text]" custT="1"/>
      <dgm:spPr/>
      <dgm:t>
        <a:bodyPr/>
        <a:lstStyle/>
        <a:p>
          <a:pPr indent="-457200" algn="l">
            <a:lnSpc>
              <a:spcPct val="100000"/>
            </a:lnSpc>
            <a:spcAft>
              <a:spcPts val="600"/>
            </a:spcAft>
          </a:pPr>
          <a:r>
            <a:rPr lang="en-US" sz="900">
              <a:latin typeface="+mn-lt"/>
              <a:cs typeface="Arial" panose="020B0604020202020204" pitchFamily="34" charset="0"/>
            </a:rPr>
            <a:t>1.1 Strengthened revenue, debt and risk management</a:t>
          </a:r>
        </a:p>
        <a:p>
          <a:pPr indent="-457200" algn="l">
            <a:lnSpc>
              <a:spcPct val="100000"/>
            </a:lnSpc>
            <a:spcAft>
              <a:spcPts val="600"/>
            </a:spcAft>
          </a:pPr>
          <a:r>
            <a:rPr lang="en-US" sz="900">
              <a:latin typeface="+mn-lt"/>
              <a:cs typeface="Arial" panose="020B0604020202020204" pitchFamily="34" charset="0"/>
            </a:rPr>
            <a:t>1.2 Enhanced public sector delivery performance</a:t>
          </a:r>
        </a:p>
        <a:p>
          <a:pPr indent="-457200" algn="l">
            <a:lnSpc>
              <a:spcPct val="100000"/>
            </a:lnSpc>
            <a:spcAft>
              <a:spcPts val="600"/>
            </a:spcAft>
          </a:pPr>
          <a:r>
            <a:rPr lang="en-US" sz="900">
              <a:latin typeface="+mn-lt"/>
              <a:cs typeface="Arial" panose="020B0604020202020204" pitchFamily="34" charset="0"/>
            </a:rPr>
            <a:t>1.3 Improved public sector accountability and transparency</a:t>
          </a:r>
        </a:p>
        <a:p>
          <a:pPr indent="-457200" algn="l">
            <a:lnSpc>
              <a:spcPct val="100000"/>
            </a:lnSpc>
            <a:spcAft>
              <a:spcPts val="600"/>
            </a:spcAft>
          </a:pPr>
          <a:r>
            <a:rPr lang="en-US" sz="900">
              <a:latin typeface="+mn-lt"/>
              <a:cs typeface="Arial" panose="020B0604020202020204" pitchFamily="34" charset="0"/>
            </a:rPr>
            <a:t>1.4 Improved capacity and efficiency of the statistical system</a:t>
          </a:r>
        </a:p>
        <a:p>
          <a:pPr indent="-457200" algn="l">
            <a:lnSpc>
              <a:spcPct val="100000"/>
            </a:lnSpc>
            <a:spcAft>
              <a:spcPts val="600"/>
            </a:spcAft>
          </a:pPr>
          <a:r>
            <a:rPr lang="en-US" sz="900">
              <a:latin typeface="+mn-lt"/>
              <a:cs typeface="Arial" panose="020B0604020202020204" pitchFamily="34" charset="0"/>
            </a:rPr>
            <a:t>1.5 Improved analytical underpinnings for policy reforms</a:t>
          </a:r>
        </a:p>
      </dgm:t>
    </dgm:pt>
    <dgm:pt modelId="{C1251787-29FB-445D-94A2-26F23E765E79}" type="parTrans" cxnId="{2ACADF5E-F59B-4AFA-9BE1-5C0141F41D62}">
      <dgm:prSet/>
      <dgm:spPr/>
      <dgm:t>
        <a:bodyPr/>
        <a:lstStyle/>
        <a:p>
          <a:endParaRPr lang="en-US" sz="900">
            <a:latin typeface="+mn-lt"/>
          </a:endParaRPr>
        </a:p>
      </dgm:t>
    </dgm:pt>
    <dgm:pt modelId="{2479E535-6E21-438D-8991-E96529EAF222}" type="sibTrans" cxnId="{2ACADF5E-F59B-4AFA-9BE1-5C0141F41D62}">
      <dgm:prSet/>
      <dgm:spPr/>
      <dgm:t>
        <a:bodyPr/>
        <a:lstStyle/>
        <a:p>
          <a:endParaRPr lang="en-US" sz="900">
            <a:latin typeface="+mn-lt"/>
          </a:endParaRPr>
        </a:p>
      </dgm:t>
    </dgm:pt>
    <dgm:pt modelId="{1AD049AE-0681-4AFB-A0E0-BF759F2B003B}">
      <dgm:prSet phldrT="[Text]" custT="1"/>
      <dgm:spPr/>
      <dgm:t>
        <a:bodyPr/>
        <a:lstStyle/>
        <a:p>
          <a:r>
            <a:rPr lang="en-US" sz="900">
              <a:latin typeface="+mn-lt"/>
              <a:cs typeface="Arial" panose="020B0604020202020204" pitchFamily="34" charset="0"/>
            </a:rPr>
            <a:t>Improved Conditions for Peace and Security</a:t>
          </a:r>
        </a:p>
      </dgm:t>
    </dgm:pt>
    <dgm:pt modelId="{5B7FA2FB-15E3-43B8-91B1-F590AD517F24}" type="parTrans" cxnId="{406D7EA6-D6A9-4C3D-8192-C2C03D4809F3}">
      <dgm:prSet/>
      <dgm:spPr/>
      <dgm:t>
        <a:bodyPr/>
        <a:lstStyle/>
        <a:p>
          <a:endParaRPr lang="en-US" sz="900">
            <a:latin typeface="+mn-lt"/>
          </a:endParaRPr>
        </a:p>
      </dgm:t>
    </dgm:pt>
    <dgm:pt modelId="{F0E6B24F-9174-4AA0-8DCD-925AF4496083}" type="sibTrans" cxnId="{406D7EA6-D6A9-4C3D-8192-C2C03D4809F3}">
      <dgm:prSet/>
      <dgm:spPr/>
      <dgm:t>
        <a:bodyPr/>
        <a:lstStyle/>
        <a:p>
          <a:endParaRPr lang="en-US" sz="900">
            <a:latin typeface="+mn-lt"/>
          </a:endParaRPr>
        </a:p>
      </dgm:t>
    </dgm:pt>
    <dgm:pt modelId="{B271AA11-3E1A-4892-B0DD-B2B64DBA2618}">
      <dgm:prSet phldrT="[Text]" custT="1"/>
      <dgm:spPr/>
      <dgm:t>
        <a:bodyPr/>
        <a:lstStyle/>
        <a:p>
          <a:pPr algn="l">
            <a:spcAft>
              <a:spcPts val="600"/>
            </a:spcAft>
          </a:pPr>
          <a:r>
            <a:rPr lang="en-US" sz="900">
              <a:latin typeface="+mn-lt"/>
              <a:cs typeface="Arial" panose="020B0604020202020204" pitchFamily="34" charset="0"/>
            </a:rPr>
            <a:t>4.1 Established and updated national household targetting system, with the system used to target beneficiaries of government programs</a:t>
          </a:r>
        </a:p>
        <a:p>
          <a:pPr algn="l">
            <a:spcAft>
              <a:spcPts val="600"/>
            </a:spcAft>
          </a:pPr>
          <a:r>
            <a:rPr lang="en-US" sz="900">
              <a:latin typeface="+mn-lt"/>
              <a:cs typeface="Arial" panose="020B0604020202020204" pitchFamily="34" charset="0"/>
            </a:rPr>
            <a:t>4.2 Established CCT programs to reach all children identified as poor  </a:t>
          </a:r>
        </a:p>
        <a:p>
          <a:pPr algn="l">
            <a:spcAft>
              <a:spcPts val="600"/>
            </a:spcAft>
          </a:pPr>
          <a:r>
            <a:rPr lang="en-US" sz="900">
              <a:latin typeface="+mn-lt"/>
              <a:cs typeface="Arial" panose="020B0604020202020204" pitchFamily="34" charset="0"/>
            </a:rPr>
            <a:t>4.3 Evidence used to inform policies and national budget allocations for social protection</a:t>
          </a:r>
        </a:p>
        <a:p>
          <a:pPr algn="l">
            <a:spcAft>
              <a:spcPts val="600"/>
            </a:spcAft>
          </a:pPr>
          <a:r>
            <a:rPr lang="en-US" sz="900">
              <a:latin typeface="+mn-lt"/>
              <a:cs typeface="Arial" panose="020B0604020202020204" pitchFamily="34" charset="0"/>
            </a:rPr>
            <a:t>4.4 Improved capacity of national government agencies to integrate climate change considerations in planning and budgeting</a:t>
          </a:r>
        </a:p>
        <a:p>
          <a:pPr algn="l">
            <a:spcAft>
              <a:spcPts val="600"/>
            </a:spcAft>
          </a:pPr>
          <a:r>
            <a:rPr lang="en-US" sz="900">
              <a:latin typeface="+mn-lt"/>
              <a:cs typeface="Arial" panose="020B0604020202020204" pitchFamily="34" charset="0"/>
            </a:rPr>
            <a:t>4.5 Increased readiness to address flood disaster risks in Metro Manila </a:t>
          </a:r>
        </a:p>
        <a:p>
          <a:pPr algn="l">
            <a:spcAft>
              <a:spcPts val="600"/>
            </a:spcAft>
          </a:pPr>
          <a:r>
            <a:rPr lang="en-US" sz="900">
              <a:latin typeface="+mn-lt"/>
              <a:cs typeface="Arial" panose="020B0604020202020204" pitchFamily="34" charset="0"/>
            </a:rPr>
            <a:t>4.6 Enhanced institutional capacities to plan and implement affordable and socially sustainable housing for informal settler families in flood prone areas of Metro Manila</a:t>
          </a:r>
        </a:p>
      </dgm:t>
    </dgm:pt>
    <dgm:pt modelId="{CC52BB86-DE95-4EDF-B9FE-B514B62748AC}" type="parTrans" cxnId="{A34D9B01-04EE-4B38-B0D4-4E4251DF49BE}">
      <dgm:prSet/>
      <dgm:spPr/>
      <dgm:t>
        <a:bodyPr/>
        <a:lstStyle/>
        <a:p>
          <a:endParaRPr lang="en-US" sz="900">
            <a:latin typeface="+mn-lt"/>
          </a:endParaRPr>
        </a:p>
      </dgm:t>
    </dgm:pt>
    <dgm:pt modelId="{C72DB1B3-7112-4690-ABC8-76BECB41B30C}" type="sibTrans" cxnId="{A34D9B01-04EE-4B38-B0D4-4E4251DF49BE}">
      <dgm:prSet/>
      <dgm:spPr/>
      <dgm:t>
        <a:bodyPr/>
        <a:lstStyle/>
        <a:p>
          <a:endParaRPr lang="en-US" sz="900">
            <a:latin typeface="+mn-lt"/>
          </a:endParaRPr>
        </a:p>
      </dgm:t>
    </dgm:pt>
    <dgm:pt modelId="{739C4077-DE40-471A-9BC0-936C4E304FE4}">
      <dgm:prSet phldrT="[Text]" custT="1"/>
      <dgm:spPr/>
      <dgm:t>
        <a:bodyPr/>
        <a:lstStyle/>
        <a:p>
          <a:r>
            <a:rPr lang="en-US" sz="900">
              <a:latin typeface="+mn-lt"/>
              <a:cs typeface="Arial" panose="020B0604020202020204" pitchFamily="34" charset="0"/>
            </a:rPr>
            <a:t>Reduced Vulnerabilities</a:t>
          </a:r>
        </a:p>
      </dgm:t>
    </dgm:pt>
    <dgm:pt modelId="{3604E7E2-4BEE-47E8-A8B9-38F06CF8D6D2}" type="parTrans" cxnId="{8BC7CFE5-B5E9-4AD2-A30C-11D78ABCA001}">
      <dgm:prSet/>
      <dgm:spPr/>
      <dgm:t>
        <a:bodyPr/>
        <a:lstStyle/>
        <a:p>
          <a:endParaRPr lang="en-US" sz="900">
            <a:latin typeface="+mn-lt"/>
          </a:endParaRPr>
        </a:p>
      </dgm:t>
    </dgm:pt>
    <dgm:pt modelId="{411FD555-8B56-4E8D-A05E-D65201E33857}" type="sibTrans" cxnId="{8BC7CFE5-B5E9-4AD2-A30C-11D78ABCA001}">
      <dgm:prSet/>
      <dgm:spPr/>
      <dgm:t>
        <a:bodyPr/>
        <a:lstStyle/>
        <a:p>
          <a:endParaRPr lang="en-US" sz="900">
            <a:latin typeface="+mn-lt"/>
          </a:endParaRPr>
        </a:p>
      </dgm:t>
    </dgm:pt>
    <dgm:pt modelId="{3D5AE6C7-1406-4C4D-905C-9E3EBED0727B}">
      <dgm:prSet phldrT="[Text]" custT="1"/>
      <dgm:spPr/>
      <dgm:t>
        <a:bodyPr/>
        <a:lstStyle/>
        <a:p>
          <a:r>
            <a:rPr lang="en-US" sz="900">
              <a:latin typeface="+mn-lt"/>
              <a:cs typeface="Arial" panose="020B0604020202020204" pitchFamily="34" charset="0"/>
            </a:rPr>
            <a:t>Better Service Delivery</a:t>
          </a:r>
        </a:p>
      </dgm:t>
    </dgm:pt>
    <dgm:pt modelId="{46B318BC-5E28-4035-A413-E17E79BB673D}" type="parTrans" cxnId="{4032CEF4-AD11-4138-8FA3-4ABC389EDA53}">
      <dgm:prSet/>
      <dgm:spPr/>
      <dgm:t>
        <a:bodyPr/>
        <a:lstStyle/>
        <a:p>
          <a:endParaRPr lang="en-US" sz="900">
            <a:latin typeface="+mn-lt"/>
          </a:endParaRPr>
        </a:p>
      </dgm:t>
    </dgm:pt>
    <dgm:pt modelId="{25B8272E-E148-4136-8561-4D8EF2E7180C}" type="sibTrans" cxnId="{4032CEF4-AD11-4138-8FA3-4ABC389EDA53}">
      <dgm:prSet/>
      <dgm:spPr/>
      <dgm:t>
        <a:bodyPr/>
        <a:lstStyle/>
        <a:p>
          <a:endParaRPr lang="en-US" sz="900">
            <a:latin typeface="+mn-lt"/>
          </a:endParaRPr>
        </a:p>
      </dgm:t>
    </dgm:pt>
    <dgm:pt modelId="{D673707D-2834-470D-A704-765CF8218FDD}">
      <dgm:prSet phldrT="[Text]" custT="1"/>
      <dgm:spPr/>
      <dgm:t>
        <a:bodyPr/>
        <a:lstStyle/>
        <a:p>
          <a:pPr algn="l">
            <a:spcAft>
              <a:spcPts val="600"/>
            </a:spcAft>
          </a:pPr>
          <a:r>
            <a:rPr lang="en-US" sz="900">
              <a:latin typeface="+mn-lt"/>
              <a:cs typeface="Arial" panose="020B0604020202020204" pitchFamily="34" charset="0"/>
            </a:rPr>
            <a:t>3.1 Enhanced policy formulation and more efficient and equitable resource allocation in education   </a:t>
          </a:r>
        </a:p>
        <a:p>
          <a:pPr algn="l">
            <a:spcAft>
              <a:spcPts val="600"/>
            </a:spcAft>
          </a:pPr>
          <a:r>
            <a:rPr lang="en-US" sz="900">
              <a:latin typeface="+mn-lt"/>
              <a:cs typeface="Arial" panose="020B0604020202020204" pitchFamily="34" charset="0"/>
            </a:rPr>
            <a:t>3.2 Improved accountability, inclusiveness and service deliery capacity at subnational level</a:t>
          </a:r>
        </a:p>
        <a:p>
          <a:pPr algn="l">
            <a:spcAft>
              <a:spcPts val="600"/>
            </a:spcAft>
          </a:pPr>
          <a:r>
            <a:rPr lang="en-US" sz="900">
              <a:latin typeface="+mn-lt"/>
              <a:cs typeface="Arial" panose="020B0604020202020204" pitchFamily="34" charset="0"/>
            </a:rPr>
            <a:t>3.3 Improved analytical underpinnings for public-private partnerships</a:t>
          </a:r>
        </a:p>
        <a:p>
          <a:pPr algn="l">
            <a:spcAft>
              <a:spcPts val="600"/>
            </a:spcAft>
          </a:pPr>
          <a:r>
            <a:rPr lang="en-US" sz="900">
              <a:latin typeface="+mn-lt"/>
              <a:cs typeface="Arial" panose="020B0604020202020204" pitchFamily="34" charset="0"/>
            </a:rPr>
            <a:t>3.4 Enhanced capacity of DPWH in road management </a:t>
          </a:r>
        </a:p>
        <a:p>
          <a:pPr algn="l">
            <a:spcAft>
              <a:spcPts val="600"/>
            </a:spcAft>
          </a:pPr>
          <a:r>
            <a:rPr lang="en-US" sz="900">
              <a:latin typeface="+mn-lt"/>
              <a:cs typeface="Arial" panose="020B0604020202020204" pitchFamily="34" charset="0"/>
            </a:rPr>
            <a:t>3.5 Enhanced capacity of DPWH for improved road safety</a:t>
          </a:r>
        </a:p>
      </dgm:t>
    </dgm:pt>
    <dgm:pt modelId="{68412BAD-EBE4-404A-9085-9F04BD84F25E}" type="parTrans" cxnId="{88C6B8DA-0B9E-4AD6-A3CC-22CAE1FD71D2}">
      <dgm:prSet/>
      <dgm:spPr/>
      <dgm:t>
        <a:bodyPr/>
        <a:lstStyle/>
        <a:p>
          <a:endParaRPr lang="en-US" sz="900">
            <a:latin typeface="+mn-lt"/>
          </a:endParaRPr>
        </a:p>
      </dgm:t>
    </dgm:pt>
    <dgm:pt modelId="{351DA977-88CC-4F30-B447-F4C422BFEFA9}" type="sibTrans" cxnId="{88C6B8DA-0B9E-4AD6-A3CC-22CAE1FD71D2}">
      <dgm:prSet/>
      <dgm:spPr/>
      <dgm:t>
        <a:bodyPr/>
        <a:lstStyle/>
        <a:p>
          <a:endParaRPr lang="en-US" sz="900">
            <a:latin typeface="+mn-lt"/>
          </a:endParaRPr>
        </a:p>
      </dgm:t>
    </dgm:pt>
    <dgm:pt modelId="{7C46E983-2BC2-4478-8192-191C344443E1}">
      <dgm:prSet custT="1"/>
      <dgm:spPr/>
      <dgm:t>
        <a:bodyPr/>
        <a:lstStyle/>
        <a:p>
          <a:pPr algn="ctr"/>
          <a:r>
            <a:rPr lang="en-US" sz="900" b="1">
              <a:latin typeface="+mn-lt"/>
              <a:cs typeface="Arial" panose="020B0604020202020204" pitchFamily="34" charset="0"/>
            </a:rPr>
            <a:t>Overall Goal</a:t>
          </a:r>
        </a:p>
        <a:p>
          <a:pPr algn="ctr"/>
          <a:r>
            <a:rPr lang="en-US" sz="900">
              <a:latin typeface="+mn-lt"/>
              <a:cs typeface="Arial" panose="020B0604020202020204" pitchFamily="34" charset="0"/>
            </a:rPr>
            <a:t>To improve governance and support investments that contribute to a stronger foundation for sustained and inclusive growth in the Philippines.</a:t>
          </a:r>
        </a:p>
        <a:p>
          <a:pPr algn="ctr"/>
          <a:endParaRPr lang="en-US" sz="900">
            <a:latin typeface="+mn-lt"/>
            <a:cs typeface="Arial" panose="020B0604020202020204" pitchFamily="34" charset="0"/>
          </a:endParaRPr>
        </a:p>
        <a:p>
          <a:pPr algn="ctr"/>
          <a:r>
            <a:rPr lang="en-US" sz="900" b="1">
              <a:latin typeface="+mn-lt"/>
              <a:cs typeface="Arial" panose="020B0604020202020204" pitchFamily="34" charset="0"/>
            </a:rPr>
            <a:t>Expected Outcomes:</a:t>
          </a:r>
        </a:p>
        <a:p>
          <a:pPr algn="l"/>
          <a:r>
            <a:rPr lang="en-US" sz="900">
              <a:latin typeface="+mn-lt"/>
              <a:cs typeface="Arial" panose="020B0604020202020204" pitchFamily="34" charset="0"/>
            </a:rPr>
            <a:t>1. Meaningful collaboration between Australia and the World Bank to (a) provide high quality and harmonized assistance to the Government of the Philippines; (b) contribute to the enhanced quality and effectiveness of policy dialogue between Australia, World Bank, and the Government of the Philippines</a:t>
          </a:r>
        </a:p>
        <a:p>
          <a:pPr algn="l"/>
          <a:r>
            <a:rPr lang="en-US" sz="900">
              <a:latin typeface="+mn-lt"/>
              <a:cs typeface="Arial" panose="020B0604020202020204" pitchFamily="34" charset="0"/>
            </a:rPr>
            <a:t>2. Strategic and efficient use of Australia’s and World Bank’s resources in the Philippines</a:t>
          </a:r>
        </a:p>
        <a:p>
          <a:pPr algn="l"/>
          <a:r>
            <a:rPr lang="en-US" sz="900">
              <a:latin typeface="+mn-lt"/>
              <a:cs typeface="Arial" panose="020B0604020202020204" pitchFamily="34" charset="0"/>
            </a:rPr>
            <a:t>3. Contribution to the achievement of the shared development objectives of Australia and the World Bank in the Philippines </a:t>
          </a:r>
        </a:p>
      </dgm:t>
    </dgm:pt>
    <dgm:pt modelId="{08F1C39D-AD10-462A-9824-02E469FEADE4}" type="parTrans" cxnId="{7F25B1B7-54EE-44A3-8431-3E31082508E5}">
      <dgm:prSet/>
      <dgm:spPr/>
      <dgm:t>
        <a:bodyPr/>
        <a:lstStyle/>
        <a:p>
          <a:endParaRPr lang="en-US" sz="900">
            <a:latin typeface="+mn-lt"/>
          </a:endParaRPr>
        </a:p>
      </dgm:t>
    </dgm:pt>
    <dgm:pt modelId="{3608E33E-2699-4219-B7EF-CF83C25D0AE0}" type="sibTrans" cxnId="{7F25B1B7-54EE-44A3-8431-3E31082508E5}">
      <dgm:prSet/>
      <dgm:spPr/>
      <dgm:t>
        <a:bodyPr/>
        <a:lstStyle/>
        <a:p>
          <a:endParaRPr lang="en-US" sz="900">
            <a:latin typeface="+mn-lt"/>
          </a:endParaRPr>
        </a:p>
      </dgm:t>
    </dgm:pt>
    <dgm:pt modelId="{8EDA44D0-BCD2-45EA-8546-F5ADE372889F}">
      <dgm:prSet custT="1"/>
      <dgm:spPr/>
      <dgm:t>
        <a:bodyPr/>
        <a:lstStyle/>
        <a:p>
          <a:pPr algn="l">
            <a:lnSpc>
              <a:spcPct val="100000"/>
            </a:lnSpc>
            <a:spcAft>
              <a:spcPts val="600"/>
            </a:spcAft>
          </a:pPr>
          <a:r>
            <a:rPr lang="en-US" sz="900">
              <a:latin typeface="+mn-lt"/>
              <a:cs typeface="Arial" panose="020B0604020202020204" pitchFamily="34" charset="0"/>
            </a:rPr>
            <a:t>2.1 Strengthened capacity of institutions to deliver justice and jobs in conflict affected areas</a:t>
          </a:r>
        </a:p>
      </dgm:t>
    </dgm:pt>
    <dgm:pt modelId="{E3F45EB9-4CE4-4512-AB0E-0E090620D85F}" type="parTrans" cxnId="{7837634C-3BD5-44CE-8215-17FDB2190872}">
      <dgm:prSet/>
      <dgm:spPr/>
      <dgm:t>
        <a:bodyPr/>
        <a:lstStyle/>
        <a:p>
          <a:endParaRPr lang="en-US" sz="900">
            <a:latin typeface="+mn-lt"/>
          </a:endParaRPr>
        </a:p>
      </dgm:t>
    </dgm:pt>
    <dgm:pt modelId="{F340B0E5-6A88-47B4-8056-DC2E71ACD813}" type="sibTrans" cxnId="{7837634C-3BD5-44CE-8215-17FDB2190872}">
      <dgm:prSet/>
      <dgm:spPr/>
      <dgm:t>
        <a:bodyPr/>
        <a:lstStyle/>
        <a:p>
          <a:endParaRPr lang="en-US" sz="900">
            <a:latin typeface="+mn-lt"/>
          </a:endParaRPr>
        </a:p>
      </dgm:t>
    </dgm:pt>
    <dgm:pt modelId="{2E2E8195-B146-41C4-AEC5-37D8CB0D811F}" type="pres">
      <dgm:prSet presAssocID="{329E47BE-921C-4C6B-A13A-320880BCDCAA}" presName="Name0" presStyleCnt="0">
        <dgm:presLayoutVars>
          <dgm:chPref val="1"/>
          <dgm:dir/>
          <dgm:animOne val="branch"/>
          <dgm:animLvl val="lvl"/>
          <dgm:resizeHandles/>
        </dgm:presLayoutVars>
      </dgm:prSet>
      <dgm:spPr/>
      <dgm:t>
        <a:bodyPr/>
        <a:lstStyle/>
        <a:p>
          <a:endParaRPr lang="en-US"/>
        </a:p>
      </dgm:t>
    </dgm:pt>
    <dgm:pt modelId="{C883E755-27B0-4744-95FD-CDD81FCCA987}" type="pres">
      <dgm:prSet presAssocID="{7C46E983-2BC2-4478-8192-191C344443E1}" presName="vertOne" presStyleCnt="0"/>
      <dgm:spPr/>
    </dgm:pt>
    <dgm:pt modelId="{BC76578F-117C-4439-BF12-ACAC51AA477D}" type="pres">
      <dgm:prSet presAssocID="{7C46E983-2BC2-4478-8192-191C344443E1}" presName="txOne" presStyleLbl="node0" presStyleIdx="0" presStyleCnt="1" custLinFactNeighborX="16" custLinFactNeighborY="6448">
        <dgm:presLayoutVars>
          <dgm:chPref val="3"/>
        </dgm:presLayoutVars>
      </dgm:prSet>
      <dgm:spPr/>
      <dgm:t>
        <a:bodyPr/>
        <a:lstStyle/>
        <a:p>
          <a:endParaRPr lang="en-US"/>
        </a:p>
      </dgm:t>
    </dgm:pt>
    <dgm:pt modelId="{9B268351-8438-491F-A61E-71F226F2538A}" type="pres">
      <dgm:prSet presAssocID="{7C46E983-2BC2-4478-8192-191C344443E1}" presName="parTransOne" presStyleCnt="0"/>
      <dgm:spPr/>
    </dgm:pt>
    <dgm:pt modelId="{18C4A3DD-3FF6-48AA-9DCF-8B9601553601}" type="pres">
      <dgm:prSet presAssocID="{7C46E983-2BC2-4478-8192-191C344443E1}" presName="horzOne" presStyleCnt="0"/>
      <dgm:spPr/>
    </dgm:pt>
    <dgm:pt modelId="{38576E8B-0F1E-4DC2-B12D-10697DA56C59}" type="pres">
      <dgm:prSet presAssocID="{6728856C-B893-4383-AC71-0C9368E741EB}" presName="vertTwo" presStyleCnt="0"/>
      <dgm:spPr/>
    </dgm:pt>
    <dgm:pt modelId="{2EA34564-1F6C-4128-83B3-FD0D59C62790}" type="pres">
      <dgm:prSet presAssocID="{6728856C-B893-4383-AC71-0C9368E741EB}" presName="txTwo" presStyleLbl="node2" presStyleIdx="0" presStyleCnt="4" custScaleY="28674">
        <dgm:presLayoutVars>
          <dgm:chPref val="3"/>
        </dgm:presLayoutVars>
      </dgm:prSet>
      <dgm:spPr/>
      <dgm:t>
        <a:bodyPr/>
        <a:lstStyle/>
        <a:p>
          <a:endParaRPr lang="en-US"/>
        </a:p>
      </dgm:t>
    </dgm:pt>
    <dgm:pt modelId="{155724FF-3BFE-4576-AF8C-D24ABCDCB249}" type="pres">
      <dgm:prSet presAssocID="{6728856C-B893-4383-AC71-0C9368E741EB}" presName="parTransTwo" presStyleCnt="0"/>
      <dgm:spPr/>
    </dgm:pt>
    <dgm:pt modelId="{2FD03C4D-0FBB-4DFA-82EF-BC30FD060A52}" type="pres">
      <dgm:prSet presAssocID="{6728856C-B893-4383-AC71-0C9368E741EB}" presName="horzTwo" presStyleCnt="0"/>
      <dgm:spPr/>
    </dgm:pt>
    <dgm:pt modelId="{36FFC77B-D7D1-46D0-91B4-67B454598AF8}" type="pres">
      <dgm:prSet presAssocID="{754E217C-2F56-4A40-ACD2-F5413E83DF13}" presName="vertThree" presStyleCnt="0"/>
      <dgm:spPr/>
    </dgm:pt>
    <dgm:pt modelId="{0A20384E-01D3-4C40-8553-0344D743EE43}" type="pres">
      <dgm:prSet presAssocID="{754E217C-2F56-4A40-ACD2-F5413E83DF13}" presName="txThree" presStyleLbl="node3" presStyleIdx="0" presStyleCnt="4" custScaleY="163987" custLinFactNeighborX="-1954" custLinFactNeighborY="-2460">
        <dgm:presLayoutVars>
          <dgm:chPref val="3"/>
        </dgm:presLayoutVars>
      </dgm:prSet>
      <dgm:spPr/>
      <dgm:t>
        <a:bodyPr/>
        <a:lstStyle/>
        <a:p>
          <a:endParaRPr lang="en-US"/>
        </a:p>
      </dgm:t>
    </dgm:pt>
    <dgm:pt modelId="{2559EAFF-2A81-497B-9CB7-8E657B79879D}" type="pres">
      <dgm:prSet presAssocID="{754E217C-2F56-4A40-ACD2-F5413E83DF13}" presName="horzThree" presStyleCnt="0"/>
      <dgm:spPr/>
    </dgm:pt>
    <dgm:pt modelId="{5EB8D08E-CE69-4A1F-B3AD-EAF227C297F6}" type="pres">
      <dgm:prSet presAssocID="{2FD70B37-B955-4097-B106-2B7C2E64A077}" presName="sibSpaceTwo" presStyleCnt="0"/>
      <dgm:spPr/>
    </dgm:pt>
    <dgm:pt modelId="{0E28DD6E-F886-4800-A3D6-4C51C1CAC5F7}" type="pres">
      <dgm:prSet presAssocID="{1AD049AE-0681-4AFB-A0E0-BF759F2B003B}" presName="vertTwo" presStyleCnt="0"/>
      <dgm:spPr/>
    </dgm:pt>
    <dgm:pt modelId="{A34F319F-0BEA-45AF-8798-DB399F4FBF7B}" type="pres">
      <dgm:prSet presAssocID="{1AD049AE-0681-4AFB-A0E0-BF759F2B003B}" presName="txTwo" presStyleLbl="node2" presStyleIdx="1" presStyleCnt="4" custScaleX="90956" custScaleY="28674" custLinFactNeighborX="2909">
        <dgm:presLayoutVars>
          <dgm:chPref val="3"/>
        </dgm:presLayoutVars>
      </dgm:prSet>
      <dgm:spPr/>
      <dgm:t>
        <a:bodyPr/>
        <a:lstStyle/>
        <a:p>
          <a:endParaRPr lang="en-US"/>
        </a:p>
      </dgm:t>
    </dgm:pt>
    <dgm:pt modelId="{6D57F2EB-0DFF-4CF9-B21E-2A0092D19E21}" type="pres">
      <dgm:prSet presAssocID="{1AD049AE-0681-4AFB-A0E0-BF759F2B003B}" presName="parTransTwo" presStyleCnt="0"/>
      <dgm:spPr/>
    </dgm:pt>
    <dgm:pt modelId="{AF332B70-735D-46A6-A6AC-2080DA2AC0F5}" type="pres">
      <dgm:prSet presAssocID="{1AD049AE-0681-4AFB-A0E0-BF759F2B003B}" presName="horzTwo" presStyleCnt="0"/>
      <dgm:spPr/>
    </dgm:pt>
    <dgm:pt modelId="{BB0528B2-38F5-4AEF-A0B7-F3A02C1736D1}" type="pres">
      <dgm:prSet presAssocID="{8EDA44D0-BCD2-45EA-8546-F5ADE372889F}" presName="vertThree" presStyleCnt="0"/>
      <dgm:spPr/>
    </dgm:pt>
    <dgm:pt modelId="{49D2702D-B7A0-4D67-885B-62A2250C41F5}" type="pres">
      <dgm:prSet presAssocID="{8EDA44D0-BCD2-45EA-8546-F5ADE372889F}" presName="txThree" presStyleLbl="node3" presStyleIdx="1" presStyleCnt="4" custScaleX="90956" custScaleY="163987" custLinFactNeighborX="1715" custLinFactNeighborY="-1095">
        <dgm:presLayoutVars>
          <dgm:chPref val="3"/>
        </dgm:presLayoutVars>
      </dgm:prSet>
      <dgm:spPr/>
      <dgm:t>
        <a:bodyPr/>
        <a:lstStyle/>
        <a:p>
          <a:endParaRPr lang="en-US"/>
        </a:p>
      </dgm:t>
    </dgm:pt>
    <dgm:pt modelId="{38664164-5BF5-4995-9B75-FA85665D6267}" type="pres">
      <dgm:prSet presAssocID="{8EDA44D0-BCD2-45EA-8546-F5ADE372889F}" presName="horzThree" presStyleCnt="0"/>
      <dgm:spPr/>
    </dgm:pt>
    <dgm:pt modelId="{C57A8119-9199-47F3-AC17-305EE2C9F521}" type="pres">
      <dgm:prSet presAssocID="{F0E6B24F-9174-4AA0-8DCD-925AF4496083}" presName="sibSpaceTwo" presStyleCnt="0"/>
      <dgm:spPr/>
    </dgm:pt>
    <dgm:pt modelId="{68DEBE96-8041-4C95-89BD-689C9AFD0501}" type="pres">
      <dgm:prSet presAssocID="{3D5AE6C7-1406-4C4D-905C-9E3EBED0727B}" presName="vertTwo" presStyleCnt="0"/>
      <dgm:spPr/>
    </dgm:pt>
    <dgm:pt modelId="{F61F1510-FBD8-417F-87C3-ACD80E493DC8}" type="pres">
      <dgm:prSet presAssocID="{3D5AE6C7-1406-4C4D-905C-9E3EBED0727B}" presName="txTwo" presStyleLbl="node2" presStyleIdx="2" presStyleCnt="4" custScaleX="99248" custScaleY="28674" custLinFactNeighborX="1599" custLinFactNeighborY="12897">
        <dgm:presLayoutVars>
          <dgm:chPref val="3"/>
        </dgm:presLayoutVars>
      </dgm:prSet>
      <dgm:spPr/>
      <dgm:t>
        <a:bodyPr/>
        <a:lstStyle/>
        <a:p>
          <a:endParaRPr lang="en-US"/>
        </a:p>
      </dgm:t>
    </dgm:pt>
    <dgm:pt modelId="{ADCF2C0A-71D3-49CA-AFCC-69A54FFEF87E}" type="pres">
      <dgm:prSet presAssocID="{3D5AE6C7-1406-4C4D-905C-9E3EBED0727B}" presName="parTransTwo" presStyleCnt="0"/>
      <dgm:spPr/>
    </dgm:pt>
    <dgm:pt modelId="{0CAE31B2-B6C9-4CF8-9737-E088F906A07A}" type="pres">
      <dgm:prSet presAssocID="{3D5AE6C7-1406-4C4D-905C-9E3EBED0727B}" presName="horzTwo" presStyleCnt="0"/>
      <dgm:spPr/>
    </dgm:pt>
    <dgm:pt modelId="{1B12DBD8-ACFD-41A8-A340-2DA436D2AA48}" type="pres">
      <dgm:prSet presAssocID="{D673707D-2834-470D-A704-765CF8218FDD}" presName="vertThree" presStyleCnt="0"/>
      <dgm:spPr/>
    </dgm:pt>
    <dgm:pt modelId="{3CDCE521-93B9-44E2-B267-EF7BFA01434C}" type="pres">
      <dgm:prSet presAssocID="{D673707D-2834-470D-A704-765CF8218FDD}" presName="txThree" presStyleLbl="node3" presStyleIdx="2" presStyleCnt="4" custScaleX="110744" custScaleY="163987" custLinFactNeighborX="-1337" custLinFactNeighborY="-998">
        <dgm:presLayoutVars>
          <dgm:chPref val="3"/>
        </dgm:presLayoutVars>
      </dgm:prSet>
      <dgm:spPr/>
      <dgm:t>
        <a:bodyPr/>
        <a:lstStyle/>
        <a:p>
          <a:endParaRPr lang="en-US"/>
        </a:p>
      </dgm:t>
    </dgm:pt>
    <dgm:pt modelId="{D7C0DE09-C6E1-4131-B01D-4CDD9D831BFF}" type="pres">
      <dgm:prSet presAssocID="{D673707D-2834-470D-A704-765CF8218FDD}" presName="horzThree" presStyleCnt="0"/>
      <dgm:spPr/>
    </dgm:pt>
    <dgm:pt modelId="{0901E5B9-1917-4186-9C3D-A49EEFF77F7E}" type="pres">
      <dgm:prSet presAssocID="{25B8272E-E148-4136-8561-4D8EF2E7180C}" presName="sibSpaceTwo" presStyleCnt="0"/>
      <dgm:spPr/>
    </dgm:pt>
    <dgm:pt modelId="{AF36A259-E54A-4FBF-A6BF-1723BA29453A}" type="pres">
      <dgm:prSet presAssocID="{739C4077-DE40-471A-9BC0-936C4E304FE4}" presName="vertTwo" presStyleCnt="0"/>
      <dgm:spPr/>
    </dgm:pt>
    <dgm:pt modelId="{027FE27E-8A57-4180-AE03-10EB45FE93E3}" type="pres">
      <dgm:prSet presAssocID="{739C4077-DE40-471A-9BC0-936C4E304FE4}" presName="txTwo" presStyleLbl="node2" presStyleIdx="3" presStyleCnt="4" custScaleX="96906" custScaleY="28674" custLinFactNeighborX="617">
        <dgm:presLayoutVars>
          <dgm:chPref val="3"/>
        </dgm:presLayoutVars>
      </dgm:prSet>
      <dgm:spPr/>
      <dgm:t>
        <a:bodyPr/>
        <a:lstStyle/>
        <a:p>
          <a:endParaRPr lang="en-US"/>
        </a:p>
      </dgm:t>
    </dgm:pt>
    <dgm:pt modelId="{65281E42-E1F7-4367-89E8-F68C680E30E2}" type="pres">
      <dgm:prSet presAssocID="{739C4077-DE40-471A-9BC0-936C4E304FE4}" presName="parTransTwo" presStyleCnt="0"/>
      <dgm:spPr/>
    </dgm:pt>
    <dgm:pt modelId="{AF78F369-66EA-4D11-BA94-ECA07C0326CA}" type="pres">
      <dgm:prSet presAssocID="{739C4077-DE40-471A-9BC0-936C4E304FE4}" presName="horzTwo" presStyleCnt="0"/>
      <dgm:spPr/>
    </dgm:pt>
    <dgm:pt modelId="{DEE65855-9448-496F-9E91-C4C4E81AE138}" type="pres">
      <dgm:prSet presAssocID="{B271AA11-3E1A-4892-B0DD-B2B64DBA2618}" presName="vertThree" presStyleCnt="0"/>
      <dgm:spPr/>
    </dgm:pt>
    <dgm:pt modelId="{411C59AA-3D1F-4AB9-96ED-8964EDD313BA}" type="pres">
      <dgm:prSet presAssocID="{B271AA11-3E1A-4892-B0DD-B2B64DBA2618}" presName="txThree" presStyleLbl="node3" presStyleIdx="3" presStyleCnt="4" custScaleX="180239" custScaleY="163987" custLinFactNeighborX="16433" custLinFactNeighborY="-1095">
        <dgm:presLayoutVars>
          <dgm:chPref val="3"/>
        </dgm:presLayoutVars>
      </dgm:prSet>
      <dgm:spPr/>
      <dgm:t>
        <a:bodyPr/>
        <a:lstStyle/>
        <a:p>
          <a:endParaRPr lang="en-US"/>
        </a:p>
      </dgm:t>
    </dgm:pt>
    <dgm:pt modelId="{82D3AED5-9124-48CC-B414-11600BB14352}" type="pres">
      <dgm:prSet presAssocID="{B271AA11-3E1A-4892-B0DD-B2B64DBA2618}" presName="horzThree" presStyleCnt="0"/>
      <dgm:spPr/>
    </dgm:pt>
  </dgm:ptLst>
  <dgm:cxnLst>
    <dgm:cxn modelId="{EA4736F2-934F-4ECD-B2B9-7F770665B218}" srcId="{7C46E983-2BC2-4478-8192-191C344443E1}" destId="{6728856C-B893-4383-AC71-0C9368E741EB}" srcOrd="0" destOrd="0" parTransId="{44448AB2-B319-4424-BC0A-F096B1DE1836}" sibTransId="{2FD70B37-B955-4097-B106-2B7C2E64A077}"/>
    <dgm:cxn modelId="{48646E1E-C72D-4E4A-BF42-2F710207F8CD}" type="presOf" srcId="{3D5AE6C7-1406-4C4D-905C-9E3EBED0727B}" destId="{F61F1510-FBD8-417F-87C3-ACD80E493DC8}" srcOrd="0" destOrd="0" presId="urn:microsoft.com/office/officeart/2005/8/layout/hierarchy4"/>
    <dgm:cxn modelId="{406D7EA6-D6A9-4C3D-8192-C2C03D4809F3}" srcId="{7C46E983-2BC2-4478-8192-191C344443E1}" destId="{1AD049AE-0681-4AFB-A0E0-BF759F2B003B}" srcOrd="1" destOrd="0" parTransId="{5B7FA2FB-15E3-43B8-91B1-F590AD517F24}" sibTransId="{F0E6B24F-9174-4AA0-8DCD-925AF4496083}"/>
    <dgm:cxn modelId="{5E39E51B-18F1-4EF5-A9F7-BCA1831FCCDB}" type="presOf" srcId="{D673707D-2834-470D-A704-765CF8218FDD}" destId="{3CDCE521-93B9-44E2-B267-EF7BFA01434C}" srcOrd="0" destOrd="0" presId="urn:microsoft.com/office/officeart/2005/8/layout/hierarchy4"/>
    <dgm:cxn modelId="{A34D9B01-04EE-4B38-B0D4-4E4251DF49BE}" srcId="{739C4077-DE40-471A-9BC0-936C4E304FE4}" destId="{B271AA11-3E1A-4892-B0DD-B2B64DBA2618}" srcOrd="0" destOrd="0" parTransId="{CC52BB86-DE95-4EDF-B9FE-B514B62748AC}" sibTransId="{C72DB1B3-7112-4690-ABC8-76BECB41B30C}"/>
    <dgm:cxn modelId="{CF8D38B0-AF45-4D62-A2D2-42F6882C84F5}" type="presOf" srcId="{1AD049AE-0681-4AFB-A0E0-BF759F2B003B}" destId="{A34F319F-0BEA-45AF-8798-DB399F4FBF7B}" srcOrd="0" destOrd="0" presId="urn:microsoft.com/office/officeart/2005/8/layout/hierarchy4"/>
    <dgm:cxn modelId="{8BC7CFE5-B5E9-4AD2-A30C-11D78ABCA001}" srcId="{7C46E983-2BC2-4478-8192-191C344443E1}" destId="{739C4077-DE40-471A-9BC0-936C4E304FE4}" srcOrd="3" destOrd="0" parTransId="{3604E7E2-4BEE-47E8-A8B9-38F06CF8D6D2}" sibTransId="{411FD555-8B56-4E8D-A05E-D65201E33857}"/>
    <dgm:cxn modelId="{D70FB082-3176-47EB-B260-52F27E5507FF}" type="presOf" srcId="{8EDA44D0-BCD2-45EA-8546-F5ADE372889F}" destId="{49D2702D-B7A0-4D67-885B-62A2250C41F5}" srcOrd="0" destOrd="0" presId="urn:microsoft.com/office/officeart/2005/8/layout/hierarchy4"/>
    <dgm:cxn modelId="{2ACADF5E-F59B-4AFA-9BE1-5C0141F41D62}" srcId="{6728856C-B893-4383-AC71-0C9368E741EB}" destId="{754E217C-2F56-4A40-ACD2-F5413E83DF13}" srcOrd="0" destOrd="0" parTransId="{C1251787-29FB-445D-94A2-26F23E765E79}" sibTransId="{2479E535-6E21-438D-8991-E96529EAF222}"/>
    <dgm:cxn modelId="{7F25B1B7-54EE-44A3-8431-3E31082508E5}" srcId="{329E47BE-921C-4C6B-A13A-320880BCDCAA}" destId="{7C46E983-2BC2-4478-8192-191C344443E1}" srcOrd="0" destOrd="0" parTransId="{08F1C39D-AD10-462A-9824-02E469FEADE4}" sibTransId="{3608E33E-2699-4219-B7EF-CF83C25D0AE0}"/>
    <dgm:cxn modelId="{85A2F99B-6CE4-4CD1-AF32-DC8F84C0A533}" type="presOf" srcId="{6728856C-B893-4383-AC71-0C9368E741EB}" destId="{2EA34564-1F6C-4128-83B3-FD0D59C62790}" srcOrd="0" destOrd="0" presId="urn:microsoft.com/office/officeart/2005/8/layout/hierarchy4"/>
    <dgm:cxn modelId="{88C6B8DA-0B9E-4AD6-A3CC-22CAE1FD71D2}" srcId="{3D5AE6C7-1406-4C4D-905C-9E3EBED0727B}" destId="{D673707D-2834-470D-A704-765CF8218FDD}" srcOrd="0" destOrd="0" parTransId="{68412BAD-EBE4-404A-9085-9F04BD84F25E}" sibTransId="{351DA977-88CC-4F30-B447-F4C422BFEFA9}"/>
    <dgm:cxn modelId="{4032CEF4-AD11-4138-8FA3-4ABC389EDA53}" srcId="{7C46E983-2BC2-4478-8192-191C344443E1}" destId="{3D5AE6C7-1406-4C4D-905C-9E3EBED0727B}" srcOrd="2" destOrd="0" parTransId="{46B318BC-5E28-4035-A413-E17E79BB673D}" sibTransId="{25B8272E-E148-4136-8561-4D8EF2E7180C}"/>
    <dgm:cxn modelId="{7837634C-3BD5-44CE-8215-17FDB2190872}" srcId="{1AD049AE-0681-4AFB-A0E0-BF759F2B003B}" destId="{8EDA44D0-BCD2-45EA-8546-F5ADE372889F}" srcOrd="0" destOrd="0" parTransId="{E3F45EB9-4CE4-4512-AB0E-0E090620D85F}" sibTransId="{F340B0E5-6A88-47B4-8056-DC2E71ACD813}"/>
    <dgm:cxn modelId="{11D73B10-05C5-49EC-9967-3A337779158B}" type="presOf" srcId="{329E47BE-921C-4C6B-A13A-320880BCDCAA}" destId="{2E2E8195-B146-41C4-AEC5-37D8CB0D811F}" srcOrd="0" destOrd="0" presId="urn:microsoft.com/office/officeart/2005/8/layout/hierarchy4"/>
    <dgm:cxn modelId="{C11D7AAF-23CC-445B-91E2-254E08B2F83D}" type="presOf" srcId="{754E217C-2F56-4A40-ACD2-F5413E83DF13}" destId="{0A20384E-01D3-4C40-8553-0344D743EE43}" srcOrd="0" destOrd="0" presId="urn:microsoft.com/office/officeart/2005/8/layout/hierarchy4"/>
    <dgm:cxn modelId="{EB359664-49B3-4DA9-A7CB-08D0E9B0C8ED}" type="presOf" srcId="{739C4077-DE40-471A-9BC0-936C4E304FE4}" destId="{027FE27E-8A57-4180-AE03-10EB45FE93E3}" srcOrd="0" destOrd="0" presId="urn:microsoft.com/office/officeart/2005/8/layout/hierarchy4"/>
    <dgm:cxn modelId="{A7D98CB2-4243-4AD1-BEA7-B673CB33628D}" type="presOf" srcId="{B271AA11-3E1A-4892-B0DD-B2B64DBA2618}" destId="{411C59AA-3D1F-4AB9-96ED-8964EDD313BA}" srcOrd="0" destOrd="0" presId="urn:microsoft.com/office/officeart/2005/8/layout/hierarchy4"/>
    <dgm:cxn modelId="{EE594C5B-D980-4E35-8F7A-D0F7D5878BAD}" type="presOf" srcId="{7C46E983-2BC2-4478-8192-191C344443E1}" destId="{BC76578F-117C-4439-BF12-ACAC51AA477D}" srcOrd="0" destOrd="0" presId="urn:microsoft.com/office/officeart/2005/8/layout/hierarchy4"/>
    <dgm:cxn modelId="{A1B727E7-7BBD-45BC-9272-8033865F2BD0}" type="presParOf" srcId="{2E2E8195-B146-41C4-AEC5-37D8CB0D811F}" destId="{C883E755-27B0-4744-95FD-CDD81FCCA987}" srcOrd="0" destOrd="0" presId="urn:microsoft.com/office/officeart/2005/8/layout/hierarchy4"/>
    <dgm:cxn modelId="{1E029548-A8D1-4B4C-A399-F76597D027EF}" type="presParOf" srcId="{C883E755-27B0-4744-95FD-CDD81FCCA987}" destId="{BC76578F-117C-4439-BF12-ACAC51AA477D}" srcOrd="0" destOrd="0" presId="urn:microsoft.com/office/officeart/2005/8/layout/hierarchy4"/>
    <dgm:cxn modelId="{2EA0F36C-D44A-4EF6-8A3A-44B6BF27FFEB}" type="presParOf" srcId="{C883E755-27B0-4744-95FD-CDD81FCCA987}" destId="{9B268351-8438-491F-A61E-71F226F2538A}" srcOrd="1" destOrd="0" presId="urn:microsoft.com/office/officeart/2005/8/layout/hierarchy4"/>
    <dgm:cxn modelId="{ACC0665B-1A1E-4F06-B1E7-0F2CB5EF3593}" type="presParOf" srcId="{C883E755-27B0-4744-95FD-CDD81FCCA987}" destId="{18C4A3DD-3FF6-48AA-9DCF-8B9601553601}" srcOrd="2" destOrd="0" presId="urn:microsoft.com/office/officeart/2005/8/layout/hierarchy4"/>
    <dgm:cxn modelId="{B9D463B5-176D-40B4-B3B2-68B88DEFB73B}" type="presParOf" srcId="{18C4A3DD-3FF6-48AA-9DCF-8B9601553601}" destId="{38576E8B-0F1E-4DC2-B12D-10697DA56C59}" srcOrd="0" destOrd="0" presId="urn:microsoft.com/office/officeart/2005/8/layout/hierarchy4"/>
    <dgm:cxn modelId="{ABF04F8B-1E5B-4C5E-BCCB-C8A7D254438E}" type="presParOf" srcId="{38576E8B-0F1E-4DC2-B12D-10697DA56C59}" destId="{2EA34564-1F6C-4128-83B3-FD0D59C62790}" srcOrd="0" destOrd="0" presId="urn:microsoft.com/office/officeart/2005/8/layout/hierarchy4"/>
    <dgm:cxn modelId="{20A7E75E-1FCC-4548-A6FE-1169A19411BE}" type="presParOf" srcId="{38576E8B-0F1E-4DC2-B12D-10697DA56C59}" destId="{155724FF-3BFE-4576-AF8C-D24ABCDCB249}" srcOrd="1" destOrd="0" presId="urn:microsoft.com/office/officeart/2005/8/layout/hierarchy4"/>
    <dgm:cxn modelId="{A4B368EB-524C-4B69-9DFF-C6E64F38AB53}" type="presParOf" srcId="{38576E8B-0F1E-4DC2-B12D-10697DA56C59}" destId="{2FD03C4D-0FBB-4DFA-82EF-BC30FD060A52}" srcOrd="2" destOrd="0" presId="urn:microsoft.com/office/officeart/2005/8/layout/hierarchy4"/>
    <dgm:cxn modelId="{F84D158F-D204-41CC-A3E6-94593C49EABD}" type="presParOf" srcId="{2FD03C4D-0FBB-4DFA-82EF-BC30FD060A52}" destId="{36FFC77B-D7D1-46D0-91B4-67B454598AF8}" srcOrd="0" destOrd="0" presId="urn:microsoft.com/office/officeart/2005/8/layout/hierarchy4"/>
    <dgm:cxn modelId="{D40C3188-B699-459D-8CEF-D821390EA928}" type="presParOf" srcId="{36FFC77B-D7D1-46D0-91B4-67B454598AF8}" destId="{0A20384E-01D3-4C40-8553-0344D743EE43}" srcOrd="0" destOrd="0" presId="urn:microsoft.com/office/officeart/2005/8/layout/hierarchy4"/>
    <dgm:cxn modelId="{8AA15604-549F-4372-A05B-03702F47EB88}" type="presParOf" srcId="{36FFC77B-D7D1-46D0-91B4-67B454598AF8}" destId="{2559EAFF-2A81-497B-9CB7-8E657B79879D}" srcOrd="1" destOrd="0" presId="urn:microsoft.com/office/officeart/2005/8/layout/hierarchy4"/>
    <dgm:cxn modelId="{7581C404-B25F-4C52-994B-9BCCF2671DC7}" type="presParOf" srcId="{18C4A3DD-3FF6-48AA-9DCF-8B9601553601}" destId="{5EB8D08E-CE69-4A1F-B3AD-EAF227C297F6}" srcOrd="1" destOrd="0" presId="urn:microsoft.com/office/officeart/2005/8/layout/hierarchy4"/>
    <dgm:cxn modelId="{5223A7EE-E729-4DF2-B76B-9A42A6065E21}" type="presParOf" srcId="{18C4A3DD-3FF6-48AA-9DCF-8B9601553601}" destId="{0E28DD6E-F886-4800-A3D6-4C51C1CAC5F7}" srcOrd="2" destOrd="0" presId="urn:microsoft.com/office/officeart/2005/8/layout/hierarchy4"/>
    <dgm:cxn modelId="{05DCC391-0B03-45C1-B8AB-78720DF651FD}" type="presParOf" srcId="{0E28DD6E-F886-4800-A3D6-4C51C1CAC5F7}" destId="{A34F319F-0BEA-45AF-8798-DB399F4FBF7B}" srcOrd="0" destOrd="0" presId="urn:microsoft.com/office/officeart/2005/8/layout/hierarchy4"/>
    <dgm:cxn modelId="{8410E697-FA83-4CA1-9B80-2A8742BD3433}" type="presParOf" srcId="{0E28DD6E-F886-4800-A3D6-4C51C1CAC5F7}" destId="{6D57F2EB-0DFF-4CF9-B21E-2A0092D19E21}" srcOrd="1" destOrd="0" presId="urn:microsoft.com/office/officeart/2005/8/layout/hierarchy4"/>
    <dgm:cxn modelId="{043C6EDA-4B6C-4B03-8D49-82452F2B405D}" type="presParOf" srcId="{0E28DD6E-F886-4800-A3D6-4C51C1CAC5F7}" destId="{AF332B70-735D-46A6-A6AC-2080DA2AC0F5}" srcOrd="2" destOrd="0" presId="urn:microsoft.com/office/officeart/2005/8/layout/hierarchy4"/>
    <dgm:cxn modelId="{C5028D85-551B-4F17-8F87-B1849D151EB2}" type="presParOf" srcId="{AF332B70-735D-46A6-A6AC-2080DA2AC0F5}" destId="{BB0528B2-38F5-4AEF-A0B7-F3A02C1736D1}" srcOrd="0" destOrd="0" presId="urn:microsoft.com/office/officeart/2005/8/layout/hierarchy4"/>
    <dgm:cxn modelId="{1E55D2FA-5BAF-42FE-AD87-BBAA5F5F556D}" type="presParOf" srcId="{BB0528B2-38F5-4AEF-A0B7-F3A02C1736D1}" destId="{49D2702D-B7A0-4D67-885B-62A2250C41F5}" srcOrd="0" destOrd="0" presId="urn:microsoft.com/office/officeart/2005/8/layout/hierarchy4"/>
    <dgm:cxn modelId="{EB1B685F-51C1-4F10-B31C-5623FC0A6F79}" type="presParOf" srcId="{BB0528B2-38F5-4AEF-A0B7-F3A02C1736D1}" destId="{38664164-5BF5-4995-9B75-FA85665D6267}" srcOrd="1" destOrd="0" presId="urn:microsoft.com/office/officeart/2005/8/layout/hierarchy4"/>
    <dgm:cxn modelId="{BAB1F3A5-E12F-4FC4-A6E8-27E73A77A2AF}" type="presParOf" srcId="{18C4A3DD-3FF6-48AA-9DCF-8B9601553601}" destId="{C57A8119-9199-47F3-AC17-305EE2C9F521}" srcOrd="3" destOrd="0" presId="urn:microsoft.com/office/officeart/2005/8/layout/hierarchy4"/>
    <dgm:cxn modelId="{C0995666-C605-4B64-BB3E-98706775E3DA}" type="presParOf" srcId="{18C4A3DD-3FF6-48AA-9DCF-8B9601553601}" destId="{68DEBE96-8041-4C95-89BD-689C9AFD0501}" srcOrd="4" destOrd="0" presId="urn:microsoft.com/office/officeart/2005/8/layout/hierarchy4"/>
    <dgm:cxn modelId="{3D3BC2AE-E59B-454F-997A-1A703C9BA45C}" type="presParOf" srcId="{68DEBE96-8041-4C95-89BD-689C9AFD0501}" destId="{F61F1510-FBD8-417F-87C3-ACD80E493DC8}" srcOrd="0" destOrd="0" presId="urn:microsoft.com/office/officeart/2005/8/layout/hierarchy4"/>
    <dgm:cxn modelId="{5B9CB01F-8A57-4F64-BF02-77E10D37E852}" type="presParOf" srcId="{68DEBE96-8041-4C95-89BD-689C9AFD0501}" destId="{ADCF2C0A-71D3-49CA-AFCC-69A54FFEF87E}" srcOrd="1" destOrd="0" presId="urn:microsoft.com/office/officeart/2005/8/layout/hierarchy4"/>
    <dgm:cxn modelId="{AB207375-4098-401B-8DF1-10C5C0A87829}" type="presParOf" srcId="{68DEBE96-8041-4C95-89BD-689C9AFD0501}" destId="{0CAE31B2-B6C9-4CF8-9737-E088F906A07A}" srcOrd="2" destOrd="0" presId="urn:microsoft.com/office/officeart/2005/8/layout/hierarchy4"/>
    <dgm:cxn modelId="{F4A18054-8747-4FE9-9D89-87B30AA669E1}" type="presParOf" srcId="{0CAE31B2-B6C9-4CF8-9737-E088F906A07A}" destId="{1B12DBD8-ACFD-41A8-A340-2DA436D2AA48}" srcOrd="0" destOrd="0" presId="urn:microsoft.com/office/officeart/2005/8/layout/hierarchy4"/>
    <dgm:cxn modelId="{D6567C98-8CC8-43BB-8126-5187F0C91C0D}" type="presParOf" srcId="{1B12DBD8-ACFD-41A8-A340-2DA436D2AA48}" destId="{3CDCE521-93B9-44E2-B267-EF7BFA01434C}" srcOrd="0" destOrd="0" presId="urn:microsoft.com/office/officeart/2005/8/layout/hierarchy4"/>
    <dgm:cxn modelId="{4B21786B-D9A8-4B71-9B38-19A7105CAC74}" type="presParOf" srcId="{1B12DBD8-ACFD-41A8-A340-2DA436D2AA48}" destId="{D7C0DE09-C6E1-4131-B01D-4CDD9D831BFF}" srcOrd="1" destOrd="0" presId="urn:microsoft.com/office/officeart/2005/8/layout/hierarchy4"/>
    <dgm:cxn modelId="{DD018524-52C0-4CD4-8432-159CE51EB36D}" type="presParOf" srcId="{18C4A3DD-3FF6-48AA-9DCF-8B9601553601}" destId="{0901E5B9-1917-4186-9C3D-A49EEFF77F7E}" srcOrd="5" destOrd="0" presId="urn:microsoft.com/office/officeart/2005/8/layout/hierarchy4"/>
    <dgm:cxn modelId="{70D1E74A-4428-4B39-9BBA-137733CF6054}" type="presParOf" srcId="{18C4A3DD-3FF6-48AA-9DCF-8B9601553601}" destId="{AF36A259-E54A-4FBF-A6BF-1723BA29453A}" srcOrd="6" destOrd="0" presId="urn:microsoft.com/office/officeart/2005/8/layout/hierarchy4"/>
    <dgm:cxn modelId="{77AA37D5-6B74-43C7-966B-8E61F4445786}" type="presParOf" srcId="{AF36A259-E54A-4FBF-A6BF-1723BA29453A}" destId="{027FE27E-8A57-4180-AE03-10EB45FE93E3}" srcOrd="0" destOrd="0" presId="urn:microsoft.com/office/officeart/2005/8/layout/hierarchy4"/>
    <dgm:cxn modelId="{3D0AC7A7-BEDE-4C64-8387-9A4C48B2682E}" type="presParOf" srcId="{AF36A259-E54A-4FBF-A6BF-1723BA29453A}" destId="{65281E42-E1F7-4367-89E8-F68C680E30E2}" srcOrd="1" destOrd="0" presId="urn:microsoft.com/office/officeart/2005/8/layout/hierarchy4"/>
    <dgm:cxn modelId="{12D1671F-12DB-45DC-A21A-55E085BDA160}" type="presParOf" srcId="{AF36A259-E54A-4FBF-A6BF-1723BA29453A}" destId="{AF78F369-66EA-4D11-BA94-ECA07C0326CA}" srcOrd="2" destOrd="0" presId="urn:microsoft.com/office/officeart/2005/8/layout/hierarchy4"/>
    <dgm:cxn modelId="{6CD5A24C-FBBC-43D4-8CB0-C30400E48BB4}" type="presParOf" srcId="{AF78F369-66EA-4D11-BA94-ECA07C0326CA}" destId="{DEE65855-9448-496F-9E91-C4C4E81AE138}" srcOrd="0" destOrd="0" presId="urn:microsoft.com/office/officeart/2005/8/layout/hierarchy4"/>
    <dgm:cxn modelId="{BEF24F2E-3A22-421E-ACAD-0BC3C81FF5B4}" type="presParOf" srcId="{DEE65855-9448-496F-9E91-C4C4E81AE138}" destId="{411C59AA-3D1F-4AB9-96ED-8964EDD313BA}" srcOrd="0" destOrd="0" presId="urn:microsoft.com/office/officeart/2005/8/layout/hierarchy4"/>
    <dgm:cxn modelId="{99BC35CD-D03F-47DE-A33F-0A3D80F927DF}" type="presParOf" srcId="{DEE65855-9448-496F-9E91-C4C4E81AE138}" destId="{82D3AED5-9124-48CC-B414-11600BB14352}" srcOrd="1" destOrd="0" presId="urn:microsoft.com/office/officeart/2005/8/layout/hierarchy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3EF3B9-610C-4960-8D7E-72B38DA3A8F5}">
      <dsp:nvSpPr>
        <dsp:cNvPr id="0" name=""/>
        <dsp:cNvSpPr/>
      </dsp:nvSpPr>
      <dsp:spPr>
        <a:xfrm>
          <a:off x="0" y="0"/>
          <a:ext cx="2061816" cy="5305425"/>
        </a:xfrm>
        <a:prstGeom prst="roundRect">
          <a:avLst>
            <a:gd name="adj" fmla="val 10000"/>
          </a:avLst>
        </a:prstGeom>
        <a:solidFill>
          <a:srgbClr val="44546A">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ts val="0"/>
            </a:spcAft>
            <a:buNone/>
          </a:pPr>
          <a:r>
            <a:rPr lang="en-US" sz="1600" kern="1200" dirty="0">
              <a:solidFill>
                <a:sysClr val="windowText" lastClr="000000">
                  <a:hueOff val="0"/>
                  <a:satOff val="0"/>
                  <a:lumOff val="0"/>
                  <a:alphaOff val="0"/>
                </a:sysClr>
              </a:solidFill>
              <a:latin typeface="+mn-lt"/>
              <a:ea typeface="+mn-ea"/>
              <a:cs typeface="Arial" panose="020B0604020202020204" pitchFamily="34" charset="0"/>
            </a:rPr>
            <a:t>Philippine Development Plans</a:t>
          </a:r>
        </a:p>
      </dsp:txBody>
      <dsp:txXfrm>
        <a:off x="0" y="0"/>
        <a:ext cx="2061816" cy="1591627"/>
      </dsp:txXfrm>
    </dsp:sp>
    <dsp:sp modelId="{8E5AF209-F2A5-4D19-AEEC-AA9AE4C4016D}">
      <dsp:nvSpPr>
        <dsp:cNvPr id="0" name=""/>
        <dsp:cNvSpPr/>
      </dsp:nvSpPr>
      <dsp:spPr>
        <a:xfrm>
          <a:off x="208282" y="1592080"/>
          <a:ext cx="1649452" cy="104230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buNone/>
          </a:pPr>
          <a:r>
            <a:rPr lang="en-US" sz="1100" kern="1200" dirty="0">
              <a:solidFill>
                <a:srgbClr val="44546A">
                  <a:hueOff val="0"/>
                  <a:satOff val="0"/>
                  <a:lumOff val="0"/>
                  <a:alphaOff val="0"/>
                </a:srgbClr>
              </a:solidFill>
              <a:latin typeface="+mn-lt"/>
              <a:ea typeface="+mn-ea"/>
              <a:cs typeface="Arial" panose="020B0604020202020204" pitchFamily="34" charset="0"/>
            </a:rPr>
            <a:t>Arroyo Administration</a:t>
          </a:r>
        </a:p>
        <a:p>
          <a:pPr lvl="0" algn="ctr" defTabSz="488950">
            <a:lnSpc>
              <a:spcPct val="90000"/>
            </a:lnSpc>
            <a:spcBef>
              <a:spcPct val="0"/>
            </a:spcBef>
            <a:spcAft>
              <a:spcPct val="35000"/>
            </a:spcAft>
            <a:buNone/>
          </a:pPr>
          <a:r>
            <a:rPr lang="en-US" sz="1100" kern="1200" dirty="0">
              <a:solidFill>
                <a:srgbClr val="44546A">
                  <a:hueOff val="0"/>
                  <a:satOff val="0"/>
                  <a:lumOff val="0"/>
                  <a:alphaOff val="0"/>
                </a:srgbClr>
              </a:solidFill>
              <a:latin typeface="+mn-lt"/>
              <a:ea typeface="+mn-ea"/>
              <a:cs typeface="Arial" panose="020B0604020202020204" pitchFamily="34" charset="0"/>
            </a:rPr>
            <a:t>2001-10</a:t>
          </a:r>
        </a:p>
      </dsp:txBody>
      <dsp:txXfrm>
        <a:off x="238810" y="1622608"/>
        <a:ext cx="1588396" cy="981247"/>
      </dsp:txXfrm>
    </dsp:sp>
    <dsp:sp modelId="{613A12C8-86D8-4CB9-9D80-E4B62ACA1486}">
      <dsp:nvSpPr>
        <dsp:cNvPr id="0" name=""/>
        <dsp:cNvSpPr/>
      </dsp:nvSpPr>
      <dsp:spPr>
        <a:xfrm>
          <a:off x="208282" y="2794738"/>
          <a:ext cx="1649452" cy="104230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buNone/>
          </a:pPr>
          <a:r>
            <a:rPr lang="en-US" sz="1100" kern="1200" dirty="0">
              <a:solidFill>
                <a:srgbClr val="44546A">
                  <a:hueOff val="0"/>
                  <a:satOff val="0"/>
                  <a:lumOff val="0"/>
                  <a:alphaOff val="0"/>
                </a:srgbClr>
              </a:solidFill>
              <a:latin typeface="+mn-lt"/>
              <a:ea typeface="+mn-ea"/>
              <a:cs typeface="Arial" panose="020B0604020202020204" pitchFamily="34" charset="0"/>
            </a:rPr>
            <a:t>Aquino Administration</a:t>
          </a:r>
        </a:p>
        <a:p>
          <a:pPr lvl="0" algn="ctr" defTabSz="488950">
            <a:lnSpc>
              <a:spcPct val="90000"/>
            </a:lnSpc>
            <a:spcBef>
              <a:spcPct val="0"/>
            </a:spcBef>
            <a:spcAft>
              <a:spcPct val="35000"/>
            </a:spcAft>
            <a:buNone/>
          </a:pPr>
          <a:r>
            <a:rPr lang="en-US" sz="1100" kern="1200" dirty="0">
              <a:solidFill>
                <a:srgbClr val="44546A">
                  <a:hueOff val="0"/>
                  <a:satOff val="0"/>
                  <a:lumOff val="0"/>
                  <a:alphaOff val="0"/>
                </a:srgbClr>
              </a:solidFill>
              <a:latin typeface="+mn-lt"/>
              <a:ea typeface="+mn-ea"/>
              <a:cs typeface="Arial" panose="020B0604020202020204" pitchFamily="34" charset="0"/>
            </a:rPr>
            <a:t>2010-16</a:t>
          </a:r>
        </a:p>
      </dsp:txBody>
      <dsp:txXfrm>
        <a:off x="238810" y="2825266"/>
        <a:ext cx="1588396" cy="981247"/>
      </dsp:txXfrm>
    </dsp:sp>
    <dsp:sp modelId="{AE30DE28-9D37-46B4-9058-9909C5105031}">
      <dsp:nvSpPr>
        <dsp:cNvPr id="0" name=""/>
        <dsp:cNvSpPr/>
      </dsp:nvSpPr>
      <dsp:spPr>
        <a:xfrm>
          <a:off x="208282" y="3997396"/>
          <a:ext cx="1649452" cy="104230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buNone/>
          </a:pPr>
          <a:r>
            <a:rPr lang="en-US" sz="1100" kern="1200" dirty="0" err="1">
              <a:solidFill>
                <a:srgbClr val="44546A">
                  <a:hueOff val="0"/>
                  <a:satOff val="0"/>
                  <a:lumOff val="0"/>
                  <a:alphaOff val="0"/>
                </a:srgbClr>
              </a:solidFill>
              <a:latin typeface="+mn-lt"/>
              <a:ea typeface="+mn-ea"/>
              <a:cs typeface="Arial" panose="020B0604020202020204" pitchFamily="34" charset="0"/>
            </a:rPr>
            <a:t>Duterte </a:t>
          </a:r>
          <a:r>
            <a:rPr lang="en-US" sz="1100" kern="1200" dirty="0">
              <a:solidFill>
                <a:srgbClr val="44546A">
                  <a:hueOff val="0"/>
                  <a:satOff val="0"/>
                  <a:lumOff val="0"/>
                  <a:alphaOff val="0"/>
                </a:srgbClr>
              </a:solidFill>
              <a:latin typeface="+mn-lt"/>
              <a:ea typeface="+mn-ea"/>
              <a:cs typeface="Arial" panose="020B0604020202020204" pitchFamily="34" charset="0"/>
            </a:rPr>
            <a:t>Administration</a:t>
          </a:r>
        </a:p>
        <a:p>
          <a:pPr lvl="0" algn="ctr" defTabSz="488950">
            <a:lnSpc>
              <a:spcPct val="90000"/>
            </a:lnSpc>
            <a:spcBef>
              <a:spcPct val="0"/>
            </a:spcBef>
            <a:spcAft>
              <a:spcPct val="35000"/>
            </a:spcAft>
            <a:buNone/>
          </a:pPr>
          <a:r>
            <a:rPr lang="en-US" sz="1100" kern="1200" dirty="0">
              <a:solidFill>
                <a:srgbClr val="44546A">
                  <a:hueOff val="0"/>
                  <a:satOff val="0"/>
                  <a:lumOff val="0"/>
                  <a:alphaOff val="0"/>
                </a:srgbClr>
              </a:solidFill>
              <a:latin typeface="+mn-lt"/>
              <a:ea typeface="+mn-ea"/>
              <a:cs typeface="Arial" panose="020B0604020202020204" pitchFamily="34" charset="0"/>
            </a:rPr>
            <a:t>2016-22</a:t>
          </a:r>
        </a:p>
      </dsp:txBody>
      <dsp:txXfrm>
        <a:off x="238810" y="4027924"/>
        <a:ext cx="1588396" cy="981247"/>
      </dsp:txXfrm>
    </dsp:sp>
    <dsp:sp modelId="{C7606475-8986-4181-A456-4C22F847AC28}">
      <dsp:nvSpPr>
        <dsp:cNvPr id="0" name=""/>
        <dsp:cNvSpPr/>
      </dsp:nvSpPr>
      <dsp:spPr>
        <a:xfrm>
          <a:off x="2218553" y="0"/>
          <a:ext cx="2061816" cy="5305425"/>
        </a:xfrm>
        <a:prstGeom prst="roundRect">
          <a:avLst>
            <a:gd name="adj" fmla="val 10000"/>
          </a:avLst>
        </a:prstGeom>
        <a:solidFill>
          <a:srgbClr val="44546A">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None/>
          </a:pPr>
          <a:r>
            <a:rPr lang="en-US" sz="1600" kern="1200" dirty="0">
              <a:solidFill>
                <a:sysClr val="windowText" lastClr="000000">
                  <a:hueOff val="0"/>
                  <a:satOff val="0"/>
                  <a:lumOff val="0"/>
                  <a:alphaOff val="0"/>
                </a:sysClr>
              </a:solidFill>
              <a:latin typeface="+mn-lt"/>
              <a:ea typeface="+mn-ea"/>
              <a:cs typeface="Arial" panose="020B0604020202020204" pitchFamily="34" charset="0"/>
            </a:rPr>
            <a:t>AusAID/DFAT Aid Investment Plans</a:t>
          </a:r>
        </a:p>
      </dsp:txBody>
      <dsp:txXfrm>
        <a:off x="2218553" y="0"/>
        <a:ext cx="2061816" cy="1591627"/>
      </dsp:txXfrm>
    </dsp:sp>
    <dsp:sp modelId="{A53BB532-F373-4A6A-A755-16099D56350F}">
      <dsp:nvSpPr>
        <dsp:cNvPr id="0" name=""/>
        <dsp:cNvSpPr/>
      </dsp:nvSpPr>
      <dsp:spPr>
        <a:xfrm>
          <a:off x="2424734" y="1593311"/>
          <a:ext cx="1649452" cy="1008626"/>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100000"/>
            </a:lnSpc>
            <a:spcBef>
              <a:spcPct val="0"/>
            </a:spcBef>
            <a:spcAft>
              <a:spcPts val="0"/>
            </a:spcAft>
            <a:buNone/>
          </a:pPr>
          <a:r>
            <a:rPr lang="en-US" sz="1100" kern="1200" dirty="0">
              <a:solidFill>
                <a:srgbClr val="44546A">
                  <a:hueOff val="0"/>
                  <a:satOff val="0"/>
                  <a:lumOff val="0"/>
                  <a:alphaOff val="0"/>
                </a:srgbClr>
              </a:solidFill>
              <a:latin typeface="+mn-lt"/>
              <a:ea typeface="+mn-ea"/>
              <a:cs typeface="Arial" panose="020B0604020202020204" pitchFamily="34" charset="0"/>
            </a:rPr>
            <a:t>Economic Growth</a:t>
          </a:r>
        </a:p>
        <a:p>
          <a:pPr lvl="0" algn="ctr" defTabSz="488950">
            <a:lnSpc>
              <a:spcPct val="100000"/>
            </a:lnSpc>
            <a:spcBef>
              <a:spcPct val="0"/>
            </a:spcBef>
            <a:spcAft>
              <a:spcPts val="0"/>
            </a:spcAft>
            <a:buNone/>
          </a:pPr>
          <a:r>
            <a:rPr lang="en-US" sz="1100" kern="1200" dirty="0">
              <a:solidFill>
                <a:srgbClr val="44546A">
                  <a:hueOff val="0"/>
                  <a:satOff val="0"/>
                  <a:lumOff val="0"/>
                  <a:alphaOff val="0"/>
                </a:srgbClr>
              </a:solidFill>
              <a:latin typeface="+mn-lt"/>
              <a:ea typeface="+mn-ea"/>
              <a:cs typeface="Arial" panose="020B0604020202020204" pitchFamily="34" charset="0"/>
            </a:rPr>
            <a:t>Basic Education</a:t>
          </a:r>
        </a:p>
        <a:p>
          <a:pPr lvl="0" algn="ctr" defTabSz="488950">
            <a:lnSpc>
              <a:spcPct val="100000"/>
            </a:lnSpc>
            <a:spcBef>
              <a:spcPct val="0"/>
            </a:spcBef>
            <a:spcAft>
              <a:spcPts val="0"/>
            </a:spcAft>
            <a:buNone/>
          </a:pPr>
          <a:r>
            <a:rPr lang="en-US" sz="1100" kern="1200" dirty="0">
              <a:solidFill>
                <a:srgbClr val="44546A">
                  <a:hueOff val="0"/>
                  <a:satOff val="0"/>
                  <a:lumOff val="0"/>
                  <a:alphaOff val="0"/>
                </a:srgbClr>
              </a:solidFill>
              <a:latin typeface="+mn-lt"/>
              <a:ea typeface="+mn-ea"/>
              <a:cs typeface="Arial" panose="020B0604020202020204" pitchFamily="34" charset="0"/>
            </a:rPr>
            <a:t>National Stability and Human Security</a:t>
          </a:r>
        </a:p>
        <a:p>
          <a:pPr lvl="0" algn="ctr" defTabSz="488950">
            <a:lnSpc>
              <a:spcPct val="100000"/>
            </a:lnSpc>
            <a:spcBef>
              <a:spcPct val="0"/>
            </a:spcBef>
            <a:spcAft>
              <a:spcPts val="0"/>
            </a:spcAft>
            <a:buNone/>
          </a:pPr>
          <a:r>
            <a:rPr lang="en-US" sz="1100" kern="1200" dirty="0">
              <a:solidFill>
                <a:srgbClr val="44546A">
                  <a:hueOff val="0"/>
                  <a:satOff val="0"/>
                  <a:lumOff val="0"/>
                  <a:alphaOff val="0"/>
                </a:srgbClr>
              </a:solidFill>
              <a:latin typeface="+mn-lt"/>
              <a:ea typeface="+mn-ea"/>
              <a:cs typeface="Arial" panose="020B0604020202020204" pitchFamily="34" charset="0"/>
            </a:rPr>
            <a:t>2007-11</a:t>
          </a:r>
        </a:p>
      </dsp:txBody>
      <dsp:txXfrm>
        <a:off x="2454276" y="1622853"/>
        <a:ext cx="1590368" cy="949542"/>
      </dsp:txXfrm>
    </dsp:sp>
    <dsp:sp modelId="{3C52526C-0E0A-434E-933F-5910DC2161C0}">
      <dsp:nvSpPr>
        <dsp:cNvPr id="0" name=""/>
        <dsp:cNvSpPr/>
      </dsp:nvSpPr>
      <dsp:spPr>
        <a:xfrm>
          <a:off x="2424734" y="2757111"/>
          <a:ext cx="1649452" cy="1008626"/>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dirty="0">
              <a:latin typeface="+mn-lt"/>
              <a:ea typeface="+mn-ea"/>
              <a:cs typeface="Arial" panose="020B0604020202020204" pitchFamily="34" charset="0"/>
            </a:rPr>
            <a:t>Strengthened Basic Services for the Poor</a:t>
          </a:r>
        </a:p>
        <a:p>
          <a:pPr lvl="0" algn="ctr" defTabSz="444500">
            <a:lnSpc>
              <a:spcPct val="90000"/>
            </a:lnSpc>
            <a:spcBef>
              <a:spcPct val="0"/>
            </a:spcBef>
            <a:spcAft>
              <a:spcPct val="35000"/>
            </a:spcAft>
          </a:pPr>
          <a:r>
            <a:rPr lang="en-US" sz="1000" kern="1200" dirty="0">
              <a:latin typeface="+mn-lt"/>
              <a:ea typeface="+mn-ea"/>
              <a:cs typeface="Arial" panose="020B0604020202020204" pitchFamily="34" charset="0"/>
            </a:rPr>
            <a:t>Reducing Vulnerability</a:t>
          </a:r>
        </a:p>
        <a:p>
          <a:pPr lvl="0" algn="ctr" defTabSz="444500">
            <a:lnSpc>
              <a:spcPct val="90000"/>
            </a:lnSpc>
            <a:spcBef>
              <a:spcPct val="0"/>
            </a:spcBef>
            <a:spcAft>
              <a:spcPct val="35000"/>
            </a:spcAft>
          </a:pPr>
          <a:r>
            <a:rPr lang="en-US" sz="1000" kern="1200" dirty="0">
              <a:latin typeface="+mn-lt"/>
              <a:ea typeface="+mn-ea"/>
              <a:cs typeface="Arial" panose="020B0604020202020204" pitchFamily="34" charset="0"/>
            </a:rPr>
            <a:t>Transparent, Accountable and Effective Governance</a:t>
          </a:r>
        </a:p>
        <a:p>
          <a:pPr lvl="0" algn="ctr" defTabSz="444500">
            <a:lnSpc>
              <a:spcPct val="90000"/>
            </a:lnSpc>
            <a:spcBef>
              <a:spcPct val="0"/>
            </a:spcBef>
            <a:spcAft>
              <a:spcPct val="35000"/>
            </a:spcAft>
          </a:pPr>
          <a:r>
            <a:rPr lang="en-US" sz="1000" kern="1200" dirty="0">
              <a:latin typeface="+mn-lt"/>
              <a:ea typeface="+mn-ea"/>
              <a:cs typeface="Arial" panose="020B0604020202020204" pitchFamily="34" charset="0"/>
            </a:rPr>
            <a:t>2011-2014</a:t>
          </a:r>
          <a:endParaRPr lang="en-US" sz="1000" kern="1200" dirty="0">
            <a:solidFill>
              <a:srgbClr val="44546A">
                <a:hueOff val="0"/>
                <a:satOff val="0"/>
                <a:lumOff val="0"/>
                <a:alphaOff val="0"/>
              </a:srgbClr>
            </a:solidFill>
            <a:latin typeface="+mn-lt"/>
            <a:ea typeface="+mn-ea"/>
            <a:cs typeface="Arial" panose="020B0604020202020204" pitchFamily="34" charset="0"/>
          </a:endParaRPr>
        </a:p>
      </dsp:txBody>
      <dsp:txXfrm>
        <a:off x="2454276" y="2786653"/>
        <a:ext cx="1590368" cy="949542"/>
      </dsp:txXfrm>
    </dsp:sp>
    <dsp:sp modelId="{96F4DC95-035A-4621-BB50-079EA8FA49C5}">
      <dsp:nvSpPr>
        <dsp:cNvPr id="0" name=""/>
        <dsp:cNvSpPr/>
      </dsp:nvSpPr>
      <dsp:spPr>
        <a:xfrm>
          <a:off x="2424734" y="3920911"/>
          <a:ext cx="1649452" cy="1117558"/>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100000"/>
            </a:lnSpc>
            <a:spcBef>
              <a:spcPct val="0"/>
            </a:spcBef>
            <a:spcAft>
              <a:spcPts val="0"/>
            </a:spcAft>
            <a:buNone/>
          </a:pPr>
          <a:r>
            <a:rPr lang="en-US" sz="1000" kern="1200" dirty="0">
              <a:solidFill>
                <a:srgbClr val="44546A">
                  <a:hueOff val="0"/>
                  <a:satOff val="0"/>
                  <a:lumOff val="0"/>
                  <a:alphaOff val="0"/>
                </a:srgbClr>
              </a:solidFill>
              <a:latin typeface="+mn-lt"/>
              <a:ea typeface="+mn-ea"/>
              <a:cs typeface="Arial" panose="020B0604020202020204" pitchFamily="34" charset="0"/>
            </a:rPr>
            <a:t>Enhancing Foundations for Economic Growth</a:t>
          </a:r>
        </a:p>
        <a:p>
          <a:pPr lvl="0" algn="ctr" defTabSz="444500">
            <a:lnSpc>
              <a:spcPct val="100000"/>
            </a:lnSpc>
            <a:spcBef>
              <a:spcPct val="0"/>
            </a:spcBef>
            <a:spcAft>
              <a:spcPts val="0"/>
            </a:spcAft>
            <a:buNone/>
          </a:pPr>
          <a:r>
            <a:rPr lang="en-US" sz="1000" kern="1200" dirty="0">
              <a:solidFill>
                <a:srgbClr val="44546A">
                  <a:hueOff val="0"/>
                  <a:satOff val="0"/>
                  <a:lumOff val="0"/>
                  <a:alphaOff val="0"/>
                </a:srgbClr>
              </a:solidFill>
              <a:latin typeface="+mn-lt"/>
              <a:ea typeface="+mn-ea"/>
              <a:cs typeface="Arial" panose="020B0604020202020204" pitchFamily="34" charset="0"/>
            </a:rPr>
            <a:t>Transparent and Accountable Governance</a:t>
          </a:r>
        </a:p>
        <a:p>
          <a:pPr lvl="0" algn="ctr" defTabSz="444500">
            <a:lnSpc>
              <a:spcPct val="100000"/>
            </a:lnSpc>
            <a:spcBef>
              <a:spcPct val="0"/>
            </a:spcBef>
            <a:spcAft>
              <a:spcPts val="0"/>
            </a:spcAft>
            <a:buNone/>
          </a:pPr>
          <a:r>
            <a:rPr lang="en-US" sz="1000" kern="1200" dirty="0">
              <a:solidFill>
                <a:srgbClr val="44546A">
                  <a:hueOff val="0"/>
                  <a:satOff val="0"/>
                  <a:lumOff val="0"/>
                  <a:alphaOff val="0"/>
                </a:srgbClr>
              </a:solidFill>
              <a:latin typeface="+mn-lt"/>
              <a:ea typeface="+mn-ea"/>
              <a:cs typeface="Arial" panose="020B0604020202020204" pitchFamily="34" charset="0"/>
            </a:rPr>
            <a:t>Improving Conditions for Peace and Stability</a:t>
          </a:r>
        </a:p>
        <a:p>
          <a:pPr lvl="0" algn="ctr" defTabSz="444500">
            <a:lnSpc>
              <a:spcPct val="100000"/>
            </a:lnSpc>
            <a:spcBef>
              <a:spcPct val="0"/>
            </a:spcBef>
            <a:spcAft>
              <a:spcPts val="0"/>
            </a:spcAft>
            <a:buNone/>
          </a:pPr>
          <a:r>
            <a:rPr lang="en-US" sz="1000" kern="1200" dirty="0">
              <a:solidFill>
                <a:srgbClr val="44546A">
                  <a:hueOff val="0"/>
                  <a:satOff val="0"/>
                  <a:lumOff val="0"/>
                  <a:alphaOff val="0"/>
                </a:srgbClr>
              </a:solidFill>
              <a:latin typeface="+mn-lt"/>
              <a:ea typeface="+mn-ea"/>
              <a:cs typeface="Arial" panose="020B0604020202020204" pitchFamily="34" charset="0"/>
            </a:rPr>
            <a:t>2015-18</a:t>
          </a:r>
        </a:p>
      </dsp:txBody>
      <dsp:txXfrm>
        <a:off x="2457466" y="3953643"/>
        <a:ext cx="1583988" cy="1052094"/>
      </dsp:txXfrm>
    </dsp:sp>
    <dsp:sp modelId="{520EB160-19DD-4E9B-A0C2-EB8307B333E8}">
      <dsp:nvSpPr>
        <dsp:cNvPr id="0" name=""/>
        <dsp:cNvSpPr/>
      </dsp:nvSpPr>
      <dsp:spPr>
        <a:xfrm>
          <a:off x="4435005" y="0"/>
          <a:ext cx="2061816" cy="5305425"/>
        </a:xfrm>
        <a:prstGeom prst="roundRect">
          <a:avLst>
            <a:gd name="adj" fmla="val 10000"/>
          </a:avLst>
        </a:prstGeom>
        <a:solidFill>
          <a:srgbClr val="44546A">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ts val="0"/>
            </a:spcAft>
            <a:buNone/>
          </a:pPr>
          <a:r>
            <a:rPr lang="en-US" sz="1600" kern="1200" dirty="0">
              <a:solidFill>
                <a:sysClr val="windowText" lastClr="000000">
                  <a:hueOff val="0"/>
                  <a:satOff val="0"/>
                  <a:lumOff val="0"/>
                  <a:alphaOff val="0"/>
                </a:sysClr>
              </a:solidFill>
              <a:latin typeface="+mn-lt"/>
              <a:ea typeface="+mn-ea"/>
              <a:cs typeface="Arial" panose="020B0604020202020204" pitchFamily="34" charset="0"/>
            </a:rPr>
            <a:t>World Bank</a:t>
          </a:r>
        </a:p>
        <a:p>
          <a:pPr lvl="0" algn="ctr" defTabSz="711200">
            <a:lnSpc>
              <a:spcPct val="90000"/>
            </a:lnSpc>
            <a:spcBef>
              <a:spcPct val="0"/>
            </a:spcBef>
            <a:spcAft>
              <a:spcPts val="0"/>
            </a:spcAft>
            <a:buNone/>
          </a:pPr>
          <a:r>
            <a:rPr lang="en-US" sz="1600" kern="1200" dirty="0">
              <a:solidFill>
                <a:sysClr val="windowText" lastClr="000000">
                  <a:hueOff val="0"/>
                  <a:satOff val="0"/>
                  <a:lumOff val="0"/>
                  <a:alphaOff val="0"/>
                </a:sysClr>
              </a:solidFill>
              <a:latin typeface="+mn-lt"/>
              <a:ea typeface="+mn-ea"/>
              <a:cs typeface="Arial" panose="020B0604020202020204" pitchFamily="34" charset="0"/>
            </a:rPr>
            <a:t>Country Strategy</a:t>
          </a:r>
        </a:p>
      </dsp:txBody>
      <dsp:txXfrm>
        <a:off x="4435005" y="0"/>
        <a:ext cx="2061816" cy="1591627"/>
      </dsp:txXfrm>
    </dsp:sp>
    <dsp:sp modelId="{94769BEC-F9DD-42EF-B78F-37AB35557D0F}">
      <dsp:nvSpPr>
        <dsp:cNvPr id="0" name=""/>
        <dsp:cNvSpPr/>
      </dsp:nvSpPr>
      <dsp:spPr>
        <a:xfrm>
          <a:off x="4587629" y="1592074"/>
          <a:ext cx="1756568" cy="764957"/>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100000"/>
            </a:lnSpc>
            <a:spcBef>
              <a:spcPct val="0"/>
            </a:spcBef>
            <a:spcAft>
              <a:spcPts val="0"/>
            </a:spcAft>
            <a:buNone/>
          </a:pPr>
          <a:r>
            <a:rPr lang="en-US" sz="1000" kern="1200" dirty="0">
              <a:solidFill>
                <a:srgbClr val="44546A">
                  <a:hueOff val="0"/>
                  <a:satOff val="0"/>
                  <a:lumOff val="0"/>
                  <a:alphaOff val="0"/>
                </a:srgbClr>
              </a:solidFill>
              <a:latin typeface="+mn-lt"/>
              <a:ea typeface="+mn-ea"/>
              <a:cs typeface="Arial" panose="020B0604020202020204" pitchFamily="34" charset="0"/>
            </a:rPr>
            <a:t>Fiscal Stability</a:t>
          </a:r>
        </a:p>
        <a:p>
          <a:pPr lvl="0" algn="ctr" defTabSz="444500">
            <a:lnSpc>
              <a:spcPct val="100000"/>
            </a:lnSpc>
            <a:spcBef>
              <a:spcPct val="0"/>
            </a:spcBef>
            <a:spcAft>
              <a:spcPts val="0"/>
            </a:spcAft>
            <a:buNone/>
          </a:pPr>
          <a:r>
            <a:rPr lang="en-US" sz="1000" kern="1200" dirty="0">
              <a:solidFill>
                <a:srgbClr val="44546A">
                  <a:hueOff val="0"/>
                  <a:satOff val="0"/>
                  <a:lumOff val="0"/>
                  <a:alphaOff val="0"/>
                </a:srgbClr>
              </a:solidFill>
              <a:latin typeface="+mn-lt"/>
              <a:ea typeface="+mn-ea"/>
              <a:cs typeface="Arial" panose="020B0604020202020204" pitchFamily="34" charset="0"/>
            </a:rPr>
            <a:t>Governance</a:t>
          </a:r>
        </a:p>
        <a:p>
          <a:pPr lvl="0" algn="ctr" defTabSz="444500">
            <a:lnSpc>
              <a:spcPct val="100000"/>
            </a:lnSpc>
            <a:spcBef>
              <a:spcPct val="0"/>
            </a:spcBef>
            <a:spcAft>
              <a:spcPts val="0"/>
            </a:spcAft>
            <a:buNone/>
          </a:pPr>
          <a:r>
            <a:rPr lang="en-US" sz="1000" kern="1200" dirty="0">
              <a:solidFill>
                <a:srgbClr val="44546A">
                  <a:hueOff val="0"/>
                  <a:satOff val="0"/>
                  <a:lumOff val="0"/>
                  <a:alphaOff val="0"/>
                </a:srgbClr>
              </a:solidFill>
              <a:latin typeface="+mn-lt"/>
              <a:ea typeface="+mn-ea"/>
              <a:cs typeface="Arial" panose="020B0604020202020204" pitchFamily="34" charset="0"/>
            </a:rPr>
            <a:t>Growth</a:t>
          </a:r>
        </a:p>
        <a:p>
          <a:pPr lvl="0" algn="ctr" defTabSz="444500">
            <a:lnSpc>
              <a:spcPct val="100000"/>
            </a:lnSpc>
            <a:spcBef>
              <a:spcPct val="0"/>
            </a:spcBef>
            <a:spcAft>
              <a:spcPts val="0"/>
            </a:spcAft>
            <a:buNone/>
          </a:pPr>
          <a:r>
            <a:rPr lang="en-US" sz="1000" kern="1200" dirty="0">
              <a:solidFill>
                <a:srgbClr val="44546A">
                  <a:hueOff val="0"/>
                  <a:satOff val="0"/>
                  <a:lumOff val="0"/>
                  <a:alphaOff val="0"/>
                </a:srgbClr>
              </a:solidFill>
              <a:latin typeface="+mn-lt"/>
              <a:ea typeface="+mn-ea"/>
              <a:cs typeface="Arial" panose="020B0604020202020204" pitchFamily="34" charset="0"/>
            </a:rPr>
            <a:t>Social Inclusion</a:t>
          </a:r>
        </a:p>
        <a:p>
          <a:pPr lvl="0" algn="ctr" defTabSz="444500">
            <a:lnSpc>
              <a:spcPct val="100000"/>
            </a:lnSpc>
            <a:spcBef>
              <a:spcPct val="0"/>
            </a:spcBef>
            <a:spcAft>
              <a:spcPts val="0"/>
            </a:spcAft>
            <a:buNone/>
          </a:pPr>
          <a:r>
            <a:rPr lang="en-US" sz="1000" kern="1200" dirty="0">
              <a:solidFill>
                <a:srgbClr val="44546A">
                  <a:hueOff val="0"/>
                  <a:satOff val="0"/>
                  <a:lumOff val="0"/>
                  <a:alphaOff val="0"/>
                </a:srgbClr>
              </a:solidFill>
              <a:latin typeface="+mn-lt"/>
              <a:ea typeface="+mn-ea"/>
              <a:cs typeface="Arial" panose="020B0604020202020204" pitchFamily="34" charset="0"/>
            </a:rPr>
            <a:t>2006-08</a:t>
          </a:r>
        </a:p>
      </dsp:txBody>
      <dsp:txXfrm>
        <a:off x="4610034" y="1614479"/>
        <a:ext cx="1711758" cy="720147"/>
      </dsp:txXfrm>
    </dsp:sp>
    <dsp:sp modelId="{E35F7EFF-0E31-4AF5-824C-325F163895F1}">
      <dsp:nvSpPr>
        <dsp:cNvPr id="0" name=""/>
        <dsp:cNvSpPr/>
      </dsp:nvSpPr>
      <dsp:spPr>
        <a:xfrm>
          <a:off x="4597287" y="2398739"/>
          <a:ext cx="1737253" cy="108518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100000"/>
            </a:lnSpc>
            <a:spcBef>
              <a:spcPct val="0"/>
            </a:spcBef>
            <a:spcAft>
              <a:spcPts val="0"/>
            </a:spcAft>
            <a:buNone/>
          </a:pPr>
          <a:r>
            <a:rPr lang="en-US" sz="1000" kern="1200" dirty="0">
              <a:solidFill>
                <a:srgbClr val="44546A">
                  <a:hueOff val="0"/>
                  <a:satOff val="0"/>
                  <a:lumOff val="0"/>
                  <a:alphaOff val="0"/>
                </a:srgbClr>
              </a:solidFill>
              <a:latin typeface="+mn-lt"/>
              <a:ea typeface="+mn-ea"/>
              <a:cs typeface="Arial" panose="020B0604020202020204" pitchFamily="34" charset="0"/>
            </a:rPr>
            <a:t>Stable Macro economy</a:t>
          </a:r>
        </a:p>
        <a:p>
          <a:pPr lvl="0" algn="ctr" defTabSz="444500">
            <a:lnSpc>
              <a:spcPts val="800"/>
            </a:lnSpc>
            <a:spcBef>
              <a:spcPct val="0"/>
            </a:spcBef>
            <a:spcAft>
              <a:spcPts val="0"/>
            </a:spcAft>
            <a:buNone/>
          </a:pPr>
          <a:r>
            <a:rPr lang="en-US" sz="1000" kern="1200" dirty="0">
              <a:solidFill>
                <a:srgbClr val="44546A">
                  <a:hueOff val="0"/>
                  <a:satOff val="0"/>
                  <a:lumOff val="0"/>
                  <a:alphaOff val="0"/>
                </a:srgbClr>
              </a:solidFill>
              <a:latin typeface="+mn-lt"/>
              <a:ea typeface="+mn-ea"/>
              <a:cs typeface="Arial" panose="020B0604020202020204" pitchFamily="34" charset="0"/>
            </a:rPr>
            <a:t>Improved Investment Climate</a:t>
          </a:r>
        </a:p>
        <a:p>
          <a:pPr lvl="0" algn="ctr" defTabSz="444500">
            <a:lnSpc>
              <a:spcPts val="800"/>
            </a:lnSpc>
            <a:spcBef>
              <a:spcPct val="0"/>
            </a:spcBef>
            <a:spcAft>
              <a:spcPct val="35000"/>
            </a:spcAft>
            <a:buNone/>
          </a:pPr>
          <a:r>
            <a:rPr lang="en-US" sz="1000" kern="1200" dirty="0">
              <a:solidFill>
                <a:srgbClr val="44546A">
                  <a:hueOff val="0"/>
                  <a:satOff val="0"/>
                  <a:lumOff val="0"/>
                  <a:alphaOff val="0"/>
                </a:srgbClr>
              </a:solidFill>
              <a:latin typeface="+mn-lt"/>
              <a:ea typeface="+mn-ea"/>
              <a:cs typeface="Arial" panose="020B0604020202020204" pitchFamily="34" charset="0"/>
            </a:rPr>
            <a:t>Better Service Delivery</a:t>
          </a:r>
          <a:br>
            <a:rPr lang="en-US" sz="1000" kern="1200" dirty="0">
              <a:solidFill>
                <a:srgbClr val="44546A">
                  <a:hueOff val="0"/>
                  <a:satOff val="0"/>
                  <a:lumOff val="0"/>
                  <a:alphaOff val="0"/>
                </a:srgbClr>
              </a:solidFill>
              <a:latin typeface="+mn-lt"/>
              <a:ea typeface="+mn-ea"/>
              <a:cs typeface="Arial" panose="020B0604020202020204" pitchFamily="34" charset="0"/>
            </a:rPr>
          </a:br>
          <a:r>
            <a:rPr lang="en-US" sz="1000" kern="1200" dirty="0">
              <a:solidFill>
                <a:srgbClr val="44546A">
                  <a:hueOff val="0"/>
                  <a:satOff val="0"/>
                  <a:lumOff val="0"/>
                  <a:alphaOff val="0"/>
                </a:srgbClr>
              </a:solidFill>
              <a:latin typeface="+mn-lt"/>
              <a:ea typeface="+mn-ea"/>
              <a:cs typeface="Arial" panose="020B0604020202020204" pitchFamily="34" charset="0"/>
            </a:rPr>
            <a:t>Reduced Vulnerabilities </a:t>
          </a:r>
          <a:br>
            <a:rPr lang="en-US" sz="1000" kern="1200" dirty="0">
              <a:solidFill>
                <a:srgbClr val="44546A">
                  <a:hueOff val="0"/>
                  <a:satOff val="0"/>
                  <a:lumOff val="0"/>
                  <a:alphaOff val="0"/>
                </a:srgbClr>
              </a:solidFill>
              <a:latin typeface="+mn-lt"/>
              <a:ea typeface="+mn-ea"/>
              <a:cs typeface="Arial" panose="020B0604020202020204" pitchFamily="34" charset="0"/>
            </a:rPr>
          </a:br>
          <a:r>
            <a:rPr lang="en-US" sz="1000" kern="1200" dirty="0">
              <a:solidFill>
                <a:srgbClr val="44546A">
                  <a:hueOff val="0"/>
                  <a:satOff val="0"/>
                  <a:lumOff val="0"/>
                  <a:alphaOff val="0"/>
                </a:srgbClr>
              </a:solidFill>
              <a:latin typeface="+mn-lt"/>
              <a:ea typeface="+mn-ea"/>
              <a:cs typeface="Arial" panose="020B0604020202020204" pitchFamily="34" charset="0"/>
            </a:rPr>
            <a:t>Good Governance</a:t>
          </a:r>
        </a:p>
        <a:p>
          <a:pPr lvl="0" algn="ctr" defTabSz="444500">
            <a:lnSpc>
              <a:spcPts val="800"/>
            </a:lnSpc>
            <a:spcBef>
              <a:spcPct val="0"/>
            </a:spcBef>
            <a:spcAft>
              <a:spcPct val="35000"/>
            </a:spcAft>
            <a:buNone/>
          </a:pPr>
          <a:r>
            <a:rPr lang="en-US" sz="1000" kern="1200" dirty="0">
              <a:solidFill>
                <a:srgbClr val="44546A">
                  <a:hueOff val="0"/>
                  <a:satOff val="0"/>
                  <a:lumOff val="0"/>
                  <a:alphaOff val="0"/>
                </a:srgbClr>
              </a:solidFill>
              <a:latin typeface="+mn-lt"/>
              <a:ea typeface="+mn-ea"/>
              <a:cs typeface="Arial" panose="020B0604020202020204" pitchFamily="34" charset="0"/>
            </a:rPr>
            <a:t>2010-13</a:t>
          </a:r>
        </a:p>
      </dsp:txBody>
      <dsp:txXfrm>
        <a:off x="4629071" y="2430523"/>
        <a:ext cx="1673685" cy="1021615"/>
      </dsp:txXfrm>
    </dsp:sp>
    <dsp:sp modelId="{58EFD5F6-4A82-46BC-A7E7-BB35ADABCF42}">
      <dsp:nvSpPr>
        <dsp:cNvPr id="0" name=""/>
        <dsp:cNvSpPr/>
      </dsp:nvSpPr>
      <dsp:spPr>
        <a:xfrm>
          <a:off x="4490188" y="3525630"/>
          <a:ext cx="1951451" cy="1514077"/>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100000"/>
            </a:lnSpc>
            <a:spcBef>
              <a:spcPct val="0"/>
            </a:spcBef>
            <a:spcAft>
              <a:spcPts val="0"/>
            </a:spcAft>
            <a:buNone/>
          </a:pPr>
          <a:r>
            <a:rPr lang="en-US" sz="900" kern="1200" dirty="0">
              <a:solidFill>
                <a:srgbClr val="44546A">
                  <a:hueOff val="0"/>
                  <a:satOff val="0"/>
                  <a:lumOff val="0"/>
                  <a:alphaOff val="0"/>
                </a:srgbClr>
              </a:solidFill>
              <a:latin typeface="+mn-lt"/>
              <a:ea typeface="+mn-ea"/>
              <a:cs typeface="Arial" panose="020B0604020202020204" pitchFamily="34" charset="0"/>
            </a:rPr>
            <a:t>Transparent and Accountable Government</a:t>
          </a:r>
        </a:p>
        <a:p>
          <a:pPr lvl="0" algn="ctr" defTabSz="400050">
            <a:lnSpc>
              <a:spcPct val="100000"/>
            </a:lnSpc>
            <a:spcBef>
              <a:spcPct val="0"/>
            </a:spcBef>
            <a:spcAft>
              <a:spcPts val="0"/>
            </a:spcAft>
            <a:buNone/>
          </a:pPr>
          <a:r>
            <a:rPr lang="en-US" sz="900" kern="1200" dirty="0">
              <a:solidFill>
                <a:srgbClr val="44546A">
                  <a:hueOff val="0"/>
                  <a:satOff val="0"/>
                  <a:lumOff val="0"/>
                  <a:alphaOff val="0"/>
                </a:srgbClr>
              </a:solidFill>
              <a:latin typeface="+mn-lt"/>
              <a:ea typeface="+mn-ea"/>
              <a:cs typeface="Arial" panose="020B0604020202020204" pitchFamily="34" charset="0"/>
            </a:rPr>
            <a:t>Empowerment of the Poor and Vulnerable</a:t>
          </a:r>
        </a:p>
        <a:p>
          <a:pPr lvl="0" algn="ctr" defTabSz="400050">
            <a:lnSpc>
              <a:spcPct val="100000"/>
            </a:lnSpc>
            <a:spcBef>
              <a:spcPct val="0"/>
            </a:spcBef>
            <a:spcAft>
              <a:spcPts val="0"/>
            </a:spcAft>
            <a:buNone/>
          </a:pPr>
          <a:r>
            <a:rPr lang="en-US" sz="900" kern="1200" dirty="0">
              <a:solidFill>
                <a:srgbClr val="44546A">
                  <a:hueOff val="0"/>
                  <a:satOff val="0"/>
                  <a:lumOff val="0"/>
                  <a:alphaOff val="0"/>
                </a:srgbClr>
              </a:solidFill>
              <a:latin typeface="+mn-lt"/>
              <a:ea typeface="+mn-ea"/>
              <a:cs typeface="Arial" panose="020B0604020202020204" pitchFamily="34" charset="0"/>
            </a:rPr>
            <a:t>Rapid, Inclusive and Sustained Growth</a:t>
          </a:r>
        </a:p>
        <a:p>
          <a:pPr lvl="0" algn="ctr" defTabSz="400050">
            <a:lnSpc>
              <a:spcPct val="100000"/>
            </a:lnSpc>
            <a:spcBef>
              <a:spcPct val="0"/>
            </a:spcBef>
            <a:spcAft>
              <a:spcPts val="0"/>
            </a:spcAft>
            <a:buNone/>
          </a:pPr>
          <a:r>
            <a:rPr lang="en-US" sz="900" kern="1200" dirty="0">
              <a:solidFill>
                <a:srgbClr val="44546A">
                  <a:hueOff val="0"/>
                  <a:satOff val="0"/>
                  <a:lumOff val="0"/>
                  <a:alphaOff val="0"/>
                </a:srgbClr>
              </a:solidFill>
              <a:latin typeface="+mn-lt"/>
              <a:ea typeface="+mn-ea"/>
              <a:cs typeface="Arial" panose="020B0604020202020204" pitchFamily="34" charset="0"/>
            </a:rPr>
            <a:t>Climate Change, Disaster Risk Management,  and Environment</a:t>
          </a:r>
        </a:p>
        <a:p>
          <a:pPr lvl="0" algn="ctr" defTabSz="400050">
            <a:lnSpc>
              <a:spcPct val="100000"/>
            </a:lnSpc>
            <a:spcBef>
              <a:spcPct val="0"/>
            </a:spcBef>
            <a:spcAft>
              <a:spcPts val="0"/>
            </a:spcAft>
            <a:buNone/>
          </a:pPr>
          <a:r>
            <a:rPr lang="en-US" sz="900" kern="1200" dirty="0">
              <a:solidFill>
                <a:srgbClr val="44546A">
                  <a:hueOff val="0"/>
                  <a:satOff val="0"/>
                  <a:lumOff val="0"/>
                  <a:alphaOff val="0"/>
                </a:srgbClr>
              </a:solidFill>
              <a:latin typeface="+mn-lt"/>
              <a:ea typeface="+mn-ea"/>
              <a:cs typeface="Arial" panose="020B0604020202020204" pitchFamily="34" charset="0"/>
            </a:rPr>
            <a:t>Peace and Institution Building</a:t>
          </a:r>
        </a:p>
        <a:p>
          <a:pPr lvl="0" algn="ctr" defTabSz="400050">
            <a:lnSpc>
              <a:spcPct val="100000"/>
            </a:lnSpc>
            <a:spcBef>
              <a:spcPct val="0"/>
            </a:spcBef>
            <a:spcAft>
              <a:spcPts val="0"/>
            </a:spcAft>
            <a:buNone/>
          </a:pPr>
          <a:r>
            <a:rPr lang="en-US" sz="900" kern="1200" dirty="0">
              <a:solidFill>
                <a:srgbClr val="44546A">
                  <a:hueOff val="0"/>
                  <a:satOff val="0"/>
                  <a:lumOff val="0"/>
                  <a:alphaOff val="0"/>
                </a:srgbClr>
              </a:solidFill>
              <a:latin typeface="+mn-lt"/>
              <a:ea typeface="+mn-ea"/>
              <a:cs typeface="Arial" panose="020B0604020202020204" pitchFamily="34" charset="0"/>
            </a:rPr>
            <a:t>2015-18</a:t>
          </a:r>
        </a:p>
      </dsp:txBody>
      <dsp:txXfrm>
        <a:off x="4534534" y="3569976"/>
        <a:ext cx="1862759" cy="1425385"/>
      </dsp:txXfrm>
    </dsp:sp>
    <dsp:sp modelId="{AF365F4E-F5D6-4DA2-9671-B15908387117}">
      <dsp:nvSpPr>
        <dsp:cNvPr id="0" name=""/>
        <dsp:cNvSpPr/>
      </dsp:nvSpPr>
      <dsp:spPr>
        <a:xfrm>
          <a:off x="6651457" y="0"/>
          <a:ext cx="2061816" cy="5305425"/>
        </a:xfrm>
        <a:prstGeom prst="roundRect">
          <a:avLst>
            <a:gd name="adj" fmla="val 10000"/>
          </a:avLst>
        </a:prstGeom>
        <a:solidFill>
          <a:srgbClr val="44546A">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None/>
          </a:pPr>
          <a:r>
            <a:rPr lang="en-US" sz="1600" kern="1200" dirty="0">
              <a:solidFill>
                <a:sysClr val="windowText" lastClr="000000">
                  <a:hueOff val="0"/>
                  <a:satOff val="0"/>
                  <a:lumOff val="0"/>
                  <a:alphaOff val="0"/>
                </a:sysClr>
              </a:solidFill>
              <a:latin typeface="+mn-lt"/>
              <a:ea typeface="+mn-ea"/>
              <a:cs typeface="Arial" panose="020B0604020202020204" pitchFamily="34" charset="0"/>
            </a:rPr>
            <a:t>PH-PTF Approach to Funding </a:t>
          </a:r>
        </a:p>
      </dsp:txBody>
      <dsp:txXfrm>
        <a:off x="6651457" y="0"/>
        <a:ext cx="2061816" cy="1591627"/>
      </dsp:txXfrm>
    </dsp:sp>
    <dsp:sp modelId="{B040D562-4AC7-4C5F-ADE5-FA7DC918C354}">
      <dsp:nvSpPr>
        <dsp:cNvPr id="0" name=""/>
        <dsp:cNvSpPr/>
      </dsp:nvSpPr>
      <dsp:spPr>
        <a:xfrm>
          <a:off x="6857639" y="1592080"/>
          <a:ext cx="1649452" cy="104230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US" sz="800" kern="1200" dirty="0">
              <a:solidFill>
                <a:srgbClr val="44546A">
                  <a:hueOff val="0"/>
                  <a:satOff val="0"/>
                  <a:lumOff val="0"/>
                  <a:alphaOff val="0"/>
                </a:srgbClr>
              </a:solidFill>
              <a:latin typeface="+mn-lt"/>
              <a:ea typeface="+mn-ea"/>
              <a:cs typeface="Arial" panose="020B0604020202020204" pitchFamily="34" charset="0"/>
            </a:rPr>
            <a:t>Competitive Proposals</a:t>
          </a:r>
        </a:p>
        <a:p>
          <a:pPr lvl="0" algn="ctr" defTabSz="355600">
            <a:lnSpc>
              <a:spcPct val="90000"/>
            </a:lnSpc>
            <a:spcBef>
              <a:spcPct val="0"/>
            </a:spcBef>
            <a:spcAft>
              <a:spcPct val="35000"/>
            </a:spcAft>
            <a:buNone/>
          </a:pPr>
          <a:r>
            <a:rPr lang="en-US" sz="800" kern="1200" dirty="0">
              <a:solidFill>
                <a:srgbClr val="44546A">
                  <a:hueOff val="0"/>
                  <a:satOff val="0"/>
                  <a:lumOff val="0"/>
                  <a:alphaOff val="0"/>
                </a:srgbClr>
              </a:solidFill>
              <a:latin typeface="+mn-lt"/>
              <a:ea typeface="+mn-ea"/>
              <a:cs typeface="Arial" panose="020B0604020202020204" pitchFamily="34" charset="0"/>
            </a:rPr>
            <a:t>Project-Specific Grants</a:t>
          </a:r>
        </a:p>
        <a:p>
          <a:pPr lvl="0" algn="ctr" defTabSz="355600">
            <a:lnSpc>
              <a:spcPct val="90000"/>
            </a:lnSpc>
            <a:spcBef>
              <a:spcPct val="0"/>
            </a:spcBef>
            <a:spcAft>
              <a:spcPct val="35000"/>
            </a:spcAft>
            <a:buNone/>
          </a:pPr>
          <a:r>
            <a:rPr lang="en-US" sz="800" kern="1200" dirty="0">
              <a:solidFill>
                <a:srgbClr val="44546A">
                  <a:hueOff val="0"/>
                  <a:satOff val="0"/>
                  <a:lumOff val="0"/>
                  <a:alphaOff val="0"/>
                </a:srgbClr>
              </a:solidFill>
              <a:latin typeface="+mn-lt"/>
              <a:ea typeface="+mn-ea"/>
              <a:cs typeface="Arial" panose="020B0604020202020204" pitchFamily="34" charset="0"/>
            </a:rPr>
            <a:t>Recipient-Executed Grants</a:t>
          </a:r>
        </a:p>
      </dsp:txBody>
      <dsp:txXfrm>
        <a:off x="6888167" y="1622608"/>
        <a:ext cx="1588396" cy="981247"/>
      </dsp:txXfrm>
    </dsp:sp>
    <dsp:sp modelId="{CD064130-AB6C-40E9-971D-CD6624876D3E}">
      <dsp:nvSpPr>
        <dsp:cNvPr id="0" name=""/>
        <dsp:cNvSpPr/>
      </dsp:nvSpPr>
      <dsp:spPr>
        <a:xfrm>
          <a:off x="6857639" y="2794738"/>
          <a:ext cx="1649452" cy="104230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US" sz="800" kern="1200" dirty="0">
              <a:solidFill>
                <a:srgbClr val="44546A">
                  <a:hueOff val="0"/>
                  <a:satOff val="0"/>
                  <a:lumOff val="0"/>
                  <a:alphaOff val="0"/>
                </a:srgbClr>
              </a:solidFill>
              <a:latin typeface="+mn-lt"/>
              <a:ea typeface="+mn-ea"/>
              <a:cs typeface="Arial" panose="020B0604020202020204" pitchFamily="34" charset="0"/>
            </a:rPr>
            <a:t>Programmatic Engagements</a:t>
          </a:r>
        </a:p>
      </dsp:txBody>
      <dsp:txXfrm>
        <a:off x="6888167" y="2825266"/>
        <a:ext cx="1588396" cy="981247"/>
      </dsp:txXfrm>
    </dsp:sp>
    <dsp:sp modelId="{115239FB-15D5-4267-944C-4FBA7FB0925D}">
      <dsp:nvSpPr>
        <dsp:cNvPr id="0" name=""/>
        <dsp:cNvSpPr/>
      </dsp:nvSpPr>
      <dsp:spPr>
        <a:xfrm>
          <a:off x="6857639" y="3997396"/>
          <a:ext cx="1649452" cy="104230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US" sz="800" kern="1200" dirty="0">
              <a:solidFill>
                <a:srgbClr val="44546A">
                  <a:hueOff val="0"/>
                  <a:satOff val="0"/>
                  <a:lumOff val="0"/>
                  <a:alphaOff val="0"/>
                </a:srgbClr>
              </a:solidFill>
              <a:latin typeface="+mn-lt"/>
              <a:ea typeface="+mn-ea"/>
              <a:cs typeface="Arial" panose="020B0604020202020204" pitchFamily="34" charset="0"/>
            </a:rPr>
            <a:t>Game Changers </a:t>
          </a:r>
          <a:br>
            <a:rPr lang="en-US" sz="800" kern="1200" dirty="0">
              <a:solidFill>
                <a:srgbClr val="44546A">
                  <a:hueOff val="0"/>
                  <a:satOff val="0"/>
                  <a:lumOff val="0"/>
                  <a:alphaOff val="0"/>
                </a:srgbClr>
              </a:solidFill>
              <a:latin typeface="+mn-lt"/>
              <a:ea typeface="+mn-ea"/>
              <a:cs typeface="Arial" panose="020B0604020202020204" pitchFamily="34" charset="0"/>
            </a:rPr>
          </a:br>
          <a:r>
            <a:rPr lang="en-US" sz="800" kern="1200" dirty="0">
              <a:solidFill>
                <a:srgbClr val="44546A">
                  <a:hueOff val="0"/>
                  <a:satOff val="0"/>
                  <a:lumOff val="0"/>
                  <a:alphaOff val="0"/>
                </a:srgbClr>
              </a:solidFill>
              <a:latin typeface="+mn-lt"/>
              <a:ea typeface="+mn-ea"/>
              <a:cs typeface="Arial" panose="020B0604020202020204" pitchFamily="34" charset="0"/>
            </a:rPr>
            <a:t>Selected Project-Specific Grants </a:t>
          </a:r>
        </a:p>
      </dsp:txBody>
      <dsp:txXfrm>
        <a:off x="6888167" y="4027924"/>
        <a:ext cx="1588396" cy="9812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76578F-117C-4439-BF12-ACAC51AA477D}">
      <dsp:nvSpPr>
        <dsp:cNvPr id="0" name=""/>
        <dsp:cNvSpPr/>
      </dsp:nvSpPr>
      <dsp:spPr>
        <a:xfrm>
          <a:off x="1212" y="11717"/>
          <a:ext cx="8100752" cy="155185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mn-lt"/>
              <a:cs typeface="Arial" panose="020B0604020202020204" pitchFamily="34" charset="0"/>
            </a:rPr>
            <a:t>Overall Goal</a:t>
          </a:r>
        </a:p>
        <a:p>
          <a:pPr lvl="0" algn="ctr" defTabSz="400050">
            <a:lnSpc>
              <a:spcPct val="90000"/>
            </a:lnSpc>
            <a:spcBef>
              <a:spcPct val="0"/>
            </a:spcBef>
            <a:spcAft>
              <a:spcPct val="35000"/>
            </a:spcAft>
          </a:pPr>
          <a:r>
            <a:rPr lang="en-US" sz="900" kern="1200">
              <a:latin typeface="+mn-lt"/>
              <a:cs typeface="Arial" panose="020B0604020202020204" pitchFamily="34" charset="0"/>
            </a:rPr>
            <a:t>To improve governance and support investments that contribute to a stronger foundation for sustained and inclusive growth in the Philippines.</a:t>
          </a:r>
        </a:p>
        <a:p>
          <a:pPr lvl="0" algn="ctr" defTabSz="400050">
            <a:lnSpc>
              <a:spcPct val="90000"/>
            </a:lnSpc>
            <a:spcBef>
              <a:spcPct val="0"/>
            </a:spcBef>
            <a:spcAft>
              <a:spcPct val="35000"/>
            </a:spcAft>
          </a:pPr>
          <a:endParaRPr lang="en-US" sz="900" kern="1200">
            <a:latin typeface="+mn-lt"/>
            <a:cs typeface="Arial" panose="020B0604020202020204" pitchFamily="34" charset="0"/>
          </a:endParaRPr>
        </a:p>
        <a:p>
          <a:pPr lvl="0" algn="ctr" defTabSz="400050">
            <a:lnSpc>
              <a:spcPct val="90000"/>
            </a:lnSpc>
            <a:spcBef>
              <a:spcPct val="0"/>
            </a:spcBef>
            <a:spcAft>
              <a:spcPct val="35000"/>
            </a:spcAft>
          </a:pPr>
          <a:r>
            <a:rPr lang="en-US" sz="900" b="1" kern="1200">
              <a:latin typeface="+mn-lt"/>
              <a:cs typeface="Arial" panose="020B0604020202020204" pitchFamily="34" charset="0"/>
            </a:rPr>
            <a:t>Expected Outcomes:</a:t>
          </a:r>
        </a:p>
        <a:p>
          <a:pPr lvl="0" algn="l" defTabSz="400050">
            <a:lnSpc>
              <a:spcPct val="90000"/>
            </a:lnSpc>
            <a:spcBef>
              <a:spcPct val="0"/>
            </a:spcBef>
            <a:spcAft>
              <a:spcPct val="35000"/>
            </a:spcAft>
          </a:pPr>
          <a:r>
            <a:rPr lang="en-US" sz="900" kern="1200">
              <a:latin typeface="+mn-lt"/>
              <a:cs typeface="Arial" panose="020B0604020202020204" pitchFamily="34" charset="0"/>
            </a:rPr>
            <a:t>1. Meaningful collaboration between Australia and the World Bank to (a) provide high quality and harmonized assistance to the Government of the Philippines; (b) contribute to the enhanced quality and effectiveness of policy dialogue between Australia, World Bank, and the Government of the Philippines</a:t>
          </a:r>
        </a:p>
        <a:p>
          <a:pPr lvl="0" algn="l" defTabSz="400050">
            <a:lnSpc>
              <a:spcPct val="90000"/>
            </a:lnSpc>
            <a:spcBef>
              <a:spcPct val="0"/>
            </a:spcBef>
            <a:spcAft>
              <a:spcPct val="35000"/>
            </a:spcAft>
          </a:pPr>
          <a:r>
            <a:rPr lang="en-US" sz="900" kern="1200">
              <a:latin typeface="+mn-lt"/>
              <a:cs typeface="Arial" panose="020B0604020202020204" pitchFamily="34" charset="0"/>
            </a:rPr>
            <a:t>2. Strategic and efficient use of Australia’s and World Bank’s resources in the Philippines</a:t>
          </a:r>
        </a:p>
        <a:p>
          <a:pPr lvl="0" algn="l" defTabSz="400050">
            <a:lnSpc>
              <a:spcPct val="90000"/>
            </a:lnSpc>
            <a:spcBef>
              <a:spcPct val="0"/>
            </a:spcBef>
            <a:spcAft>
              <a:spcPct val="35000"/>
            </a:spcAft>
          </a:pPr>
          <a:r>
            <a:rPr lang="en-US" sz="900" kern="1200">
              <a:latin typeface="+mn-lt"/>
              <a:cs typeface="Arial" panose="020B0604020202020204" pitchFamily="34" charset="0"/>
            </a:rPr>
            <a:t>3. Contribution to the achievement of the shared development objectives of Australia and the World Bank in the Philippines </a:t>
          </a:r>
        </a:p>
      </dsp:txBody>
      <dsp:txXfrm>
        <a:off x="46664" y="57169"/>
        <a:ext cx="8009848" cy="1460947"/>
      </dsp:txXfrm>
    </dsp:sp>
    <dsp:sp modelId="{2EA34564-1F6C-4128-83B3-FD0D59C62790}">
      <dsp:nvSpPr>
        <dsp:cNvPr id="0" name=""/>
        <dsp:cNvSpPr/>
      </dsp:nvSpPr>
      <dsp:spPr>
        <a:xfrm>
          <a:off x="15299" y="1699734"/>
          <a:ext cx="1595119" cy="4449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mn-lt"/>
              <a:cs typeface="Arial" panose="020B0604020202020204" pitchFamily="34" charset="0"/>
            </a:rPr>
            <a:t>Stable Macroeconomy and Good Governance</a:t>
          </a:r>
        </a:p>
      </dsp:txBody>
      <dsp:txXfrm>
        <a:off x="28332" y="1712767"/>
        <a:ext cx="1569053" cy="418911"/>
      </dsp:txXfrm>
    </dsp:sp>
    <dsp:sp modelId="{0A20384E-01D3-4C40-8553-0344D743EE43}">
      <dsp:nvSpPr>
        <dsp:cNvPr id="0" name=""/>
        <dsp:cNvSpPr/>
      </dsp:nvSpPr>
      <dsp:spPr>
        <a:xfrm>
          <a:off x="0" y="2252087"/>
          <a:ext cx="1588897" cy="254483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indent="-457200" algn="l" defTabSz="400050">
            <a:lnSpc>
              <a:spcPct val="100000"/>
            </a:lnSpc>
            <a:spcBef>
              <a:spcPct val="0"/>
            </a:spcBef>
            <a:spcAft>
              <a:spcPts val="600"/>
            </a:spcAft>
          </a:pPr>
          <a:r>
            <a:rPr lang="en-US" sz="900" kern="1200">
              <a:latin typeface="+mn-lt"/>
              <a:cs typeface="Arial" panose="020B0604020202020204" pitchFamily="34" charset="0"/>
            </a:rPr>
            <a:t>1.1 Strengthened revenue, debt and risk management</a:t>
          </a:r>
        </a:p>
        <a:p>
          <a:pPr lvl="0" indent="-457200" algn="l" defTabSz="400050">
            <a:lnSpc>
              <a:spcPct val="100000"/>
            </a:lnSpc>
            <a:spcBef>
              <a:spcPct val="0"/>
            </a:spcBef>
            <a:spcAft>
              <a:spcPts val="600"/>
            </a:spcAft>
          </a:pPr>
          <a:r>
            <a:rPr lang="en-US" sz="900" kern="1200">
              <a:latin typeface="+mn-lt"/>
              <a:cs typeface="Arial" panose="020B0604020202020204" pitchFamily="34" charset="0"/>
            </a:rPr>
            <a:t>1.2 Enhanced public sector delivery performance</a:t>
          </a:r>
        </a:p>
        <a:p>
          <a:pPr lvl="0" indent="-457200" algn="l" defTabSz="400050">
            <a:lnSpc>
              <a:spcPct val="100000"/>
            </a:lnSpc>
            <a:spcBef>
              <a:spcPct val="0"/>
            </a:spcBef>
            <a:spcAft>
              <a:spcPts val="600"/>
            </a:spcAft>
          </a:pPr>
          <a:r>
            <a:rPr lang="en-US" sz="900" kern="1200">
              <a:latin typeface="+mn-lt"/>
              <a:cs typeface="Arial" panose="020B0604020202020204" pitchFamily="34" charset="0"/>
            </a:rPr>
            <a:t>1.3 Improved public sector accountability and transparency</a:t>
          </a:r>
        </a:p>
        <a:p>
          <a:pPr lvl="0" indent="-457200" algn="l" defTabSz="400050">
            <a:lnSpc>
              <a:spcPct val="100000"/>
            </a:lnSpc>
            <a:spcBef>
              <a:spcPct val="0"/>
            </a:spcBef>
            <a:spcAft>
              <a:spcPts val="600"/>
            </a:spcAft>
          </a:pPr>
          <a:r>
            <a:rPr lang="en-US" sz="900" kern="1200">
              <a:latin typeface="+mn-lt"/>
              <a:cs typeface="Arial" panose="020B0604020202020204" pitchFamily="34" charset="0"/>
            </a:rPr>
            <a:t>1.4 Improved capacity and efficiency of the statistical system</a:t>
          </a:r>
        </a:p>
        <a:p>
          <a:pPr lvl="0" indent="-457200" algn="l" defTabSz="400050">
            <a:lnSpc>
              <a:spcPct val="100000"/>
            </a:lnSpc>
            <a:spcBef>
              <a:spcPct val="0"/>
            </a:spcBef>
            <a:spcAft>
              <a:spcPts val="600"/>
            </a:spcAft>
          </a:pPr>
          <a:r>
            <a:rPr lang="en-US" sz="900" kern="1200">
              <a:latin typeface="+mn-lt"/>
              <a:cs typeface="Arial" panose="020B0604020202020204" pitchFamily="34" charset="0"/>
            </a:rPr>
            <a:t>1.5 Improved analytical underpinnings for policy reforms</a:t>
          </a:r>
        </a:p>
      </dsp:txBody>
      <dsp:txXfrm>
        <a:off x="46537" y="2298624"/>
        <a:ext cx="1495823" cy="2451760"/>
      </dsp:txXfrm>
    </dsp:sp>
    <dsp:sp modelId="{A34F319F-0BEA-45AF-8798-DB399F4FBF7B}">
      <dsp:nvSpPr>
        <dsp:cNvPr id="0" name=""/>
        <dsp:cNvSpPr/>
      </dsp:nvSpPr>
      <dsp:spPr>
        <a:xfrm>
          <a:off x="1790810" y="1699734"/>
          <a:ext cx="1450856" cy="4449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mn-lt"/>
              <a:cs typeface="Arial" panose="020B0604020202020204" pitchFamily="34" charset="0"/>
            </a:rPr>
            <a:t>Improved Conditions for Peace and Security</a:t>
          </a:r>
        </a:p>
      </dsp:txBody>
      <dsp:txXfrm>
        <a:off x="1803843" y="1712767"/>
        <a:ext cx="1424790" cy="418911"/>
      </dsp:txXfrm>
    </dsp:sp>
    <dsp:sp modelId="{49D2702D-B7A0-4D67-885B-62A2250C41F5}">
      <dsp:nvSpPr>
        <dsp:cNvPr id="0" name=""/>
        <dsp:cNvSpPr/>
      </dsp:nvSpPr>
      <dsp:spPr>
        <a:xfrm>
          <a:off x="1774487" y="2273270"/>
          <a:ext cx="1445197" cy="254483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100000"/>
            </a:lnSpc>
            <a:spcBef>
              <a:spcPct val="0"/>
            </a:spcBef>
            <a:spcAft>
              <a:spcPts val="600"/>
            </a:spcAft>
          </a:pPr>
          <a:r>
            <a:rPr lang="en-US" sz="900" kern="1200">
              <a:latin typeface="+mn-lt"/>
              <a:cs typeface="Arial" panose="020B0604020202020204" pitchFamily="34" charset="0"/>
            </a:rPr>
            <a:t>2.1 Strengthened capacity of institutions to deliver justice and jobs in conflict affected areas</a:t>
          </a:r>
        </a:p>
      </dsp:txBody>
      <dsp:txXfrm>
        <a:off x="1816815" y="2315598"/>
        <a:ext cx="1360541" cy="2460178"/>
      </dsp:txXfrm>
    </dsp:sp>
    <dsp:sp modelId="{F61F1510-FBD8-417F-87C3-ACD80E493DC8}">
      <dsp:nvSpPr>
        <dsp:cNvPr id="0" name=""/>
        <dsp:cNvSpPr/>
      </dsp:nvSpPr>
      <dsp:spPr>
        <a:xfrm>
          <a:off x="3360698" y="1718506"/>
          <a:ext cx="1753214" cy="4449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mn-lt"/>
              <a:cs typeface="Arial" panose="020B0604020202020204" pitchFamily="34" charset="0"/>
            </a:rPr>
            <a:t>Better Service Delivery</a:t>
          </a:r>
        </a:p>
      </dsp:txBody>
      <dsp:txXfrm>
        <a:off x="3373731" y="1731539"/>
        <a:ext cx="1727148" cy="418911"/>
      </dsp:txXfrm>
    </dsp:sp>
    <dsp:sp modelId="{3CDCE521-93B9-44E2-B267-EF7BFA01434C}">
      <dsp:nvSpPr>
        <dsp:cNvPr id="0" name=""/>
        <dsp:cNvSpPr/>
      </dsp:nvSpPr>
      <dsp:spPr>
        <a:xfrm>
          <a:off x="3308011" y="2274775"/>
          <a:ext cx="1759608" cy="254483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ts val="600"/>
            </a:spcAft>
          </a:pPr>
          <a:r>
            <a:rPr lang="en-US" sz="900" kern="1200">
              <a:latin typeface="+mn-lt"/>
              <a:cs typeface="Arial" panose="020B0604020202020204" pitchFamily="34" charset="0"/>
            </a:rPr>
            <a:t>3.1 Enhanced policy formulation and more efficient and equitable resource allocation in education   </a:t>
          </a:r>
        </a:p>
        <a:p>
          <a:pPr lvl="0" algn="l" defTabSz="400050">
            <a:lnSpc>
              <a:spcPct val="90000"/>
            </a:lnSpc>
            <a:spcBef>
              <a:spcPct val="0"/>
            </a:spcBef>
            <a:spcAft>
              <a:spcPts val="600"/>
            </a:spcAft>
          </a:pPr>
          <a:r>
            <a:rPr lang="en-US" sz="900" kern="1200">
              <a:latin typeface="+mn-lt"/>
              <a:cs typeface="Arial" panose="020B0604020202020204" pitchFamily="34" charset="0"/>
            </a:rPr>
            <a:t>3.2 Improved accountability, inclusiveness and service deliery capacity at subnational level</a:t>
          </a:r>
        </a:p>
        <a:p>
          <a:pPr lvl="0" algn="l" defTabSz="400050">
            <a:lnSpc>
              <a:spcPct val="90000"/>
            </a:lnSpc>
            <a:spcBef>
              <a:spcPct val="0"/>
            </a:spcBef>
            <a:spcAft>
              <a:spcPts val="600"/>
            </a:spcAft>
          </a:pPr>
          <a:r>
            <a:rPr lang="en-US" sz="900" kern="1200">
              <a:latin typeface="+mn-lt"/>
              <a:cs typeface="Arial" panose="020B0604020202020204" pitchFamily="34" charset="0"/>
            </a:rPr>
            <a:t>3.3 Improved analytical underpinnings for public-private partnerships</a:t>
          </a:r>
        </a:p>
        <a:p>
          <a:pPr lvl="0" algn="l" defTabSz="400050">
            <a:lnSpc>
              <a:spcPct val="90000"/>
            </a:lnSpc>
            <a:spcBef>
              <a:spcPct val="0"/>
            </a:spcBef>
            <a:spcAft>
              <a:spcPts val="600"/>
            </a:spcAft>
          </a:pPr>
          <a:r>
            <a:rPr lang="en-US" sz="900" kern="1200">
              <a:latin typeface="+mn-lt"/>
              <a:cs typeface="Arial" panose="020B0604020202020204" pitchFamily="34" charset="0"/>
            </a:rPr>
            <a:t>3.4 Enhanced capacity of DPWH in road management </a:t>
          </a:r>
        </a:p>
        <a:p>
          <a:pPr lvl="0" algn="l" defTabSz="400050">
            <a:lnSpc>
              <a:spcPct val="90000"/>
            </a:lnSpc>
            <a:spcBef>
              <a:spcPct val="0"/>
            </a:spcBef>
            <a:spcAft>
              <a:spcPts val="600"/>
            </a:spcAft>
          </a:pPr>
          <a:r>
            <a:rPr lang="en-US" sz="900" kern="1200">
              <a:latin typeface="+mn-lt"/>
              <a:cs typeface="Arial" panose="020B0604020202020204" pitchFamily="34" charset="0"/>
            </a:rPr>
            <a:t>3.5 Enhanced capacity of DPWH for improved road safety</a:t>
          </a:r>
        </a:p>
      </dsp:txBody>
      <dsp:txXfrm>
        <a:off x="3359548" y="2326312"/>
        <a:ext cx="1656534" cy="2441760"/>
      </dsp:txXfrm>
    </dsp:sp>
    <dsp:sp modelId="{027FE27E-8A57-4180-AE03-10EB45FE93E3}">
      <dsp:nvSpPr>
        <dsp:cNvPr id="0" name=""/>
        <dsp:cNvSpPr/>
      </dsp:nvSpPr>
      <dsp:spPr>
        <a:xfrm>
          <a:off x="5279461" y="1699734"/>
          <a:ext cx="2786073" cy="4449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mn-lt"/>
              <a:cs typeface="Arial" panose="020B0604020202020204" pitchFamily="34" charset="0"/>
            </a:rPr>
            <a:t>Reduced Vulnerabilities</a:t>
          </a:r>
        </a:p>
      </dsp:txBody>
      <dsp:txXfrm>
        <a:off x="5292494" y="1712767"/>
        <a:ext cx="2760007" cy="418911"/>
      </dsp:txXfrm>
    </dsp:sp>
    <dsp:sp modelId="{411C59AA-3D1F-4AB9-96ED-8964EDD313BA}">
      <dsp:nvSpPr>
        <dsp:cNvPr id="0" name=""/>
        <dsp:cNvSpPr/>
      </dsp:nvSpPr>
      <dsp:spPr>
        <a:xfrm>
          <a:off x="5238152" y="2273270"/>
          <a:ext cx="2863812" cy="254483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ts val="600"/>
            </a:spcAft>
          </a:pPr>
          <a:r>
            <a:rPr lang="en-US" sz="900" kern="1200">
              <a:latin typeface="+mn-lt"/>
              <a:cs typeface="Arial" panose="020B0604020202020204" pitchFamily="34" charset="0"/>
            </a:rPr>
            <a:t>4.1 Established and updated national household targetting system, with the system used to target beneficiaries of government programs</a:t>
          </a:r>
        </a:p>
        <a:p>
          <a:pPr lvl="0" algn="l" defTabSz="400050">
            <a:lnSpc>
              <a:spcPct val="90000"/>
            </a:lnSpc>
            <a:spcBef>
              <a:spcPct val="0"/>
            </a:spcBef>
            <a:spcAft>
              <a:spcPts val="600"/>
            </a:spcAft>
          </a:pPr>
          <a:r>
            <a:rPr lang="en-US" sz="900" kern="1200">
              <a:latin typeface="+mn-lt"/>
              <a:cs typeface="Arial" panose="020B0604020202020204" pitchFamily="34" charset="0"/>
            </a:rPr>
            <a:t>4.2 Established CCT programs to reach all children identified as poor  </a:t>
          </a:r>
        </a:p>
        <a:p>
          <a:pPr lvl="0" algn="l" defTabSz="400050">
            <a:lnSpc>
              <a:spcPct val="90000"/>
            </a:lnSpc>
            <a:spcBef>
              <a:spcPct val="0"/>
            </a:spcBef>
            <a:spcAft>
              <a:spcPts val="600"/>
            </a:spcAft>
          </a:pPr>
          <a:r>
            <a:rPr lang="en-US" sz="900" kern="1200">
              <a:latin typeface="+mn-lt"/>
              <a:cs typeface="Arial" panose="020B0604020202020204" pitchFamily="34" charset="0"/>
            </a:rPr>
            <a:t>4.3 Evidence used to inform policies and national budget allocations for social protection</a:t>
          </a:r>
        </a:p>
        <a:p>
          <a:pPr lvl="0" algn="l" defTabSz="400050">
            <a:lnSpc>
              <a:spcPct val="90000"/>
            </a:lnSpc>
            <a:spcBef>
              <a:spcPct val="0"/>
            </a:spcBef>
            <a:spcAft>
              <a:spcPts val="600"/>
            </a:spcAft>
          </a:pPr>
          <a:r>
            <a:rPr lang="en-US" sz="900" kern="1200">
              <a:latin typeface="+mn-lt"/>
              <a:cs typeface="Arial" panose="020B0604020202020204" pitchFamily="34" charset="0"/>
            </a:rPr>
            <a:t>4.4 Improved capacity of national government agencies to integrate climate change considerations in planning and budgeting</a:t>
          </a:r>
        </a:p>
        <a:p>
          <a:pPr lvl="0" algn="l" defTabSz="400050">
            <a:lnSpc>
              <a:spcPct val="90000"/>
            </a:lnSpc>
            <a:spcBef>
              <a:spcPct val="0"/>
            </a:spcBef>
            <a:spcAft>
              <a:spcPts val="600"/>
            </a:spcAft>
          </a:pPr>
          <a:r>
            <a:rPr lang="en-US" sz="900" kern="1200">
              <a:latin typeface="+mn-lt"/>
              <a:cs typeface="Arial" panose="020B0604020202020204" pitchFamily="34" charset="0"/>
            </a:rPr>
            <a:t>4.5 Increased readiness to address flood disaster risks in Metro Manila </a:t>
          </a:r>
        </a:p>
        <a:p>
          <a:pPr lvl="0" algn="l" defTabSz="400050">
            <a:lnSpc>
              <a:spcPct val="90000"/>
            </a:lnSpc>
            <a:spcBef>
              <a:spcPct val="0"/>
            </a:spcBef>
            <a:spcAft>
              <a:spcPts val="600"/>
            </a:spcAft>
          </a:pPr>
          <a:r>
            <a:rPr lang="en-US" sz="900" kern="1200">
              <a:latin typeface="+mn-lt"/>
              <a:cs typeface="Arial" panose="020B0604020202020204" pitchFamily="34" charset="0"/>
            </a:rPr>
            <a:t>4.6 Enhanced institutional capacities to plan and implement affordable and socially sustainable housing for informal settler families in flood prone areas of Metro Manila</a:t>
          </a:r>
        </a:p>
      </dsp:txBody>
      <dsp:txXfrm>
        <a:off x="5312688" y="2347806"/>
        <a:ext cx="2714740" cy="239576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1FD82-7D1B-4F03-93DD-F1B44B459F9B}"/>
</file>

<file path=customXml/itemProps2.xml><?xml version="1.0" encoding="utf-8"?>
<ds:datastoreItem xmlns:ds="http://schemas.openxmlformats.org/officeDocument/2006/customXml" ds:itemID="{E602B6AB-45CB-4372-A6CE-855F73C5E55A}"/>
</file>

<file path=customXml/itemProps3.xml><?xml version="1.0" encoding="utf-8"?>
<ds:datastoreItem xmlns:ds="http://schemas.openxmlformats.org/officeDocument/2006/customXml" ds:itemID="{1EEF08C1-7560-4AF6-AACB-8902DC04AFE8}"/>
</file>

<file path=customXml/itemProps4.xml><?xml version="1.0" encoding="utf-8"?>
<ds:datastoreItem xmlns:ds="http://schemas.openxmlformats.org/officeDocument/2006/customXml" ds:itemID="{FB69810A-2680-4CC2-A601-246BD10ABD21}"/>
</file>

<file path=docProps/app.xml><?xml version="1.0" encoding="utf-8"?>
<Properties xmlns="http://schemas.openxmlformats.org/officeDocument/2006/extended-properties" xmlns:vt="http://schemas.openxmlformats.org/officeDocument/2006/docPropsVTypes">
  <Template>Normal.dotm</Template>
  <TotalTime>5</TotalTime>
  <Pages>49</Pages>
  <Words>15962</Words>
  <Characters>89872</Characters>
  <Application>Microsoft Office Word</Application>
  <DocSecurity>0</DocSecurity>
  <Lines>2995</Lines>
  <Paragraphs>853</Paragraphs>
  <ScaleCrop>false</ScaleCrop>
  <HeadingPairs>
    <vt:vector size="2" baseType="variant">
      <vt:variant>
        <vt:lpstr>Title</vt:lpstr>
      </vt:variant>
      <vt:variant>
        <vt:i4>1</vt:i4>
      </vt:variant>
    </vt:vector>
  </HeadingPairs>
  <TitlesOfParts>
    <vt:vector size="1" baseType="lpstr">
      <vt:lpstr>Australia – World Bank Philippines Development Trust FundEvaluation Plan (draft)</vt:lpstr>
    </vt:vector>
  </TitlesOfParts>
  <Company/>
  <LinksUpToDate>false</LinksUpToDate>
  <CharactersWithSpaces>104981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 World Bank Philippines Development Trust FundEvaluation Plan (draft)</dc:title>
  <dc:subject/>
  <dc:creator>David Potten</dc:creator>
  <cp:keywords/>
  <dc:description/>
  <cp:lastModifiedBy>Simpson, Nardia</cp:lastModifiedBy>
  <cp:revision>3</cp:revision>
  <cp:lastPrinted>2018-12-21T07:43:00Z</cp:lastPrinted>
  <dcterms:created xsi:type="dcterms:W3CDTF">2018-12-21T07:39:00Z</dcterms:created>
  <dcterms:modified xsi:type="dcterms:W3CDTF">2018-12-21T08:12:00Z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a04c09fb-3aff-4ae5-ae9c-d8053c27d8a0</vt:lpwstr>
  </property>
  <property fmtid="{D5CDD505-2E9C-101B-9397-08002B2CF9AE}" pid="3" name="ContentTypeId">
    <vt:lpwstr>0x01010050F19AC2165D2E47A5E6B7F563E4CF00</vt:lpwstr>
  </property>
  <property fmtid="{D5CDD505-2E9C-101B-9397-08002B2CF9AE}" pid="4" name="_DocHome">
    <vt:i4>-327523551</vt:i4>
  </property>
  <property fmtid="{D5CDD505-2E9C-101B-9397-08002B2CF9AE}" pid="5" name="SEC">
    <vt:lpwstr>UNCLASSIFIED</vt:lpwstr>
  </property>
  <property fmtid="{D5CDD505-2E9C-101B-9397-08002B2CF9AE}" pid="6" name="DLM">
    <vt:lpwstr>No DLM</vt:lpwstr>
  </property>
  <property fmtid="{D5CDD505-2E9C-101B-9397-08002B2CF9AE}" pid="7" name="Order">
    <vt:r8>1222900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