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B4C5" w14:textId="04EB18B1" w:rsidR="00C8770D" w:rsidRPr="001373CA" w:rsidRDefault="00925AE0">
      <w:pPr>
        <w:rPr>
          <w:b/>
          <w:bCs/>
          <w:sz w:val="24"/>
          <w:szCs w:val="24"/>
        </w:rPr>
      </w:pPr>
      <w:r w:rsidRPr="001373CA">
        <w:rPr>
          <w:b/>
          <w:bCs/>
          <w:sz w:val="24"/>
          <w:szCs w:val="24"/>
        </w:rPr>
        <w:t>Management Response</w:t>
      </w:r>
      <w:r w:rsidR="00925DAE" w:rsidRPr="001373CA">
        <w:rPr>
          <w:b/>
          <w:bCs/>
          <w:sz w:val="24"/>
          <w:szCs w:val="24"/>
        </w:rPr>
        <w:t xml:space="preserve"> on the Evaluation Report of the Australia-World Bank Philippines Development Trust Fund</w:t>
      </w:r>
      <w:r w:rsidR="00644995">
        <w:rPr>
          <w:b/>
          <w:bCs/>
          <w:sz w:val="24"/>
          <w:szCs w:val="24"/>
        </w:rPr>
        <w:t xml:space="preserve"> </w:t>
      </w:r>
      <w:r w:rsidR="00644995">
        <w:rPr>
          <w:b/>
          <w:bCs/>
          <w:sz w:val="24"/>
          <w:szCs w:val="24"/>
        </w:rPr>
        <w:br/>
        <w:t>(December 2018)</w:t>
      </w:r>
    </w:p>
    <w:p w14:paraId="5909F010" w14:textId="77777777" w:rsidR="00925AE0" w:rsidRDefault="00925AE0"/>
    <w:tbl>
      <w:tblPr>
        <w:tblStyle w:val="TableGrid"/>
        <w:tblW w:w="0" w:type="auto"/>
        <w:tblLook w:val="04A0" w:firstRow="1" w:lastRow="0" w:firstColumn="1" w:lastColumn="0" w:noHBand="0" w:noVBand="1"/>
      </w:tblPr>
      <w:tblGrid>
        <w:gridCol w:w="4106"/>
        <w:gridCol w:w="5528"/>
        <w:gridCol w:w="3261"/>
      </w:tblGrid>
      <w:tr w:rsidR="00925AE0" w:rsidRPr="008A763B" w14:paraId="11B3267A" w14:textId="77777777" w:rsidTr="00AF49C1">
        <w:trPr>
          <w:tblHeader/>
        </w:trPr>
        <w:tc>
          <w:tcPr>
            <w:tcW w:w="4106" w:type="dxa"/>
            <w:shd w:val="clear" w:color="auto" w:fill="D9D9D9" w:themeFill="background1" w:themeFillShade="D9"/>
            <w:vAlign w:val="center"/>
          </w:tcPr>
          <w:p w14:paraId="6D4B7173" w14:textId="77777777" w:rsidR="00925AE0" w:rsidRPr="008A763B" w:rsidRDefault="00C95C5D" w:rsidP="001373CA">
            <w:pPr>
              <w:jc w:val="center"/>
              <w:rPr>
                <w:rFonts w:cstheme="minorHAnsi"/>
                <w:b/>
                <w:bCs/>
              </w:rPr>
            </w:pPr>
            <w:r w:rsidRPr="008A763B">
              <w:rPr>
                <w:rFonts w:cstheme="minorHAnsi"/>
                <w:b/>
                <w:bCs/>
              </w:rPr>
              <w:t>Finding</w:t>
            </w:r>
            <w:r w:rsidR="00AE36D3" w:rsidRPr="008A763B">
              <w:rPr>
                <w:rFonts w:cstheme="minorHAnsi"/>
                <w:b/>
                <w:bCs/>
              </w:rPr>
              <w:t>s</w:t>
            </w:r>
          </w:p>
        </w:tc>
        <w:tc>
          <w:tcPr>
            <w:tcW w:w="5528" w:type="dxa"/>
            <w:shd w:val="clear" w:color="auto" w:fill="D9D9D9" w:themeFill="background1" w:themeFillShade="D9"/>
            <w:vAlign w:val="center"/>
          </w:tcPr>
          <w:p w14:paraId="024C283D" w14:textId="77777777" w:rsidR="00925AE0" w:rsidRPr="008A763B" w:rsidRDefault="00C95C5D" w:rsidP="001373CA">
            <w:pPr>
              <w:jc w:val="center"/>
              <w:rPr>
                <w:rFonts w:cstheme="minorHAnsi"/>
                <w:b/>
                <w:bCs/>
              </w:rPr>
            </w:pPr>
            <w:r w:rsidRPr="008A763B">
              <w:rPr>
                <w:rFonts w:cstheme="minorHAnsi"/>
                <w:b/>
                <w:bCs/>
              </w:rPr>
              <w:t>Recommendations for a successor fund</w:t>
            </w:r>
          </w:p>
        </w:tc>
        <w:tc>
          <w:tcPr>
            <w:tcW w:w="3261" w:type="dxa"/>
            <w:shd w:val="clear" w:color="auto" w:fill="D9D9D9" w:themeFill="background1" w:themeFillShade="D9"/>
            <w:vAlign w:val="center"/>
          </w:tcPr>
          <w:p w14:paraId="3EB06F85" w14:textId="77777777" w:rsidR="00925AE0" w:rsidRPr="008A763B" w:rsidRDefault="00C95C5D" w:rsidP="001373CA">
            <w:pPr>
              <w:jc w:val="center"/>
              <w:rPr>
                <w:rFonts w:cstheme="minorHAnsi"/>
                <w:b/>
                <w:bCs/>
              </w:rPr>
            </w:pPr>
            <w:r w:rsidRPr="008A763B">
              <w:rPr>
                <w:rFonts w:cstheme="minorHAnsi"/>
                <w:b/>
                <w:bCs/>
              </w:rPr>
              <w:t>Management response</w:t>
            </w:r>
          </w:p>
        </w:tc>
      </w:tr>
      <w:tr w:rsidR="00C95C5D" w:rsidRPr="008A763B" w14:paraId="10545512" w14:textId="77777777" w:rsidTr="001373CA">
        <w:tc>
          <w:tcPr>
            <w:tcW w:w="12895" w:type="dxa"/>
            <w:gridSpan w:val="3"/>
            <w:shd w:val="clear" w:color="auto" w:fill="F2F2F2" w:themeFill="background1" w:themeFillShade="F2"/>
          </w:tcPr>
          <w:p w14:paraId="20D7C2AE" w14:textId="77777777" w:rsidR="00C95C5D" w:rsidRPr="008A763B" w:rsidRDefault="00C95C5D" w:rsidP="00C95C5D">
            <w:pPr>
              <w:jc w:val="center"/>
              <w:rPr>
                <w:rFonts w:cstheme="minorHAnsi"/>
                <w:b/>
                <w:bCs/>
              </w:rPr>
            </w:pPr>
            <w:r w:rsidRPr="008A763B">
              <w:rPr>
                <w:rFonts w:cstheme="minorHAnsi"/>
                <w:b/>
                <w:bCs/>
              </w:rPr>
              <w:t>Areas of Strength</w:t>
            </w:r>
          </w:p>
        </w:tc>
      </w:tr>
      <w:tr w:rsidR="00925AE0" w:rsidRPr="008A763B" w14:paraId="5A188372" w14:textId="77777777" w:rsidTr="00AF49C1">
        <w:tc>
          <w:tcPr>
            <w:tcW w:w="4106" w:type="dxa"/>
          </w:tcPr>
          <w:p w14:paraId="0E504E70" w14:textId="3CB9E470" w:rsidR="00925AE0" w:rsidRPr="008A763B" w:rsidRDefault="00C95C5D" w:rsidP="003D5DDA">
            <w:pPr>
              <w:rPr>
                <w:rFonts w:cstheme="minorHAnsi"/>
              </w:rPr>
            </w:pPr>
            <w:r w:rsidRPr="008A763B">
              <w:rPr>
                <w:rFonts w:cstheme="minorHAnsi"/>
              </w:rPr>
              <w:t xml:space="preserve">1. </w:t>
            </w:r>
            <w:r w:rsidR="00644995">
              <w:rPr>
                <w:rFonts w:cstheme="minorHAnsi"/>
              </w:rPr>
              <w:t>The PH-PTF was</w:t>
            </w:r>
            <w:r w:rsidR="003D5DDA" w:rsidRPr="008A763B">
              <w:rPr>
                <w:rFonts w:cstheme="minorHAnsi"/>
              </w:rPr>
              <w:t xml:space="preserve"> effective in enabling DFAT and the World Bank achieve intended outcomes.</w:t>
            </w:r>
          </w:p>
        </w:tc>
        <w:tc>
          <w:tcPr>
            <w:tcW w:w="5528" w:type="dxa"/>
          </w:tcPr>
          <w:p w14:paraId="54A98EA5" w14:textId="77777777" w:rsidR="005746BD" w:rsidRPr="008A763B" w:rsidRDefault="003D5DDA" w:rsidP="003D5DDA">
            <w:pPr>
              <w:rPr>
                <w:rFonts w:cstheme="minorHAnsi"/>
              </w:rPr>
            </w:pPr>
            <w:r w:rsidRPr="008A763B">
              <w:rPr>
                <w:rFonts w:cstheme="minorHAnsi"/>
              </w:rPr>
              <w:t>DFAT and the World Bank should consider a follow-up fund to replicate and build on the successes of the PH-PTF.</w:t>
            </w:r>
          </w:p>
          <w:p w14:paraId="0C813632" w14:textId="05CAEB17" w:rsidR="003D5DDA" w:rsidRPr="008A763B" w:rsidRDefault="003D5DDA" w:rsidP="003D5DDA">
            <w:pPr>
              <w:rPr>
                <w:rFonts w:cstheme="minorHAnsi"/>
              </w:rPr>
            </w:pPr>
          </w:p>
        </w:tc>
        <w:tc>
          <w:tcPr>
            <w:tcW w:w="3261" w:type="dxa"/>
          </w:tcPr>
          <w:p w14:paraId="5408C2C0" w14:textId="7C6273DE" w:rsidR="00925AE0" w:rsidRPr="008A763B" w:rsidRDefault="00925DAE" w:rsidP="000D3DA3">
            <w:pPr>
              <w:jc w:val="center"/>
              <w:rPr>
                <w:rFonts w:cstheme="minorHAnsi"/>
              </w:rPr>
            </w:pPr>
            <w:r w:rsidRPr="008A763B">
              <w:rPr>
                <w:rFonts w:cstheme="minorHAnsi"/>
              </w:rPr>
              <w:t xml:space="preserve">Agree. </w:t>
            </w:r>
          </w:p>
          <w:p w14:paraId="6F242E7E" w14:textId="77777777" w:rsidR="00925DAE" w:rsidRPr="008A763B" w:rsidRDefault="00925DAE" w:rsidP="000D3DA3">
            <w:pPr>
              <w:jc w:val="center"/>
              <w:rPr>
                <w:rFonts w:cstheme="minorHAnsi"/>
              </w:rPr>
            </w:pPr>
          </w:p>
        </w:tc>
      </w:tr>
      <w:tr w:rsidR="003D5DDA" w:rsidRPr="008A763B" w14:paraId="3BA739BF" w14:textId="77777777" w:rsidTr="00AF49C1">
        <w:tc>
          <w:tcPr>
            <w:tcW w:w="4106" w:type="dxa"/>
          </w:tcPr>
          <w:p w14:paraId="76EDAB9D" w14:textId="331E4AD0" w:rsidR="003D5DDA" w:rsidRPr="008A763B" w:rsidRDefault="00F55438" w:rsidP="00F55438">
            <w:pPr>
              <w:rPr>
                <w:rFonts w:cstheme="minorHAnsi"/>
              </w:rPr>
            </w:pPr>
            <w:r w:rsidRPr="008A763B">
              <w:rPr>
                <w:rFonts w:cstheme="minorHAnsi"/>
              </w:rPr>
              <w:t>2</w:t>
            </w:r>
            <w:r w:rsidR="003D5DDA" w:rsidRPr="008A763B">
              <w:rPr>
                <w:rFonts w:cstheme="minorHAnsi"/>
              </w:rPr>
              <w:t xml:space="preserve">. </w:t>
            </w:r>
            <w:r w:rsidR="00644995">
              <w:rPr>
                <w:rFonts w:cstheme="minorHAnsi"/>
              </w:rPr>
              <w:t>The governance structure worked</w:t>
            </w:r>
            <w:r w:rsidRPr="008A763B">
              <w:rPr>
                <w:rFonts w:cstheme="minorHAnsi"/>
              </w:rPr>
              <w:t xml:space="preserve"> well but </w:t>
            </w:r>
            <w:r w:rsidR="00644995">
              <w:rPr>
                <w:rFonts w:cstheme="minorHAnsi"/>
              </w:rPr>
              <w:t xml:space="preserve">it </w:t>
            </w:r>
            <w:r w:rsidRPr="008A763B">
              <w:rPr>
                <w:rFonts w:cstheme="minorHAnsi"/>
              </w:rPr>
              <w:t>needs to be improved to guide implementation and operations</w:t>
            </w:r>
            <w:r w:rsidR="00644995">
              <w:rPr>
                <w:rFonts w:cstheme="minorHAnsi"/>
              </w:rPr>
              <w:t xml:space="preserve"> in the future</w:t>
            </w:r>
            <w:r w:rsidRPr="008A763B">
              <w:rPr>
                <w:rFonts w:cstheme="minorHAnsi"/>
              </w:rPr>
              <w:t>.</w:t>
            </w:r>
          </w:p>
        </w:tc>
        <w:tc>
          <w:tcPr>
            <w:tcW w:w="5528" w:type="dxa"/>
          </w:tcPr>
          <w:p w14:paraId="38F14833" w14:textId="0F8D5778" w:rsidR="003D5DDA" w:rsidRPr="008A763B" w:rsidRDefault="00F55438" w:rsidP="003D5DDA">
            <w:pPr>
              <w:rPr>
                <w:rFonts w:cstheme="minorHAnsi"/>
              </w:rPr>
            </w:pPr>
            <w:r w:rsidRPr="008A763B">
              <w:rPr>
                <w:rFonts w:cstheme="minorHAnsi"/>
                <w:bCs/>
              </w:rPr>
              <w:t>DFAT and the World Bank should agree on a more detailed governance framework</w:t>
            </w:r>
            <w:r w:rsidRPr="008A763B">
              <w:rPr>
                <w:rFonts w:cstheme="minorHAnsi"/>
              </w:rPr>
              <w:t xml:space="preserve">. Regular meetings—at least annual—of the Steering Committee to review the strategy and overall progress should be complemented by at least </w:t>
            </w:r>
            <w:r w:rsidR="00644995">
              <w:rPr>
                <w:rFonts w:cstheme="minorHAnsi"/>
              </w:rPr>
              <w:t>semi-annual</w:t>
            </w:r>
            <w:r w:rsidRPr="008A763B">
              <w:rPr>
                <w:rFonts w:cstheme="minorHAnsi"/>
              </w:rPr>
              <w:t xml:space="preserve"> meetings of the </w:t>
            </w:r>
            <w:r w:rsidR="00644995">
              <w:rPr>
                <w:rFonts w:cstheme="minorHAnsi"/>
              </w:rPr>
              <w:t>Operations</w:t>
            </w:r>
            <w:r w:rsidRPr="008A763B">
              <w:rPr>
                <w:rFonts w:cstheme="minorHAnsi"/>
              </w:rPr>
              <w:t xml:space="preserve"> Committee</w:t>
            </w:r>
            <w:r w:rsidR="00644995">
              <w:rPr>
                <w:rFonts w:cstheme="minorHAnsi"/>
              </w:rPr>
              <w:t xml:space="preserve">. Meetings among technical counterparts in World Bank and DFAT should be encouraged. This arrangement should be clearly stated in the </w:t>
            </w:r>
            <w:r w:rsidRPr="008A763B">
              <w:rPr>
                <w:rFonts w:cstheme="minorHAnsi"/>
              </w:rPr>
              <w:t>Operations Guidelines.</w:t>
            </w:r>
          </w:p>
          <w:p w14:paraId="16DDAB8F" w14:textId="586F17CF" w:rsidR="00F55438" w:rsidRPr="008A763B" w:rsidRDefault="00F55438" w:rsidP="003D5DDA">
            <w:pPr>
              <w:rPr>
                <w:rFonts w:cstheme="minorHAnsi"/>
              </w:rPr>
            </w:pPr>
          </w:p>
        </w:tc>
        <w:tc>
          <w:tcPr>
            <w:tcW w:w="3261" w:type="dxa"/>
          </w:tcPr>
          <w:p w14:paraId="510B5ACD" w14:textId="6AC9D21D" w:rsidR="003D5DDA" w:rsidRPr="008A763B" w:rsidRDefault="003D5DDA" w:rsidP="003D5DDA">
            <w:pPr>
              <w:jc w:val="center"/>
              <w:rPr>
                <w:rFonts w:cstheme="minorHAnsi"/>
              </w:rPr>
            </w:pPr>
            <w:r w:rsidRPr="008A763B">
              <w:rPr>
                <w:rFonts w:cstheme="minorHAnsi"/>
              </w:rPr>
              <w:t xml:space="preserve">Agree. </w:t>
            </w:r>
          </w:p>
        </w:tc>
      </w:tr>
      <w:tr w:rsidR="00F55438" w:rsidRPr="008A763B" w14:paraId="65D171FC" w14:textId="77777777" w:rsidTr="00AF49C1">
        <w:tc>
          <w:tcPr>
            <w:tcW w:w="4106" w:type="dxa"/>
          </w:tcPr>
          <w:p w14:paraId="138AD188" w14:textId="2F3DE3F7" w:rsidR="00F55438" w:rsidRPr="008A763B" w:rsidRDefault="00F55438" w:rsidP="00644995">
            <w:pPr>
              <w:rPr>
                <w:rFonts w:cstheme="minorHAnsi"/>
              </w:rPr>
            </w:pPr>
            <w:r w:rsidRPr="008A763B">
              <w:rPr>
                <w:rFonts w:cstheme="minorHAnsi"/>
              </w:rPr>
              <w:t xml:space="preserve">3. The results framework for the PH-PTF </w:t>
            </w:r>
            <w:r w:rsidR="00644995">
              <w:rPr>
                <w:rFonts w:cstheme="minorHAnsi"/>
              </w:rPr>
              <w:t>was</w:t>
            </w:r>
            <w:r w:rsidRPr="008A763B">
              <w:rPr>
                <w:rFonts w:cstheme="minorHAnsi"/>
              </w:rPr>
              <w:t xml:space="preserve"> not an effective monitoring tool.</w:t>
            </w:r>
          </w:p>
        </w:tc>
        <w:tc>
          <w:tcPr>
            <w:tcW w:w="5528" w:type="dxa"/>
          </w:tcPr>
          <w:p w14:paraId="581A63C1" w14:textId="77777777" w:rsidR="00F55438" w:rsidRDefault="00F55438" w:rsidP="00F55438">
            <w:pPr>
              <w:pStyle w:val="Default"/>
              <w:rPr>
                <w:rFonts w:asciiTheme="minorHAnsi" w:hAnsiTheme="minorHAnsi" w:cstheme="minorHAnsi"/>
                <w:sz w:val="22"/>
                <w:szCs w:val="22"/>
              </w:rPr>
            </w:pPr>
            <w:r w:rsidRPr="008A763B">
              <w:rPr>
                <w:rFonts w:asciiTheme="minorHAnsi" w:hAnsiTheme="minorHAnsi" w:cstheme="minorHAnsi"/>
                <w:bCs/>
                <w:sz w:val="22"/>
                <w:szCs w:val="22"/>
              </w:rPr>
              <w:t xml:space="preserve">World Bank and DFAT should establish a results framework </w:t>
            </w:r>
            <w:r w:rsidRPr="008A763B">
              <w:rPr>
                <w:rFonts w:asciiTheme="minorHAnsi" w:hAnsiTheme="minorHAnsi" w:cstheme="minorHAnsi"/>
                <w:sz w:val="22"/>
                <w:szCs w:val="22"/>
              </w:rPr>
              <w:t>at the outset, with initially agreed strategic focus areas. Continued flexibility should be ensured by authorizing the Steering Committee to add other focus areas. The results framework should be a living document, with details of approved grants and their intended outputs and outcomes added every year. The results framework can then be used to track progress annually.</w:t>
            </w:r>
          </w:p>
          <w:p w14:paraId="43692DB6" w14:textId="77777777" w:rsidR="00644995" w:rsidRDefault="00644995" w:rsidP="00F55438">
            <w:pPr>
              <w:pStyle w:val="Default"/>
              <w:rPr>
                <w:rFonts w:asciiTheme="minorHAnsi" w:hAnsiTheme="minorHAnsi" w:cstheme="minorHAnsi"/>
                <w:sz w:val="22"/>
                <w:szCs w:val="22"/>
              </w:rPr>
            </w:pPr>
          </w:p>
          <w:p w14:paraId="606818F3" w14:textId="77777777" w:rsidR="00644995" w:rsidRPr="008A763B" w:rsidRDefault="00644995" w:rsidP="00644995">
            <w:pPr>
              <w:pStyle w:val="Default"/>
              <w:rPr>
                <w:rFonts w:asciiTheme="minorHAnsi" w:hAnsiTheme="minorHAnsi" w:cstheme="minorHAnsi"/>
                <w:bCs/>
                <w:sz w:val="22"/>
                <w:szCs w:val="22"/>
              </w:rPr>
            </w:pPr>
            <w:r w:rsidRPr="008A763B">
              <w:rPr>
                <w:rFonts w:asciiTheme="minorHAnsi" w:hAnsiTheme="minorHAnsi" w:cstheme="minorHAnsi"/>
                <w:bCs/>
                <w:sz w:val="22"/>
                <w:szCs w:val="22"/>
              </w:rPr>
              <w:t xml:space="preserve">To facilitate the use of the results framework, the World Bank should ensure that grant funding requests include expected quantified </w:t>
            </w:r>
            <w:r w:rsidRPr="008A763B">
              <w:rPr>
                <w:rFonts w:asciiTheme="minorHAnsi" w:hAnsiTheme="minorHAnsi" w:cstheme="minorHAnsi"/>
                <w:sz w:val="22"/>
                <w:szCs w:val="22"/>
              </w:rPr>
              <w:t>outputs</w:t>
            </w:r>
            <w:r w:rsidRPr="008A763B">
              <w:rPr>
                <w:rFonts w:asciiTheme="minorHAnsi" w:hAnsiTheme="minorHAnsi" w:cstheme="minorHAnsi"/>
                <w:bCs/>
                <w:sz w:val="22"/>
                <w:szCs w:val="22"/>
              </w:rPr>
              <w:t xml:space="preserve"> and outcomes.</w:t>
            </w:r>
          </w:p>
          <w:p w14:paraId="4F951630" w14:textId="5F89C576" w:rsidR="00644995" w:rsidRPr="008A763B" w:rsidRDefault="00644995" w:rsidP="00F55438">
            <w:pPr>
              <w:pStyle w:val="Default"/>
              <w:rPr>
                <w:rFonts w:asciiTheme="minorHAnsi" w:hAnsiTheme="minorHAnsi" w:cstheme="minorHAnsi"/>
                <w:sz w:val="22"/>
                <w:szCs w:val="22"/>
              </w:rPr>
            </w:pPr>
          </w:p>
        </w:tc>
        <w:tc>
          <w:tcPr>
            <w:tcW w:w="3261" w:type="dxa"/>
          </w:tcPr>
          <w:p w14:paraId="258120BB" w14:textId="68DB636D" w:rsidR="00F55438" w:rsidRPr="008A763B" w:rsidRDefault="00F55438" w:rsidP="003D5DDA">
            <w:pPr>
              <w:jc w:val="center"/>
              <w:rPr>
                <w:rFonts w:cstheme="minorHAnsi"/>
              </w:rPr>
            </w:pPr>
            <w:r w:rsidRPr="008A763B">
              <w:rPr>
                <w:rFonts w:cstheme="minorHAnsi"/>
              </w:rPr>
              <w:t xml:space="preserve">Agree. </w:t>
            </w:r>
          </w:p>
        </w:tc>
      </w:tr>
      <w:tr w:rsidR="003D5DDA" w:rsidRPr="008A763B" w14:paraId="5F49019A" w14:textId="77777777" w:rsidTr="00AF49C1">
        <w:tc>
          <w:tcPr>
            <w:tcW w:w="4106" w:type="dxa"/>
          </w:tcPr>
          <w:p w14:paraId="288103D3" w14:textId="0FD7AAC3" w:rsidR="003D5DDA" w:rsidRPr="008A763B" w:rsidRDefault="00F55438" w:rsidP="00F55438">
            <w:pPr>
              <w:rPr>
                <w:rFonts w:cstheme="minorHAnsi"/>
              </w:rPr>
            </w:pPr>
            <w:r w:rsidRPr="008A763B">
              <w:rPr>
                <w:rFonts w:cstheme="minorHAnsi"/>
              </w:rPr>
              <w:lastRenderedPageBreak/>
              <w:t>4</w:t>
            </w:r>
            <w:r w:rsidR="003D5DDA" w:rsidRPr="008A763B">
              <w:rPr>
                <w:rFonts w:cstheme="minorHAnsi"/>
              </w:rPr>
              <w:t xml:space="preserve">. </w:t>
            </w:r>
            <w:r w:rsidRPr="008A763B">
              <w:rPr>
                <w:rFonts w:cstheme="minorHAnsi"/>
              </w:rPr>
              <w:t>The administration agreement for the PH-PTF did not specify any cross-cutting areas that required special attention.</w:t>
            </w:r>
          </w:p>
        </w:tc>
        <w:tc>
          <w:tcPr>
            <w:tcW w:w="5528" w:type="dxa"/>
          </w:tcPr>
          <w:p w14:paraId="797E58CD" w14:textId="5083C867" w:rsidR="003D5DDA" w:rsidRPr="008A763B" w:rsidRDefault="00F55438" w:rsidP="003D5DDA">
            <w:pPr>
              <w:pStyle w:val="Default"/>
              <w:rPr>
                <w:rFonts w:asciiTheme="minorHAnsi" w:hAnsiTheme="minorHAnsi" w:cstheme="minorHAnsi"/>
                <w:sz w:val="22"/>
                <w:szCs w:val="22"/>
              </w:rPr>
            </w:pPr>
            <w:r w:rsidRPr="008A763B">
              <w:rPr>
                <w:rFonts w:asciiTheme="minorHAnsi" w:hAnsiTheme="minorHAnsi" w:cstheme="minorHAnsi"/>
                <w:bCs/>
                <w:sz w:val="22"/>
                <w:szCs w:val="22"/>
              </w:rPr>
              <w:t xml:space="preserve">DFAT and the World Bank should agree </w:t>
            </w:r>
            <w:r w:rsidR="00644995">
              <w:rPr>
                <w:rFonts w:asciiTheme="minorHAnsi" w:hAnsiTheme="minorHAnsi" w:cstheme="minorHAnsi"/>
                <w:bCs/>
                <w:sz w:val="22"/>
                <w:szCs w:val="22"/>
              </w:rPr>
              <w:t xml:space="preserve">upfront on any </w:t>
            </w:r>
            <w:r w:rsidRPr="008A763B">
              <w:rPr>
                <w:rFonts w:asciiTheme="minorHAnsi" w:hAnsiTheme="minorHAnsi" w:cstheme="minorHAnsi"/>
                <w:bCs/>
                <w:sz w:val="22"/>
                <w:szCs w:val="22"/>
              </w:rPr>
              <w:t xml:space="preserve">cross-cutting issues </w:t>
            </w:r>
            <w:r w:rsidR="007A12C3">
              <w:rPr>
                <w:rFonts w:asciiTheme="minorHAnsi" w:hAnsiTheme="minorHAnsi" w:cstheme="minorHAnsi"/>
                <w:bCs/>
                <w:sz w:val="22"/>
                <w:szCs w:val="22"/>
              </w:rPr>
              <w:t xml:space="preserve">that are to be addressed by </w:t>
            </w:r>
            <w:r w:rsidRPr="008A763B">
              <w:rPr>
                <w:rFonts w:asciiTheme="minorHAnsi" w:hAnsiTheme="minorHAnsi" w:cstheme="minorHAnsi"/>
                <w:bCs/>
                <w:sz w:val="22"/>
                <w:szCs w:val="22"/>
              </w:rPr>
              <w:t>grants</w:t>
            </w:r>
            <w:r w:rsidR="007A12C3">
              <w:rPr>
                <w:rFonts w:asciiTheme="minorHAnsi" w:hAnsiTheme="minorHAnsi" w:cstheme="minorHAnsi"/>
                <w:bCs/>
                <w:sz w:val="22"/>
                <w:szCs w:val="22"/>
              </w:rPr>
              <w:t xml:space="preserve"> supported by the trust fund</w:t>
            </w:r>
            <w:r w:rsidRPr="008A763B">
              <w:rPr>
                <w:rFonts w:asciiTheme="minorHAnsi" w:hAnsiTheme="minorHAnsi" w:cstheme="minorHAnsi"/>
                <w:bCs/>
                <w:sz w:val="22"/>
                <w:szCs w:val="22"/>
              </w:rPr>
              <w:t>. Once the cross-cutting areas are agreed</w:t>
            </w:r>
            <w:r w:rsidR="007A12C3">
              <w:rPr>
                <w:rFonts w:asciiTheme="minorHAnsi" w:hAnsiTheme="minorHAnsi" w:cstheme="minorHAnsi"/>
                <w:bCs/>
                <w:sz w:val="22"/>
                <w:szCs w:val="22"/>
              </w:rPr>
              <w:t xml:space="preserve"> upon</w:t>
            </w:r>
            <w:r w:rsidRPr="008A763B">
              <w:rPr>
                <w:rFonts w:asciiTheme="minorHAnsi" w:hAnsiTheme="minorHAnsi" w:cstheme="minorHAnsi"/>
                <w:bCs/>
                <w:sz w:val="22"/>
                <w:szCs w:val="22"/>
              </w:rPr>
              <w:t>, World Bank should ensure that</w:t>
            </w:r>
            <w:r w:rsidR="007A12C3">
              <w:rPr>
                <w:rFonts w:asciiTheme="minorHAnsi" w:hAnsiTheme="minorHAnsi" w:cstheme="minorHAnsi"/>
                <w:bCs/>
                <w:sz w:val="22"/>
                <w:szCs w:val="22"/>
              </w:rPr>
              <w:t xml:space="preserve"> these are reflected in the Operations Manual and</w:t>
            </w:r>
            <w:r w:rsidRPr="008A763B">
              <w:rPr>
                <w:rFonts w:asciiTheme="minorHAnsi" w:hAnsiTheme="minorHAnsi" w:cstheme="minorHAnsi"/>
                <w:bCs/>
                <w:sz w:val="22"/>
                <w:szCs w:val="22"/>
              </w:rPr>
              <w:t xml:space="preserve"> grant funding requests give attention to such areas.</w:t>
            </w:r>
            <w:r w:rsidRPr="008A763B">
              <w:rPr>
                <w:rFonts w:asciiTheme="minorHAnsi" w:hAnsiTheme="minorHAnsi" w:cstheme="minorHAnsi"/>
                <w:sz w:val="22"/>
                <w:szCs w:val="22"/>
              </w:rPr>
              <w:t xml:space="preserve"> </w:t>
            </w:r>
            <w:r w:rsidR="003D5DDA" w:rsidRPr="008A763B">
              <w:rPr>
                <w:rFonts w:asciiTheme="minorHAnsi" w:hAnsiTheme="minorHAnsi" w:cstheme="minorHAnsi"/>
                <w:sz w:val="22"/>
                <w:szCs w:val="22"/>
              </w:rPr>
              <w:t xml:space="preserve"> </w:t>
            </w:r>
          </w:p>
          <w:p w14:paraId="787C7A6F" w14:textId="77777777" w:rsidR="003D5DDA" w:rsidRPr="008A763B" w:rsidRDefault="003D5DDA" w:rsidP="003D5DDA">
            <w:pPr>
              <w:pStyle w:val="Default"/>
              <w:rPr>
                <w:rFonts w:asciiTheme="minorHAnsi" w:hAnsiTheme="minorHAnsi" w:cstheme="minorHAnsi"/>
                <w:sz w:val="22"/>
                <w:szCs w:val="22"/>
              </w:rPr>
            </w:pPr>
          </w:p>
        </w:tc>
        <w:tc>
          <w:tcPr>
            <w:tcW w:w="3261" w:type="dxa"/>
          </w:tcPr>
          <w:p w14:paraId="5A71EAC9" w14:textId="45AE2E27" w:rsidR="003D5DDA" w:rsidRPr="008A763B" w:rsidRDefault="003D5DDA" w:rsidP="007A12C3">
            <w:pPr>
              <w:jc w:val="both"/>
              <w:rPr>
                <w:rFonts w:cstheme="minorHAnsi"/>
              </w:rPr>
            </w:pPr>
            <w:r w:rsidRPr="008A763B">
              <w:rPr>
                <w:rFonts w:cstheme="minorHAnsi"/>
              </w:rPr>
              <w:t>Agree. DFAT and WB will stipulate the key crosscutting issues that should be addressed by trust fund grants. WB wi</w:t>
            </w:r>
            <w:r w:rsidR="00627E59" w:rsidRPr="008A763B">
              <w:rPr>
                <w:rFonts w:cstheme="minorHAnsi"/>
              </w:rPr>
              <w:t>ll subsequently ensure that grant funding requests</w:t>
            </w:r>
            <w:r w:rsidRPr="008A763B">
              <w:rPr>
                <w:rFonts w:cstheme="minorHAnsi"/>
              </w:rPr>
              <w:t xml:space="preserve"> pay attention to these.</w:t>
            </w:r>
          </w:p>
        </w:tc>
      </w:tr>
      <w:tr w:rsidR="003D5DDA" w:rsidRPr="008A763B" w14:paraId="15EA4499" w14:textId="77777777" w:rsidTr="00AF49C1">
        <w:tc>
          <w:tcPr>
            <w:tcW w:w="4106" w:type="dxa"/>
          </w:tcPr>
          <w:p w14:paraId="3098A36C" w14:textId="2AF3F555" w:rsidR="003D5DDA" w:rsidRPr="008A763B" w:rsidRDefault="003D5DDA" w:rsidP="00F55438">
            <w:pPr>
              <w:rPr>
                <w:rFonts w:cstheme="minorHAnsi"/>
              </w:rPr>
            </w:pPr>
            <w:r w:rsidRPr="008A763B">
              <w:rPr>
                <w:rFonts w:cstheme="minorHAnsi"/>
              </w:rPr>
              <w:t xml:space="preserve">5. </w:t>
            </w:r>
            <w:r w:rsidR="00F55438" w:rsidRPr="008A763B">
              <w:rPr>
                <w:rFonts w:cstheme="minorHAnsi"/>
              </w:rPr>
              <w:t>Competitive approaches to grant allocation were valued, but the decision-making process was not always clear to all stakeholders.</w:t>
            </w:r>
          </w:p>
        </w:tc>
        <w:tc>
          <w:tcPr>
            <w:tcW w:w="5528" w:type="dxa"/>
          </w:tcPr>
          <w:p w14:paraId="6AC22E63" w14:textId="1ACCE61B" w:rsidR="003D5DDA" w:rsidRPr="008A763B" w:rsidRDefault="00F55438" w:rsidP="00F55438">
            <w:pPr>
              <w:pStyle w:val="Default"/>
              <w:rPr>
                <w:rFonts w:asciiTheme="minorHAnsi" w:hAnsiTheme="minorHAnsi" w:cstheme="minorHAnsi"/>
                <w:sz w:val="22"/>
                <w:szCs w:val="22"/>
              </w:rPr>
            </w:pPr>
            <w:r w:rsidRPr="008A763B">
              <w:rPr>
                <w:rFonts w:asciiTheme="minorHAnsi" w:hAnsiTheme="minorHAnsi" w:cstheme="minorHAnsi"/>
                <w:sz w:val="22"/>
                <w:szCs w:val="22"/>
              </w:rPr>
              <w:t>The default approach to fund allocation should be to use competitive rounds of bidding within certain parameters, specifically the results framework strategic focus areas.</w:t>
            </w:r>
          </w:p>
        </w:tc>
        <w:tc>
          <w:tcPr>
            <w:tcW w:w="3261" w:type="dxa"/>
          </w:tcPr>
          <w:p w14:paraId="21AB3230" w14:textId="77777777" w:rsidR="003D5DDA" w:rsidRPr="008A763B" w:rsidRDefault="003D5DDA" w:rsidP="007A12C3">
            <w:pPr>
              <w:jc w:val="both"/>
              <w:rPr>
                <w:rFonts w:cstheme="minorHAnsi"/>
              </w:rPr>
            </w:pPr>
            <w:r w:rsidRPr="008A763B">
              <w:rPr>
                <w:rFonts w:cstheme="minorHAnsi"/>
              </w:rPr>
              <w:t xml:space="preserve">Agree in principle. DFAT and WB will continue to adopt competitive approaches to grant allocation. Funding intended for high and emerging priorities, which may not be covered in the annual priorities as initially programmed or anticipated, may also be budgeted. </w:t>
            </w:r>
          </w:p>
          <w:p w14:paraId="367A8919" w14:textId="0D8E2842" w:rsidR="00F55438" w:rsidRPr="008A763B" w:rsidRDefault="00F55438" w:rsidP="007A12C3">
            <w:pPr>
              <w:jc w:val="both"/>
              <w:rPr>
                <w:rFonts w:cstheme="minorHAnsi"/>
              </w:rPr>
            </w:pPr>
          </w:p>
        </w:tc>
      </w:tr>
      <w:tr w:rsidR="00627E59" w:rsidRPr="008A763B" w14:paraId="6AC88725" w14:textId="77777777" w:rsidTr="00AF49C1">
        <w:tc>
          <w:tcPr>
            <w:tcW w:w="4106" w:type="dxa"/>
          </w:tcPr>
          <w:p w14:paraId="3F941221" w14:textId="6DC85C47" w:rsidR="00627E59" w:rsidRPr="008A763B" w:rsidRDefault="00627E59" w:rsidP="00F55438">
            <w:pPr>
              <w:rPr>
                <w:rFonts w:cstheme="minorHAnsi"/>
              </w:rPr>
            </w:pPr>
            <w:r w:rsidRPr="008A763B">
              <w:rPr>
                <w:rFonts w:cstheme="minorHAnsi"/>
              </w:rPr>
              <w:t xml:space="preserve">6. One of the major strengths of the PH-PTF </w:t>
            </w:r>
            <w:r w:rsidR="007A12C3">
              <w:rPr>
                <w:rFonts w:cstheme="minorHAnsi"/>
              </w:rPr>
              <w:t>was</w:t>
            </w:r>
            <w:r w:rsidRPr="008A763B">
              <w:rPr>
                <w:rFonts w:cstheme="minorHAnsi"/>
              </w:rPr>
              <w:t xml:space="preserve"> its flexibility and timeliness in responding to changing circumstances.</w:t>
            </w:r>
          </w:p>
          <w:p w14:paraId="7A8D09E7" w14:textId="51FBAFCC" w:rsidR="00627E59" w:rsidRPr="008A763B" w:rsidRDefault="00627E59" w:rsidP="00F55438">
            <w:pPr>
              <w:rPr>
                <w:rFonts w:cstheme="minorHAnsi"/>
              </w:rPr>
            </w:pPr>
          </w:p>
        </w:tc>
        <w:tc>
          <w:tcPr>
            <w:tcW w:w="5528" w:type="dxa"/>
          </w:tcPr>
          <w:p w14:paraId="0FC1E5D2" w14:textId="53DF012B" w:rsidR="00627E59" w:rsidRPr="008A763B" w:rsidRDefault="00627E59" w:rsidP="00F55438">
            <w:pPr>
              <w:pStyle w:val="Default"/>
              <w:rPr>
                <w:rFonts w:asciiTheme="minorHAnsi" w:hAnsiTheme="minorHAnsi" w:cstheme="minorHAnsi"/>
                <w:sz w:val="22"/>
                <w:szCs w:val="22"/>
              </w:rPr>
            </w:pPr>
            <w:r w:rsidRPr="008A763B">
              <w:rPr>
                <w:rFonts w:asciiTheme="minorHAnsi" w:hAnsiTheme="minorHAnsi" w:cstheme="minorHAnsi"/>
                <w:sz w:val="22"/>
                <w:szCs w:val="22"/>
              </w:rPr>
              <w:t>The Steering Committee should be given the discretion to respond rapidly to events. The decisions made in such circumstances should however be transparent and explained to key stakeholders.</w:t>
            </w:r>
          </w:p>
        </w:tc>
        <w:tc>
          <w:tcPr>
            <w:tcW w:w="3261" w:type="dxa"/>
          </w:tcPr>
          <w:p w14:paraId="1C9A695B" w14:textId="295E22EB" w:rsidR="00627E59" w:rsidRPr="008A763B" w:rsidRDefault="00627E59" w:rsidP="003D5DDA">
            <w:pPr>
              <w:jc w:val="center"/>
              <w:rPr>
                <w:rFonts w:cstheme="minorHAnsi"/>
              </w:rPr>
            </w:pPr>
            <w:r w:rsidRPr="008A763B">
              <w:rPr>
                <w:rFonts w:cstheme="minorHAnsi"/>
              </w:rPr>
              <w:t>Agree.</w:t>
            </w:r>
          </w:p>
        </w:tc>
      </w:tr>
      <w:tr w:rsidR="003D5DDA" w:rsidRPr="008A763B" w14:paraId="2B072277" w14:textId="77777777" w:rsidTr="00AF49C1">
        <w:tc>
          <w:tcPr>
            <w:tcW w:w="4106" w:type="dxa"/>
          </w:tcPr>
          <w:p w14:paraId="1A75A65C" w14:textId="2D0BF460" w:rsidR="003D5DDA" w:rsidRPr="008A763B" w:rsidRDefault="00627E59" w:rsidP="00627E59">
            <w:pPr>
              <w:rPr>
                <w:rFonts w:cstheme="minorHAnsi"/>
              </w:rPr>
            </w:pPr>
            <w:r w:rsidRPr="008A763B">
              <w:rPr>
                <w:rFonts w:cstheme="minorHAnsi"/>
              </w:rPr>
              <w:t>7</w:t>
            </w:r>
            <w:r w:rsidR="003D5DDA" w:rsidRPr="008A763B">
              <w:rPr>
                <w:rFonts w:cstheme="minorHAnsi"/>
              </w:rPr>
              <w:t xml:space="preserve">. </w:t>
            </w:r>
            <w:r w:rsidRPr="008A763B">
              <w:rPr>
                <w:rFonts w:cstheme="minorHAnsi"/>
              </w:rPr>
              <w:t>There is no systematic annual reporting of PH-PTF progress.</w:t>
            </w:r>
          </w:p>
        </w:tc>
        <w:tc>
          <w:tcPr>
            <w:tcW w:w="5528" w:type="dxa"/>
          </w:tcPr>
          <w:p w14:paraId="3BF3CAD6" w14:textId="77777777" w:rsidR="003D5DDA" w:rsidRPr="008A763B" w:rsidRDefault="00627E59" w:rsidP="00627E59">
            <w:pPr>
              <w:pStyle w:val="Default"/>
              <w:rPr>
                <w:rFonts w:asciiTheme="minorHAnsi" w:hAnsiTheme="minorHAnsi" w:cstheme="minorHAnsi"/>
                <w:sz w:val="22"/>
                <w:szCs w:val="22"/>
              </w:rPr>
            </w:pPr>
            <w:r w:rsidRPr="008A763B">
              <w:rPr>
                <w:rFonts w:asciiTheme="minorHAnsi" w:hAnsiTheme="minorHAnsi" w:cstheme="minorHAnsi"/>
                <w:sz w:val="22"/>
                <w:szCs w:val="22"/>
              </w:rPr>
              <w:t>Annual financial and operational progress reports should be prepared. To ensure that this recommendation and the results framework recommendations are addressed, resources for monitoring and evaluation should be earmarked.</w:t>
            </w:r>
          </w:p>
          <w:p w14:paraId="2E7BCFB2" w14:textId="67BC4018" w:rsidR="00627E59" w:rsidRPr="008A763B" w:rsidRDefault="00627E59" w:rsidP="00627E59">
            <w:pPr>
              <w:pStyle w:val="Default"/>
              <w:rPr>
                <w:rFonts w:asciiTheme="minorHAnsi" w:hAnsiTheme="minorHAnsi" w:cstheme="minorHAnsi"/>
                <w:sz w:val="22"/>
                <w:szCs w:val="22"/>
              </w:rPr>
            </w:pPr>
          </w:p>
        </w:tc>
        <w:tc>
          <w:tcPr>
            <w:tcW w:w="3261" w:type="dxa"/>
          </w:tcPr>
          <w:p w14:paraId="5EDBA2F3" w14:textId="1C611358" w:rsidR="003D5DDA" w:rsidRPr="008A763B" w:rsidRDefault="003D5DDA" w:rsidP="007A12C3">
            <w:pPr>
              <w:jc w:val="both"/>
              <w:rPr>
                <w:rFonts w:cstheme="minorHAnsi"/>
              </w:rPr>
            </w:pPr>
            <w:r w:rsidRPr="008A763B">
              <w:rPr>
                <w:rFonts w:cstheme="minorHAnsi"/>
              </w:rPr>
              <w:t>Agree. WB will prepar</w:t>
            </w:r>
            <w:r w:rsidR="007A12C3">
              <w:rPr>
                <w:rFonts w:cstheme="minorHAnsi"/>
              </w:rPr>
              <w:t xml:space="preserve">e annual progress reports, in a </w:t>
            </w:r>
            <w:r w:rsidRPr="008A763B">
              <w:rPr>
                <w:rFonts w:cstheme="minorHAnsi"/>
              </w:rPr>
              <w:t xml:space="preserve">report format catering to the requirements of the DFAT </w:t>
            </w:r>
            <w:r w:rsidR="007A12C3">
              <w:rPr>
                <w:rFonts w:cstheme="minorHAnsi"/>
              </w:rPr>
              <w:t>aid q</w:t>
            </w:r>
            <w:r w:rsidRPr="008A763B">
              <w:rPr>
                <w:rFonts w:cstheme="minorHAnsi"/>
              </w:rPr>
              <w:t xml:space="preserve">uality </w:t>
            </w:r>
            <w:r w:rsidR="007A12C3">
              <w:rPr>
                <w:rFonts w:cstheme="minorHAnsi"/>
              </w:rPr>
              <w:t>processes</w:t>
            </w:r>
            <w:r w:rsidRPr="008A763B">
              <w:rPr>
                <w:rFonts w:cstheme="minorHAnsi"/>
              </w:rPr>
              <w:t>.  M&amp;E resources will be appropriately allocated.</w:t>
            </w:r>
          </w:p>
        </w:tc>
      </w:tr>
      <w:tr w:rsidR="003D5DDA" w:rsidRPr="008A763B" w14:paraId="18ED18FC" w14:textId="77777777" w:rsidTr="00AF49C1">
        <w:tc>
          <w:tcPr>
            <w:tcW w:w="4106" w:type="dxa"/>
          </w:tcPr>
          <w:p w14:paraId="6B8B2525" w14:textId="70DF0182" w:rsidR="003D5DDA" w:rsidRPr="008A763B" w:rsidRDefault="00627E59" w:rsidP="00AF49C1">
            <w:pPr>
              <w:rPr>
                <w:rFonts w:cstheme="minorHAnsi"/>
              </w:rPr>
            </w:pPr>
            <w:r w:rsidRPr="008A763B">
              <w:rPr>
                <w:rFonts w:cstheme="minorHAnsi"/>
              </w:rPr>
              <w:t>8</w:t>
            </w:r>
            <w:r w:rsidR="003D5DDA" w:rsidRPr="008A763B">
              <w:rPr>
                <w:rFonts w:cstheme="minorHAnsi"/>
              </w:rPr>
              <w:t xml:space="preserve">. </w:t>
            </w:r>
            <w:r w:rsidRPr="008A763B">
              <w:rPr>
                <w:rFonts w:cstheme="minorHAnsi"/>
              </w:rPr>
              <w:t>As noted in the Midterm Review, the annual allocations process used by DFAT added uncertainty to program planning and at times caused difficulties when task team leaders had to cancel planned activities.</w:t>
            </w:r>
            <w:bookmarkStart w:id="0" w:name="_GoBack"/>
            <w:bookmarkEnd w:id="0"/>
          </w:p>
        </w:tc>
        <w:tc>
          <w:tcPr>
            <w:tcW w:w="5528" w:type="dxa"/>
          </w:tcPr>
          <w:p w14:paraId="1B216BCE" w14:textId="77777777" w:rsidR="00627E59" w:rsidRPr="008A763B" w:rsidRDefault="00627E59" w:rsidP="00627E59">
            <w:pPr>
              <w:rPr>
                <w:rFonts w:cstheme="minorHAnsi"/>
              </w:rPr>
            </w:pPr>
            <w:r w:rsidRPr="008A763B">
              <w:rPr>
                <w:rFonts w:cstheme="minorHAnsi"/>
                <w:bCs/>
              </w:rPr>
              <w:t>DFAT should consider changing the allocation process</w:t>
            </w:r>
            <w:r w:rsidRPr="008A763B">
              <w:rPr>
                <w:rFonts w:cstheme="minorHAnsi"/>
                <w:b/>
                <w:bCs/>
              </w:rPr>
              <w:t xml:space="preserve"> </w:t>
            </w:r>
            <w:r w:rsidRPr="008A763B">
              <w:rPr>
                <w:rFonts w:cstheme="minorHAnsi"/>
              </w:rPr>
              <w:t>so that agreed grants have guaranteed multi-year resources.</w:t>
            </w:r>
          </w:p>
          <w:p w14:paraId="541CF8BF" w14:textId="77777777" w:rsidR="003D5DDA" w:rsidRPr="008A763B" w:rsidRDefault="003D5DDA" w:rsidP="00627E59">
            <w:pPr>
              <w:pStyle w:val="Default"/>
              <w:rPr>
                <w:rFonts w:asciiTheme="minorHAnsi" w:hAnsiTheme="minorHAnsi" w:cstheme="minorHAnsi"/>
                <w:sz w:val="22"/>
                <w:szCs w:val="22"/>
              </w:rPr>
            </w:pPr>
          </w:p>
        </w:tc>
        <w:tc>
          <w:tcPr>
            <w:tcW w:w="3261" w:type="dxa"/>
          </w:tcPr>
          <w:p w14:paraId="767F9E69" w14:textId="6B4BEF0A" w:rsidR="003D5DDA" w:rsidRPr="008A763B" w:rsidRDefault="003D5DDA" w:rsidP="007A12C3">
            <w:pPr>
              <w:jc w:val="both"/>
              <w:rPr>
                <w:rFonts w:cstheme="minorHAnsi"/>
              </w:rPr>
            </w:pPr>
            <w:r w:rsidRPr="008A763B">
              <w:rPr>
                <w:rFonts w:cstheme="minorHAnsi"/>
              </w:rPr>
              <w:t>Noted. For further discussion between DFAT and WB to ensure that endorsed activities by the SC are allocated with funding support whether the objectives are one-year or longer term.</w:t>
            </w:r>
          </w:p>
        </w:tc>
      </w:tr>
      <w:tr w:rsidR="003D5DDA" w:rsidRPr="008A763B" w14:paraId="68E9AAC5" w14:textId="77777777" w:rsidTr="00AF49C1">
        <w:tc>
          <w:tcPr>
            <w:tcW w:w="4106" w:type="dxa"/>
          </w:tcPr>
          <w:p w14:paraId="24C1DC4B" w14:textId="4DC821AC" w:rsidR="003D5DDA" w:rsidRPr="008A763B" w:rsidRDefault="00627E59" w:rsidP="003D5DDA">
            <w:pPr>
              <w:rPr>
                <w:rFonts w:cstheme="minorHAnsi"/>
              </w:rPr>
            </w:pPr>
            <w:r w:rsidRPr="008A763B">
              <w:rPr>
                <w:rFonts w:cstheme="minorHAnsi"/>
              </w:rPr>
              <w:lastRenderedPageBreak/>
              <w:t>9</w:t>
            </w:r>
            <w:r w:rsidR="003D5DDA" w:rsidRPr="008A763B">
              <w:rPr>
                <w:rFonts w:cstheme="minorHAnsi"/>
              </w:rPr>
              <w:t xml:space="preserve">. </w:t>
            </w:r>
            <w:r w:rsidRPr="008A763B">
              <w:rPr>
                <w:rFonts w:cstheme="minorHAnsi"/>
              </w:rPr>
              <w:t>Recipient-executed grants were slow to disburse, although several grants delivered excellent outcomes.</w:t>
            </w:r>
          </w:p>
          <w:p w14:paraId="230F4248" w14:textId="77777777" w:rsidR="003D5DDA" w:rsidRPr="008A763B" w:rsidRDefault="003D5DDA" w:rsidP="003D5DDA">
            <w:pPr>
              <w:rPr>
                <w:rFonts w:cstheme="minorHAnsi"/>
              </w:rPr>
            </w:pPr>
          </w:p>
        </w:tc>
        <w:tc>
          <w:tcPr>
            <w:tcW w:w="5528" w:type="dxa"/>
          </w:tcPr>
          <w:p w14:paraId="1B6E85A6" w14:textId="1CEFB390" w:rsidR="003D5DDA" w:rsidRPr="008A763B" w:rsidRDefault="00627E59" w:rsidP="00627E59">
            <w:pPr>
              <w:pStyle w:val="Default"/>
              <w:rPr>
                <w:rFonts w:asciiTheme="minorHAnsi" w:hAnsiTheme="minorHAnsi" w:cstheme="minorHAnsi"/>
                <w:sz w:val="22"/>
                <w:szCs w:val="22"/>
              </w:rPr>
            </w:pPr>
            <w:r w:rsidRPr="008A763B">
              <w:rPr>
                <w:rFonts w:asciiTheme="minorHAnsi" w:hAnsiTheme="minorHAnsi" w:cstheme="minorHAnsi"/>
                <w:bCs/>
                <w:sz w:val="22"/>
                <w:szCs w:val="22"/>
              </w:rPr>
              <w:t>World Bank and DFAT should continue to allow for both recipient-executed and Bank-executed activities.</w:t>
            </w:r>
          </w:p>
        </w:tc>
        <w:tc>
          <w:tcPr>
            <w:tcW w:w="3261" w:type="dxa"/>
          </w:tcPr>
          <w:p w14:paraId="7A09E6D6" w14:textId="21AEE4C7" w:rsidR="003D5DDA" w:rsidRPr="008A763B" w:rsidRDefault="003D5DDA" w:rsidP="003D5DDA">
            <w:pPr>
              <w:jc w:val="center"/>
              <w:rPr>
                <w:rFonts w:cstheme="minorHAnsi"/>
              </w:rPr>
            </w:pPr>
            <w:r w:rsidRPr="008A763B">
              <w:rPr>
                <w:rFonts w:cstheme="minorHAnsi"/>
              </w:rPr>
              <w:t xml:space="preserve">Agree. </w:t>
            </w:r>
          </w:p>
        </w:tc>
      </w:tr>
      <w:tr w:rsidR="003D5DDA" w:rsidRPr="008A763B" w14:paraId="24D85A54" w14:textId="77777777" w:rsidTr="00AF49C1">
        <w:tc>
          <w:tcPr>
            <w:tcW w:w="4106" w:type="dxa"/>
          </w:tcPr>
          <w:p w14:paraId="79778700" w14:textId="1AB4B0CE" w:rsidR="003D5DDA" w:rsidRPr="008A763B" w:rsidRDefault="00627E59" w:rsidP="003D5DDA">
            <w:pPr>
              <w:rPr>
                <w:rFonts w:cstheme="minorHAnsi"/>
              </w:rPr>
            </w:pPr>
            <w:r w:rsidRPr="008A763B">
              <w:rPr>
                <w:rFonts w:cstheme="minorHAnsi"/>
              </w:rPr>
              <w:t>10</w:t>
            </w:r>
            <w:r w:rsidR="003D5DDA" w:rsidRPr="008A763B">
              <w:rPr>
                <w:rFonts w:cstheme="minorHAnsi"/>
              </w:rPr>
              <w:t xml:space="preserve">. </w:t>
            </w:r>
            <w:r w:rsidRPr="008A763B">
              <w:rPr>
                <w:rFonts w:cstheme="minorHAnsi"/>
              </w:rPr>
              <w:t>Bank-executed grants were sometimes closely linked to loans such as the CCT, MRDP, and CDD; at other times, to more free-standing technical assistance. In both instances, there were some very significant</w:t>
            </w:r>
            <w:r w:rsidRPr="008A763B">
              <w:rPr>
                <w:rFonts w:cstheme="minorHAnsi"/>
                <w:color w:val="FF0000"/>
              </w:rPr>
              <w:t xml:space="preserve"> </w:t>
            </w:r>
            <w:r w:rsidRPr="008A763B">
              <w:rPr>
                <w:rFonts w:cstheme="minorHAnsi"/>
              </w:rPr>
              <w:t xml:space="preserve">outcomes. </w:t>
            </w:r>
          </w:p>
          <w:p w14:paraId="7982FBFD" w14:textId="77777777" w:rsidR="003D5DDA" w:rsidRPr="008A763B" w:rsidRDefault="003D5DDA" w:rsidP="003D5DDA">
            <w:pPr>
              <w:rPr>
                <w:rFonts w:cstheme="minorHAnsi"/>
              </w:rPr>
            </w:pPr>
          </w:p>
        </w:tc>
        <w:tc>
          <w:tcPr>
            <w:tcW w:w="5528" w:type="dxa"/>
          </w:tcPr>
          <w:p w14:paraId="310A15D1" w14:textId="7E0E6C85" w:rsidR="003D5DDA" w:rsidRPr="008A763B" w:rsidRDefault="00627E59" w:rsidP="003D5DDA">
            <w:pPr>
              <w:rPr>
                <w:rFonts w:cstheme="minorHAnsi"/>
              </w:rPr>
            </w:pPr>
            <w:r w:rsidRPr="008A763B">
              <w:rPr>
                <w:rFonts w:cstheme="minorHAnsi"/>
                <w:bCs/>
              </w:rPr>
              <w:t>World Bank and DFAT should continue to be flexible in funding Bank-executed grants. Their relevance to agreed priorities is more important than linkage to ongoing lending activities.</w:t>
            </w:r>
          </w:p>
        </w:tc>
        <w:tc>
          <w:tcPr>
            <w:tcW w:w="3261" w:type="dxa"/>
          </w:tcPr>
          <w:p w14:paraId="6AF3C4F8" w14:textId="4FC62CDE" w:rsidR="003D5DDA" w:rsidRPr="008A763B" w:rsidRDefault="003D5DDA" w:rsidP="003D5DDA">
            <w:pPr>
              <w:jc w:val="center"/>
              <w:rPr>
                <w:rFonts w:cstheme="minorHAnsi"/>
              </w:rPr>
            </w:pPr>
            <w:r w:rsidRPr="008A763B">
              <w:rPr>
                <w:rFonts w:cstheme="minorHAnsi"/>
              </w:rPr>
              <w:t xml:space="preserve">Agree. </w:t>
            </w:r>
          </w:p>
        </w:tc>
      </w:tr>
      <w:tr w:rsidR="003D5DDA" w:rsidRPr="008A763B" w14:paraId="678983BA" w14:textId="77777777" w:rsidTr="00AF49C1">
        <w:tc>
          <w:tcPr>
            <w:tcW w:w="4106" w:type="dxa"/>
          </w:tcPr>
          <w:p w14:paraId="26D9FC5C" w14:textId="599D74F1" w:rsidR="003D5DDA" w:rsidRPr="008A763B" w:rsidRDefault="00627E59" w:rsidP="003D5DDA">
            <w:pPr>
              <w:rPr>
                <w:rFonts w:cstheme="minorHAnsi"/>
              </w:rPr>
            </w:pPr>
            <w:r w:rsidRPr="008A763B">
              <w:rPr>
                <w:rFonts w:cstheme="minorHAnsi"/>
              </w:rPr>
              <w:t>11</w:t>
            </w:r>
            <w:r w:rsidR="003D5DDA" w:rsidRPr="008A763B">
              <w:rPr>
                <w:rFonts w:cstheme="minorHAnsi"/>
              </w:rPr>
              <w:t xml:space="preserve">. </w:t>
            </w:r>
            <w:r w:rsidRPr="008A763B">
              <w:rPr>
                <w:rFonts w:cstheme="minorHAnsi"/>
              </w:rPr>
              <w:t>The Programmatic AAAs provided a more coordinated structure for planning, managing and reporting about advisory services and analytics activities, but failed to r</w:t>
            </w:r>
            <w:r w:rsidR="00AF49C1">
              <w:rPr>
                <w:rFonts w:cstheme="minorHAnsi"/>
              </w:rPr>
              <w:t>eport adequately on trust funded</w:t>
            </w:r>
            <w:r w:rsidRPr="008A763B">
              <w:rPr>
                <w:rFonts w:cstheme="minorHAnsi"/>
              </w:rPr>
              <w:t xml:space="preserve"> activities.</w:t>
            </w:r>
          </w:p>
          <w:p w14:paraId="13B32765" w14:textId="77777777" w:rsidR="003D5DDA" w:rsidRPr="008A763B" w:rsidRDefault="003D5DDA" w:rsidP="003D5DDA">
            <w:pPr>
              <w:rPr>
                <w:rFonts w:cstheme="minorHAnsi"/>
              </w:rPr>
            </w:pPr>
          </w:p>
        </w:tc>
        <w:tc>
          <w:tcPr>
            <w:tcW w:w="5528" w:type="dxa"/>
          </w:tcPr>
          <w:p w14:paraId="6E84B0F5" w14:textId="648FE550" w:rsidR="003D5DDA" w:rsidRPr="008A763B" w:rsidRDefault="00627E59" w:rsidP="00AF49C1">
            <w:pPr>
              <w:pStyle w:val="Default"/>
              <w:rPr>
                <w:rFonts w:asciiTheme="minorHAnsi" w:hAnsiTheme="minorHAnsi" w:cstheme="minorHAnsi"/>
                <w:sz w:val="22"/>
                <w:szCs w:val="22"/>
              </w:rPr>
            </w:pPr>
            <w:r w:rsidRPr="008A763B">
              <w:rPr>
                <w:rFonts w:asciiTheme="minorHAnsi" w:hAnsiTheme="minorHAnsi" w:cstheme="minorHAnsi"/>
                <w:bCs/>
                <w:sz w:val="22"/>
                <w:szCs w:val="22"/>
              </w:rPr>
              <w:t xml:space="preserve">World Bank should review the </w:t>
            </w:r>
            <w:r w:rsidR="00AF49C1">
              <w:rPr>
                <w:rFonts w:asciiTheme="minorHAnsi" w:hAnsiTheme="minorHAnsi" w:cstheme="minorHAnsi"/>
                <w:bCs/>
                <w:sz w:val="22"/>
                <w:szCs w:val="22"/>
              </w:rPr>
              <w:t xml:space="preserve">use of PAAA </w:t>
            </w:r>
            <w:r w:rsidRPr="008A763B">
              <w:rPr>
                <w:rFonts w:asciiTheme="minorHAnsi" w:hAnsiTheme="minorHAnsi" w:cstheme="minorHAnsi"/>
                <w:bCs/>
                <w:sz w:val="22"/>
                <w:szCs w:val="22"/>
              </w:rPr>
              <w:t>reporting arrangements</w:t>
            </w:r>
            <w:r w:rsidR="00AF49C1">
              <w:rPr>
                <w:rFonts w:asciiTheme="minorHAnsi" w:hAnsiTheme="minorHAnsi" w:cstheme="minorHAnsi"/>
                <w:bCs/>
                <w:sz w:val="22"/>
                <w:szCs w:val="22"/>
              </w:rPr>
              <w:t xml:space="preserve"> for trust funded activities</w:t>
            </w:r>
            <w:r w:rsidRPr="008A763B">
              <w:rPr>
                <w:rFonts w:asciiTheme="minorHAnsi" w:hAnsiTheme="minorHAnsi" w:cstheme="minorHAnsi"/>
                <w:bCs/>
                <w:sz w:val="22"/>
                <w:szCs w:val="22"/>
              </w:rPr>
              <w:t xml:space="preserve">, </w:t>
            </w:r>
            <w:r w:rsidRPr="008A763B">
              <w:rPr>
                <w:rFonts w:asciiTheme="minorHAnsi" w:hAnsiTheme="minorHAnsi" w:cstheme="minorHAnsi"/>
                <w:sz w:val="22"/>
                <w:szCs w:val="22"/>
              </w:rPr>
              <w:t xml:space="preserve">because they do not provide </w:t>
            </w:r>
            <w:r w:rsidR="00AF49C1">
              <w:rPr>
                <w:rFonts w:asciiTheme="minorHAnsi" w:hAnsiTheme="minorHAnsi" w:cstheme="minorHAnsi"/>
                <w:sz w:val="22"/>
                <w:szCs w:val="22"/>
              </w:rPr>
              <w:t xml:space="preserve">sufficient details on the outputs and results supported by the trust funds. </w:t>
            </w:r>
            <w:r w:rsidR="00AF49C1" w:rsidRPr="00AF49C1">
              <w:rPr>
                <w:rFonts w:asciiTheme="minorHAnsi" w:hAnsiTheme="minorHAnsi" w:cstheme="minorHAnsi"/>
                <w:sz w:val="22"/>
                <w:szCs w:val="22"/>
                <w:lang w:val="en-US"/>
              </w:rPr>
              <w:t>Where multiple funding sources are used for PAAAs, reports should clearly identify the contributions of each funding source to PAAA activities and outputs to ensure traceability of donor resources.  To the extent possible, PAAA rating systems should be compatible with those used in other trust funds and operational reports. If activities financed through trust funds move in or out of a PAAA, reports should keep donors fully informed on the use of the funds they contributed.</w:t>
            </w:r>
          </w:p>
        </w:tc>
        <w:tc>
          <w:tcPr>
            <w:tcW w:w="3261" w:type="dxa"/>
          </w:tcPr>
          <w:p w14:paraId="73859A9E" w14:textId="005A72E9" w:rsidR="003D5DDA" w:rsidRPr="008A763B" w:rsidRDefault="003D5DDA" w:rsidP="003D5DDA">
            <w:pPr>
              <w:jc w:val="center"/>
              <w:rPr>
                <w:rFonts w:cstheme="minorHAnsi"/>
              </w:rPr>
            </w:pPr>
            <w:r w:rsidRPr="008A763B">
              <w:rPr>
                <w:rFonts w:cstheme="minorHAnsi"/>
              </w:rPr>
              <w:t xml:space="preserve"> [For WB’s consideration.]</w:t>
            </w:r>
          </w:p>
        </w:tc>
      </w:tr>
    </w:tbl>
    <w:p w14:paraId="30DDD468" w14:textId="77777777" w:rsidR="00925AE0" w:rsidRPr="008A763B" w:rsidRDefault="00925AE0">
      <w:pPr>
        <w:rPr>
          <w:rFonts w:cstheme="minorHAnsi"/>
        </w:rPr>
      </w:pPr>
    </w:p>
    <w:sectPr w:rsidR="00925AE0" w:rsidRPr="008A763B" w:rsidSect="00AF49C1">
      <w:footerReference w:type="default" r:id="rId8"/>
      <w:pgSz w:w="16838" w:h="11906" w:orient="landscape"/>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D270" w14:textId="77777777" w:rsidR="00856AF8" w:rsidRDefault="00856AF8" w:rsidP="00110335">
      <w:pPr>
        <w:spacing w:after="0" w:line="240" w:lineRule="auto"/>
      </w:pPr>
      <w:r>
        <w:separator/>
      </w:r>
    </w:p>
  </w:endnote>
  <w:endnote w:type="continuationSeparator" w:id="0">
    <w:p w14:paraId="3E6F3F13" w14:textId="77777777" w:rsidR="00856AF8" w:rsidRDefault="00856AF8" w:rsidP="0011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51594"/>
      <w:docPartObj>
        <w:docPartGallery w:val="Page Numbers (Bottom of Page)"/>
        <w:docPartUnique/>
      </w:docPartObj>
    </w:sdtPr>
    <w:sdtEndPr>
      <w:rPr>
        <w:noProof/>
      </w:rPr>
    </w:sdtEndPr>
    <w:sdtContent>
      <w:p w14:paraId="6BCE2F93" w14:textId="77AA6B1C" w:rsidR="00110335" w:rsidRDefault="00B31CAB">
        <w:pPr>
          <w:pStyle w:val="Footer"/>
          <w:jc w:val="center"/>
        </w:pPr>
        <w:r>
          <w:fldChar w:fldCharType="begin"/>
        </w:r>
        <w:r w:rsidR="00110335">
          <w:instrText xml:space="preserve"> PAGE   \* MERGEFORMAT </w:instrText>
        </w:r>
        <w:r>
          <w:fldChar w:fldCharType="separate"/>
        </w:r>
        <w:r w:rsidR="00AF49C1">
          <w:rPr>
            <w:noProof/>
          </w:rPr>
          <w:t>3</w:t>
        </w:r>
        <w:r>
          <w:rPr>
            <w:noProof/>
          </w:rPr>
          <w:fldChar w:fldCharType="end"/>
        </w:r>
      </w:p>
    </w:sdtContent>
  </w:sdt>
  <w:p w14:paraId="6003FC55" w14:textId="77777777" w:rsidR="00110335" w:rsidRDefault="0011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ADBA1" w14:textId="77777777" w:rsidR="00856AF8" w:rsidRDefault="00856AF8" w:rsidP="00110335">
      <w:pPr>
        <w:spacing w:after="0" w:line="240" w:lineRule="auto"/>
      </w:pPr>
      <w:r>
        <w:separator/>
      </w:r>
    </w:p>
  </w:footnote>
  <w:footnote w:type="continuationSeparator" w:id="0">
    <w:p w14:paraId="534B3960" w14:textId="77777777" w:rsidR="00856AF8" w:rsidRDefault="00856AF8" w:rsidP="00110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025"/>
    <w:multiLevelType w:val="hybridMultilevel"/>
    <w:tmpl w:val="41F0F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E0"/>
    <w:rsid w:val="000907D9"/>
    <w:rsid w:val="000D1CD0"/>
    <w:rsid w:val="000D3DA3"/>
    <w:rsid w:val="00110335"/>
    <w:rsid w:val="00124172"/>
    <w:rsid w:val="001373CA"/>
    <w:rsid w:val="00163622"/>
    <w:rsid w:val="002830BC"/>
    <w:rsid w:val="003D2A3E"/>
    <w:rsid w:val="003D5DDA"/>
    <w:rsid w:val="004259F0"/>
    <w:rsid w:val="004A4D64"/>
    <w:rsid w:val="004D6429"/>
    <w:rsid w:val="005746BD"/>
    <w:rsid w:val="005870A1"/>
    <w:rsid w:val="005C0033"/>
    <w:rsid w:val="00627E59"/>
    <w:rsid w:val="00644995"/>
    <w:rsid w:val="00682C5E"/>
    <w:rsid w:val="007A12C3"/>
    <w:rsid w:val="007E765A"/>
    <w:rsid w:val="00823B58"/>
    <w:rsid w:val="00856AF8"/>
    <w:rsid w:val="0086319A"/>
    <w:rsid w:val="008747A1"/>
    <w:rsid w:val="008A763B"/>
    <w:rsid w:val="008D47FA"/>
    <w:rsid w:val="008F73F4"/>
    <w:rsid w:val="009106ED"/>
    <w:rsid w:val="00925AE0"/>
    <w:rsid w:val="00925DAE"/>
    <w:rsid w:val="009369BC"/>
    <w:rsid w:val="00A042C7"/>
    <w:rsid w:val="00A94F7C"/>
    <w:rsid w:val="00AE36D3"/>
    <w:rsid w:val="00AF157A"/>
    <w:rsid w:val="00AF49C1"/>
    <w:rsid w:val="00B31CAB"/>
    <w:rsid w:val="00B842F3"/>
    <w:rsid w:val="00BE3894"/>
    <w:rsid w:val="00BF4845"/>
    <w:rsid w:val="00C02423"/>
    <w:rsid w:val="00C10BBE"/>
    <w:rsid w:val="00C45A29"/>
    <w:rsid w:val="00C95C5D"/>
    <w:rsid w:val="00CA7D41"/>
    <w:rsid w:val="00DB47F9"/>
    <w:rsid w:val="00EB2C5D"/>
    <w:rsid w:val="00F55438"/>
    <w:rsid w:val="00FE512F"/>
  </w:rsids>
  <m:mathPr>
    <m:mathFont m:val="Cambria Math"/>
    <m:brkBin m:val="before"/>
    <m:brkBinSub m:val="--"/>
    <m:smallFrac m:val="0"/>
    <m:dispDef/>
    <m:lMargin m:val="0"/>
    <m:rMargin m:val="0"/>
    <m:defJc m:val="centerGroup"/>
    <m:wrapIndent m:val="1440"/>
    <m:intLim m:val="subSup"/>
    <m:naryLim m:val="undOvr"/>
  </m:mathPr>
  <w:themeFontLang w:val="en-PH"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D35E"/>
  <w15:docId w15:val="{6CA79E18-8C29-443E-A487-8CF57EA7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C5D"/>
    <w:pPr>
      <w:ind w:left="720"/>
      <w:contextualSpacing/>
    </w:pPr>
  </w:style>
  <w:style w:type="paragraph" w:customStyle="1" w:styleId="Default">
    <w:name w:val="Default"/>
    <w:rsid w:val="0016362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10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335"/>
  </w:style>
  <w:style w:type="paragraph" w:styleId="Footer">
    <w:name w:val="footer"/>
    <w:basedOn w:val="Normal"/>
    <w:link w:val="FooterChar"/>
    <w:uiPriority w:val="99"/>
    <w:unhideWhenUsed/>
    <w:rsid w:val="00110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335"/>
  </w:style>
  <w:style w:type="paragraph" w:styleId="BalloonText">
    <w:name w:val="Balloon Text"/>
    <w:basedOn w:val="Normal"/>
    <w:link w:val="BalloonTextChar"/>
    <w:uiPriority w:val="99"/>
    <w:semiHidden/>
    <w:unhideWhenUsed/>
    <w:rsid w:val="00AE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D3"/>
    <w:rPr>
      <w:rFonts w:ascii="Tahoma" w:hAnsi="Tahoma" w:cs="Tahoma"/>
      <w:sz w:val="16"/>
      <w:szCs w:val="16"/>
    </w:rPr>
  </w:style>
  <w:style w:type="character" w:styleId="CommentReference">
    <w:name w:val="annotation reference"/>
    <w:basedOn w:val="DefaultParagraphFont"/>
    <w:uiPriority w:val="99"/>
    <w:semiHidden/>
    <w:unhideWhenUsed/>
    <w:rsid w:val="00AE36D3"/>
    <w:rPr>
      <w:sz w:val="16"/>
      <w:szCs w:val="16"/>
    </w:rPr>
  </w:style>
  <w:style w:type="paragraph" w:styleId="CommentText">
    <w:name w:val="annotation text"/>
    <w:basedOn w:val="Normal"/>
    <w:link w:val="CommentTextChar"/>
    <w:uiPriority w:val="99"/>
    <w:semiHidden/>
    <w:unhideWhenUsed/>
    <w:rsid w:val="00AE36D3"/>
    <w:pPr>
      <w:spacing w:line="240" w:lineRule="auto"/>
    </w:pPr>
    <w:rPr>
      <w:sz w:val="20"/>
      <w:szCs w:val="20"/>
    </w:rPr>
  </w:style>
  <w:style w:type="character" w:customStyle="1" w:styleId="CommentTextChar">
    <w:name w:val="Comment Text Char"/>
    <w:basedOn w:val="DefaultParagraphFont"/>
    <w:link w:val="CommentText"/>
    <w:uiPriority w:val="99"/>
    <w:semiHidden/>
    <w:rsid w:val="00AE36D3"/>
    <w:rPr>
      <w:sz w:val="20"/>
      <w:szCs w:val="20"/>
    </w:rPr>
  </w:style>
  <w:style w:type="paragraph" w:styleId="CommentSubject">
    <w:name w:val="annotation subject"/>
    <w:basedOn w:val="CommentText"/>
    <w:next w:val="CommentText"/>
    <w:link w:val="CommentSubjectChar"/>
    <w:uiPriority w:val="99"/>
    <w:semiHidden/>
    <w:unhideWhenUsed/>
    <w:rsid w:val="00AE36D3"/>
    <w:rPr>
      <w:b/>
      <w:bCs/>
    </w:rPr>
  </w:style>
  <w:style w:type="character" w:customStyle="1" w:styleId="CommentSubjectChar">
    <w:name w:val="Comment Subject Char"/>
    <w:basedOn w:val="CommentTextChar"/>
    <w:link w:val="CommentSubject"/>
    <w:uiPriority w:val="99"/>
    <w:semiHidden/>
    <w:rsid w:val="00AE3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28EDDD-E2BD-4FAF-A6FA-F193B55D1A4B}"/>
</file>

<file path=customXml/itemProps2.xml><?xml version="1.0" encoding="utf-8"?>
<ds:datastoreItem xmlns:ds="http://schemas.openxmlformats.org/officeDocument/2006/customXml" ds:itemID="{494C13BC-E794-4AA8-B0FB-3D39980ACDB4}"/>
</file>

<file path=customXml/itemProps3.xml><?xml version="1.0" encoding="utf-8"?>
<ds:datastoreItem xmlns:ds="http://schemas.openxmlformats.org/officeDocument/2006/customXml" ds:itemID="{E5E2EE94-9420-4BCE-981F-A314159BA4EF}"/>
</file>

<file path=customXml/itemProps4.xml><?xml version="1.0" encoding="utf-8"?>
<ds:datastoreItem xmlns:ds="http://schemas.openxmlformats.org/officeDocument/2006/customXml" ds:itemID="{7931507D-07EF-40B1-A812-8C56E16930E4}"/>
</file>

<file path=docProps/app.xml><?xml version="1.0" encoding="utf-8"?>
<Properties xmlns="http://schemas.openxmlformats.org/officeDocument/2006/extended-properties" xmlns:vt="http://schemas.openxmlformats.org/officeDocument/2006/docPropsVTypes">
  <Template>Normal.dotm</Template>
  <TotalTime>26</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Palomo- Jensen, Elnora</dc:creator>
  <cp:lastModifiedBy>Simpson, Nardia</cp:lastModifiedBy>
  <cp:revision>3</cp:revision>
  <dcterms:created xsi:type="dcterms:W3CDTF">2018-12-21T07:44:00Z</dcterms:created>
  <dcterms:modified xsi:type="dcterms:W3CDTF">2018-12-21T08:11:00Z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0b5f0c4d-50a4-4f12-88d8-0073bbec2b85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1223100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