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C2C75" w14:textId="345711B0" w:rsidR="00FE6F2A" w:rsidRDefault="003E03B0" w:rsidP="00F25A93">
      <w:pPr>
        <w:pStyle w:val="SpacebeforeTitle"/>
      </w:pPr>
      <w:r>
        <w:rPr>
          <w:b/>
          <w:noProof/>
          <w:lang w:val="en-AU" w:eastAsia="en-AU"/>
        </w:rPr>
        <w:drawing>
          <wp:inline distT="0" distB="0" distL="0" distR="0" wp14:anchorId="0B4E6C06" wp14:editId="5A92E8E9">
            <wp:extent cx="2006600" cy="723900"/>
            <wp:effectExtent l="0" t="0" r="0" b="0"/>
            <wp:docPr id="27" name="Picture 27" descr="PNGAus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PNGAus Partnershi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4C5D" w14:textId="77777777" w:rsidR="001F5A1B" w:rsidRPr="003E03B0" w:rsidRDefault="001F5A1B" w:rsidP="003E03B0">
      <w:pPr>
        <w:pStyle w:val="Heading1Numbered"/>
      </w:pPr>
      <w:r w:rsidRPr="003E03B0">
        <w:t>Australia’s Support to Law and Justice in Papua New Guinea</w:t>
      </w:r>
    </w:p>
    <w:p w14:paraId="0E5846AF" w14:textId="109997CE" w:rsidR="00774EE4" w:rsidRDefault="000B6C99" w:rsidP="000B6C99">
      <w:r>
        <w:t>The rule of law and effective administration of justice are crucial to Papua New Guinea’s</w:t>
      </w:r>
      <w:r w:rsidR="001F5A1B">
        <w:t xml:space="preserve"> </w:t>
      </w:r>
      <w:r>
        <w:t>long-term stability</w:t>
      </w:r>
      <w:r w:rsidR="00BD43A6">
        <w:t>,</w:t>
      </w:r>
      <w:r>
        <w:t xml:space="preserve"> </w:t>
      </w:r>
      <w:proofErr w:type="gramStart"/>
      <w:r>
        <w:t>security</w:t>
      </w:r>
      <w:proofErr w:type="gramEnd"/>
      <w:r>
        <w:t xml:space="preserve"> and economic growth. Australia has supported </w:t>
      </w:r>
      <w:r w:rsidR="001F5A1B">
        <w:t xml:space="preserve">PNG’s </w:t>
      </w:r>
      <w:r>
        <w:t>law and justice sector since the</w:t>
      </w:r>
      <w:r w:rsidR="00BD43A6">
        <w:t xml:space="preserve"> late 1980s</w:t>
      </w:r>
      <w:r>
        <w:t xml:space="preserve"> and </w:t>
      </w:r>
      <w:r w:rsidR="006F4F80">
        <w:t>currently</w:t>
      </w:r>
      <w:r w:rsidR="003C3B31">
        <w:t xml:space="preserve"> delivers this support</w:t>
      </w:r>
      <w:r>
        <w:t xml:space="preserve"> </w:t>
      </w:r>
      <w:r w:rsidR="001F5A1B">
        <w:t>through three pillars;</w:t>
      </w:r>
      <w:r>
        <w:t xml:space="preserve"> the PNG-Australia Policing Partnership (PNG</w:t>
      </w:r>
      <w:r w:rsidR="003C3B31">
        <w:t>-</w:t>
      </w:r>
      <w:r>
        <w:t>APP), the Justice Services and Stability for Development Program</w:t>
      </w:r>
      <w:r w:rsidR="008D22EB">
        <w:t xml:space="preserve"> (JSS4D)</w:t>
      </w:r>
      <w:r w:rsidR="001F5A1B">
        <w:t xml:space="preserve"> </w:t>
      </w:r>
      <w:r>
        <w:t>and</w:t>
      </w:r>
      <w:r w:rsidR="002D6A79">
        <w:t xml:space="preserve"> </w:t>
      </w:r>
      <w:r w:rsidR="008D22EB">
        <w:t xml:space="preserve">smaller </w:t>
      </w:r>
      <w:r w:rsidR="002D6A79">
        <w:t xml:space="preserve">select </w:t>
      </w:r>
      <w:r>
        <w:t>investments in PNG’s law and justice sector</w:t>
      </w:r>
      <w:r w:rsidR="001F5A1B">
        <w:t>.</w:t>
      </w:r>
    </w:p>
    <w:p w14:paraId="6B9C5235" w14:textId="77777777" w:rsidR="000B6C99" w:rsidRPr="003E03B0" w:rsidRDefault="000B6C99" w:rsidP="003E03B0">
      <w:pPr>
        <w:pStyle w:val="Heading2Numbered"/>
      </w:pPr>
      <w:r w:rsidRPr="003E03B0">
        <w:t>PNG-Australia Policing Partnership</w:t>
      </w:r>
      <w:r w:rsidR="008D22EB" w:rsidRPr="003E03B0">
        <w:t xml:space="preserve"> – PNG-APP</w:t>
      </w:r>
    </w:p>
    <w:p w14:paraId="1E0ED3FC" w14:textId="42F99176" w:rsidR="000B6C99" w:rsidRDefault="000B6C99" w:rsidP="00313CBB">
      <w:pPr>
        <w:spacing w:before="0" w:after="0" w:line="240" w:lineRule="auto"/>
        <w:rPr>
          <w:i/>
        </w:rPr>
      </w:pPr>
      <w:r>
        <w:t>The current phase of the PNG-APP commenced on 1 January 2019 and will run until 30 June 2022</w:t>
      </w:r>
      <w:r w:rsidR="00007C5C">
        <w:t xml:space="preserve"> funded at AUD155million (PGK393.6million)</w:t>
      </w:r>
      <w:r>
        <w:t>. The PNG-APP is a longstanding joint development program between the Royal Papua New Guinea Constabulary (RPNGC) and the Australian Federal Police (AFP). The partnership</w:t>
      </w:r>
      <w:r w:rsidR="00E00804">
        <w:t xml:space="preserve"> currently consists of 4</w:t>
      </w:r>
      <w:r w:rsidR="00A17395">
        <w:t>2</w:t>
      </w:r>
      <w:r w:rsidR="00E00804">
        <w:t xml:space="preserve"> Advisors and</w:t>
      </w:r>
      <w:r>
        <w:t xml:space="preserve"> is funded for three and half years but is designed as a ten-year </w:t>
      </w:r>
      <w:r w:rsidR="00A17395">
        <w:t>vision</w:t>
      </w:r>
      <w:r w:rsidR="00D71F46">
        <w:t>.</w:t>
      </w:r>
      <w:r>
        <w:t xml:space="preserve"> The overarching partnership goal is for the RPNGC to </w:t>
      </w:r>
      <w:r w:rsidRPr="00FA725B">
        <w:rPr>
          <w:rFonts w:eastAsiaTheme="minorHAnsi" w:cstheme="minorBidi"/>
        </w:rPr>
        <w:t xml:space="preserve">be a professional, </w:t>
      </w:r>
      <w:proofErr w:type="gramStart"/>
      <w:r w:rsidRPr="00FA725B">
        <w:rPr>
          <w:rFonts w:eastAsiaTheme="minorHAnsi" w:cstheme="minorBidi"/>
        </w:rPr>
        <w:t>effective</w:t>
      </w:r>
      <w:proofErr w:type="gramEnd"/>
      <w:r w:rsidRPr="00FA725B">
        <w:rPr>
          <w:rFonts w:eastAsiaTheme="minorHAnsi" w:cstheme="minorBidi"/>
        </w:rPr>
        <w:t xml:space="preserve"> and trusted community-oriented police service. PNG-APP support</w:t>
      </w:r>
      <w:r w:rsidR="00313CBB">
        <w:rPr>
          <w:rFonts w:eastAsiaTheme="minorHAnsi" w:cstheme="minorBidi"/>
        </w:rPr>
        <w:t>s</w:t>
      </w:r>
      <w:r w:rsidRPr="00FA725B">
        <w:rPr>
          <w:rFonts w:eastAsiaTheme="minorHAnsi" w:cstheme="minorBidi"/>
        </w:rPr>
        <w:t xml:space="preserve"> improvements in three RPNGC focus areas: Operations</w:t>
      </w:r>
      <w:r w:rsidR="00C03240" w:rsidRPr="00FA725B">
        <w:rPr>
          <w:rFonts w:eastAsiaTheme="minorHAnsi" w:cstheme="minorBidi"/>
        </w:rPr>
        <w:t xml:space="preserve"> (</w:t>
      </w:r>
      <w:r w:rsidR="00E00804">
        <w:rPr>
          <w:rFonts w:eastAsiaTheme="minorHAnsi" w:cstheme="minorBidi"/>
        </w:rPr>
        <w:t>including</w:t>
      </w:r>
      <w:r w:rsidR="00A17395">
        <w:rPr>
          <w:rFonts w:eastAsiaTheme="minorHAnsi" w:cstheme="minorBidi"/>
        </w:rPr>
        <w:t>,</w:t>
      </w:r>
      <w:r w:rsidR="00C03240" w:rsidRPr="00FA725B">
        <w:rPr>
          <w:rFonts w:eastAsiaTheme="minorHAnsi" w:cstheme="minorBidi"/>
        </w:rPr>
        <w:t xml:space="preserve"> </w:t>
      </w:r>
      <w:r w:rsidR="00A17395">
        <w:rPr>
          <w:rFonts w:eastAsiaTheme="minorHAnsi" w:cstheme="minorBidi"/>
        </w:rPr>
        <w:t xml:space="preserve">but not limited </w:t>
      </w:r>
      <w:r w:rsidR="008612AD">
        <w:rPr>
          <w:rFonts w:eastAsiaTheme="minorHAnsi" w:cstheme="minorBidi"/>
        </w:rPr>
        <w:t>to,</w:t>
      </w:r>
      <w:r w:rsidR="00A17395">
        <w:rPr>
          <w:rFonts w:eastAsiaTheme="minorHAnsi" w:cstheme="minorBidi"/>
        </w:rPr>
        <w:t xml:space="preserve"> </w:t>
      </w:r>
      <w:r w:rsidR="00C03240" w:rsidRPr="00FA725B">
        <w:rPr>
          <w:rFonts w:eastAsiaTheme="minorHAnsi" w:cstheme="minorBidi"/>
        </w:rPr>
        <w:t>gender</w:t>
      </w:r>
      <w:r w:rsidR="00D0290F" w:rsidRPr="00FA725B">
        <w:rPr>
          <w:rFonts w:eastAsiaTheme="minorHAnsi" w:cstheme="minorBidi"/>
        </w:rPr>
        <w:t>-</w:t>
      </w:r>
      <w:r w:rsidR="00C03240" w:rsidRPr="00FA725B">
        <w:rPr>
          <w:rFonts w:eastAsiaTheme="minorHAnsi" w:cstheme="minorBidi"/>
        </w:rPr>
        <w:t>based violence)</w:t>
      </w:r>
      <w:r w:rsidRPr="00FA725B">
        <w:rPr>
          <w:rFonts w:eastAsiaTheme="minorHAnsi" w:cstheme="minorBidi"/>
        </w:rPr>
        <w:t>; Training</w:t>
      </w:r>
      <w:r>
        <w:rPr>
          <w:iCs/>
        </w:rPr>
        <w:t xml:space="preserve">; and Corporate </w:t>
      </w:r>
      <w:r w:rsidR="00A17395">
        <w:rPr>
          <w:iCs/>
        </w:rPr>
        <w:t xml:space="preserve">Reform </w:t>
      </w:r>
      <w:r>
        <w:rPr>
          <w:iCs/>
        </w:rPr>
        <w:t>and Enabling Services</w:t>
      </w:r>
      <w:r>
        <w:rPr>
          <w:i/>
        </w:rPr>
        <w:t xml:space="preserve">. </w:t>
      </w:r>
    </w:p>
    <w:p w14:paraId="5B3CF540" w14:textId="77777777" w:rsidR="00313CBB" w:rsidRPr="00313CBB" w:rsidRDefault="00313CBB" w:rsidP="00313CBB">
      <w:pPr>
        <w:spacing w:before="0" w:after="0" w:line="240" w:lineRule="auto"/>
        <w:rPr>
          <w:i/>
          <w:sz w:val="16"/>
          <w:szCs w:val="16"/>
        </w:rPr>
      </w:pPr>
    </w:p>
    <w:p w14:paraId="39E732EE" w14:textId="77777777" w:rsidR="000B6C99" w:rsidRDefault="000B6C99" w:rsidP="003E03B0">
      <w:pPr>
        <w:pStyle w:val="Heading2Numbered"/>
      </w:pPr>
      <w:r>
        <w:t xml:space="preserve">Justice Service and Stability for Development </w:t>
      </w:r>
      <w:r w:rsidR="008D22EB">
        <w:t>- JSS4D</w:t>
      </w:r>
    </w:p>
    <w:p w14:paraId="7022F38B" w14:textId="62FE9556" w:rsidR="00FA725B" w:rsidRPr="00313CBB" w:rsidRDefault="00313CBB" w:rsidP="00313CBB">
      <w:pPr>
        <w:pStyle w:val="Bullet2"/>
        <w:numPr>
          <w:ilvl w:val="0"/>
          <w:numId w:val="0"/>
        </w:numPr>
        <w:tabs>
          <w:tab w:val="left" w:pos="720"/>
        </w:tabs>
        <w:spacing w:after="0" w:line="240" w:lineRule="auto"/>
      </w:pPr>
      <w:r w:rsidRPr="00313CBB">
        <w:t>Australia’s law and justice program, JSS4D</w:t>
      </w:r>
      <w:r>
        <w:t>,</w:t>
      </w:r>
      <w:r w:rsidRPr="00313CBB">
        <w:t xml:space="preserve"> is a AUD151million (PGK413.4 million) eight-year program (Jan 2016</w:t>
      </w:r>
      <w:r w:rsidR="0069088D">
        <w:t xml:space="preserve"> </w:t>
      </w:r>
      <w:r w:rsidRPr="00313CBB">
        <w:t>-</w:t>
      </w:r>
      <w:r w:rsidR="0069088D">
        <w:t xml:space="preserve"> </w:t>
      </w:r>
      <w:r w:rsidRPr="00313CBB">
        <w:t>Dec 2023) that supports the delivery of effective and inclusive justice services across PNG. The program was extended in 2021 for three years at a commitment of AUD59 million (PGK160.4 million). Priorities include addressing family and sexual violence (FSV) and strengthening key justice mechanisms at the subnational level, such as Village Courts. Priority locations are</w:t>
      </w:r>
      <w:r w:rsidR="003C3B31">
        <w:t xml:space="preserve"> the Highlands (</w:t>
      </w:r>
      <w:r w:rsidRPr="00313CBB">
        <w:t xml:space="preserve">Hela, </w:t>
      </w:r>
      <w:proofErr w:type="spellStart"/>
      <w:r w:rsidRPr="00313CBB">
        <w:t>Enga</w:t>
      </w:r>
      <w:proofErr w:type="spellEnd"/>
      <w:r w:rsidRPr="00313CBB">
        <w:t>, Southern Highlands</w:t>
      </w:r>
      <w:r w:rsidR="003C3B31">
        <w:t>)</w:t>
      </w:r>
      <w:r w:rsidRPr="00313CBB">
        <w:t xml:space="preserve">, Western, </w:t>
      </w:r>
      <w:proofErr w:type="spellStart"/>
      <w:r w:rsidRPr="00313CBB">
        <w:t>Morobe</w:t>
      </w:r>
      <w:proofErr w:type="spellEnd"/>
      <w:r w:rsidRPr="00313CBB">
        <w:t xml:space="preserve"> and the Autonomous Region of Bougainville.</w:t>
      </w:r>
    </w:p>
    <w:p w14:paraId="07E61376" w14:textId="77777777" w:rsidR="000B6C99" w:rsidRDefault="000B6C99" w:rsidP="00FA725B">
      <w:pPr>
        <w:spacing w:after="0" w:line="240" w:lineRule="auto"/>
        <w:rPr>
          <w:b/>
          <w:bCs/>
        </w:rPr>
      </w:pPr>
      <w:r>
        <w:rPr>
          <w:b/>
          <w:bCs/>
        </w:rPr>
        <w:t>Other Law and Justice Initiatives funded by Australia:</w:t>
      </w:r>
    </w:p>
    <w:p w14:paraId="379EFC24" w14:textId="3716351E" w:rsidR="003C3B31" w:rsidRPr="001268D5" w:rsidRDefault="003C3B31" w:rsidP="003C3B31">
      <w:pPr>
        <w:pStyle w:val="Bullet1"/>
        <w:numPr>
          <w:ilvl w:val="0"/>
          <w:numId w:val="41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eastAsiaTheme="minorHAnsi" w:cstheme="minorBidi"/>
        </w:rPr>
      </w:pPr>
      <w:r w:rsidRPr="007E06ED">
        <w:rPr>
          <w:rFonts w:eastAsiaTheme="minorHAnsi" w:cstheme="minorBidi"/>
          <w:b/>
          <w:bCs/>
        </w:rPr>
        <w:t>Australia’s Attorney</w:t>
      </w:r>
      <w:r>
        <w:rPr>
          <w:rFonts w:eastAsiaTheme="minorHAnsi" w:cstheme="minorBidi"/>
          <w:b/>
          <w:bCs/>
        </w:rPr>
        <w:t>-</w:t>
      </w:r>
      <w:r w:rsidRPr="007E06ED">
        <w:rPr>
          <w:rFonts w:eastAsiaTheme="minorHAnsi" w:cstheme="minorBidi"/>
          <w:b/>
          <w:bCs/>
        </w:rPr>
        <w:t>General’s Department</w:t>
      </w:r>
      <w:r w:rsidRPr="008D3AC7">
        <w:rPr>
          <w:rFonts w:eastAsiaTheme="minorHAnsi" w:cstheme="minorBidi"/>
        </w:rPr>
        <w:t xml:space="preserve"> support</w:t>
      </w:r>
      <w:r>
        <w:rPr>
          <w:rFonts w:eastAsiaTheme="minorHAnsi" w:cstheme="minorBidi"/>
        </w:rPr>
        <w:t>s</w:t>
      </w:r>
      <w:r w:rsidRPr="008D3AC7">
        <w:rPr>
          <w:rFonts w:eastAsiaTheme="minorHAnsi" w:cstheme="minorBidi"/>
        </w:rPr>
        <w:t xml:space="preserve"> PNG’s Department of Justice and Attorney General </w:t>
      </w:r>
      <w:r>
        <w:rPr>
          <w:rFonts w:eastAsiaTheme="minorHAnsi" w:cstheme="minorBidi"/>
        </w:rPr>
        <w:t xml:space="preserve">with </w:t>
      </w:r>
      <w:r w:rsidRPr="00BD43A6">
        <w:rPr>
          <w:rFonts w:eastAsiaTheme="minorHAnsi" w:cstheme="minorBidi"/>
        </w:rPr>
        <w:t>legal</w:t>
      </w:r>
      <w:r>
        <w:rPr>
          <w:rFonts w:eastAsiaTheme="minorHAnsi" w:cstheme="minorBidi"/>
        </w:rPr>
        <w:t xml:space="preserve"> and</w:t>
      </w:r>
      <w:r w:rsidRPr="00BD43A6">
        <w:rPr>
          <w:rFonts w:eastAsiaTheme="minorHAnsi" w:cstheme="minorBidi"/>
        </w:rPr>
        <w:t xml:space="preserve"> policy</w:t>
      </w:r>
      <w:r>
        <w:rPr>
          <w:rFonts w:eastAsiaTheme="minorHAnsi" w:cstheme="minorBidi"/>
        </w:rPr>
        <w:t xml:space="preserve"> </w:t>
      </w:r>
      <w:r w:rsidRPr="00BD43A6">
        <w:rPr>
          <w:rFonts w:eastAsiaTheme="minorHAnsi" w:cstheme="minorBidi"/>
        </w:rPr>
        <w:t>reform, and core skills training.</w:t>
      </w:r>
    </w:p>
    <w:p w14:paraId="2271ECD5" w14:textId="2495EC0A" w:rsidR="00313CBB" w:rsidRPr="00313CBB" w:rsidRDefault="00313CBB" w:rsidP="00FA725B">
      <w:pPr>
        <w:pStyle w:val="Bullet1"/>
        <w:numPr>
          <w:ilvl w:val="0"/>
          <w:numId w:val="41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bCs/>
        </w:rPr>
        <w:t xml:space="preserve">Federal Court of Australia </w:t>
      </w:r>
      <w:r w:rsidRPr="00B30953">
        <w:rPr>
          <w:rFonts w:eastAsiaTheme="minorHAnsi" w:cstheme="minorBidi"/>
        </w:rPr>
        <w:t>Memorandum of Understanding on Judicial Cooperation with the National and Supreme Courts of PNG,</w:t>
      </w:r>
      <w:r>
        <w:rPr>
          <w:rFonts w:eastAsiaTheme="minorHAnsi" w:cstheme="minorBidi"/>
        </w:rPr>
        <w:t xml:space="preserve"> through which two Australian Federal Court </w:t>
      </w:r>
      <w:r w:rsidR="003C3B31">
        <w:rPr>
          <w:rFonts w:eastAsiaTheme="minorHAnsi" w:cstheme="minorBidi"/>
        </w:rPr>
        <w:t>j</w:t>
      </w:r>
      <w:r>
        <w:rPr>
          <w:rFonts w:eastAsiaTheme="minorHAnsi" w:cstheme="minorBidi"/>
        </w:rPr>
        <w:t>udges travel to PNG to hear Supreme Court cases for three weeks per year.</w:t>
      </w:r>
    </w:p>
    <w:p w14:paraId="0AE2B2A3" w14:textId="77777777" w:rsidR="00E6489A" w:rsidRPr="00D71F46" w:rsidRDefault="00B30953" w:rsidP="00FA725B">
      <w:pPr>
        <w:pStyle w:val="Bullet1"/>
        <w:numPr>
          <w:ilvl w:val="0"/>
          <w:numId w:val="41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eastAsiaTheme="minorHAnsi" w:cstheme="minorBidi"/>
        </w:rPr>
      </w:pPr>
      <w:r w:rsidRPr="008D3AC7">
        <w:rPr>
          <w:rFonts w:eastAsiaTheme="minorHAnsi" w:cstheme="minorBidi"/>
          <w:b/>
          <w:bCs/>
        </w:rPr>
        <w:t>Australia’s Office of the Commonwealth Ombudsman</w:t>
      </w:r>
      <w:r w:rsidRPr="008D3AC7">
        <w:rPr>
          <w:rFonts w:eastAsiaTheme="minorHAnsi" w:cstheme="minorBidi"/>
        </w:rPr>
        <w:t xml:space="preserve"> supports the Ombudsman Commission of PNG to strengthen staff capacity in leadership, advocacy, complaints handling and investigations skills</w:t>
      </w:r>
      <w:r w:rsidRPr="009A3BD0">
        <w:rPr>
          <w:b/>
          <w:bCs/>
        </w:rPr>
        <w:t xml:space="preserve"> </w:t>
      </w:r>
    </w:p>
    <w:p w14:paraId="20854201" w14:textId="268D0417" w:rsidR="008D3AC7" w:rsidRPr="00313CBB" w:rsidRDefault="008D3AC7" w:rsidP="00FA725B">
      <w:pPr>
        <w:pStyle w:val="Bullet1"/>
        <w:numPr>
          <w:ilvl w:val="0"/>
          <w:numId w:val="41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eastAsiaTheme="minorHAnsi" w:cstheme="minorBidi"/>
        </w:rPr>
      </w:pPr>
      <w:r w:rsidRPr="009A3BD0">
        <w:rPr>
          <w:b/>
          <w:bCs/>
        </w:rPr>
        <w:t>UNICEF</w:t>
      </w:r>
      <w:r>
        <w:rPr>
          <w:b/>
          <w:bCs/>
        </w:rPr>
        <w:t xml:space="preserve"> Juvenile Justice program</w:t>
      </w:r>
      <w:r w:rsidR="00313CBB">
        <w:rPr>
          <w:b/>
          <w:bCs/>
        </w:rPr>
        <w:t>s</w:t>
      </w:r>
      <w:r w:rsidRPr="008D3AC7">
        <w:rPr>
          <w:i/>
          <w:iCs/>
        </w:rPr>
        <w:t xml:space="preserve"> </w:t>
      </w:r>
      <w:r w:rsidRPr="007F5AB1">
        <w:t xml:space="preserve">support the Government of PNG </w:t>
      </w:r>
      <w:r w:rsidR="007E06ED">
        <w:t xml:space="preserve">and RPNGC to strengthen systems and processes to </w:t>
      </w:r>
      <w:r w:rsidR="00FA0AD3">
        <w:t xml:space="preserve">ensure timely registration of </w:t>
      </w:r>
      <w:r w:rsidR="003C3B31">
        <w:t xml:space="preserve">births </w:t>
      </w:r>
      <w:r w:rsidR="00FA0AD3">
        <w:t xml:space="preserve">and </w:t>
      </w:r>
      <w:r w:rsidR="007E06ED">
        <w:t xml:space="preserve">protect children as both perpetrators and survivors of crime. </w:t>
      </w:r>
    </w:p>
    <w:p w14:paraId="7F268FA2" w14:textId="3E76B949" w:rsidR="00313CBB" w:rsidRPr="008D3AC7" w:rsidRDefault="00313CBB" w:rsidP="00FA725B">
      <w:pPr>
        <w:pStyle w:val="Bullet1"/>
        <w:numPr>
          <w:ilvl w:val="0"/>
          <w:numId w:val="41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eastAsiaTheme="minorHAnsi" w:cstheme="minorBidi"/>
        </w:rPr>
      </w:pPr>
      <w:r>
        <w:rPr>
          <w:b/>
          <w:bCs/>
        </w:rPr>
        <w:t xml:space="preserve">International Committee of the Red Cross </w:t>
      </w:r>
      <w:r w:rsidR="00FA0AD3">
        <w:t>provides protection and supports services to vulnerable communities such as those affected by tribal and sexual violence, COVID-19 and those in detention.</w:t>
      </w:r>
    </w:p>
    <w:p w14:paraId="3341D351" w14:textId="45922E67" w:rsidR="008D3AC7" w:rsidRPr="008D3AC7" w:rsidRDefault="008D3AC7" w:rsidP="008D3AC7">
      <w:pPr>
        <w:pStyle w:val="Bullet1"/>
        <w:numPr>
          <w:ilvl w:val="0"/>
          <w:numId w:val="41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eastAsiaTheme="minorHAnsi" w:cstheme="minorBidi"/>
        </w:rPr>
      </w:pPr>
      <w:r>
        <w:rPr>
          <w:b/>
          <w:bCs/>
        </w:rPr>
        <w:t xml:space="preserve">Transparency International </w:t>
      </w:r>
      <w:r w:rsidR="007E06ED">
        <w:t>support</w:t>
      </w:r>
      <w:r w:rsidR="003C3B31">
        <w:t>s</w:t>
      </w:r>
      <w:r w:rsidR="007E06ED">
        <w:t xml:space="preserve"> </w:t>
      </w:r>
      <w:r>
        <w:t>research,</w:t>
      </w:r>
      <w:r w:rsidR="007E06ED">
        <w:t xml:space="preserve"> </w:t>
      </w:r>
      <w:r>
        <w:t xml:space="preserve">advocacy and </w:t>
      </w:r>
      <w:r w:rsidR="007E06ED">
        <w:t>civic</w:t>
      </w:r>
      <w:r>
        <w:t xml:space="preserve"> education</w:t>
      </w:r>
      <w:r w:rsidR="007E06ED">
        <w:t xml:space="preserve"> to encourage transparency in </w:t>
      </w:r>
      <w:r w:rsidR="007E06ED" w:rsidRPr="007F5AB1">
        <w:t xml:space="preserve">Government of PNG </w:t>
      </w:r>
      <w:r w:rsidR="007E06ED">
        <w:t>activities.</w:t>
      </w:r>
    </w:p>
    <w:p w14:paraId="5B152587" w14:textId="0858EC80" w:rsidR="009A3BD0" w:rsidRPr="00B30953" w:rsidRDefault="008D3AC7" w:rsidP="00B30953">
      <w:pPr>
        <w:pStyle w:val="Bullet1"/>
        <w:numPr>
          <w:ilvl w:val="0"/>
          <w:numId w:val="41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eastAsiaTheme="minorHAnsi" w:cstheme="minorBidi"/>
        </w:rPr>
      </w:pPr>
      <w:r>
        <w:rPr>
          <w:b/>
          <w:bCs/>
        </w:rPr>
        <w:t xml:space="preserve">SPEAR – Supporting PNG’s Effective AML/CTF Reform Program </w:t>
      </w:r>
      <w:r w:rsidR="003C3B31">
        <w:t xml:space="preserve">delivered </w:t>
      </w:r>
      <w:r>
        <w:t xml:space="preserve">by Home Affairs and AUSTRAC, works with PNG counterparts to </w:t>
      </w:r>
      <w:r w:rsidR="003C3B31">
        <w:t xml:space="preserve">combat </w:t>
      </w:r>
      <w:r>
        <w:t>m</w:t>
      </w:r>
      <w:r w:rsidRPr="008D3AC7">
        <w:t xml:space="preserve">oney </w:t>
      </w:r>
      <w:r>
        <w:t>l</w:t>
      </w:r>
      <w:r w:rsidRPr="008D3AC7">
        <w:t>aundering and</w:t>
      </w:r>
      <w:r>
        <w:t xml:space="preserve"> t</w:t>
      </w:r>
      <w:r w:rsidRPr="008D3AC7">
        <w:t>errorism</w:t>
      </w:r>
      <w:r w:rsidR="003C3B31">
        <w:t xml:space="preserve"> financing</w:t>
      </w:r>
      <w:r>
        <w:t xml:space="preserve">. </w:t>
      </w:r>
    </w:p>
    <w:sectPr w:rsidR="009A3BD0" w:rsidRPr="00B30953" w:rsidSect="00FC322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7D3A" w14:textId="77777777" w:rsidR="00302F34" w:rsidRDefault="00302F34" w:rsidP="00D37B04">
      <w:r>
        <w:separator/>
      </w:r>
    </w:p>
  </w:endnote>
  <w:endnote w:type="continuationSeparator" w:id="0">
    <w:p w14:paraId="0148A924" w14:textId="77777777" w:rsidR="00302F34" w:rsidRDefault="00302F34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71C2" w14:textId="16361872" w:rsidR="00FC322F" w:rsidRPr="00FC322F" w:rsidRDefault="004527BF" w:rsidP="00FC322F">
    <w:pPr>
      <w:pStyle w:val="Footer"/>
      <w:rPr>
        <w:b/>
      </w:rPr>
    </w:pPr>
    <w:r w:rsidRPr="00F43D9F">
      <w:rPr>
        <w:b/>
        <w:noProof/>
        <w:lang w:val="en-AU" w:eastAsia="en-AU"/>
      </w:rPr>
      <w:drawing>
        <wp:inline distT="0" distB="0" distL="0" distR="0" wp14:anchorId="56EED290" wp14:editId="2310BE73">
          <wp:extent cx="104953" cy="83185"/>
          <wp:effectExtent l="0" t="0" r="0" b="0"/>
          <wp:docPr id="1" name="Picture 35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Twitter" title="Twit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" cy="8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322F" w:rsidRPr="00FC322F">
      <w:rPr>
        <w:b/>
      </w:rPr>
      <w:t>@</w:t>
    </w:r>
    <w:proofErr w:type="gramStart"/>
    <w:r w:rsidR="00FC322F" w:rsidRPr="00FC322F">
      <w:rPr>
        <w:b/>
      </w:rPr>
      <w:t xml:space="preserve">DFAT  </w:t>
    </w:r>
    <w:r w:rsidR="00FC322F" w:rsidRPr="00FC322F">
      <w:rPr>
        <w:rStyle w:val="Green"/>
        <w:b/>
      </w:rPr>
      <w:t>DFAT.GOV.AU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87E7" w14:textId="44DFEFEC" w:rsidR="00FC322F" w:rsidRPr="00FC322F" w:rsidRDefault="00FA3553" w:rsidP="003E03B0">
    <w:pPr>
      <w:pStyle w:val="Footer"/>
      <w:tabs>
        <w:tab w:val="left" w:pos="7655"/>
      </w:tabs>
      <w:rPr>
        <w:b/>
      </w:rPr>
    </w:pPr>
    <w:r>
      <w:rPr>
        <w:noProof/>
        <w:lang w:val="en-AU" w:eastAsia="en-AU"/>
      </w:rPr>
      <w:drawing>
        <wp:anchor distT="0" distB="0" distL="114300" distR="114300" simplePos="0" relativeHeight="251663872" behindDoc="1" locked="0" layoutInCell="1" allowOverlap="1" wp14:anchorId="6E230940" wp14:editId="7F04A6D3">
          <wp:simplePos x="0" y="0"/>
          <wp:positionH relativeFrom="margin">
            <wp:posOffset>-351955</wp:posOffset>
          </wp:positionH>
          <wp:positionV relativeFrom="bottomMargin">
            <wp:posOffset>5443</wp:posOffset>
          </wp:positionV>
          <wp:extent cx="6854452" cy="701040"/>
          <wp:effectExtent l="0" t="0" r="3810" b="381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-Granite-Foot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1709" cy="70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22F" w:rsidRPr="00FC322F">
      <w:rPr>
        <w:b/>
      </w:rPr>
      <w:t>@</w:t>
    </w:r>
    <w:r w:rsidR="00F43D9F">
      <w:rPr>
        <w:b/>
      </w:rPr>
      <w:t>AusHCPNG</w:t>
    </w:r>
    <w:r w:rsidR="00C03240">
      <w:rPr>
        <w:b/>
      </w:rPr>
      <w:tab/>
    </w:r>
    <w:r w:rsidR="00AC5432">
      <w:rPr>
        <w:b/>
      </w:rPr>
      <w:t>June</w:t>
    </w:r>
    <w:r w:rsidR="00C03240">
      <w:rPr>
        <w:b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4546" w14:textId="77777777" w:rsidR="00302F34" w:rsidRPr="008C5A0E" w:rsidRDefault="00302F34" w:rsidP="00D37B04">
      <w:pPr>
        <w:pStyle w:val="Footer"/>
      </w:pPr>
    </w:p>
  </w:footnote>
  <w:footnote w:type="continuationSeparator" w:id="0">
    <w:p w14:paraId="6F8E7979" w14:textId="77777777" w:rsidR="00302F34" w:rsidRDefault="00302F34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137D" w14:textId="141AFAB4" w:rsidR="002D5B25" w:rsidRPr="000854FD" w:rsidRDefault="004527BF" w:rsidP="002D5B2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667A4192" wp14:editId="7B326237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0" b="0"/>
          <wp:wrapNone/>
          <wp:docPr id="4" name="Picture 3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background" title="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ECBC9" w14:textId="79D27AD9" w:rsidR="00D37B04" w:rsidRPr="00FA3553" w:rsidRDefault="00FA3553" w:rsidP="00FA355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5466F6FA" wp14:editId="6A546031">
          <wp:simplePos x="0" y="0"/>
          <wp:positionH relativeFrom="margin">
            <wp:posOffset>-351955</wp:posOffset>
          </wp:positionH>
          <wp:positionV relativeFrom="page">
            <wp:posOffset>273132</wp:posOffset>
          </wp:positionV>
          <wp:extent cx="6841981" cy="944245"/>
          <wp:effectExtent l="0" t="0" r="0" b="825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022" cy="945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48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64F55"/>
    <w:multiLevelType w:val="hybridMultilevel"/>
    <w:tmpl w:val="79B22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866EA"/>
    <w:multiLevelType w:val="hybridMultilevel"/>
    <w:tmpl w:val="253488E0"/>
    <w:lvl w:ilvl="0" w:tplc="0FC2F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5226EE"/>
    <w:multiLevelType w:val="hybridMultilevel"/>
    <w:tmpl w:val="DD62925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1B4E2E12"/>
    <w:multiLevelType w:val="multilevel"/>
    <w:tmpl w:val="46769186"/>
    <w:lvl w:ilvl="0">
      <w:start w:val="1"/>
      <w:numFmt w:val="bullet"/>
      <w:lvlText w:val="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801"/>
        </w:tabs>
        <w:ind w:left="2801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3164"/>
        </w:tabs>
        <w:ind w:left="3164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521"/>
        </w:tabs>
        <w:ind w:left="3521" w:hanging="357"/>
      </w:pPr>
      <w:rPr>
        <w:rFonts w:ascii="Symbol" w:hAnsi="Symbol" w:hint="default"/>
      </w:rPr>
    </w:lvl>
  </w:abstractNum>
  <w:abstractNum w:abstractNumId="17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2EBB0177"/>
    <w:multiLevelType w:val="hybridMultilevel"/>
    <w:tmpl w:val="48764F4C"/>
    <w:lvl w:ilvl="0" w:tplc="1510839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0432B"/>
    <w:multiLevelType w:val="hybridMultilevel"/>
    <w:tmpl w:val="57301D40"/>
    <w:lvl w:ilvl="0" w:tplc="5814883E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82042F"/>
    <w:multiLevelType w:val="hybridMultilevel"/>
    <w:tmpl w:val="823EF3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565667"/>
    <w:multiLevelType w:val="multilevel"/>
    <w:tmpl w:val="5D9A3B7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22" w15:restartNumberingAfterBreak="0">
    <w:nsid w:val="52553D9F"/>
    <w:multiLevelType w:val="multilevel"/>
    <w:tmpl w:val="A6FA45D0"/>
    <w:numStyleLink w:val="BulletsList"/>
  </w:abstractNum>
  <w:abstractNum w:abstractNumId="2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5D3C1EA7"/>
    <w:multiLevelType w:val="multilevel"/>
    <w:tmpl w:val="A6FA45D0"/>
    <w:numStyleLink w:val="BulletsList"/>
  </w:abstractNum>
  <w:abstractNum w:abstractNumId="25" w15:restartNumberingAfterBreak="0">
    <w:nsid w:val="5DBD5DF9"/>
    <w:multiLevelType w:val="hybridMultilevel"/>
    <w:tmpl w:val="BA3AB570"/>
    <w:lvl w:ilvl="0" w:tplc="05560A68">
      <w:start w:val="1"/>
      <w:numFmt w:val="lowerRoman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7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2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7"/>
  </w:num>
  <w:num w:numId="23">
    <w:abstractNumId w:val="17"/>
  </w:num>
  <w:num w:numId="24">
    <w:abstractNumId w:val="24"/>
  </w:num>
  <w:num w:numId="25">
    <w:abstractNumId w:val="24"/>
  </w:num>
  <w:num w:numId="26">
    <w:abstractNumId w:val="24"/>
  </w:num>
  <w:num w:numId="27">
    <w:abstractNumId w:val="23"/>
  </w:num>
  <w:num w:numId="28">
    <w:abstractNumId w:val="12"/>
  </w:num>
  <w:num w:numId="29">
    <w:abstractNumId w:val="12"/>
  </w:num>
  <w:num w:numId="30">
    <w:abstractNumId w:val="12"/>
  </w:num>
  <w:num w:numId="31">
    <w:abstractNumId w:val="15"/>
  </w:num>
  <w:num w:numId="32">
    <w:abstractNumId w:val="28"/>
  </w:num>
  <w:num w:numId="33">
    <w:abstractNumId w:val="22"/>
  </w:num>
  <w:num w:numId="34">
    <w:abstractNumId w:val="16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8"/>
  </w:num>
  <w:num w:numId="39">
    <w:abstractNumId w:val="11"/>
  </w:num>
  <w:num w:numId="40">
    <w:abstractNumId w:val="20"/>
  </w:num>
  <w:num w:numId="41">
    <w:abstractNumId w:val="1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99"/>
    <w:rsid w:val="00001DA8"/>
    <w:rsid w:val="000020C1"/>
    <w:rsid w:val="00007C5C"/>
    <w:rsid w:val="0002080A"/>
    <w:rsid w:val="0002782F"/>
    <w:rsid w:val="00035BBF"/>
    <w:rsid w:val="00050806"/>
    <w:rsid w:val="000546D9"/>
    <w:rsid w:val="00054E4D"/>
    <w:rsid w:val="00060073"/>
    <w:rsid w:val="000616C6"/>
    <w:rsid w:val="000854FD"/>
    <w:rsid w:val="000B37F5"/>
    <w:rsid w:val="000B6C99"/>
    <w:rsid w:val="000D66D6"/>
    <w:rsid w:val="00113288"/>
    <w:rsid w:val="001214BE"/>
    <w:rsid w:val="001268D5"/>
    <w:rsid w:val="0013101C"/>
    <w:rsid w:val="001461D6"/>
    <w:rsid w:val="001541EA"/>
    <w:rsid w:val="00194CD9"/>
    <w:rsid w:val="001A2895"/>
    <w:rsid w:val="001A2979"/>
    <w:rsid w:val="001D663E"/>
    <w:rsid w:val="001E1DC0"/>
    <w:rsid w:val="001F5A1B"/>
    <w:rsid w:val="00203277"/>
    <w:rsid w:val="00205B2E"/>
    <w:rsid w:val="00252C04"/>
    <w:rsid w:val="002738E0"/>
    <w:rsid w:val="0028602A"/>
    <w:rsid w:val="002B5E10"/>
    <w:rsid w:val="002C793D"/>
    <w:rsid w:val="002D5B25"/>
    <w:rsid w:val="002D6A79"/>
    <w:rsid w:val="002E1FBC"/>
    <w:rsid w:val="002F4F2B"/>
    <w:rsid w:val="003002C0"/>
    <w:rsid w:val="00301144"/>
    <w:rsid w:val="00302F34"/>
    <w:rsid w:val="003031C6"/>
    <w:rsid w:val="00304984"/>
    <w:rsid w:val="00312BF8"/>
    <w:rsid w:val="00313CBB"/>
    <w:rsid w:val="003148B7"/>
    <w:rsid w:val="003158C3"/>
    <w:rsid w:val="003274CD"/>
    <w:rsid w:val="00333501"/>
    <w:rsid w:val="0034384B"/>
    <w:rsid w:val="003457C4"/>
    <w:rsid w:val="0035119D"/>
    <w:rsid w:val="00384D40"/>
    <w:rsid w:val="00386BA6"/>
    <w:rsid w:val="0039344A"/>
    <w:rsid w:val="00395163"/>
    <w:rsid w:val="003B4F12"/>
    <w:rsid w:val="003C3B31"/>
    <w:rsid w:val="003E03B0"/>
    <w:rsid w:val="003F2041"/>
    <w:rsid w:val="00402ACC"/>
    <w:rsid w:val="004120EC"/>
    <w:rsid w:val="00423F31"/>
    <w:rsid w:val="00431899"/>
    <w:rsid w:val="00442055"/>
    <w:rsid w:val="004527BF"/>
    <w:rsid w:val="00482AE8"/>
    <w:rsid w:val="0048492D"/>
    <w:rsid w:val="00486804"/>
    <w:rsid w:val="004939C4"/>
    <w:rsid w:val="004B3775"/>
    <w:rsid w:val="004C6342"/>
    <w:rsid w:val="004D0BA0"/>
    <w:rsid w:val="004E058F"/>
    <w:rsid w:val="004E3B87"/>
    <w:rsid w:val="004F5A05"/>
    <w:rsid w:val="00510921"/>
    <w:rsid w:val="00510AD3"/>
    <w:rsid w:val="00513348"/>
    <w:rsid w:val="00513AD8"/>
    <w:rsid w:val="005204D2"/>
    <w:rsid w:val="00522396"/>
    <w:rsid w:val="00533B5D"/>
    <w:rsid w:val="005A20F6"/>
    <w:rsid w:val="005B55E8"/>
    <w:rsid w:val="005D3655"/>
    <w:rsid w:val="005E4830"/>
    <w:rsid w:val="00614401"/>
    <w:rsid w:val="00622B86"/>
    <w:rsid w:val="00623BA1"/>
    <w:rsid w:val="006346BC"/>
    <w:rsid w:val="0066652A"/>
    <w:rsid w:val="006719C3"/>
    <w:rsid w:val="00680522"/>
    <w:rsid w:val="00682167"/>
    <w:rsid w:val="0069088D"/>
    <w:rsid w:val="00690B32"/>
    <w:rsid w:val="006C42AF"/>
    <w:rsid w:val="006F4F80"/>
    <w:rsid w:val="00711D8E"/>
    <w:rsid w:val="00712672"/>
    <w:rsid w:val="00734E3F"/>
    <w:rsid w:val="00736985"/>
    <w:rsid w:val="00745DF5"/>
    <w:rsid w:val="00753412"/>
    <w:rsid w:val="00754417"/>
    <w:rsid w:val="0076250F"/>
    <w:rsid w:val="007706B8"/>
    <w:rsid w:val="00774EE4"/>
    <w:rsid w:val="00780FA5"/>
    <w:rsid w:val="007B6200"/>
    <w:rsid w:val="007C6859"/>
    <w:rsid w:val="007E06ED"/>
    <w:rsid w:val="007F3395"/>
    <w:rsid w:val="007F5AB1"/>
    <w:rsid w:val="00801B9F"/>
    <w:rsid w:val="0080204D"/>
    <w:rsid w:val="00805B9C"/>
    <w:rsid w:val="0083052F"/>
    <w:rsid w:val="008475F0"/>
    <w:rsid w:val="008557A7"/>
    <w:rsid w:val="008612AD"/>
    <w:rsid w:val="00870928"/>
    <w:rsid w:val="00885A62"/>
    <w:rsid w:val="0089405C"/>
    <w:rsid w:val="00897FA2"/>
    <w:rsid w:val="008A5AFE"/>
    <w:rsid w:val="008C5A0E"/>
    <w:rsid w:val="008D22EB"/>
    <w:rsid w:val="008D3AC7"/>
    <w:rsid w:val="00943730"/>
    <w:rsid w:val="00961E72"/>
    <w:rsid w:val="00975CA5"/>
    <w:rsid w:val="00983AED"/>
    <w:rsid w:val="00986590"/>
    <w:rsid w:val="00992C76"/>
    <w:rsid w:val="009969D6"/>
    <w:rsid w:val="009A3BD0"/>
    <w:rsid w:val="009A3DD2"/>
    <w:rsid w:val="009B4D3B"/>
    <w:rsid w:val="009B7942"/>
    <w:rsid w:val="009D7407"/>
    <w:rsid w:val="009E0866"/>
    <w:rsid w:val="009E273C"/>
    <w:rsid w:val="009F1350"/>
    <w:rsid w:val="009F6423"/>
    <w:rsid w:val="00A17395"/>
    <w:rsid w:val="00A175B3"/>
    <w:rsid w:val="00A24A62"/>
    <w:rsid w:val="00A31C9F"/>
    <w:rsid w:val="00A4144F"/>
    <w:rsid w:val="00A61B4D"/>
    <w:rsid w:val="00A80F95"/>
    <w:rsid w:val="00A91795"/>
    <w:rsid w:val="00A97BF1"/>
    <w:rsid w:val="00AA298A"/>
    <w:rsid w:val="00AA315B"/>
    <w:rsid w:val="00AC164A"/>
    <w:rsid w:val="00AC5432"/>
    <w:rsid w:val="00AE448A"/>
    <w:rsid w:val="00AF2050"/>
    <w:rsid w:val="00B03CA8"/>
    <w:rsid w:val="00B22C16"/>
    <w:rsid w:val="00B30953"/>
    <w:rsid w:val="00B33C0A"/>
    <w:rsid w:val="00B55E19"/>
    <w:rsid w:val="00B94758"/>
    <w:rsid w:val="00BA4B6D"/>
    <w:rsid w:val="00BB26C5"/>
    <w:rsid w:val="00BC31BD"/>
    <w:rsid w:val="00BD43A6"/>
    <w:rsid w:val="00BF4DE6"/>
    <w:rsid w:val="00C03240"/>
    <w:rsid w:val="00C06B13"/>
    <w:rsid w:val="00C27D25"/>
    <w:rsid w:val="00C42541"/>
    <w:rsid w:val="00C42CDE"/>
    <w:rsid w:val="00C5182A"/>
    <w:rsid w:val="00C63EE9"/>
    <w:rsid w:val="00CA16F3"/>
    <w:rsid w:val="00CA37B1"/>
    <w:rsid w:val="00CB1959"/>
    <w:rsid w:val="00CB5E23"/>
    <w:rsid w:val="00CC741B"/>
    <w:rsid w:val="00CD0E4B"/>
    <w:rsid w:val="00CE4C89"/>
    <w:rsid w:val="00CF07BA"/>
    <w:rsid w:val="00D0290F"/>
    <w:rsid w:val="00D0296C"/>
    <w:rsid w:val="00D32D6F"/>
    <w:rsid w:val="00D37B04"/>
    <w:rsid w:val="00D540C6"/>
    <w:rsid w:val="00D64BD1"/>
    <w:rsid w:val="00D71F46"/>
    <w:rsid w:val="00D82F03"/>
    <w:rsid w:val="00D92254"/>
    <w:rsid w:val="00DE084C"/>
    <w:rsid w:val="00E00804"/>
    <w:rsid w:val="00E14F51"/>
    <w:rsid w:val="00E357B7"/>
    <w:rsid w:val="00E53800"/>
    <w:rsid w:val="00E6081F"/>
    <w:rsid w:val="00E6489A"/>
    <w:rsid w:val="00E8296D"/>
    <w:rsid w:val="00E8457B"/>
    <w:rsid w:val="00EA04B2"/>
    <w:rsid w:val="00EA20F3"/>
    <w:rsid w:val="00ED2831"/>
    <w:rsid w:val="00ED43D1"/>
    <w:rsid w:val="00EE25F4"/>
    <w:rsid w:val="00EE4EE1"/>
    <w:rsid w:val="00EF4574"/>
    <w:rsid w:val="00EF5FB3"/>
    <w:rsid w:val="00F25A93"/>
    <w:rsid w:val="00F2684E"/>
    <w:rsid w:val="00F43D9F"/>
    <w:rsid w:val="00F5404C"/>
    <w:rsid w:val="00F729EF"/>
    <w:rsid w:val="00F744A2"/>
    <w:rsid w:val="00F77CAE"/>
    <w:rsid w:val="00F82271"/>
    <w:rsid w:val="00F83428"/>
    <w:rsid w:val="00F96BB9"/>
    <w:rsid w:val="00FA0AD3"/>
    <w:rsid w:val="00FA3553"/>
    <w:rsid w:val="00FA725B"/>
    <w:rsid w:val="00FC322F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FCC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="Calibri Light" w:hAnsi="Calibri Light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B6C99"/>
    <w:pPr>
      <w:suppressAutoHyphens/>
      <w:spacing w:before="120" w:after="60" w:line="260" w:lineRule="atLeast"/>
    </w:pPr>
    <w:rPr>
      <w:color w:val="495965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B8"/>
    <w:pPr>
      <w:keepNext/>
      <w:keepLines/>
      <w:spacing w:before="0" w:after="180" w:line="380" w:lineRule="exact"/>
      <w:contextualSpacing/>
      <w:outlineLvl w:val="0"/>
    </w:pPr>
    <w:rPr>
      <w:rFonts w:ascii="Calibri" w:eastAsia="Times New Roman" w:hAnsi="Calibr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3AED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06B8"/>
    <w:rPr>
      <w:rFonts w:ascii="Calibri" w:eastAsia="Times New Roman" w:hAnsi="Calibri" w:cs="Times New Roman"/>
      <w:b/>
      <w:bCs/>
      <w:caps/>
      <w:color w:val="495965"/>
      <w:sz w:val="38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983AED"/>
    <w:rPr>
      <w:rFonts w:ascii="Calibri" w:eastAsia="Times New Roman" w:hAnsi="Calibri" w:cs="Times New Roman"/>
      <w:caps/>
      <w:color w:val="495965"/>
      <w:sz w:val="38"/>
      <w:szCs w:val="26"/>
      <w:lang w:val="en-GB"/>
    </w:rPr>
  </w:style>
  <w:style w:type="character" w:customStyle="1" w:styleId="Heading3Char">
    <w:name w:val="Heading 3 Char"/>
    <w:link w:val="Heading3"/>
    <w:uiPriority w:val="9"/>
    <w:rsid w:val="00ED2831"/>
    <w:rPr>
      <w:rFonts w:ascii="Calibri" w:eastAsia="Times New Roman" w:hAnsi="Calibri" w:cs="Times New Roman"/>
      <w:bCs/>
      <w:color w:val="495965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link w:val="Title"/>
    <w:uiPriority w:val="10"/>
    <w:rsid w:val="00D64BD1"/>
    <w:rPr>
      <w:rFonts w:ascii="Calibri" w:eastAsia="Times New Roman" w:hAnsi="Calibri" w:cs="Times New Roman"/>
      <w:b/>
      <w:bCs/>
      <w:caps/>
      <w:color w:val="495965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="Calibri Light" w:hAnsi="Calibri Light"/>
      <w:b w:val="0"/>
      <w:iCs/>
      <w:szCs w:val="24"/>
    </w:rPr>
  </w:style>
  <w:style w:type="character" w:customStyle="1" w:styleId="SubtitleChar">
    <w:name w:val="Subtitle Char"/>
    <w:link w:val="Subtitle"/>
    <w:uiPriority w:val="11"/>
    <w:rsid w:val="00D64BD1"/>
    <w:rPr>
      <w:rFonts w:eastAsia="Times New Roman" w:cs="Times New Roman"/>
      <w:bCs/>
      <w:iCs/>
      <w:caps/>
      <w:color w:val="495965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33"/>
      </w:numPr>
      <w:spacing w:before="0"/>
    </w:pPr>
  </w:style>
  <w:style w:type="paragraph" w:customStyle="1" w:styleId="Bullet2">
    <w:name w:val="Bullet 2"/>
    <w:basedOn w:val="Bullet1"/>
    <w:link w:val="Bullet2Char"/>
    <w:uiPriority w:val="99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uiPriority w:val="99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Normal"/>
    <w:next w:val="Normal"/>
    <w:qFormat/>
    <w:rsid w:val="003E03B0"/>
    <w:rPr>
      <w:rFonts w:ascii="Calibri" w:eastAsia="Times New Roman" w:hAnsi="Calibri"/>
      <w:b/>
      <w:bCs/>
      <w:caps/>
      <w:spacing w:val="-10"/>
      <w:kern w:val="28"/>
      <w:sz w:val="32"/>
      <w:szCs w:val="32"/>
    </w:rPr>
  </w:style>
  <w:style w:type="paragraph" w:customStyle="1" w:styleId="Heading2Numbered">
    <w:name w:val="Heading 2 Numbered"/>
    <w:basedOn w:val="Normal"/>
    <w:next w:val="Normal"/>
    <w:qFormat/>
    <w:rsid w:val="003E03B0"/>
    <w:pPr>
      <w:spacing w:before="0" w:after="0" w:line="240" w:lineRule="auto"/>
    </w:pPr>
    <w:rPr>
      <w:b/>
      <w:bCs/>
      <w:sz w:val="24"/>
      <w:szCs w:val="24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 w:val="0"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link w:val="Heading4"/>
    <w:uiPriority w:val="9"/>
    <w:rsid w:val="00A4144F"/>
    <w:rPr>
      <w:rFonts w:ascii="Calibri" w:eastAsia="Times New Roman" w:hAnsi="Calibri" w:cs="Times New Roman"/>
      <w:bCs/>
      <w:iCs/>
      <w:color w:val="495965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/>
        <w:between w:val="single" w:sz="4" w:space="6" w:color="65C5B4"/>
      </w:pBdr>
      <w:tabs>
        <w:tab w:val="right" w:pos="9639"/>
      </w:tabs>
      <w:spacing w:after="100" w:line="320" w:lineRule="atLeast"/>
    </w:pPr>
    <w:rPr>
      <w:b/>
      <w:caps/>
      <w:color w:val="65C5B4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="Times New Roman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="Times New Roman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="Times New Roman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="Times New Roman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="Times New Roman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="Times New Roman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/>
      <w:sz w:val="28"/>
    </w:rPr>
  </w:style>
  <w:style w:type="table" w:styleId="TableGrid">
    <w:name w:val="Table Grid"/>
    <w:basedOn w:val="TableNormal"/>
    <w:uiPriority w:val="59"/>
    <w:locked/>
    <w:rsid w:val="00ED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C322F"/>
    <w:rPr>
      <w:b/>
      <w:caps/>
      <w:color w:val="FFFFFF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uiPriority w:val="99"/>
    <w:rsid w:val="00F729EF"/>
    <w:rPr>
      <w:rFonts w:ascii="Calibri Light" w:hAnsi="Calibri Light" w:cs="MuseoSans-500"/>
      <w:color w:val="auto"/>
      <w:u w:val="single" w:color="0070C0"/>
    </w:rPr>
  </w:style>
  <w:style w:type="character" w:styleId="IntenseEmphasis">
    <w:name w:val="Intense Emphasis"/>
    <w:uiPriority w:val="21"/>
    <w:qFormat/>
    <w:rsid w:val="00D32D6F"/>
    <w:rPr>
      <w:b/>
      <w:i/>
      <w:iCs/>
      <w:color w:val="495965"/>
    </w:rPr>
  </w:style>
  <w:style w:type="character" w:styleId="Strong">
    <w:name w:val="Strong"/>
    <w:uiPriority w:val="22"/>
    <w:qFormat/>
    <w:rsid w:val="00FE6D51"/>
    <w:rPr>
      <w:b/>
      <w:bCs/>
    </w:rPr>
  </w:style>
  <w:style w:type="character" w:styleId="Emphasis">
    <w:name w:val="Emphasis"/>
    <w:uiPriority w:val="20"/>
    <w:qFormat/>
    <w:rsid w:val="009D7407"/>
    <w:rPr>
      <w:i/>
      <w:iCs/>
    </w:rPr>
  </w:style>
  <w:style w:type="character" w:customStyle="1" w:styleId="Heading5Char">
    <w:name w:val="Heading 5 Char"/>
    <w:link w:val="Heading5"/>
    <w:uiPriority w:val="9"/>
    <w:rsid w:val="007706B8"/>
    <w:rPr>
      <w:rFonts w:ascii="Calibri" w:eastAsia="Times New Roman" w:hAnsi="Calibri" w:cs="Times New Roman"/>
      <w:b/>
      <w:bCs/>
      <w:iCs/>
      <w:color w:val="495965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/>
    </w:rPr>
  </w:style>
  <w:style w:type="character" w:customStyle="1" w:styleId="FooterChar">
    <w:name w:val="Footer Char"/>
    <w:link w:val="Footer"/>
    <w:uiPriority w:val="99"/>
    <w:rsid w:val="00FC322F"/>
    <w:rPr>
      <w:color w:val="FFFFFF"/>
      <w:lang w:val="en-GB"/>
    </w:rPr>
  </w:style>
  <w:style w:type="character" w:customStyle="1" w:styleId="Heading6Char">
    <w:name w:val="Heading 6 Char"/>
    <w:link w:val="Heading6"/>
    <w:uiPriority w:val="9"/>
    <w:semiHidden/>
    <w:rsid w:val="00486804"/>
    <w:rPr>
      <w:rFonts w:ascii="Calibri" w:eastAsia="Times New Roman" w:hAnsi="Calibri" w:cs="Times New Roman"/>
      <w:bCs/>
      <w:iCs/>
      <w:color w:val="286B5F"/>
      <w:szCs w:val="26"/>
    </w:rPr>
  </w:style>
  <w:style w:type="character" w:customStyle="1" w:styleId="Heading7Char">
    <w:name w:val="Heading 7 Char"/>
    <w:link w:val="Heading7"/>
    <w:uiPriority w:val="9"/>
    <w:semiHidden/>
    <w:rsid w:val="00486804"/>
    <w:rPr>
      <w:rFonts w:ascii="Calibri" w:eastAsia="Times New Roman" w:hAnsi="Calibri" w:cs="Times New Roman"/>
      <w:bCs/>
      <w:i/>
      <w:color w:val="286B5F"/>
      <w:szCs w:val="26"/>
    </w:rPr>
  </w:style>
  <w:style w:type="character" w:customStyle="1" w:styleId="Heading8Char">
    <w:name w:val="Heading 8 Char"/>
    <w:link w:val="Heading8"/>
    <w:uiPriority w:val="9"/>
    <w:semiHidden/>
    <w:rsid w:val="00486804"/>
    <w:rPr>
      <w:rFonts w:ascii="Calibri" w:eastAsia="Times New Roman" w:hAnsi="Calibri" w:cs="Times New Roman"/>
      <w:bCs/>
      <w:i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86804"/>
    <w:rPr>
      <w:rFonts w:ascii="Calibri" w:eastAsia="Times New Roman" w:hAnsi="Calibri" w:cs="Times New Roman"/>
      <w:bCs/>
      <w:iCs/>
      <w:color w:val="272727"/>
      <w:sz w:val="21"/>
      <w:szCs w:val="21"/>
    </w:rPr>
  </w:style>
  <w:style w:type="character" w:customStyle="1" w:styleId="LightGrey">
    <w:name w:val="Light Grey"/>
    <w:uiPriority w:val="1"/>
    <w:qFormat/>
    <w:rsid w:val="00ED2831"/>
    <w:rPr>
      <w:color w:val="B0BDC6"/>
    </w:rPr>
  </w:style>
  <w:style w:type="character" w:styleId="PageNumber">
    <w:name w:val="page number"/>
    <w:uiPriority w:val="99"/>
    <w:unhideWhenUsed/>
    <w:rsid w:val="00F5404C"/>
    <w:rPr>
      <w:color w:val="495965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link w:val="Quote"/>
    <w:uiPriority w:val="29"/>
    <w:rsid w:val="00D64BD1"/>
    <w:rPr>
      <w:iCs/>
      <w:color w:val="495965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C5A0E"/>
    <w:rPr>
      <w:color w:val="495965"/>
      <w:sz w:val="12"/>
      <w:szCs w:val="20"/>
    </w:rPr>
  </w:style>
  <w:style w:type="character" w:styleId="FootnoteReference">
    <w:name w:val="footnote reference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/>
      <w:sz w:val="18"/>
    </w:rPr>
  </w:style>
  <w:style w:type="character" w:customStyle="1" w:styleId="Green">
    <w:name w:val="Green"/>
    <w:uiPriority w:val="1"/>
    <w:qFormat/>
    <w:rsid w:val="00961E72"/>
    <w:rPr>
      <w:color w:val="ACD08C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/>
        <w:bottom w:val="single" w:sz="4" w:space="0" w:color="495965"/>
        <w:insideH w:val="single" w:sz="4" w:space="0" w:color="495965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/>
          <w:bottom w:val="single" w:sz="4" w:space="0" w:color="65C5B4"/>
          <w:insideH w:val="single" w:sz="4" w:space="0" w:color="65C5B4"/>
        </w:tcBorders>
        <w:shd w:val="clear" w:color="auto" w:fill="65C5B4"/>
      </w:tcPr>
    </w:tblStylePr>
    <w:tblStylePr w:type="lastRow">
      <w:rPr>
        <w:b/>
        <w:color w:val="FFFFFF"/>
      </w:rPr>
      <w:tblPr/>
      <w:tcPr>
        <w:shd w:val="clear" w:color="auto" w:fill="495965"/>
      </w:tcPr>
    </w:tblStylePr>
    <w:tblStylePr w:type="firstCol">
      <w:tblPr/>
      <w:tcPr>
        <w:shd w:val="clear" w:color="auto" w:fill="D8DCDB"/>
      </w:tcPr>
    </w:tblStylePr>
    <w:tblStylePr w:type="lastCol">
      <w:tblPr/>
      <w:tcPr>
        <w:shd w:val="clear" w:color="auto" w:fill="D8DCDB"/>
      </w:tcPr>
    </w:tblStylePr>
    <w:tblStylePr w:type="band1Vert">
      <w:tblPr/>
      <w:tcPr>
        <w:shd w:val="clear" w:color="auto" w:fill="E0F3EF"/>
      </w:tcPr>
    </w:tblStylePr>
    <w:tblStylePr w:type="band2Vert">
      <w:tblPr/>
      <w:tcPr>
        <w:shd w:val="clear" w:color="auto" w:fill="C1E7E0"/>
      </w:tcPr>
    </w:tblStylePr>
    <w:tblStylePr w:type="band1Horz">
      <w:tblPr/>
      <w:tcPr>
        <w:shd w:val="clear" w:color="auto" w:fill="E0F3EF"/>
      </w:tcPr>
    </w:tblStylePr>
    <w:tblStylePr w:type="band2Horz">
      <w:tblPr/>
      <w:tcPr>
        <w:shd w:val="clear" w:color="auto" w:fill="C1E7E0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/>
      </w:pBdr>
      <w:tabs>
        <w:tab w:val="right" w:pos="9356"/>
        <w:tab w:val="center" w:pos="10036"/>
      </w:tabs>
      <w:spacing w:line="220" w:lineRule="atLeast"/>
      <w:ind w:right="0"/>
    </w:pPr>
    <w:rPr>
      <w:color w:val="495965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B4D"/>
    <w:rPr>
      <w:rFonts w:ascii="Tahoma" w:hAnsi="Tahoma" w:cs="Tahoma"/>
      <w:color w:val="495965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/>
        <w:left w:val="single" w:sz="4" w:space="14" w:color="65C5B4"/>
        <w:bottom w:val="single" w:sz="4" w:space="14" w:color="65C5B4"/>
        <w:right w:val="single" w:sz="4" w:space="14" w:color="65C5B4"/>
      </w:pBdr>
      <w:shd w:val="clear" w:color="auto" w:fill="FFFFFF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/>
        <w:left w:val="single" w:sz="4" w:space="14" w:color="495965"/>
        <w:bottom w:val="single" w:sz="4" w:space="14" w:color="495965"/>
        <w:right w:val="single" w:sz="4" w:space="14" w:color="495965"/>
      </w:pBdr>
      <w:shd w:val="clear" w:color="auto" w:fill="495965"/>
    </w:pPr>
    <w:rPr>
      <w:color w:val="FFFFFF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link w:val="BodyText"/>
    <w:uiPriority w:val="99"/>
    <w:rsid w:val="000020C1"/>
    <w:rPr>
      <w:color w:val="495965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0020C1"/>
    <w:rPr>
      <w:color w:val="495965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020C1"/>
    <w:rPr>
      <w:color w:val="495965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link w:val="BodyTextFirstIndent"/>
    <w:uiPriority w:val="99"/>
    <w:rsid w:val="000020C1"/>
    <w:rPr>
      <w:color w:val="495965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020C1"/>
    <w:rPr>
      <w:color w:val="495965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8457B"/>
    <w:rPr>
      <w:color w:val="495965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/>
        <w:left w:val="single" w:sz="2" w:space="10" w:color="65C5B4"/>
        <w:bottom w:val="single" w:sz="2" w:space="10" w:color="65C5B4"/>
        <w:right w:val="single" w:sz="2" w:space="10" w:color="65C5B4"/>
      </w:pBdr>
      <w:ind w:left="1152" w:right="1152"/>
    </w:pPr>
    <w:rPr>
      <w:rFonts w:eastAsia="Times New Roman"/>
      <w:i/>
      <w:iCs/>
      <w:color w:val="65C5B4"/>
    </w:rPr>
  </w:style>
  <w:style w:type="table" w:customStyle="1" w:styleId="DFATTable2">
    <w:name w:val="DFAT Table 2"/>
    <w:basedOn w:val="TableNormal"/>
    <w:uiPriority w:val="99"/>
    <w:rsid w:val="00482AE8"/>
    <w:pPr>
      <w:spacing w:line="260" w:lineRule="atLeast"/>
    </w:pPr>
    <w:rPr>
      <w:rFonts w:ascii="Calibri" w:hAnsi="Calibri"/>
      <w:color w:val="495965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/>
    </w:tcPr>
  </w:style>
  <w:style w:type="character" w:styleId="CommentReference">
    <w:name w:val="annotation reference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04D2"/>
    <w:rPr>
      <w:color w:val="495965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4D2"/>
    <w:rPr>
      <w:b/>
      <w:bCs/>
      <w:color w:val="495965"/>
      <w:sz w:val="20"/>
      <w:szCs w:val="20"/>
      <w:lang w:val="en-GB"/>
    </w:rPr>
  </w:style>
  <w:style w:type="character" w:customStyle="1" w:styleId="ColourAccent1">
    <w:name w:val="Colour Accent 1"/>
    <w:uiPriority w:val="1"/>
    <w:qFormat/>
    <w:locked/>
    <w:rsid w:val="001214BE"/>
    <w:rPr>
      <w:color w:val="65C5B4"/>
    </w:rPr>
  </w:style>
  <w:style w:type="paragraph" w:styleId="ListParagraph">
    <w:name w:val="List Paragraph"/>
    <w:basedOn w:val="Normal"/>
    <w:uiPriority w:val="34"/>
    <w:qFormat/>
    <w:locked/>
    <w:rsid w:val="000B6C99"/>
    <w:pPr>
      <w:suppressAutoHyphens w:val="0"/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A2979"/>
    <w:rPr>
      <w:color w:val="800080" w:themeColor="followedHyperlink"/>
      <w:u w:val="single"/>
    </w:rPr>
  </w:style>
  <w:style w:type="character" w:customStyle="1" w:styleId="Bullet2Char">
    <w:name w:val="Bullet 2 Char"/>
    <w:basedOn w:val="DefaultParagraphFont"/>
    <w:link w:val="Bullet2"/>
    <w:uiPriority w:val="99"/>
    <w:locked/>
    <w:rsid w:val="00313CBB"/>
    <w:rPr>
      <w:color w:val="495965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FB1F-8EA7-44D1-94C8-69E2448C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2830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support to law and justice In Papua New Guinea</dc:title>
  <dc:subject/>
  <dc:creator/>
  <cp:keywords/>
  <cp:lastModifiedBy/>
  <cp:revision>1</cp:revision>
  <dcterms:created xsi:type="dcterms:W3CDTF">2022-01-18T01:16:00Z</dcterms:created>
  <dcterms:modified xsi:type="dcterms:W3CDTF">2022-01-18T01:17:00Z</dcterms:modified>
  <cp:category/>
</cp:coreProperties>
</file>