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withnoheader"/>
        <w:tblW w:w="9781" w:type="dxa"/>
        <w:tblInd w:w="-601" w:type="dxa"/>
        <w:tblLook w:val="04A0" w:firstRow="1" w:lastRow="0" w:firstColumn="1" w:lastColumn="0" w:noHBand="0" w:noVBand="1"/>
      </w:tblPr>
      <w:tblGrid>
        <w:gridCol w:w="9781"/>
      </w:tblGrid>
      <w:tr w:rsidR="0093262F" w:rsidRPr="00BD306C" w:rsidTr="00B26EE5">
        <w:trPr>
          <w:cantSplit w:val="0"/>
        </w:trPr>
        <w:tc>
          <w:tcPr>
            <w:tcW w:w="9781" w:type="dxa"/>
            <w:tcBorders>
              <w:bottom w:val="single" w:sz="4" w:space="0" w:color="808080"/>
            </w:tcBorders>
            <w:shd w:val="clear" w:color="auto" w:fill="F7F3A7"/>
          </w:tcPr>
          <w:p w:rsidR="0093262F" w:rsidRPr="00BD306C" w:rsidRDefault="0093262F" w:rsidP="00704787">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A:  Investment Concept Title:</w:t>
            </w:r>
            <w:r w:rsidR="00B25054">
              <w:t xml:space="preserve">   </w:t>
            </w:r>
            <w:bookmarkStart w:id="0" w:name="_GoBack"/>
            <w:r w:rsidR="00B25054" w:rsidRPr="00B25054">
              <w:rPr>
                <w:rFonts w:ascii="Franklin Gothic Book" w:eastAsia="Times New Roman" w:hAnsi="Franklin Gothic Book" w:cs="Arial"/>
                <w:b/>
                <w:sz w:val="22"/>
                <w:szCs w:val="22"/>
                <w:lang w:eastAsia="en-US"/>
              </w:rPr>
              <w:t>Australia-Vietnam H</w:t>
            </w:r>
            <w:r w:rsidR="00326D37">
              <w:rPr>
                <w:rFonts w:ascii="Franklin Gothic Book" w:eastAsia="Times New Roman" w:hAnsi="Franklin Gothic Book" w:cs="Arial"/>
                <w:b/>
                <w:sz w:val="22"/>
                <w:szCs w:val="22"/>
                <w:lang w:eastAsia="en-US"/>
              </w:rPr>
              <w:t xml:space="preserve">uman </w:t>
            </w:r>
            <w:r w:rsidR="00B25054" w:rsidRPr="00B25054">
              <w:rPr>
                <w:rFonts w:ascii="Franklin Gothic Book" w:eastAsia="Times New Roman" w:hAnsi="Franklin Gothic Book" w:cs="Arial"/>
                <w:b/>
                <w:sz w:val="22"/>
                <w:szCs w:val="22"/>
                <w:lang w:eastAsia="en-US"/>
              </w:rPr>
              <w:t>R</w:t>
            </w:r>
            <w:r w:rsidR="00326D37">
              <w:rPr>
                <w:rFonts w:ascii="Franklin Gothic Book" w:eastAsia="Times New Roman" w:hAnsi="Franklin Gothic Book" w:cs="Arial"/>
                <w:b/>
                <w:sz w:val="22"/>
                <w:szCs w:val="22"/>
                <w:lang w:eastAsia="en-US"/>
              </w:rPr>
              <w:t xml:space="preserve">esource </w:t>
            </w:r>
            <w:r w:rsidR="00B25054" w:rsidRPr="00B25054">
              <w:rPr>
                <w:rFonts w:ascii="Franklin Gothic Book" w:eastAsia="Times New Roman" w:hAnsi="Franklin Gothic Book" w:cs="Arial"/>
                <w:b/>
                <w:sz w:val="22"/>
                <w:szCs w:val="22"/>
                <w:lang w:eastAsia="en-US"/>
              </w:rPr>
              <w:t>D</w:t>
            </w:r>
            <w:r w:rsidR="00326D37">
              <w:rPr>
                <w:rFonts w:ascii="Franklin Gothic Book" w:eastAsia="Times New Roman" w:hAnsi="Franklin Gothic Book" w:cs="Arial"/>
                <w:b/>
                <w:sz w:val="22"/>
                <w:szCs w:val="22"/>
                <w:lang w:eastAsia="en-US"/>
              </w:rPr>
              <w:t>evelopment</w:t>
            </w:r>
            <w:r w:rsidR="00B25054" w:rsidRPr="00B25054">
              <w:rPr>
                <w:rFonts w:ascii="Franklin Gothic Book" w:eastAsia="Times New Roman" w:hAnsi="Franklin Gothic Book" w:cs="Arial"/>
                <w:b/>
                <w:sz w:val="22"/>
                <w:szCs w:val="22"/>
                <w:lang w:eastAsia="en-US"/>
              </w:rPr>
              <w:t xml:space="preserve"> Program</w:t>
            </w:r>
            <w:r w:rsidR="00326D37">
              <w:rPr>
                <w:rFonts w:ascii="Franklin Gothic Book" w:eastAsia="Times New Roman" w:hAnsi="Franklin Gothic Book" w:cs="Arial"/>
                <w:b/>
                <w:sz w:val="22"/>
                <w:szCs w:val="22"/>
                <w:lang w:eastAsia="en-US"/>
              </w:rPr>
              <w:t>,</w:t>
            </w:r>
            <w:r w:rsidR="00B25054" w:rsidRPr="00B25054">
              <w:rPr>
                <w:rFonts w:ascii="Franklin Gothic Book" w:eastAsia="Times New Roman" w:hAnsi="Franklin Gothic Book" w:cs="Arial"/>
                <w:b/>
                <w:sz w:val="22"/>
                <w:szCs w:val="22"/>
                <w:lang w:eastAsia="en-US"/>
              </w:rPr>
              <w:t xml:space="preserve"> 2016-202</w:t>
            </w:r>
            <w:r w:rsidR="00704787">
              <w:rPr>
                <w:rFonts w:ascii="Franklin Gothic Book" w:eastAsia="Times New Roman" w:hAnsi="Franklin Gothic Book" w:cs="Arial"/>
                <w:b/>
                <w:sz w:val="22"/>
                <w:szCs w:val="22"/>
                <w:lang w:eastAsia="en-US"/>
              </w:rPr>
              <w:t>0</w:t>
            </w:r>
            <w:bookmarkEnd w:id="0"/>
          </w:p>
        </w:tc>
      </w:tr>
      <w:tr w:rsidR="0093262F" w:rsidRPr="00BD306C" w:rsidTr="00B26EE5">
        <w:trPr>
          <w:cantSplit w:val="0"/>
        </w:trPr>
        <w:tc>
          <w:tcPr>
            <w:tcW w:w="9781" w:type="dxa"/>
            <w:shd w:val="clear" w:color="auto" w:fill="FBF9CD"/>
          </w:tcPr>
          <w:p w:rsidR="0093262F" w:rsidRPr="00BD306C" w:rsidRDefault="0093262F" w:rsidP="00E912E5">
            <w:pPr>
              <w:tabs>
                <w:tab w:val="num" w:pos="568"/>
              </w:tabs>
              <w:spacing w:line="276" w:lineRule="auto"/>
              <w:rPr>
                <w:rFonts w:ascii="Franklin Gothic Book" w:eastAsia="Times New Roman" w:hAnsi="Franklin Gothic Book" w:cs="Arial"/>
                <w:b/>
                <w:sz w:val="22"/>
                <w:szCs w:val="22"/>
                <w:lang w:eastAsia="en-US"/>
              </w:rPr>
            </w:pPr>
            <w:r w:rsidRPr="00BD306C">
              <w:rPr>
                <w:rFonts w:ascii="Franklin Gothic Book" w:eastAsia="Times New Roman" w:hAnsi="Franklin Gothic Book" w:cs="Arial"/>
                <w:b/>
                <w:sz w:val="22"/>
                <w:szCs w:val="22"/>
                <w:lang w:eastAsia="en-US"/>
              </w:rPr>
              <w:t>Proposed start date and timeframe</w:t>
            </w:r>
            <w:r w:rsidR="001C48DD">
              <w:rPr>
                <w:rFonts w:ascii="Franklin Gothic Book" w:eastAsia="Times New Roman" w:hAnsi="Franklin Gothic Book" w:cs="Arial"/>
                <w:b/>
                <w:sz w:val="22"/>
                <w:szCs w:val="22"/>
                <w:lang w:eastAsia="en-US"/>
              </w:rPr>
              <w:t xml:space="preserve">: </w:t>
            </w:r>
            <w:r w:rsidR="001136EB" w:rsidRPr="001C48DD">
              <w:rPr>
                <w:rFonts w:ascii="Franklin Gothic Book" w:eastAsia="Times New Roman" w:hAnsi="Franklin Gothic Book" w:cs="Arial"/>
                <w:sz w:val="22"/>
                <w:szCs w:val="22"/>
                <w:lang w:eastAsia="en-US"/>
              </w:rPr>
              <w:t>January 2016</w:t>
            </w:r>
            <w:r w:rsidR="001C48DD">
              <w:rPr>
                <w:rFonts w:ascii="Franklin Gothic Book" w:eastAsia="Times New Roman" w:hAnsi="Franklin Gothic Book" w:cs="Arial"/>
                <w:sz w:val="22"/>
                <w:szCs w:val="22"/>
                <w:lang w:eastAsia="en-US"/>
              </w:rPr>
              <w:t>-</w:t>
            </w:r>
            <w:r w:rsidR="00E912E5">
              <w:rPr>
                <w:rFonts w:ascii="Franklin Gothic Book" w:eastAsia="Times New Roman" w:hAnsi="Franklin Gothic Book" w:cs="Arial"/>
                <w:sz w:val="22"/>
                <w:szCs w:val="22"/>
                <w:lang w:eastAsia="en-US"/>
              </w:rPr>
              <w:t>December 2020</w:t>
            </w:r>
          </w:p>
        </w:tc>
      </w:tr>
      <w:tr w:rsidR="0093262F" w:rsidRPr="00BD306C" w:rsidTr="00B26EE5">
        <w:trPr>
          <w:cantSplit w:val="0"/>
        </w:trPr>
        <w:tc>
          <w:tcPr>
            <w:tcW w:w="9781" w:type="dxa"/>
            <w:shd w:val="clear" w:color="auto" w:fill="FBF9CD"/>
          </w:tcPr>
          <w:p w:rsidR="0093262F" w:rsidRPr="00BD306C" w:rsidRDefault="0093262F" w:rsidP="00D51E01">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Risk and Value assessment result:</w:t>
            </w:r>
            <w:r w:rsidRPr="00BD306C">
              <w:rPr>
                <w:rFonts w:ascii="Franklin Gothic Book" w:eastAsia="Times New Roman" w:hAnsi="Franklin Gothic Book" w:cs="Arial"/>
                <w:b/>
                <w:sz w:val="22"/>
                <w:szCs w:val="22"/>
                <w:lang w:eastAsia="en-US"/>
              </w:rPr>
              <w:tab/>
            </w:r>
            <w:r w:rsidR="001C48DD">
              <w:rPr>
                <w:rFonts w:ascii="Franklin Gothic Book" w:eastAsia="Times New Roman" w:hAnsi="Franklin Gothic Book" w:cs="Arial"/>
                <w:sz w:val="22"/>
                <w:szCs w:val="22"/>
                <w:lang w:eastAsia="en-US"/>
              </w:rPr>
              <w:t>Low</w:t>
            </w:r>
            <w:r w:rsidRPr="00BD306C">
              <w:rPr>
                <w:rFonts w:ascii="Franklin Gothic Book" w:eastAsia="Times New Roman" w:hAnsi="Franklin Gothic Book" w:cs="Arial"/>
                <w:b/>
                <w:sz w:val="22"/>
                <w:szCs w:val="22"/>
                <w:lang w:eastAsia="en-US"/>
              </w:rPr>
              <w:t xml:space="preserve"> Risk </w:t>
            </w:r>
          </w:p>
        </w:tc>
      </w:tr>
      <w:tr w:rsidR="0093262F" w:rsidRPr="00BD306C" w:rsidTr="00B26EE5">
        <w:trPr>
          <w:cantSplit w:val="0"/>
        </w:trPr>
        <w:tc>
          <w:tcPr>
            <w:tcW w:w="9781" w:type="dxa"/>
            <w:shd w:val="clear" w:color="auto" w:fill="FBF9CD"/>
          </w:tcPr>
          <w:p w:rsidR="0093262F" w:rsidRPr="00BD306C" w:rsidRDefault="0093262F" w:rsidP="004C1173">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Consultation:</w:t>
            </w:r>
            <w:r w:rsidR="001C48DD">
              <w:rPr>
                <w:rFonts w:ascii="Franklin Gothic Book" w:eastAsia="Times New Roman" w:hAnsi="Franklin Gothic Book" w:cs="Arial"/>
                <w:b/>
                <w:sz w:val="22"/>
                <w:szCs w:val="22"/>
                <w:lang w:eastAsia="en-US"/>
              </w:rPr>
              <w:t xml:space="preserve"> </w:t>
            </w:r>
            <w:r w:rsidR="00FA4B28" w:rsidRPr="00FA4B28">
              <w:rPr>
                <w:rFonts w:ascii="Franklin Gothic Book" w:eastAsia="Times New Roman" w:hAnsi="Franklin Gothic Book" w:cs="Arial"/>
                <w:sz w:val="22"/>
                <w:szCs w:val="22"/>
                <w:lang w:eastAsia="en-US"/>
              </w:rPr>
              <w:t xml:space="preserve">Reference Group (Desk/Post, Mekong Hub Specialists, SEA Effectiveness &amp; RM Section, </w:t>
            </w:r>
            <w:r w:rsidR="00336303">
              <w:rPr>
                <w:rFonts w:ascii="Franklin Gothic Book" w:eastAsia="Times New Roman" w:hAnsi="Franklin Gothic Book" w:cs="Arial"/>
                <w:sz w:val="22"/>
                <w:szCs w:val="22"/>
                <w:lang w:eastAsia="en-US"/>
              </w:rPr>
              <w:t xml:space="preserve">Contracting Services Branch, </w:t>
            </w:r>
            <w:r w:rsidR="00FA4B28" w:rsidRPr="00FA4B28">
              <w:rPr>
                <w:rFonts w:ascii="Franklin Gothic Book" w:eastAsia="Times New Roman" w:hAnsi="Franklin Gothic Book" w:cs="Arial"/>
                <w:sz w:val="22"/>
                <w:szCs w:val="22"/>
                <w:lang w:eastAsia="en-US"/>
              </w:rPr>
              <w:t>Scholarships &amp; Alumni Branch, Education Section</w:t>
            </w:r>
            <w:r w:rsidR="00336303">
              <w:rPr>
                <w:rFonts w:ascii="Franklin Gothic Book" w:eastAsia="Times New Roman" w:hAnsi="Franklin Gothic Book" w:cs="Arial"/>
                <w:sz w:val="22"/>
                <w:szCs w:val="22"/>
                <w:lang w:eastAsia="en-US"/>
              </w:rPr>
              <w:t xml:space="preserve">, Manila post, </w:t>
            </w:r>
            <w:r w:rsidR="00FA4B28" w:rsidRPr="00FA4B28">
              <w:rPr>
                <w:rFonts w:ascii="Franklin Gothic Book" w:eastAsia="Times New Roman" w:hAnsi="Franklin Gothic Book" w:cs="Arial"/>
                <w:sz w:val="22"/>
                <w:szCs w:val="22"/>
                <w:lang w:eastAsia="en-US"/>
              </w:rPr>
              <w:t>Department of Education</w:t>
            </w:r>
            <w:r w:rsidR="004C1173">
              <w:rPr>
                <w:rFonts w:ascii="Franklin Gothic Book" w:eastAsia="Times New Roman" w:hAnsi="Franklin Gothic Book" w:cs="Arial"/>
                <w:sz w:val="22"/>
                <w:szCs w:val="22"/>
                <w:lang w:eastAsia="en-US"/>
              </w:rPr>
              <w:t xml:space="preserve"> and Austrade</w:t>
            </w:r>
            <w:r w:rsidR="00336303">
              <w:rPr>
                <w:rFonts w:ascii="Franklin Gothic Book" w:eastAsia="Times New Roman" w:hAnsi="Franklin Gothic Book" w:cs="Arial"/>
                <w:sz w:val="22"/>
                <w:szCs w:val="22"/>
                <w:lang w:eastAsia="en-US"/>
              </w:rPr>
              <w:t>)</w:t>
            </w:r>
          </w:p>
        </w:tc>
      </w:tr>
      <w:tr w:rsidR="0093262F" w:rsidRPr="00BD306C" w:rsidTr="00B26EE5">
        <w:trPr>
          <w:cantSplit w:val="0"/>
        </w:trPr>
        <w:tc>
          <w:tcPr>
            <w:tcW w:w="9781" w:type="dxa"/>
            <w:shd w:val="clear" w:color="auto" w:fill="FBF9CD"/>
          </w:tcPr>
          <w:p w:rsidR="0093262F" w:rsidRPr="00BD306C" w:rsidRDefault="0093262F" w:rsidP="00FA4B28">
            <w:pPr>
              <w:tabs>
                <w:tab w:val="num" w:pos="568"/>
              </w:tabs>
              <w:spacing w:line="276" w:lineRule="auto"/>
              <w:rPr>
                <w:rFonts w:ascii="Franklin Gothic Book" w:eastAsia="Times New Roman" w:hAnsi="Franklin Gothic Book" w:cs="Arial"/>
                <w:b/>
                <w:sz w:val="22"/>
                <w:szCs w:val="22"/>
                <w:lang w:eastAsia="en-US"/>
              </w:rPr>
            </w:pPr>
            <w:r w:rsidRPr="00BD306C">
              <w:rPr>
                <w:rFonts w:ascii="Franklin Gothic Book" w:eastAsia="Times New Roman" w:hAnsi="Franklin Gothic Book" w:cs="Arial"/>
                <w:b/>
                <w:sz w:val="22"/>
                <w:szCs w:val="22"/>
                <w:lang w:eastAsia="en-US"/>
              </w:rPr>
              <w:t xml:space="preserve">Proposed Design Pathway: </w:t>
            </w:r>
            <w:r w:rsidR="00602BE6" w:rsidRPr="00FA4B28">
              <w:rPr>
                <w:rFonts w:ascii="Franklin Gothic Book" w:eastAsia="Times New Roman" w:hAnsi="Franklin Gothic Book" w:cs="Arial"/>
                <w:sz w:val="22"/>
                <w:szCs w:val="22"/>
                <w:lang w:eastAsia="en-US"/>
              </w:rPr>
              <w:t>HOM</w:t>
            </w:r>
            <w:r w:rsidRPr="00FA4B28">
              <w:rPr>
                <w:rFonts w:ascii="Franklin Gothic Book" w:eastAsia="Times New Roman" w:hAnsi="Franklin Gothic Book" w:cs="Arial"/>
                <w:sz w:val="22"/>
                <w:szCs w:val="22"/>
                <w:lang w:eastAsia="en-US"/>
              </w:rPr>
              <w:t xml:space="preserve"> Review</w:t>
            </w:r>
          </w:p>
        </w:tc>
      </w:tr>
      <w:tr w:rsidR="00602BE6" w:rsidRPr="00BD306C" w:rsidTr="00B26EE5">
        <w:trPr>
          <w:cantSplit w:val="0"/>
        </w:trPr>
        <w:tc>
          <w:tcPr>
            <w:tcW w:w="9781" w:type="dxa"/>
            <w:shd w:val="clear" w:color="auto" w:fill="FBF9CD"/>
          </w:tcPr>
          <w:p w:rsidR="00602BE6" w:rsidRPr="00BD306C" w:rsidRDefault="00602BE6" w:rsidP="0093262F">
            <w:pPr>
              <w:tabs>
                <w:tab w:val="num" w:pos="568"/>
              </w:tabs>
              <w:spacing w:line="276" w:lineRule="auto"/>
              <w:rPr>
                <w:rFonts w:ascii="Franklin Gothic Book" w:eastAsia="Times New Roman" w:hAnsi="Franklin Gothic Book" w:cs="Arial"/>
                <w:b/>
                <w:sz w:val="22"/>
                <w:szCs w:val="22"/>
                <w:lang w:eastAsia="en-US"/>
              </w:rPr>
            </w:pPr>
            <w:r w:rsidRPr="00BD306C">
              <w:rPr>
                <w:rFonts w:ascii="Franklin Gothic Book" w:eastAsia="Times New Roman" w:hAnsi="Franklin Gothic Book" w:cs="Arial"/>
                <w:b/>
                <w:sz w:val="22"/>
                <w:szCs w:val="22"/>
                <w:lang w:eastAsia="en-US"/>
              </w:rPr>
              <w:t xml:space="preserve">Draft </w:t>
            </w:r>
            <w:proofErr w:type="spellStart"/>
            <w:r w:rsidRPr="00BD306C">
              <w:rPr>
                <w:rFonts w:ascii="Franklin Gothic Book" w:eastAsia="Times New Roman" w:hAnsi="Franklin Gothic Book" w:cs="Arial"/>
                <w:b/>
                <w:sz w:val="22"/>
                <w:szCs w:val="22"/>
                <w:lang w:eastAsia="en-US"/>
              </w:rPr>
              <w:t>AidWorks</w:t>
            </w:r>
            <w:proofErr w:type="spellEnd"/>
            <w:r w:rsidRPr="00BD306C">
              <w:rPr>
                <w:rFonts w:ascii="Franklin Gothic Book" w:eastAsia="Times New Roman" w:hAnsi="Franklin Gothic Book" w:cs="Arial"/>
                <w:b/>
                <w:sz w:val="22"/>
                <w:szCs w:val="22"/>
                <w:lang w:eastAsia="en-US"/>
              </w:rPr>
              <w:t xml:space="preserve"> Initiative number: </w:t>
            </w:r>
            <w:r w:rsidR="00FA4B28" w:rsidRPr="00552305">
              <w:rPr>
                <w:rFonts w:ascii="Franklin Gothic Book" w:eastAsia="Times New Roman" w:hAnsi="Franklin Gothic Book" w:cs="Arial"/>
                <w:b/>
                <w:sz w:val="22"/>
                <w:szCs w:val="22"/>
                <w:lang w:eastAsia="en-US"/>
              </w:rPr>
              <w:t>______________</w:t>
            </w:r>
          </w:p>
        </w:tc>
      </w:tr>
    </w:tbl>
    <w:p w:rsidR="0093262F" w:rsidRPr="00BD306C" w:rsidRDefault="0093262F" w:rsidP="0093262F">
      <w:pPr>
        <w:tabs>
          <w:tab w:val="num" w:pos="568"/>
        </w:tabs>
        <w:spacing w:line="276" w:lineRule="auto"/>
        <w:rPr>
          <w:rFonts w:ascii="Franklin Gothic Book" w:eastAsia="Times New Roman" w:hAnsi="Franklin Gothic Book" w:cs="Arial"/>
          <w:lang w:eastAsia="en-US"/>
        </w:rPr>
      </w:pPr>
    </w:p>
    <w:tbl>
      <w:tblPr>
        <w:tblStyle w:val="Tablewithnoheader"/>
        <w:tblW w:w="9781" w:type="dxa"/>
        <w:tblInd w:w="-601" w:type="dxa"/>
        <w:tblLook w:val="04A0" w:firstRow="1" w:lastRow="0" w:firstColumn="1" w:lastColumn="0" w:noHBand="0" w:noVBand="1"/>
      </w:tblPr>
      <w:tblGrid>
        <w:gridCol w:w="9781"/>
      </w:tblGrid>
      <w:tr w:rsidR="0093262F" w:rsidRPr="00BD306C" w:rsidTr="00E46D88">
        <w:trPr>
          <w:cantSplit w:val="0"/>
        </w:trPr>
        <w:tc>
          <w:tcPr>
            <w:tcW w:w="9781" w:type="dxa"/>
            <w:tcBorders>
              <w:bottom w:val="single" w:sz="4" w:space="0" w:color="808080"/>
            </w:tcBorders>
            <w:shd w:val="clear" w:color="auto" w:fill="F7F3A7"/>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 xml:space="preserve">B: Problem/Issue definition and rationale for investment (Why)  </w:t>
            </w:r>
          </w:p>
        </w:tc>
      </w:tr>
      <w:tr w:rsidR="0093262F" w:rsidRPr="00BD306C" w:rsidTr="00E46D88">
        <w:trPr>
          <w:cantSplit w:val="0"/>
        </w:trPr>
        <w:tc>
          <w:tcPr>
            <w:tcW w:w="9781" w:type="dxa"/>
          </w:tcPr>
          <w:p w:rsidR="004C6FCF" w:rsidRPr="00F90714" w:rsidRDefault="004C6FCF" w:rsidP="00BE19EF">
            <w:pPr>
              <w:pStyle w:val="BodyText"/>
              <w:spacing w:before="200" w:after="200" w:line="240" w:lineRule="auto"/>
              <w:rPr>
                <w:b/>
                <w:i/>
              </w:rPr>
            </w:pPr>
            <w:r w:rsidRPr="00F90714">
              <w:rPr>
                <w:b/>
                <w:i/>
              </w:rPr>
              <w:t>Rationale</w:t>
            </w:r>
          </w:p>
          <w:p w:rsidR="00211251" w:rsidRPr="003E3D93" w:rsidRDefault="004C6FCF" w:rsidP="00211251">
            <w:pPr>
              <w:pStyle w:val="BodyText"/>
              <w:spacing w:before="200" w:after="200" w:line="240" w:lineRule="auto"/>
              <w:rPr>
                <w:color w:val="000000" w:themeColor="text1"/>
                <w:szCs w:val="21"/>
              </w:rPr>
            </w:pPr>
            <w:r w:rsidRPr="00F90714">
              <w:rPr>
                <w:szCs w:val="21"/>
              </w:rPr>
              <w:t xml:space="preserve">Vietnam needs a knowledgeable and skilled workforce to </w:t>
            </w:r>
            <w:r w:rsidR="00EF4296">
              <w:rPr>
                <w:szCs w:val="21"/>
              </w:rPr>
              <w:t xml:space="preserve">sustain growth and </w:t>
            </w:r>
            <w:r w:rsidRPr="00F90714">
              <w:rPr>
                <w:szCs w:val="21"/>
              </w:rPr>
              <w:t xml:space="preserve">help it progress </w:t>
            </w:r>
            <w:r w:rsidR="007774C7">
              <w:rPr>
                <w:szCs w:val="21"/>
              </w:rPr>
              <w:t xml:space="preserve">from a lower middle income country </w:t>
            </w:r>
            <w:r w:rsidRPr="00F90714">
              <w:rPr>
                <w:szCs w:val="21"/>
              </w:rPr>
              <w:t xml:space="preserve">to an industrialised country by 2020. Sustained growth and improvements in the economy’s efficiency and competitiveness </w:t>
            </w:r>
            <w:r w:rsidR="00D51E01">
              <w:rPr>
                <w:szCs w:val="21"/>
              </w:rPr>
              <w:t>need a higher</w:t>
            </w:r>
            <w:r w:rsidRPr="00F90714">
              <w:rPr>
                <w:szCs w:val="21"/>
              </w:rPr>
              <w:t xml:space="preserve"> </w:t>
            </w:r>
            <w:r w:rsidRPr="003E3D93">
              <w:rPr>
                <w:color w:val="000000" w:themeColor="text1"/>
                <w:szCs w:val="21"/>
              </w:rPr>
              <w:t xml:space="preserve">skilled workforce.  </w:t>
            </w:r>
            <w:r w:rsidR="00211251" w:rsidRPr="003E3D93">
              <w:rPr>
                <w:color w:val="000000" w:themeColor="text1"/>
                <w:szCs w:val="21"/>
              </w:rPr>
              <w:t>Despite its remarkable GDP growth over the past two decades, the labour force in Vietnam is regarded as low-skilled and falling behind the regional curve.</w:t>
            </w:r>
            <w:r w:rsidR="00211251" w:rsidRPr="003E3D93">
              <w:rPr>
                <w:rStyle w:val="EndnoteReference"/>
                <w:color w:val="000000" w:themeColor="text1"/>
                <w:szCs w:val="21"/>
              </w:rPr>
              <w:endnoteReference w:id="1"/>
            </w:r>
            <w:r w:rsidR="00211251" w:rsidRPr="003E3D93">
              <w:rPr>
                <w:color w:val="000000" w:themeColor="text1"/>
                <w:szCs w:val="21"/>
              </w:rPr>
              <w:t xml:space="preserve"> Countries that have not invested a skilled labour force run the risk of falling into the so-called middle income trap whereby the productivity of labour plateaus, with high rates of employment in the informal economy</w:t>
            </w:r>
            <w:r w:rsidR="00211251" w:rsidRPr="003E3D93">
              <w:rPr>
                <w:rStyle w:val="EndnoteReference"/>
                <w:color w:val="000000" w:themeColor="text1"/>
                <w:szCs w:val="21"/>
              </w:rPr>
              <w:endnoteReference w:id="2"/>
            </w:r>
            <w:r w:rsidR="00211251" w:rsidRPr="003E3D93">
              <w:rPr>
                <w:color w:val="000000" w:themeColor="text1"/>
                <w:szCs w:val="21"/>
              </w:rPr>
              <w:t>.</w:t>
            </w:r>
            <w:r w:rsidR="00211251" w:rsidRPr="003E3D93">
              <w:rPr>
                <w:color w:val="000000" w:themeColor="text1"/>
                <w:szCs w:val="21"/>
                <w:vertAlign w:val="superscript"/>
              </w:rPr>
              <w:t xml:space="preserve"> </w:t>
            </w:r>
          </w:p>
          <w:p w:rsidR="00DE2B7A" w:rsidRPr="003E3D93" w:rsidRDefault="00211251" w:rsidP="00884FF4">
            <w:pPr>
              <w:pStyle w:val="BodyText"/>
              <w:spacing w:before="200" w:after="200" w:line="240" w:lineRule="auto"/>
              <w:rPr>
                <w:color w:val="000000" w:themeColor="text1"/>
                <w:szCs w:val="21"/>
              </w:rPr>
            </w:pPr>
            <w:r w:rsidRPr="003E3D93">
              <w:rPr>
                <w:color w:val="000000" w:themeColor="text1"/>
                <w:szCs w:val="21"/>
              </w:rPr>
              <w:t xml:space="preserve">Vietnam </w:t>
            </w:r>
            <w:r w:rsidR="00DE2B7A" w:rsidRPr="003E3D93">
              <w:rPr>
                <w:color w:val="000000" w:themeColor="text1"/>
                <w:szCs w:val="21"/>
              </w:rPr>
              <w:t xml:space="preserve">also needs </w:t>
            </w:r>
            <w:r w:rsidR="00EF4296" w:rsidRPr="003E3D93">
              <w:rPr>
                <w:color w:val="000000" w:themeColor="text1"/>
                <w:szCs w:val="21"/>
              </w:rPr>
              <w:t xml:space="preserve">a skilled workforce to enable regional labour mobility </w:t>
            </w:r>
            <w:r w:rsidR="00DE2B7A" w:rsidRPr="003E3D93">
              <w:rPr>
                <w:color w:val="000000" w:themeColor="text1"/>
                <w:szCs w:val="21"/>
              </w:rPr>
              <w:t>under the Association of South East Asian Nations (ASEAN) Economic Community by 2015.</w:t>
            </w:r>
            <w:r w:rsidR="00DE2B7A" w:rsidRPr="003E3D93">
              <w:rPr>
                <w:rFonts w:ascii="Times New Roman" w:hAnsi="Times New Roman"/>
                <w:color w:val="000000" w:themeColor="text1"/>
                <w:sz w:val="24"/>
                <w:szCs w:val="24"/>
              </w:rPr>
              <w:t xml:space="preserve"> </w:t>
            </w:r>
            <w:r w:rsidR="009A4CCD" w:rsidRPr="003E3D93">
              <w:rPr>
                <w:color w:val="000000" w:themeColor="text1"/>
              </w:rPr>
              <w:t>Improved skill levels in the workforce, of both women and men</w:t>
            </w:r>
            <w:r w:rsidR="00CF0968" w:rsidRPr="003E3D93">
              <w:rPr>
                <w:color w:val="000000" w:themeColor="text1"/>
              </w:rPr>
              <w:t>,</w:t>
            </w:r>
            <w:r w:rsidR="009A4CCD" w:rsidRPr="003E3D93">
              <w:rPr>
                <w:color w:val="000000" w:themeColor="text1"/>
              </w:rPr>
              <w:t xml:space="preserve"> will help to bring poverty levels down further and improve inclusive economic growth.</w:t>
            </w:r>
          </w:p>
          <w:p w:rsidR="004C6FCF" w:rsidRPr="004C6FCF" w:rsidRDefault="004C6FCF" w:rsidP="00BE19EF">
            <w:pPr>
              <w:pStyle w:val="BodyText"/>
              <w:spacing w:before="200" w:after="200" w:line="240" w:lineRule="auto"/>
            </w:pPr>
            <w:r w:rsidRPr="003E3D93">
              <w:rPr>
                <w:color w:val="000000" w:themeColor="text1"/>
              </w:rPr>
              <w:t xml:space="preserve">Despite Government of Vietnam (GOV) achievements in schooling and education and labour system reforms in recent decades, Vietnam still faces challenges in improving the capabilities </w:t>
            </w:r>
            <w:r w:rsidRPr="00F90714">
              <w:t xml:space="preserve">and employability of its workforce, especially the youth and in the context of </w:t>
            </w:r>
            <w:r w:rsidRPr="004C6FCF">
              <w:t xml:space="preserve">global and regional integration. While access </w:t>
            </w:r>
            <w:r w:rsidR="00CF0968">
              <w:t xml:space="preserve">to </w:t>
            </w:r>
            <w:r w:rsidRPr="004C6FCF">
              <w:t xml:space="preserve">and quality of primary and secondary education have improved significantly, the quality and relevance of teaching and research at </w:t>
            </w:r>
            <w:r w:rsidR="007E29F9">
              <w:t>both Technical and Vocational Education and Training (TVET) institutions and universities</w:t>
            </w:r>
            <w:r w:rsidR="007E29F9" w:rsidRPr="004C6FCF">
              <w:t xml:space="preserve"> </w:t>
            </w:r>
            <w:r w:rsidR="00E14560" w:rsidRPr="004C6FCF">
              <w:t>still needs to be upgraded to help graduates translate knowledge and skills into more effective practice in the workplace. Soft skills s</w:t>
            </w:r>
            <w:r w:rsidR="00E14560" w:rsidRPr="00F90714">
              <w:t xml:space="preserve">uch as critical thinking, problem solving and communication need to be strengthened at all </w:t>
            </w:r>
            <w:r w:rsidR="00E14560">
              <w:t xml:space="preserve">education </w:t>
            </w:r>
            <w:r w:rsidR="00E14560" w:rsidRPr="00F90714">
              <w:t>levels. Ethnic minorities and people with disability are under-represented in both tertiary education</w:t>
            </w:r>
            <w:r w:rsidR="00E14560">
              <w:t xml:space="preserve"> </w:t>
            </w:r>
            <w:r w:rsidR="00E14560" w:rsidRPr="00F90714">
              <w:t xml:space="preserve">and the </w:t>
            </w:r>
            <w:r w:rsidR="00E14560" w:rsidRPr="00E2390B">
              <w:t>employment sectors</w:t>
            </w:r>
            <w:r w:rsidR="00E14560" w:rsidRPr="00E2390B">
              <w:rPr>
                <w:rStyle w:val="EndnoteReference"/>
              </w:rPr>
              <w:endnoteReference w:id="3"/>
            </w:r>
            <w:proofErr w:type="gramStart"/>
            <w:r w:rsidR="00E14560" w:rsidRPr="00E2390B">
              <w:t>,</w:t>
            </w:r>
            <w:r w:rsidR="00E14560" w:rsidRPr="00E2390B">
              <w:rPr>
                <w:rStyle w:val="EndnoteReference"/>
              </w:rPr>
              <w:endnoteReference w:id="4"/>
            </w:r>
            <w:r w:rsidR="00E14560" w:rsidRPr="00E2390B">
              <w:t>.</w:t>
            </w:r>
            <w:proofErr w:type="gramEnd"/>
            <w:r w:rsidR="00E14560" w:rsidRPr="00E2390B">
              <w:t xml:space="preserve"> Vietnam’s</w:t>
            </w:r>
            <w:r w:rsidR="00E14560" w:rsidRPr="00F90714">
              <w:t xml:space="preserve"> ratio of women participation in the labour force remains high as compared to other regions</w:t>
            </w:r>
            <w:r w:rsidR="00211251">
              <w:t>, a</w:t>
            </w:r>
            <w:r w:rsidR="00211251" w:rsidRPr="00211251">
              <w:t>lthough the majority of women are working, unacknowledged in statistics, in the informal sector</w:t>
            </w:r>
            <w:r w:rsidR="00E14560" w:rsidRPr="00F90714">
              <w:rPr>
                <w:rStyle w:val="EndnoteReference"/>
              </w:rPr>
              <w:endnoteReference w:id="5"/>
            </w:r>
            <w:r w:rsidR="00E14560">
              <w:t xml:space="preserve">. </w:t>
            </w:r>
            <w:r w:rsidR="00E14560" w:rsidRPr="004C6FCF">
              <w:t>T</w:t>
            </w:r>
            <w:r w:rsidR="00E14560" w:rsidRPr="004C6FCF">
              <w:rPr>
                <w:rFonts w:cs="Arial"/>
              </w:rPr>
              <w:t>he gender gap at primary, secondary and tertiary education levels has reduced, but the ratio of women holding a decision-making position is relatively low at all levels of government</w:t>
            </w:r>
            <w:r w:rsidR="00E14560" w:rsidRPr="004C6FCF">
              <w:rPr>
                <w:rStyle w:val="EndnoteReference"/>
                <w:rFonts w:cs="Arial"/>
              </w:rPr>
              <w:endnoteReference w:id="6"/>
            </w:r>
            <w:r w:rsidR="00E14560" w:rsidRPr="004C6FCF">
              <w:rPr>
                <w:rFonts w:cs="Arial"/>
              </w:rPr>
              <w:t>.</w:t>
            </w:r>
            <w:r w:rsidRPr="004C6FCF">
              <w:rPr>
                <w:rFonts w:cs="Arial"/>
              </w:rPr>
              <w:t xml:space="preserve"> At post graduate study level, </w:t>
            </w:r>
            <w:r w:rsidRPr="004C6FCF">
              <w:t>women hold only 30 per cent of Master degrees and 17 per cent of doctorate (PhD) degrees, and fields of study are highly gender segregated. Existing</w:t>
            </w:r>
            <w:r w:rsidRPr="00F90714">
              <w:t xml:space="preserve"> institutional arrangements and organisational environments also hinder the efficient utilisation of newly acquired high level knowledge and </w:t>
            </w:r>
            <w:r w:rsidRPr="004C6FCF">
              <w:t>skills, particularly for those who return from overseas study</w:t>
            </w:r>
            <w:r w:rsidR="00211251">
              <w:t xml:space="preserve"> to the public sector.</w:t>
            </w:r>
          </w:p>
          <w:p w:rsidR="004C6FCF" w:rsidRPr="00F90714" w:rsidRDefault="004C6FCF" w:rsidP="00BE19EF">
            <w:pPr>
              <w:pStyle w:val="BodyText"/>
              <w:spacing w:before="200" w:after="200" w:line="240" w:lineRule="auto"/>
            </w:pPr>
            <w:r w:rsidRPr="004C6FCF">
              <w:t>Vietnam</w:t>
            </w:r>
            <w:r w:rsidRPr="00EA2B8F">
              <w:t>’s</w:t>
            </w:r>
            <w:r w:rsidRPr="004C6FCF">
              <w:t xml:space="preserve"> central policies relating to HRD are expressed mainly through the </w:t>
            </w:r>
            <w:r w:rsidRPr="004C6FCF">
              <w:rPr>
                <w:i/>
              </w:rPr>
              <w:t>Vietnam Socio-Economic Development Strategy</w:t>
            </w:r>
            <w:r w:rsidRPr="004C6FCF">
              <w:t xml:space="preserve"> (SEDS) 2011-2020, the </w:t>
            </w:r>
            <w:r w:rsidRPr="004C6FCF">
              <w:rPr>
                <w:i/>
              </w:rPr>
              <w:t>Vietnam Manpower Development Master Plan</w:t>
            </w:r>
            <w:r w:rsidRPr="004C6FCF">
              <w:t xml:space="preserve"> (2011-2020), the 2005 </w:t>
            </w:r>
            <w:r w:rsidRPr="004C6FCF">
              <w:rPr>
                <w:i/>
              </w:rPr>
              <w:t>Higher Education Reform Agenda</w:t>
            </w:r>
            <w:r w:rsidRPr="004C6FCF">
              <w:t>, and the</w:t>
            </w:r>
            <w:r w:rsidRPr="00F90714">
              <w:t xml:space="preserve"> 2012 </w:t>
            </w:r>
            <w:r w:rsidRPr="00F90714">
              <w:rPr>
                <w:i/>
              </w:rPr>
              <w:t>Higher Education Law</w:t>
            </w:r>
            <w:r w:rsidRPr="00F90714">
              <w:t>. Within those policies the Government aims to increase the trained workforce from 20 million in 2010 to 44 million by 2020 (of a total expected population of 97 million), have over four universities and ten vocational training schools meeting international standards and 30 per cent of university lecturers with doctorate degrees by 2020. Mobilisation of resources for a ramp-up in education and training will require expansion of the government share of budget allocations for TVET and higher education a</w:t>
            </w:r>
            <w:r>
              <w:t>nd</w:t>
            </w:r>
            <w:r w:rsidRPr="00F90714">
              <w:t xml:space="preserve"> significantly increased involvement of the private sector.</w:t>
            </w:r>
          </w:p>
          <w:p w:rsidR="004C6FCF" w:rsidRPr="00F90714" w:rsidRDefault="004C6FCF" w:rsidP="00BE19EF">
            <w:pPr>
              <w:pStyle w:val="BodyText"/>
              <w:spacing w:before="200" w:after="200" w:line="240" w:lineRule="auto"/>
            </w:pPr>
            <w:r w:rsidRPr="00F90714">
              <w:t xml:space="preserve">A significant portion of aid provided to Vietnam is in the form of low interest loans from the Asian Development Bank (ADB), World Bank (WB) and the Japanese and Korean development banks. With respect to HRD, the development partners have to some extent concentrated their activities to specific education and training sub-sectors. WB, ADB and the United Nations Educational, Scientific and Cultural Organisation (UNESCO) are lead donors in primary and secondary education; WB, ADB, Australia, New Zealand and other bilateral donors (through scholarships) are lead donors in higher education; and ADB, Germany, Japan, and Korea are lead donors in TVET. </w:t>
            </w:r>
          </w:p>
          <w:p w:rsidR="004C6FCF" w:rsidRPr="00F90714" w:rsidRDefault="004C6FCF" w:rsidP="00BE19EF">
            <w:pPr>
              <w:pStyle w:val="BodyText"/>
              <w:spacing w:before="200" w:after="200" w:line="240" w:lineRule="auto"/>
            </w:pPr>
            <w:r w:rsidRPr="00F90714">
              <w:t xml:space="preserve">While GOV’s systematic reforms have been </w:t>
            </w:r>
            <w:r w:rsidRPr="004C6FCF">
              <w:t xml:space="preserve">ongoing in the education and training sector, including higher </w:t>
            </w:r>
            <w:r w:rsidRPr="004C6FCF">
              <w:lastRenderedPageBreak/>
              <w:t>education, with multilateral banks support over the past 15 years, there are niche areas where Australia is highly regarded. These areas include, but are not limited to, training of trainers/lecturers, establishment of competency-based standards and qualification frameworks, and sharing Australian education and employment best practices</w:t>
            </w:r>
            <w:r w:rsidRPr="00F90714">
              <w:t xml:space="preserve">.  </w:t>
            </w:r>
          </w:p>
          <w:p w:rsidR="002C1700" w:rsidRDefault="002C1700" w:rsidP="00BE19EF">
            <w:pPr>
              <w:pStyle w:val="BodyText"/>
              <w:spacing w:before="200" w:after="200" w:line="240" w:lineRule="auto"/>
              <w:rPr>
                <w:b/>
                <w:i/>
              </w:rPr>
            </w:pPr>
          </w:p>
          <w:p w:rsidR="004C6FCF" w:rsidRPr="00F90714" w:rsidRDefault="004C6FCF" w:rsidP="00BE19EF">
            <w:pPr>
              <w:pStyle w:val="BodyText"/>
              <w:spacing w:before="200" w:after="200" w:line="240" w:lineRule="auto"/>
              <w:rPr>
                <w:b/>
                <w:i/>
              </w:rPr>
            </w:pPr>
            <w:r w:rsidRPr="00F90714">
              <w:rPr>
                <w:b/>
                <w:i/>
              </w:rPr>
              <w:t>Why should Australia invest?</w:t>
            </w:r>
          </w:p>
          <w:p w:rsidR="004C6FCF" w:rsidRPr="00F90714" w:rsidRDefault="004C6FCF" w:rsidP="00BE19EF">
            <w:pPr>
              <w:spacing w:before="200" w:after="200"/>
              <w:rPr>
                <w:rFonts w:ascii="Franklin Gothic Book" w:eastAsia="Times New Roman" w:hAnsi="Franklin Gothic Book"/>
              </w:rPr>
            </w:pPr>
            <w:r w:rsidRPr="00F90714">
              <w:rPr>
                <w:rFonts w:ascii="Franklin Gothic Book" w:hAnsi="Franklin Gothic Book"/>
              </w:rPr>
              <w:t xml:space="preserve">Almost 40 years of investment in higher education scholarships and 4,500 alumni from Australian Government funded long and short term training assistance </w:t>
            </w:r>
            <w:r w:rsidR="005A73A7">
              <w:rPr>
                <w:rFonts w:ascii="Franklin Gothic Book" w:hAnsi="Franklin Gothic Book"/>
              </w:rPr>
              <w:t>illustrates</w:t>
            </w:r>
            <w:r w:rsidR="005A73A7" w:rsidRPr="004C6FCF">
              <w:rPr>
                <w:rFonts w:ascii="Franklin Gothic Book" w:hAnsi="Franklin Gothic Book"/>
              </w:rPr>
              <w:t xml:space="preserve"> </w:t>
            </w:r>
            <w:r w:rsidRPr="004C6FCF">
              <w:rPr>
                <w:rFonts w:ascii="Franklin Gothic Book" w:hAnsi="Franklin Gothic Book"/>
              </w:rPr>
              <w:t>Australia</w:t>
            </w:r>
            <w:r w:rsidR="005A73A7">
              <w:rPr>
                <w:rFonts w:ascii="Franklin Gothic Book" w:hAnsi="Franklin Gothic Book"/>
              </w:rPr>
              <w:t>’s</w:t>
            </w:r>
            <w:r w:rsidRPr="004C6FCF">
              <w:rPr>
                <w:rFonts w:ascii="Franklin Gothic Book" w:hAnsi="Franklin Gothic Book"/>
              </w:rPr>
              <w:t xml:space="preserve"> strong experience and reputation base from which to grow assistance through higher education and professional development training</w:t>
            </w:r>
            <w:r w:rsidR="00D51E01">
              <w:rPr>
                <w:rFonts w:ascii="Franklin Gothic Book" w:hAnsi="Franklin Gothic Book"/>
              </w:rPr>
              <w:t xml:space="preserve">. </w:t>
            </w:r>
            <w:r w:rsidRPr="004C6FCF">
              <w:rPr>
                <w:rFonts w:ascii="Franklin Gothic Book" w:eastAsia="Times New Roman" w:hAnsi="Franklin Gothic Book"/>
              </w:rPr>
              <w:t>The Australia Award</w:t>
            </w:r>
            <w:r w:rsidR="00CE5053">
              <w:rPr>
                <w:rFonts w:ascii="Franklin Gothic Book" w:eastAsia="Times New Roman" w:hAnsi="Franklin Gothic Book"/>
              </w:rPr>
              <w:t>s</w:t>
            </w:r>
            <w:r w:rsidR="00493495">
              <w:rPr>
                <w:rFonts w:ascii="Franklin Gothic Book" w:eastAsia="Times New Roman" w:hAnsi="Franklin Gothic Book"/>
              </w:rPr>
              <w:t xml:space="preserve"> Scholarships (AAS)</w:t>
            </w:r>
            <w:r w:rsidRPr="004C6FCF">
              <w:rPr>
                <w:rFonts w:ascii="Franklin Gothic Book" w:eastAsia="Times New Roman" w:hAnsi="Franklin Gothic Book"/>
              </w:rPr>
              <w:t xml:space="preserve"> </w:t>
            </w:r>
            <w:r w:rsidR="00493495" w:rsidRPr="004C6FCF">
              <w:rPr>
                <w:rFonts w:ascii="Franklin Gothic Book" w:eastAsia="Times New Roman" w:hAnsi="Franklin Gothic Book"/>
              </w:rPr>
              <w:t>ha</w:t>
            </w:r>
            <w:r w:rsidR="00493495">
              <w:rPr>
                <w:rFonts w:ascii="Franklin Gothic Book" w:eastAsia="Times New Roman" w:hAnsi="Franklin Gothic Book"/>
              </w:rPr>
              <w:t>ve</w:t>
            </w:r>
            <w:r w:rsidR="00493495" w:rsidRPr="004C6FCF">
              <w:rPr>
                <w:rFonts w:ascii="Franklin Gothic Book" w:eastAsia="Times New Roman" w:hAnsi="Franklin Gothic Book"/>
              </w:rPr>
              <w:t xml:space="preserve"> </w:t>
            </w:r>
            <w:r w:rsidRPr="004C6FCF">
              <w:rPr>
                <w:rFonts w:ascii="Franklin Gothic Book" w:eastAsia="Times New Roman" w:hAnsi="Franklin Gothic Book"/>
              </w:rPr>
              <w:t>a track record for effectiveness, reflected in evaluations that</w:t>
            </w:r>
            <w:r w:rsidRPr="00F90714">
              <w:rPr>
                <w:rFonts w:ascii="Franklin Gothic Book" w:eastAsia="Times New Roman" w:hAnsi="Franklin Gothic Book"/>
              </w:rPr>
              <w:t xml:space="preserve"> highlight benefits including alumni promotions, enhanced institutional governance and broad development impacts for Vietnam. The Australia Awards are, and will continue to be, an important economic diplomacy tool in Vietnam. In addition to building critical skills and knowledge, </w:t>
            </w:r>
            <w:r w:rsidR="005A73A7" w:rsidRPr="005A73A7">
              <w:rPr>
                <w:rFonts w:ascii="Franklin Gothic Book" w:eastAsia="Times New Roman" w:hAnsi="Franklin Gothic Book"/>
              </w:rPr>
              <w:t xml:space="preserve">the Australia Awards are a key public diplomacy tool, fostering an engaged and influential network of leaders, reformers and advocates, promoting strong people-to-people and organisational </w:t>
            </w:r>
            <w:r w:rsidR="00466DE7">
              <w:rPr>
                <w:rFonts w:ascii="Franklin Gothic Book" w:eastAsia="Times New Roman" w:hAnsi="Franklin Gothic Book"/>
              </w:rPr>
              <w:t>l</w:t>
            </w:r>
            <w:r w:rsidR="005A73A7" w:rsidRPr="005A73A7">
              <w:rPr>
                <w:rFonts w:ascii="Franklin Gothic Book" w:eastAsia="Times New Roman" w:hAnsi="Franklin Gothic Book"/>
              </w:rPr>
              <w:t>inks between Australia and Vietnam</w:t>
            </w:r>
            <w:r w:rsidRPr="00F90714">
              <w:rPr>
                <w:rFonts w:ascii="Franklin Gothic Book" w:eastAsia="Times New Roman" w:hAnsi="Franklin Gothic Book"/>
              </w:rPr>
              <w:t>.</w:t>
            </w:r>
          </w:p>
          <w:p w:rsidR="004C6FCF" w:rsidRPr="00F90714" w:rsidRDefault="004C6FCF" w:rsidP="00BE19EF">
            <w:pPr>
              <w:pStyle w:val="BodyText"/>
              <w:spacing w:before="200" w:after="200" w:line="240" w:lineRule="auto"/>
            </w:pPr>
            <w:r w:rsidRPr="00F90714">
              <w:rPr>
                <w:noProof/>
              </w:rPr>
              <w:t xml:space="preserve">The </w:t>
            </w:r>
            <w:r w:rsidRPr="00F90714">
              <w:t xml:space="preserve">Australia-Vietnam Aid Investment Plan (AIP) 2015-20 is currently under development and will be finalised </w:t>
            </w:r>
            <w:proofErr w:type="spellStart"/>
            <w:r w:rsidRPr="00F90714">
              <w:t>mid 2015</w:t>
            </w:r>
            <w:proofErr w:type="spellEnd"/>
            <w:r w:rsidRPr="00F90714">
              <w:t xml:space="preserve">. It is proposed HRD continue to be a strategic pillar of the new AIP, in response to the critical HRD needs that </w:t>
            </w:r>
            <w:r w:rsidR="00AA30F1">
              <w:t xml:space="preserve">the </w:t>
            </w:r>
            <w:r w:rsidRPr="00F90714">
              <w:t xml:space="preserve">GOV </w:t>
            </w:r>
            <w:r w:rsidR="00AA30F1">
              <w:t xml:space="preserve">has </w:t>
            </w:r>
            <w:r w:rsidRPr="00F90714">
              <w:t xml:space="preserve">articulated in </w:t>
            </w:r>
            <w:r w:rsidR="00AA30F1">
              <w:t>its</w:t>
            </w:r>
            <w:r w:rsidRPr="00F90714">
              <w:t xml:space="preserve"> </w:t>
            </w:r>
            <w:r w:rsidRPr="00AA30F1">
              <w:rPr>
                <w:i/>
              </w:rPr>
              <w:t>Socio-Economic Development Strategy 2011-2020</w:t>
            </w:r>
            <w:r w:rsidRPr="00F90714">
              <w:t xml:space="preserve">. The </w:t>
            </w:r>
            <w:r w:rsidRPr="00AA30F1">
              <w:rPr>
                <w:i/>
              </w:rPr>
              <w:t>Australia-Vietnam HRD Strategy 2014-202</w:t>
            </w:r>
            <w:r w:rsidR="00E912E5">
              <w:rPr>
                <w:i/>
              </w:rPr>
              <w:t>0</w:t>
            </w:r>
            <w:r w:rsidRPr="00F90714">
              <w:t xml:space="preserve"> outlines the key direction for our support and engagement with Vietnam in improving the quality of its HRD. Our end outcome is that</w:t>
            </w:r>
            <w:r w:rsidRPr="00F90714">
              <w:rPr>
                <w:i/>
                <w:color w:val="000000"/>
              </w:rPr>
              <w:t xml:space="preserve"> Vietnam </w:t>
            </w:r>
            <w:r w:rsidR="00466DE7">
              <w:rPr>
                <w:i/>
                <w:color w:val="000000"/>
              </w:rPr>
              <w:t xml:space="preserve">accesses and </w:t>
            </w:r>
            <w:r w:rsidRPr="00F90714">
              <w:rPr>
                <w:i/>
                <w:color w:val="000000"/>
              </w:rPr>
              <w:t>uses high level professional and technical knowledge, skills and competencies, to contribute to the country’s sustainable economic and inclusive development, and enduring links with Australia.</w:t>
            </w:r>
            <w:r w:rsidRPr="00F90714">
              <w:t xml:space="preserve"> To realise the end of program outcome, there are three </w:t>
            </w:r>
            <w:r w:rsidRPr="00F90714">
              <w:rPr>
                <w:b/>
              </w:rPr>
              <w:t>intermediate outcomes</w:t>
            </w:r>
            <w:r w:rsidRPr="00F90714">
              <w:t>:</w:t>
            </w:r>
          </w:p>
          <w:p w:rsidR="004C6FCF" w:rsidRPr="00F90714" w:rsidRDefault="004C6FCF" w:rsidP="00552305">
            <w:pPr>
              <w:pStyle w:val="ListBullet"/>
              <w:numPr>
                <w:ilvl w:val="0"/>
                <w:numId w:val="34"/>
              </w:numPr>
              <w:tabs>
                <w:tab w:val="clear" w:pos="284"/>
                <w:tab w:val="left" w:pos="743"/>
              </w:tabs>
              <w:spacing w:after="0" w:line="240" w:lineRule="auto"/>
              <w:ind w:left="743" w:hanging="425"/>
            </w:pPr>
            <w:r w:rsidRPr="00F90714">
              <w:t>Increased number of high quality tertiary graduates and skilled professionals and technicians in selected priority areas</w:t>
            </w:r>
          </w:p>
          <w:p w:rsidR="004C6FCF" w:rsidRPr="00F90714" w:rsidRDefault="004C6FCF" w:rsidP="00DF341C">
            <w:pPr>
              <w:pStyle w:val="ListBullet"/>
              <w:numPr>
                <w:ilvl w:val="0"/>
                <w:numId w:val="34"/>
              </w:numPr>
              <w:spacing w:after="0" w:line="240" w:lineRule="auto"/>
              <w:ind w:left="363" w:hanging="45"/>
            </w:pPr>
            <w:r w:rsidRPr="00F90714">
              <w:t>Stronger workplace environments for skills utilisation in selected priority areas</w:t>
            </w:r>
          </w:p>
          <w:p w:rsidR="004C6FCF" w:rsidRPr="00F90714" w:rsidRDefault="004C6FCF" w:rsidP="00DF341C">
            <w:pPr>
              <w:pStyle w:val="ListBullet"/>
              <w:numPr>
                <w:ilvl w:val="0"/>
                <w:numId w:val="34"/>
              </w:numPr>
              <w:spacing w:after="0" w:line="240" w:lineRule="auto"/>
              <w:ind w:left="363" w:hanging="45"/>
            </w:pPr>
            <w:r w:rsidRPr="00F90714">
              <w:t xml:space="preserve">Australia </w:t>
            </w:r>
            <w:r w:rsidRPr="00F90714">
              <w:rPr>
                <w:color w:val="000000"/>
              </w:rPr>
              <w:t>and Vietnam have stronger, sustainable links in selected sectors</w:t>
            </w:r>
          </w:p>
          <w:p w:rsidR="004C6FCF" w:rsidRDefault="004C6FCF" w:rsidP="00BE19EF">
            <w:pPr>
              <w:spacing w:before="200" w:after="200"/>
              <w:rPr>
                <w:rFonts w:ascii="Franklin Gothic Book" w:eastAsia="Times New Roman" w:hAnsi="Franklin Gothic Book"/>
              </w:rPr>
            </w:pPr>
            <w:r w:rsidRPr="00F90714">
              <w:rPr>
                <w:rFonts w:ascii="Franklin Gothic Book" w:eastAsia="Times New Roman" w:hAnsi="Franklin Gothic Book"/>
              </w:rPr>
              <w:t xml:space="preserve">The major difference of this new Strategy from our current support approach is to improve the synergy of sector-based HRD interventions, using a combination of modalities </w:t>
            </w:r>
            <w:r w:rsidR="007774C7">
              <w:rPr>
                <w:rFonts w:ascii="Franklin Gothic Book" w:eastAsia="Times New Roman" w:hAnsi="Franklin Gothic Book"/>
              </w:rPr>
              <w:t xml:space="preserve">(in addition to the long-term postgraduate awards) </w:t>
            </w:r>
            <w:r w:rsidRPr="00F90714">
              <w:rPr>
                <w:rFonts w:ascii="Franklin Gothic Book" w:eastAsia="Times New Roman" w:hAnsi="Franklin Gothic Book"/>
              </w:rPr>
              <w:t xml:space="preserve">to contribute to addressing the AIP priority thematic areas. </w:t>
            </w:r>
            <w:r w:rsidR="007E5B5B" w:rsidRPr="007E5B5B">
              <w:rPr>
                <w:rFonts w:ascii="Franklin Gothic Book" w:eastAsia="Times New Roman" w:hAnsi="Franklin Gothic Book"/>
              </w:rPr>
              <w:t>In addition to traditional scholarships (via in-Australia delivery), it is proposed we consider the effectiveness and efficiency of in-country scholarships, and formal joint (or ‘sandwich’) programs for Australian Qualification Framework recognised qualifications. In-Australia scholarships would be reserved for high-level university qualifications and for selected TVET courses that will upgrade skills, where the competency or content is not available in Vietnam.</w:t>
            </w:r>
            <w:r w:rsidR="007E5B5B">
              <w:rPr>
                <w:rFonts w:ascii="Franklin Gothic Book" w:eastAsia="Times New Roman" w:hAnsi="Franklin Gothic Book"/>
              </w:rPr>
              <w:t xml:space="preserve"> </w:t>
            </w:r>
            <w:r w:rsidRPr="00F90714">
              <w:rPr>
                <w:rFonts w:ascii="Franklin Gothic Book" w:eastAsia="Times New Roman" w:hAnsi="Franklin Gothic Book"/>
              </w:rPr>
              <w:t xml:space="preserve">We have committed to explore more opportunities to support selected HRD areas, where Australia can add value, that have been lagging in Vietnam and/or are without sufficient donor supports. This includes: providing better access and learning outcomes for the disadvantaged, promoting industry partnership in skill enhancement, increasing leadership opportunities for women, and </w:t>
            </w:r>
            <w:r w:rsidR="00AA30F1">
              <w:rPr>
                <w:rFonts w:ascii="Franklin Gothic Book" w:eastAsia="Times New Roman" w:hAnsi="Franklin Gothic Book"/>
              </w:rPr>
              <w:t>supporting</w:t>
            </w:r>
            <w:r w:rsidRPr="00F90714">
              <w:rPr>
                <w:rFonts w:ascii="Franklin Gothic Book" w:eastAsia="Times New Roman" w:hAnsi="Franklin Gothic Book"/>
              </w:rPr>
              <w:t xml:space="preserve"> work environments to foster the utilisation of high level skills and knowledge. </w:t>
            </w:r>
            <w:r w:rsidR="007774C7">
              <w:rPr>
                <w:rFonts w:ascii="Franklin Gothic Book" w:eastAsia="Times New Roman" w:hAnsi="Franklin Gothic Book"/>
              </w:rPr>
              <w:t xml:space="preserve">This HRD support will be actively used </w:t>
            </w:r>
            <w:r w:rsidRPr="00F90714">
              <w:rPr>
                <w:rFonts w:ascii="Franklin Gothic Book" w:eastAsia="Times New Roman" w:hAnsi="Franklin Gothic Book"/>
              </w:rPr>
              <w:t xml:space="preserve">to promote linkages and cooperation between Australia and Vietnam.   </w:t>
            </w:r>
          </w:p>
          <w:p w:rsidR="00AC07EE" w:rsidRPr="00AC07EE" w:rsidRDefault="004C6FCF" w:rsidP="003F661C">
            <w:pPr>
              <w:spacing w:before="200" w:after="200"/>
              <w:rPr>
                <w:rFonts w:ascii="Franklin Gothic Book" w:eastAsia="Times New Roman" w:hAnsi="Franklin Gothic Book"/>
              </w:rPr>
            </w:pPr>
            <w:r w:rsidRPr="00F90714">
              <w:rPr>
                <w:rFonts w:ascii="Franklin Gothic Book" w:eastAsia="Times New Roman" w:hAnsi="Franklin Gothic Book"/>
                <w:szCs w:val="20"/>
              </w:rPr>
              <w:t xml:space="preserve">The new </w:t>
            </w:r>
            <w:r w:rsidRPr="00F90714">
              <w:rPr>
                <w:rFonts w:ascii="Franklin Gothic Book" w:eastAsia="Times New Roman" w:hAnsi="Franklin Gothic Book" w:cs="Arial"/>
                <w:szCs w:val="20"/>
                <w:lang w:eastAsia="en-US"/>
              </w:rPr>
              <w:t>HRD Program will</w:t>
            </w:r>
            <w:r w:rsidRPr="00F90714">
              <w:rPr>
                <w:rFonts w:ascii="Franklin Gothic Book" w:eastAsia="Times New Roman" w:hAnsi="Franklin Gothic Book"/>
                <w:szCs w:val="20"/>
              </w:rPr>
              <w:t xml:space="preserve"> be the main vehicle to realise the HRD Strategy objective, together</w:t>
            </w:r>
            <w:r w:rsidRPr="00F90714">
              <w:rPr>
                <w:rFonts w:ascii="Franklin Gothic Book" w:eastAsia="Times New Roman" w:hAnsi="Franklin Gothic Book"/>
              </w:rPr>
              <w:t xml:space="preserve"> with other existing global program</w:t>
            </w:r>
            <w:r w:rsidR="00F95123">
              <w:rPr>
                <w:rFonts w:ascii="Franklin Gothic Book" w:eastAsia="Times New Roman" w:hAnsi="Franklin Gothic Book"/>
              </w:rPr>
              <w:t xml:space="preserve"> investment</w:t>
            </w:r>
            <w:r w:rsidRPr="00F90714">
              <w:rPr>
                <w:rFonts w:ascii="Franklin Gothic Book" w:eastAsia="Times New Roman" w:hAnsi="Franklin Gothic Book"/>
              </w:rPr>
              <w:t xml:space="preserve">s such as the Australia Awards Fellowships, </w:t>
            </w:r>
            <w:r w:rsidR="00AA30F1">
              <w:rPr>
                <w:rFonts w:ascii="Franklin Gothic Book" w:eastAsia="Times New Roman" w:hAnsi="Franklin Gothic Book"/>
              </w:rPr>
              <w:t>Australian Volunteers for International Development</w:t>
            </w:r>
            <w:r w:rsidRPr="00F90714">
              <w:rPr>
                <w:rFonts w:ascii="Franklin Gothic Book" w:eastAsia="Times New Roman" w:hAnsi="Franklin Gothic Book"/>
              </w:rPr>
              <w:t xml:space="preserve">, </w:t>
            </w:r>
            <w:r w:rsidR="00CE5053">
              <w:rPr>
                <w:rFonts w:ascii="Franklin Gothic Book" w:eastAsia="Times New Roman" w:hAnsi="Franklin Gothic Book"/>
              </w:rPr>
              <w:t xml:space="preserve">and </w:t>
            </w:r>
            <w:r w:rsidR="00596C1A">
              <w:rPr>
                <w:rFonts w:ascii="Franklin Gothic Book" w:eastAsia="Times New Roman" w:hAnsi="Franklin Gothic Book"/>
              </w:rPr>
              <w:t>the</w:t>
            </w:r>
            <w:r w:rsidRPr="00F90714">
              <w:rPr>
                <w:rFonts w:ascii="Franklin Gothic Book" w:eastAsia="Times New Roman" w:hAnsi="Franklin Gothic Book"/>
              </w:rPr>
              <w:t xml:space="preserve"> Government Partnerships for Development. The HRD program is also expected to complement resources and lever impacts of other technical assistance programs of the AIP as well as policy engagement of other Whole of Government partners (especially the Department of Education</w:t>
            </w:r>
            <w:r w:rsidR="00CE5053">
              <w:rPr>
                <w:rFonts w:ascii="Franklin Gothic Book" w:eastAsia="Times New Roman" w:hAnsi="Franklin Gothic Book"/>
              </w:rPr>
              <w:t xml:space="preserve"> and Austrade</w:t>
            </w:r>
            <w:r w:rsidRPr="00F90714">
              <w:rPr>
                <w:rFonts w:ascii="Franklin Gothic Book" w:eastAsia="Times New Roman" w:hAnsi="Franklin Gothic Book"/>
              </w:rPr>
              <w:t xml:space="preserve">). The HRD program will aim to deepen and benefit the reputation of Australian tertiary education, including TVET in Vietnam and the region, and present significant opportunities for </w:t>
            </w:r>
            <w:r w:rsidR="003F661C">
              <w:rPr>
                <w:rFonts w:ascii="Franklin Gothic Book" w:eastAsia="Times New Roman" w:hAnsi="Franklin Gothic Book"/>
              </w:rPr>
              <w:t xml:space="preserve">capitalising on Australia’s strengths (where we have world leading expertise) to enhance </w:t>
            </w:r>
            <w:r w:rsidRPr="00F90714">
              <w:rPr>
                <w:rFonts w:ascii="Franklin Gothic Book" w:eastAsia="Times New Roman" w:hAnsi="Franklin Gothic Book"/>
              </w:rPr>
              <w:t xml:space="preserve">public diplomacy and </w:t>
            </w:r>
            <w:r w:rsidR="007774C7" w:rsidRPr="007774C7">
              <w:rPr>
                <w:rFonts w:ascii="Franklin Gothic Book" w:eastAsia="Times New Roman" w:hAnsi="Franklin Gothic Book"/>
              </w:rPr>
              <w:t>economic</w:t>
            </w:r>
            <w:r w:rsidR="007774C7">
              <w:rPr>
                <w:rFonts w:ascii="Franklin Gothic Book" w:eastAsia="Times New Roman" w:hAnsi="Franklin Gothic Book"/>
              </w:rPr>
              <w:t xml:space="preserve"> </w:t>
            </w:r>
            <w:r w:rsidRPr="00F90714">
              <w:rPr>
                <w:rFonts w:ascii="Franklin Gothic Book" w:eastAsia="Times New Roman" w:hAnsi="Franklin Gothic Book"/>
              </w:rPr>
              <w:t xml:space="preserve">engagement </w:t>
            </w:r>
            <w:r w:rsidR="003F661C">
              <w:rPr>
                <w:rFonts w:ascii="Franklin Gothic Book" w:eastAsia="Times New Roman" w:hAnsi="Franklin Gothic Book"/>
              </w:rPr>
              <w:t xml:space="preserve">between targeted </w:t>
            </w:r>
            <w:r w:rsidR="003F661C" w:rsidRPr="00F90714">
              <w:rPr>
                <w:rFonts w:ascii="Franklin Gothic Book" w:eastAsia="Times New Roman" w:hAnsi="Franklin Gothic Book"/>
              </w:rPr>
              <w:t xml:space="preserve">Vietnamese and Australian </w:t>
            </w:r>
            <w:r w:rsidR="003F661C">
              <w:rPr>
                <w:rFonts w:ascii="Franklin Gothic Book" w:eastAsia="Times New Roman" w:hAnsi="Franklin Gothic Book"/>
              </w:rPr>
              <w:t xml:space="preserve">counterparts and institutions </w:t>
            </w:r>
            <w:r w:rsidRPr="00F90714">
              <w:rPr>
                <w:rFonts w:ascii="Franklin Gothic Book" w:eastAsia="Times New Roman" w:hAnsi="Franklin Gothic Book"/>
              </w:rPr>
              <w:t xml:space="preserve"> .</w:t>
            </w:r>
          </w:p>
        </w:tc>
      </w:tr>
      <w:tr w:rsidR="0093262F" w:rsidRPr="00BD306C" w:rsidTr="00E46D88">
        <w:trPr>
          <w:cantSplit w:val="0"/>
        </w:trPr>
        <w:tc>
          <w:tcPr>
            <w:tcW w:w="9781" w:type="dxa"/>
            <w:tcBorders>
              <w:bottom w:val="single" w:sz="4" w:space="0" w:color="808080"/>
            </w:tcBorders>
            <w:shd w:val="clear" w:color="auto" w:fill="F7F3A7"/>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C: Proposed outcomes and investment options (What)   </w:t>
            </w:r>
          </w:p>
        </w:tc>
      </w:tr>
      <w:tr w:rsidR="0093262F" w:rsidRPr="00BD306C" w:rsidTr="00E46D88">
        <w:trPr>
          <w:cantSplit w:val="0"/>
        </w:trPr>
        <w:tc>
          <w:tcPr>
            <w:tcW w:w="9781" w:type="dxa"/>
          </w:tcPr>
          <w:p w:rsidR="00881873" w:rsidRPr="00881873" w:rsidRDefault="008C2ED3" w:rsidP="00BE19EF">
            <w:pPr>
              <w:spacing w:before="200" w:after="200"/>
              <w:rPr>
                <w:rFonts w:ascii="Franklin Gothic Book" w:hAnsi="Franklin Gothic Book"/>
                <w:b/>
                <w:color w:val="1F497D" w:themeColor="text2"/>
                <w:szCs w:val="20"/>
              </w:rPr>
            </w:pPr>
            <w:r>
              <w:rPr>
                <w:rFonts w:ascii="Franklin Gothic Book" w:hAnsi="Franklin Gothic Book"/>
                <w:b/>
                <w:color w:val="1F497D" w:themeColor="text2"/>
                <w:szCs w:val="20"/>
              </w:rPr>
              <w:t>Proposed</w:t>
            </w:r>
            <w:r w:rsidR="00881873">
              <w:rPr>
                <w:rFonts w:ascii="Franklin Gothic Book" w:hAnsi="Franklin Gothic Book"/>
                <w:b/>
                <w:color w:val="1F497D" w:themeColor="text2"/>
                <w:szCs w:val="20"/>
              </w:rPr>
              <w:t xml:space="preserve"> </w:t>
            </w:r>
            <w:r w:rsidR="00881873" w:rsidRPr="00881873">
              <w:rPr>
                <w:rFonts w:ascii="Franklin Gothic Book" w:hAnsi="Franklin Gothic Book"/>
                <w:b/>
                <w:color w:val="1F497D" w:themeColor="text2"/>
                <w:szCs w:val="20"/>
              </w:rPr>
              <w:t>outcome</w:t>
            </w:r>
            <w:r w:rsidR="005A1D9B">
              <w:rPr>
                <w:rFonts w:ascii="Franklin Gothic Book" w:hAnsi="Franklin Gothic Book"/>
                <w:b/>
                <w:color w:val="1F497D" w:themeColor="text2"/>
                <w:szCs w:val="20"/>
              </w:rPr>
              <w:t>s</w:t>
            </w:r>
          </w:p>
          <w:p w:rsidR="009B3A9B" w:rsidRPr="002167FB" w:rsidRDefault="00157679" w:rsidP="00BE19EF">
            <w:pPr>
              <w:spacing w:before="200" w:after="200"/>
              <w:rPr>
                <w:rFonts w:ascii="Franklin Gothic Book" w:hAnsi="Franklin Gothic Book"/>
                <w:szCs w:val="20"/>
              </w:rPr>
            </w:pPr>
            <w:r>
              <w:rPr>
                <w:rFonts w:ascii="Franklin Gothic Book" w:hAnsi="Franklin Gothic Book"/>
                <w:szCs w:val="20"/>
              </w:rPr>
              <w:t xml:space="preserve">Australia will assist </w:t>
            </w:r>
            <w:r w:rsidR="009B3A9B" w:rsidRPr="002167FB">
              <w:rPr>
                <w:rFonts w:ascii="Franklin Gothic Book" w:hAnsi="Franklin Gothic Book"/>
                <w:szCs w:val="20"/>
              </w:rPr>
              <w:t xml:space="preserve">Vietnam </w:t>
            </w:r>
            <w:r>
              <w:rPr>
                <w:rFonts w:ascii="Franklin Gothic Book" w:hAnsi="Franklin Gothic Book"/>
                <w:szCs w:val="20"/>
              </w:rPr>
              <w:t xml:space="preserve">with its </w:t>
            </w:r>
            <w:r w:rsidR="009B3A9B" w:rsidRPr="002167FB">
              <w:rPr>
                <w:rFonts w:ascii="Franklin Gothic Book" w:hAnsi="Franklin Gothic Book"/>
                <w:szCs w:val="20"/>
              </w:rPr>
              <w:t xml:space="preserve">need to enhance the professional and technical knowledge and skills of its workforce, and </w:t>
            </w:r>
            <w:r w:rsidR="00562DD0">
              <w:rPr>
                <w:rFonts w:ascii="Franklin Gothic Book" w:hAnsi="Franklin Gothic Book"/>
                <w:szCs w:val="20"/>
              </w:rPr>
              <w:t>assist</w:t>
            </w:r>
            <w:r w:rsidR="00562DD0" w:rsidRPr="002167FB">
              <w:rPr>
                <w:rFonts w:ascii="Franklin Gothic Book" w:hAnsi="Franklin Gothic Book"/>
                <w:szCs w:val="20"/>
              </w:rPr>
              <w:t xml:space="preserve"> </w:t>
            </w:r>
            <w:r w:rsidR="009B3A9B" w:rsidRPr="002167FB">
              <w:rPr>
                <w:rFonts w:ascii="Franklin Gothic Book" w:hAnsi="Franklin Gothic Book"/>
                <w:szCs w:val="20"/>
              </w:rPr>
              <w:t xml:space="preserve">its institutions </w:t>
            </w:r>
            <w:r w:rsidR="00562DD0">
              <w:rPr>
                <w:rFonts w:ascii="Franklin Gothic Book" w:hAnsi="Franklin Gothic Book"/>
                <w:szCs w:val="20"/>
              </w:rPr>
              <w:t>to be</w:t>
            </w:r>
            <w:r w:rsidR="00562DD0" w:rsidRPr="002167FB">
              <w:rPr>
                <w:rFonts w:ascii="Franklin Gothic Book" w:hAnsi="Franklin Gothic Book"/>
                <w:szCs w:val="20"/>
              </w:rPr>
              <w:t xml:space="preserve"> </w:t>
            </w:r>
            <w:r w:rsidR="009B3A9B" w:rsidRPr="002167FB">
              <w:rPr>
                <w:rFonts w:ascii="Franklin Gothic Book" w:hAnsi="Franklin Gothic Book"/>
                <w:szCs w:val="20"/>
              </w:rPr>
              <w:t>ready to make goo</w:t>
            </w:r>
            <w:r w:rsidR="00CF6BE2">
              <w:rPr>
                <w:rFonts w:ascii="Franklin Gothic Book" w:hAnsi="Franklin Gothic Book"/>
                <w:szCs w:val="20"/>
              </w:rPr>
              <w:t xml:space="preserve">d use of those enhanced skills. </w:t>
            </w:r>
            <w:r w:rsidR="00102B6C">
              <w:rPr>
                <w:rFonts w:ascii="Franklin Gothic Book" w:hAnsi="Franklin Gothic Book"/>
                <w:szCs w:val="20"/>
              </w:rPr>
              <w:t>Through the HRD Program, w</w:t>
            </w:r>
            <w:r>
              <w:rPr>
                <w:rFonts w:ascii="Franklin Gothic Book" w:hAnsi="Franklin Gothic Book"/>
                <w:szCs w:val="20"/>
              </w:rPr>
              <w:t>e will do this by</w:t>
            </w:r>
            <w:r w:rsidR="009B3A9B" w:rsidRPr="002167FB">
              <w:rPr>
                <w:rFonts w:ascii="Franklin Gothic Book" w:hAnsi="Franklin Gothic Book"/>
                <w:szCs w:val="20"/>
              </w:rPr>
              <w:t>:</w:t>
            </w:r>
          </w:p>
          <w:p w:rsidR="009B3A9B" w:rsidRPr="002167FB" w:rsidRDefault="00157679" w:rsidP="005A1D9B">
            <w:pPr>
              <w:pStyle w:val="ListParagraph"/>
              <w:numPr>
                <w:ilvl w:val="0"/>
                <w:numId w:val="24"/>
              </w:numPr>
              <w:ind w:left="714" w:hanging="357"/>
              <w:contextualSpacing w:val="0"/>
              <w:rPr>
                <w:rFonts w:ascii="Franklin Gothic Book" w:hAnsi="Franklin Gothic Book"/>
                <w:sz w:val="20"/>
                <w:szCs w:val="20"/>
              </w:rPr>
            </w:pPr>
            <w:r>
              <w:rPr>
                <w:rFonts w:ascii="Franklin Gothic Book" w:hAnsi="Franklin Gothic Book"/>
                <w:sz w:val="20"/>
                <w:szCs w:val="20"/>
              </w:rPr>
              <w:t xml:space="preserve">providing </w:t>
            </w:r>
            <w:r w:rsidR="00463713" w:rsidRPr="002167FB">
              <w:rPr>
                <w:rFonts w:ascii="Franklin Gothic Book" w:hAnsi="Franklin Gothic Book"/>
                <w:sz w:val="20"/>
                <w:szCs w:val="20"/>
              </w:rPr>
              <w:t xml:space="preserve">relevant and </w:t>
            </w:r>
            <w:r w:rsidR="009B3A9B" w:rsidRPr="002167FB">
              <w:rPr>
                <w:rFonts w:ascii="Franklin Gothic Book" w:hAnsi="Franklin Gothic Book"/>
                <w:sz w:val="20"/>
                <w:szCs w:val="20"/>
              </w:rPr>
              <w:t xml:space="preserve">targeted skills and learning </w:t>
            </w:r>
            <w:r w:rsidR="00211251">
              <w:rPr>
                <w:rFonts w:ascii="Franklin Gothic Book" w:hAnsi="Franklin Gothic Book"/>
                <w:sz w:val="20"/>
                <w:szCs w:val="20"/>
              </w:rPr>
              <w:t>support</w:t>
            </w:r>
            <w:r w:rsidR="00211251" w:rsidRPr="002167FB">
              <w:rPr>
                <w:rFonts w:ascii="Franklin Gothic Book" w:hAnsi="Franklin Gothic Book"/>
                <w:sz w:val="20"/>
                <w:szCs w:val="20"/>
              </w:rPr>
              <w:t xml:space="preserve"> </w:t>
            </w:r>
            <w:r w:rsidR="009B3A9B" w:rsidRPr="002167FB">
              <w:rPr>
                <w:rFonts w:ascii="Franklin Gothic Book" w:hAnsi="Franklin Gothic Book"/>
                <w:sz w:val="20"/>
                <w:szCs w:val="20"/>
              </w:rPr>
              <w:t>which will enable individuals to be job-ready and contribute effectively to the workforce;</w:t>
            </w:r>
          </w:p>
          <w:p w:rsidR="009B3A9B" w:rsidRPr="002167FB" w:rsidRDefault="009B3A9B" w:rsidP="005A1D9B">
            <w:pPr>
              <w:pStyle w:val="ListParagraph"/>
              <w:numPr>
                <w:ilvl w:val="0"/>
                <w:numId w:val="24"/>
              </w:numPr>
              <w:ind w:left="714" w:hanging="357"/>
              <w:contextualSpacing w:val="0"/>
              <w:rPr>
                <w:rFonts w:ascii="Franklin Gothic Book" w:hAnsi="Franklin Gothic Book"/>
                <w:sz w:val="20"/>
                <w:szCs w:val="20"/>
              </w:rPr>
            </w:pPr>
            <w:r w:rsidRPr="002167FB">
              <w:rPr>
                <w:rFonts w:ascii="Franklin Gothic Book" w:hAnsi="Franklin Gothic Book"/>
                <w:sz w:val="20"/>
                <w:szCs w:val="20"/>
              </w:rPr>
              <w:t xml:space="preserve">building stronger </w:t>
            </w:r>
            <w:r w:rsidR="00157679">
              <w:rPr>
                <w:rFonts w:ascii="Franklin Gothic Book" w:hAnsi="Franklin Gothic Book"/>
                <w:sz w:val="20"/>
                <w:szCs w:val="20"/>
              </w:rPr>
              <w:t>workplace</w:t>
            </w:r>
            <w:r w:rsidRPr="002167FB">
              <w:rPr>
                <w:rFonts w:ascii="Franklin Gothic Book" w:hAnsi="Franklin Gothic Book"/>
                <w:sz w:val="20"/>
                <w:szCs w:val="20"/>
              </w:rPr>
              <w:t xml:space="preserve"> environments for skills utilisation by working innovatively with the private sector</w:t>
            </w:r>
            <w:r w:rsidR="00157679">
              <w:rPr>
                <w:rFonts w:ascii="Franklin Gothic Book" w:hAnsi="Franklin Gothic Book"/>
                <w:sz w:val="20"/>
                <w:szCs w:val="20"/>
              </w:rPr>
              <w:t xml:space="preserve"> and </w:t>
            </w:r>
            <w:r w:rsidRPr="002167FB">
              <w:rPr>
                <w:rFonts w:ascii="Franklin Gothic Book" w:hAnsi="Franklin Gothic Book"/>
                <w:sz w:val="20"/>
                <w:szCs w:val="20"/>
              </w:rPr>
              <w:t>government;</w:t>
            </w:r>
            <w:r w:rsidR="00463713" w:rsidRPr="002167FB">
              <w:rPr>
                <w:rFonts w:ascii="Franklin Gothic Book" w:hAnsi="Franklin Gothic Book"/>
                <w:sz w:val="20"/>
                <w:szCs w:val="20"/>
              </w:rPr>
              <w:t xml:space="preserve"> and</w:t>
            </w:r>
          </w:p>
          <w:p w:rsidR="009B3A9B" w:rsidRDefault="00463713" w:rsidP="005A1D9B">
            <w:pPr>
              <w:pStyle w:val="ListParagraph"/>
              <w:numPr>
                <w:ilvl w:val="0"/>
                <w:numId w:val="24"/>
              </w:numPr>
              <w:ind w:left="714" w:hanging="357"/>
              <w:contextualSpacing w:val="0"/>
              <w:rPr>
                <w:rFonts w:ascii="Franklin Gothic Book" w:hAnsi="Franklin Gothic Book"/>
                <w:sz w:val="20"/>
                <w:szCs w:val="20"/>
              </w:rPr>
            </w:pPr>
            <w:proofErr w:type="gramStart"/>
            <w:r w:rsidRPr="002167FB">
              <w:rPr>
                <w:rFonts w:ascii="Franklin Gothic Book" w:hAnsi="Franklin Gothic Book"/>
                <w:sz w:val="20"/>
                <w:szCs w:val="20"/>
              </w:rPr>
              <w:lastRenderedPageBreak/>
              <w:t>d</w:t>
            </w:r>
            <w:r w:rsidR="009B3A9B" w:rsidRPr="002167FB">
              <w:rPr>
                <w:rFonts w:ascii="Franklin Gothic Book" w:hAnsi="Franklin Gothic Book"/>
                <w:sz w:val="20"/>
                <w:szCs w:val="20"/>
              </w:rPr>
              <w:t>evelop</w:t>
            </w:r>
            <w:r w:rsidRPr="002167FB">
              <w:rPr>
                <w:rFonts w:ascii="Franklin Gothic Book" w:hAnsi="Franklin Gothic Book"/>
                <w:sz w:val="20"/>
                <w:szCs w:val="20"/>
              </w:rPr>
              <w:t>ing</w:t>
            </w:r>
            <w:proofErr w:type="gramEnd"/>
            <w:r w:rsidR="009B3A9B" w:rsidRPr="002167FB">
              <w:rPr>
                <w:rFonts w:ascii="Franklin Gothic Book" w:hAnsi="Franklin Gothic Book"/>
                <w:sz w:val="20"/>
                <w:szCs w:val="20"/>
              </w:rPr>
              <w:t xml:space="preserve"> stronger and sustainable Vietnam-Australia partnerships and learning opportunities between individuals and organisations in selected sectors</w:t>
            </w:r>
            <w:r w:rsidRPr="002167FB">
              <w:rPr>
                <w:rFonts w:ascii="Franklin Gothic Book" w:hAnsi="Franklin Gothic Book"/>
                <w:sz w:val="20"/>
                <w:szCs w:val="20"/>
              </w:rPr>
              <w:t>.</w:t>
            </w:r>
          </w:p>
          <w:p w:rsidR="005A1D9B" w:rsidRDefault="005A1D9B" w:rsidP="005A1D9B">
            <w:pPr>
              <w:rPr>
                <w:rFonts w:ascii="Franklin Gothic Book" w:hAnsi="Franklin Gothic Book"/>
                <w:szCs w:val="20"/>
              </w:rPr>
            </w:pPr>
          </w:p>
          <w:p w:rsidR="003E3D93" w:rsidRDefault="005A1D9B" w:rsidP="00BE19EF">
            <w:pPr>
              <w:spacing w:before="200" w:after="200"/>
              <w:rPr>
                <w:rFonts w:ascii="Franklin Gothic Book" w:hAnsi="Franklin Gothic Book"/>
                <w:szCs w:val="20"/>
              </w:rPr>
            </w:pPr>
            <w:r>
              <w:rPr>
                <w:rFonts w:ascii="Franklin Gothic Book" w:hAnsi="Franklin Gothic Book"/>
                <w:szCs w:val="20"/>
              </w:rPr>
              <w:t xml:space="preserve">The investment will contribute to achieving Australia’s overall HRD outcome as articulated in the HRD Strategy. </w:t>
            </w:r>
            <w:r w:rsidR="00CE5053">
              <w:rPr>
                <w:rFonts w:ascii="Franklin Gothic Book" w:hAnsi="Franklin Gothic Book"/>
                <w:szCs w:val="20"/>
              </w:rPr>
              <w:t xml:space="preserve">The investment’s theory of change including end and intermediate outcomes will be developed in the Investment Design. </w:t>
            </w:r>
          </w:p>
          <w:p w:rsidR="00881873" w:rsidRPr="00881873" w:rsidRDefault="008C2ED3" w:rsidP="00BE19EF">
            <w:pPr>
              <w:spacing w:before="200" w:after="200"/>
              <w:rPr>
                <w:rFonts w:ascii="Franklin Gothic Book" w:hAnsi="Franklin Gothic Book"/>
                <w:b/>
                <w:color w:val="1F497D" w:themeColor="text2"/>
              </w:rPr>
            </w:pPr>
            <w:r>
              <w:rPr>
                <w:rFonts w:ascii="Franklin Gothic Book" w:hAnsi="Franklin Gothic Book"/>
                <w:b/>
                <w:color w:val="1F497D" w:themeColor="text2"/>
              </w:rPr>
              <w:t>I</w:t>
            </w:r>
            <w:r w:rsidR="00881873" w:rsidRPr="00881873">
              <w:rPr>
                <w:rFonts w:ascii="Franklin Gothic Book" w:hAnsi="Franklin Gothic Book"/>
                <w:b/>
                <w:color w:val="1F497D" w:themeColor="text2"/>
              </w:rPr>
              <w:t>nvestment options</w:t>
            </w:r>
          </w:p>
          <w:p w:rsidR="00881873" w:rsidRDefault="00881873" w:rsidP="00BE19EF">
            <w:pPr>
              <w:spacing w:before="200" w:after="200"/>
              <w:rPr>
                <w:rFonts w:ascii="Franklin Gothic Book" w:hAnsi="Franklin Gothic Book"/>
                <w:szCs w:val="20"/>
              </w:rPr>
            </w:pPr>
            <w:r w:rsidRPr="00B40FA7">
              <w:rPr>
                <w:rFonts w:ascii="Franklin Gothic Book" w:hAnsi="Franklin Gothic Book"/>
              </w:rPr>
              <w:t xml:space="preserve">The HRD development needs of Vietnam are extensive, and too large an arena for relatively small donors to expect to have an adequate impact from broad-based interventions. </w:t>
            </w:r>
            <w:r>
              <w:rPr>
                <w:rFonts w:ascii="Franklin Gothic Book" w:hAnsi="Franklin Gothic Book"/>
              </w:rPr>
              <w:t>Australia’s</w:t>
            </w:r>
            <w:r w:rsidRPr="00B40FA7">
              <w:rPr>
                <w:rFonts w:ascii="Franklin Gothic Book" w:hAnsi="Franklin Gothic Book"/>
              </w:rPr>
              <w:t xml:space="preserve"> </w:t>
            </w:r>
            <w:r>
              <w:rPr>
                <w:rFonts w:ascii="Franklin Gothic Book" w:hAnsi="Franklin Gothic Book"/>
              </w:rPr>
              <w:t xml:space="preserve">HRD </w:t>
            </w:r>
            <w:r w:rsidRPr="00B40FA7">
              <w:rPr>
                <w:rFonts w:ascii="Franklin Gothic Book" w:hAnsi="Franklin Gothic Book"/>
              </w:rPr>
              <w:t>invest</w:t>
            </w:r>
            <w:r>
              <w:rPr>
                <w:rFonts w:ascii="Franklin Gothic Book" w:hAnsi="Franklin Gothic Book"/>
              </w:rPr>
              <w:t>ments i</w:t>
            </w:r>
            <w:r w:rsidRPr="00B40FA7">
              <w:rPr>
                <w:rFonts w:ascii="Franklin Gothic Book" w:hAnsi="Franklin Gothic Book"/>
              </w:rPr>
              <w:t xml:space="preserve">n Vietnam </w:t>
            </w:r>
            <w:r>
              <w:rPr>
                <w:rFonts w:ascii="Franklin Gothic Book" w:hAnsi="Franklin Gothic Book"/>
              </w:rPr>
              <w:t xml:space="preserve">should </w:t>
            </w:r>
            <w:r w:rsidRPr="00B40FA7">
              <w:rPr>
                <w:rFonts w:ascii="Franklin Gothic Book" w:hAnsi="Franklin Gothic Book"/>
              </w:rPr>
              <w:t xml:space="preserve">be selective, </w:t>
            </w:r>
            <w:r>
              <w:rPr>
                <w:rFonts w:ascii="Franklin Gothic Book" w:hAnsi="Franklin Gothic Book"/>
              </w:rPr>
              <w:t xml:space="preserve">and </w:t>
            </w:r>
            <w:r w:rsidRPr="00B40FA7">
              <w:rPr>
                <w:rFonts w:ascii="Franklin Gothic Book" w:hAnsi="Franklin Gothic Book"/>
              </w:rPr>
              <w:t>seek to build on areas where Australia has well established expertise and experience</w:t>
            </w:r>
            <w:r>
              <w:rPr>
                <w:rFonts w:ascii="Franklin Gothic Book" w:hAnsi="Franklin Gothic Book"/>
              </w:rPr>
              <w:t xml:space="preserve">. </w:t>
            </w:r>
            <w:r w:rsidR="00E13809" w:rsidRPr="00C91827">
              <w:rPr>
                <w:rFonts w:ascii="Franklin Gothic Book" w:hAnsi="Franklin Gothic Book"/>
                <w:szCs w:val="20"/>
              </w:rPr>
              <w:t xml:space="preserve">Australia does not have sufficient technical and financial resources to meaningfully contribute to all three areas that support skills development – early childhood, basic education, and tertiary education - nor sector wide systemic reform or large-scale education infrastructure in Vietnam. Our support needs to be strategic in the context </w:t>
            </w:r>
            <w:r w:rsidR="007D5A8C" w:rsidRPr="00C91827">
              <w:rPr>
                <w:rFonts w:ascii="Franklin Gothic Book" w:hAnsi="Franklin Gothic Book"/>
                <w:szCs w:val="20"/>
              </w:rPr>
              <w:t xml:space="preserve">of the overall support provided by other donors and the GOV itself. To help identify Australia’s </w:t>
            </w:r>
            <w:r>
              <w:rPr>
                <w:rFonts w:ascii="Franklin Gothic Book" w:hAnsi="Franklin Gothic Book"/>
                <w:szCs w:val="20"/>
              </w:rPr>
              <w:t xml:space="preserve">selective </w:t>
            </w:r>
            <w:r w:rsidR="007D5A8C" w:rsidRPr="00C91827">
              <w:rPr>
                <w:rFonts w:ascii="Franklin Gothic Book" w:hAnsi="Franklin Gothic Book"/>
                <w:szCs w:val="20"/>
              </w:rPr>
              <w:t>investment areas, t</w:t>
            </w:r>
            <w:r w:rsidR="00102B6C" w:rsidRPr="00C91827">
              <w:rPr>
                <w:rFonts w:ascii="Franklin Gothic Book" w:hAnsi="Franklin Gothic Book"/>
                <w:szCs w:val="20"/>
              </w:rPr>
              <w:t xml:space="preserve">he HRD Strategy </w:t>
            </w:r>
            <w:r w:rsidR="00CF6BE2" w:rsidRPr="00C91827">
              <w:rPr>
                <w:rFonts w:ascii="Franklin Gothic Book" w:hAnsi="Franklin Gothic Book"/>
                <w:szCs w:val="20"/>
              </w:rPr>
              <w:t xml:space="preserve">provided four </w:t>
            </w:r>
            <w:r w:rsidR="007D5A8C" w:rsidRPr="00C91827">
              <w:rPr>
                <w:rFonts w:ascii="Franklin Gothic Book" w:hAnsi="Franklin Gothic Book"/>
                <w:szCs w:val="20"/>
              </w:rPr>
              <w:t xml:space="preserve">guiding </w:t>
            </w:r>
            <w:r w:rsidR="00CF6BE2" w:rsidRPr="00C91827">
              <w:rPr>
                <w:rFonts w:ascii="Franklin Gothic Book" w:hAnsi="Franklin Gothic Book"/>
                <w:szCs w:val="20"/>
              </w:rPr>
              <w:t>principles</w:t>
            </w:r>
            <w:r w:rsidR="007D5A8C" w:rsidRPr="00C91827">
              <w:rPr>
                <w:rFonts w:ascii="Franklin Gothic Book" w:hAnsi="Franklin Gothic Book"/>
                <w:szCs w:val="20"/>
              </w:rPr>
              <w:t xml:space="preserve"> our investments </w:t>
            </w:r>
            <w:r w:rsidR="00B40FA7">
              <w:rPr>
                <w:rFonts w:ascii="Franklin Gothic Book" w:hAnsi="Franklin Gothic Book"/>
                <w:szCs w:val="20"/>
              </w:rPr>
              <w:t>should</w:t>
            </w:r>
            <w:r w:rsidR="007D5A8C" w:rsidRPr="00C91827">
              <w:rPr>
                <w:rFonts w:ascii="Franklin Gothic Book" w:hAnsi="Franklin Gothic Book"/>
                <w:szCs w:val="20"/>
              </w:rPr>
              <w:t xml:space="preserve"> align with</w:t>
            </w:r>
            <w:r w:rsidR="00CF6BE2" w:rsidRPr="00C91827">
              <w:rPr>
                <w:rFonts w:ascii="Franklin Gothic Book" w:hAnsi="Franklin Gothic Book"/>
                <w:szCs w:val="20"/>
              </w:rPr>
              <w:t>: (</w:t>
            </w:r>
            <w:proofErr w:type="spellStart"/>
            <w:r w:rsidR="00CF6BE2" w:rsidRPr="00C91827">
              <w:rPr>
                <w:rFonts w:ascii="Franklin Gothic Book" w:hAnsi="Franklin Gothic Book"/>
                <w:szCs w:val="20"/>
              </w:rPr>
              <w:t>i</w:t>
            </w:r>
            <w:proofErr w:type="spellEnd"/>
            <w:r w:rsidR="00CF6BE2" w:rsidRPr="00C91827">
              <w:rPr>
                <w:rFonts w:ascii="Franklin Gothic Book" w:hAnsi="Franklin Gothic Book"/>
                <w:szCs w:val="20"/>
              </w:rPr>
              <w:t xml:space="preserve">) </w:t>
            </w:r>
            <w:r w:rsidR="00CF6BE2" w:rsidRPr="00C91827">
              <w:rPr>
                <w:rFonts w:ascii="Franklin Gothic Book" w:hAnsi="Franklin Gothic Book"/>
                <w:b/>
                <w:szCs w:val="20"/>
              </w:rPr>
              <w:t xml:space="preserve">Australia’s strengths and interests; </w:t>
            </w:r>
            <w:r w:rsidR="00CF6BE2" w:rsidRPr="00C91827">
              <w:rPr>
                <w:rFonts w:ascii="Franklin Gothic Book" w:hAnsi="Franklin Gothic Book"/>
                <w:szCs w:val="20"/>
              </w:rPr>
              <w:t>(ii)</w:t>
            </w:r>
            <w:r w:rsidR="00CF6BE2" w:rsidRPr="00C91827">
              <w:rPr>
                <w:rFonts w:ascii="Franklin Gothic Book" w:hAnsi="Franklin Gothic Book"/>
                <w:b/>
                <w:szCs w:val="20"/>
              </w:rPr>
              <w:t xml:space="preserve"> being realistic </w:t>
            </w:r>
            <w:r w:rsidR="00CF6BE2" w:rsidRPr="00C91827">
              <w:rPr>
                <w:rFonts w:ascii="Franklin Gothic Book" w:hAnsi="Franklin Gothic Book"/>
                <w:szCs w:val="20"/>
              </w:rPr>
              <w:t>about the results Australian assistance can achieve</w:t>
            </w:r>
            <w:r w:rsidR="00CF6BE2" w:rsidRPr="00C91827">
              <w:rPr>
                <w:rFonts w:ascii="Franklin Gothic Book" w:hAnsi="Franklin Gothic Book"/>
                <w:b/>
                <w:szCs w:val="20"/>
              </w:rPr>
              <w:t xml:space="preserve">; </w:t>
            </w:r>
            <w:r w:rsidR="00CF6BE2" w:rsidRPr="00C91827">
              <w:rPr>
                <w:rFonts w:ascii="Franklin Gothic Book" w:hAnsi="Franklin Gothic Book"/>
                <w:szCs w:val="20"/>
              </w:rPr>
              <w:t>(iii)</w:t>
            </w:r>
            <w:r w:rsidR="00CF6BE2" w:rsidRPr="00C91827">
              <w:rPr>
                <w:rFonts w:ascii="Franklin Gothic Book" w:hAnsi="Franklin Gothic Book"/>
                <w:b/>
                <w:szCs w:val="20"/>
              </w:rPr>
              <w:t xml:space="preserve"> value for money</w:t>
            </w:r>
            <w:r w:rsidR="00CF6BE2" w:rsidRPr="00C91827">
              <w:rPr>
                <w:rFonts w:ascii="Franklin Gothic Book" w:hAnsi="Franklin Gothic Book"/>
                <w:szCs w:val="20"/>
              </w:rPr>
              <w:t xml:space="preserve"> to maximise Australia’s impact</w:t>
            </w:r>
            <w:r w:rsidR="00CF6BE2" w:rsidRPr="00C91827">
              <w:rPr>
                <w:rFonts w:ascii="Franklin Gothic Book" w:hAnsi="Franklin Gothic Book"/>
                <w:b/>
                <w:szCs w:val="20"/>
              </w:rPr>
              <w:t xml:space="preserve">; </w:t>
            </w:r>
            <w:r w:rsidR="00CF6BE2" w:rsidRPr="00C91827">
              <w:rPr>
                <w:rFonts w:ascii="Franklin Gothic Book" w:hAnsi="Franklin Gothic Book"/>
                <w:szCs w:val="20"/>
              </w:rPr>
              <w:t>and (iv)</w:t>
            </w:r>
            <w:r w:rsidR="00CF6BE2" w:rsidRPr="00C91827">
              <w:rPr>
                <w:rFonts w:ascii="Franklin Gothic Book" w:hAnsi="Franklin Gothic Book"/>
                <w:b/>
                <w:szCs w:val="20"/>
              </w:rPr>
              <w:t xml:space="preserve"> promoting sustainability and ongoing engagement. </w:t>
            </w:r>
            <w:r w:rsidR="00CF6BE2" w:rsidRPr="00C91827">
              <w:rPr>
                <w:rFonts w:ascii="Franklin Gothic Book" w:hAnsi="Franklin Gothic Book"/>
                <w:szCs w:val="20"/>
              </w:rPr>
              <w:t>A</w:t>
            </w:r>
            <w:r w:rsidR="00102B6C" w:rsidRPr="00C91827">
              <w:rPr>
                <w:rFonts w:ascii="Franklin Gothic Book" w:hAnsi="Franklin Gothic Book"/>
                <w:szCs w:val="20"/>
              </w:rPr>
              <w:t xml:space="preserve"> range of investment options </w:t>
            </w:r>
            <w:r w:rsidR="00CF6BE2" w:rsidRPr="00C91827">
              <w:rPr>
                <w:rFonts w:ascii="Franklin Gothic Book" w:hAnsi="Franklin Gothic Book"/>
                <w:szCs w:val="20"/>
              </w:rPr>
              <w:t xml:space="preserve">were considered </w:t>
            </w:r>
            <w:r w:rsidR="007D5A8C" w:rsidRPr="00C91827">
              <w:rPr>
                <w:rFonts w:ascii="Franklin Gothic Book" w:hAnsi="Franklin Gothic Book"/>
                <w:szCs w:val="20"/>
              </w:rPr>
              <w:t>against these principles</w:t>
            </w:r>
            <w:r w:rsidR="00E13809" w:rsidRPr="00C91827">
              <w:rPr>
                <w:rFonts w:ascii="Franklin Gothic Book" w:hAnsi="Franklin Gothic Book"/>
                <w:szCs w:val="20"/>
              </w:rPr>
              <w:t xml:space="preserve">. </w:t>
            </w:r>
          </w:p>
          <w:p w:rsidR="00102B6C" w:rsidRPr="003E3D93" w:rsidRDefault="00CF6BE2" w:rsidP="00BE19EF">
            <w:pPr>
              <w:spacing w:before="200" w:after="200"/>
              <w:rPr>
                <w:rFonts w:ascii="Franklin Gothic Book" w:hAnsi="Franklin Gothic Book"/>
                <w:b/>
                <w:i/>
                <w:color w:val="000000" w:themeColor="text1"/>
                <w:szCs w:val="20"/>
              </w:rPr>
            </w:pPr>
            <w:r w:rsidRPr="00881873">
              <w:rPr>
                <w:rFonts w:ascii="Franklin Gothic Book" w:hAnsi="Franklin Gothic Book"/>
                <w:b/>
                <w:i/>
                <w:szCs w:val="20"/>
              </w:rPr>
              <w:t xml:space="preserve">The HRD Strategy decided the following investment option </w:t>
            </w:r>
            <w:r w:rsidR="00B40FA7" w:rsidRPr="00881873">
              <w:rPr>
                <w:rFonts w:ascii="Franklin Gothic Book" w:hAnsi="Franklin Gothic Book"/>
                <w:b/>
                <w:i/>
                <w:szCs w:val="20"/>
              </w:rPr>
              <w:t xml:space="preserve">best meets our principles </w:t>
            </w:r>
            <w:r w:rsidR="00881873" w:rsidRPr="00881873">
              <w:rPr>
                <w:rFonts w:ascii="Franklin Gothic Book" w:hAnsi="Franklin Gothic Book"/>
                <w:b/>
                <w:i/>
                <w:szCs w:val="20"/>
              </w:rPr>
              <w:t>to achieve our end HRD outcome:</w:t>
            </w:r>
          </w:p>
          <w:p w:rsidR="00881873" w:rsidRPr="00310030" w:rsidRDefault="00310030" w:rsidP="00BE19EF">
            <w:pPr>
              <w:spacing w:before="200" w:after="200"/>
              <w:rPr>
                <w:rFonts w:ascii="Franklin Gothic Book" w:hAnsi="Franklin Gothic Book"/>
                <w:szCs w:val="20"/>
              </w:rPr>
            </w:pPr>
            <w:r w:rsidRPr="003E3D93">
              <w:rPr>
                <w:rFonts w:ascii="Franklin Gothic Book" w:hAnsi="Franklin Gothic Book"/>
                <w:color w:val="000000" w:themeColor="text1"/>
              </w:rPr>
              <w:t xml:space="preserve">It is proposed Australia take a strategic-based approach to its HRD support that is </w:t>
            </w:r>
            <w:r w:rsidR="005A73A7" w:rsidRPr="003E3D93">
              <w:rPr>
                <w:rFonts w:ascii="Franklin Gothic Book" w:hAnsi="Franklin Gothic Book"/>
                <w:color w:val="000000" w:themeColor="text1"/>
              </w:rPr>
              <w:t xml:space="preserve">underpinned </w:t>
            </w:r>
            <w:r w:rsidRPr="003E3D93">
              <w:rPr>
                <w:rFonts w:ascii="Franklin Gothic Book" w:hAnsi="Franklin Gothic Book"/>
                <w:color w:val="000000" w:themeColor="text1"/>
              </w:rPr>
              <w:t xml:space="preserve">by a package of </w:t>
            </w:r>
            <w:r w:rsidR="00EA2B8F" w:rsidRPr="003E3D93">
              <w:rPr>
                <w:rFonts w:ascii="Franklin Gothic Book" w:hAnsi="Franklin Gothic Book"/>
                <w:color w:val="000000" w:themeColor="text1"/>
              </w:rPr>
              <w:t xml:space="preserve">integrated </w:t>
            </w:r>
            <w:r w:rsidRPr="003E3D93">
              <w:rPr>
                <w:rFonts w:ascii="Franklin Gothic Book" w:hAnsi="Franklin Gothic Book"/>
                <w:color w:val="000000" w:themeColor="text1"/>
              </w:rPr>
              <w:t xml:space="preserve">modalities. </w:t>
            </w:r>
            <w:r w:rsidR="005A73A7" w:rsidRPr="003E3D93">
              <w:rPr>
                <w:rFonts w:ascii="Franklin Gothic Book" w:hAnsi="Franklin Gothic Book"/>
                <w:color w:val="000000" w:themeColor="text1"/>
              </w:rPr>
              <w:t>Australia Awards Scholarships (long-term awards</w:t>
            </w:r>
            <w:r w:rsidR="0086621F" w:rsidRPr="003E3D93">
              <w:rPr>
                <w:rFonts w:ascii="Franklin Gothic Book" w:hAnsi="Franklin Gothic Book"/>
                <w:color w:val="000000" w:themeColor="text1"/>
              </w:rPr>
              <w:t>)</w:t>
            </w:r>
            <w:r w:rsidR="005A73A7" w:rsidRPr="003E3D93" w:rsidDel="005A73A7">
              <w:rPr>
                <w:rFonts w:ascii="Franklin Gothic Book" w:hAnsi="Franklin Gothic Book"/>
                <w:color w:val="000000" w:themeColor="text1"/>
              </w:rPr>
              <w:t xml:space="preserve"> </w:t>
            </w:r>
            <w:r w:rsidR="004D2DD0" w:rsidRPr="003E3D93">
              <w:rPr>
                <w:rFonts w:ascii="Franklin Gothic Book" w:hAnsi="Franklin Gothic Book"/>
                <w:color w:val="000000" w:themeColor="text1"/>
              </w:rPr>
              <w:t xml:space="preserve">alone will not meet all of the investment’s outcomes. </w:t>
            </w:r>
            <w:r w:rsidR="00EA2B8F" w:rsidRPr="003E3D93">
              <w:rPr>
                <w:rFonts w:ascii="Franklin Gothic Book" w:hAnsi="Franklin Gothic Book"/>
                <w:color w:val="000000" w:themeColor="text1"/>
              </w:rPr>
              <w:t>We will take</w:t>
            </w:r>
            <w:r w:rsidRPr="003E3D93">
              <w:rPr>
                <w:rFonts w:ascii="Franklin Gothic Book" w:hAnsi="Franklin Gothic Book"/>
                <w:color w:val="000000" w:themeColor="text1"/>
              </w:rPr>
              <w:t xml:space="preserve"> a holistic approach </w:t>
            </w:r>
            <w:r w:rsidR="007774C7" w:rsidRPr="003E3D93">
              <w:rPr>
                <w:rFonts w:ascii="Franklin Gothic Book" w:hAnsi="Franklin Gothic Book"/>
                <w:color w:val="000000" w:themeColor="text1"/>
              </w:rPr>
              <w:t xml:space="preserve">to support </w:t>
            </w:r>
            <w:r w:rsidR="00CF2DA7" w:rsidRPr="003E3D93">
              <w:rPr>
                <w:rFonts w:ascii="Franklin Gothic Book" w:hAnsi="Franklin Gothic Book"/>
                <w:color w:val="000000" w:themeColor="text1"/>
              </w:rPr>
              <w:t>knowledge, skills and competencies</w:t>
            </w:r>
            <w:r w:rsidR="00562DD0" w:rsidRPr="003E3D93">
              <w:rPr>
                <w:rFonts w:ascii="Franklin Gothic Book" w:hAnsi="Franklin Gothic Book"/>
                <w:color w:val="000000" w:themeColor="text1"/>
              </w:rPr>
              <w:t xml:space="preserve"> for both females and males</w:t>
            </w:r>
            <w:r w:rsidRPr="003E3D93">
              <w:rPr>
                <w:rFonts w:ascii="Franklin Gothic Book" w:hAnsi="Franklin Gothic Book"/>
                <w:color w:val="000000" w:themeColor="text1"/>
              </w:rPr>
              <w:t xml:space="preserve">. </w:t>
            </w:r>
            <w:r w:rsidR="006D210D" w:rsidRPr="003E3D93">
              <w:rPr>
                <w:rFonts w:ascii="Franklin Gothic Book" w:hAnsi="Franklin Gothic Book"/>
                <w:color w:val="000000" w:themeColor="text1"/>
              </w:rPr>
              <w:t xml:space="preserve">There is broad GOV support for a more flexible program including both short and long term training (in Australia and Vietnam) and organisational level development. </w:t>
            </w:r>
            <w:r w:rsidRPr="003E3D93">
              <w:rPr>
                <w:rFonts w:ascii="Franklin Gothic Book" w:hAnsi="Franklin Gothic Book"/>
                <w:color w:val="000000" w:themeColor="text1"/>
              </w:rPr>
              <w:t xml:space="preserve">A flexible, combined use of modalities to targeted areas would allow Australia </w:t>
            </w:r>
            <w:r w:rsidRPr="00310030">
              <w:rPr>
                <w:rFonts w:ascii="Franklin Gothic Book" w:hAnsi="Franklin Gothic Book"/>
              </w:rPr>
              <w:t xml:space="preserve">to support gaps and complement the support provided by other </w:t>
            </w:r>
            <w:r w:rsidR="00EA2B8F">
              <w:rPr>
                <w:rFonts w:ascii="Franklin Gothic Book" w:hAnsi="Franklin Gothic Book"/>
              </w:rPr>
              <w:t xml:space="preserve">WOG agencies and </w:t>
            </w:r>
            <w:r w:rsidRPr="00310030">
              <w:rPr>
                <w:rFonts w:ascii="Franklin Gothic Book" w:hAnsi="Franklin Gothic Book"/>
              </w:rPr>
              <w:t>development partners in a strategic and selective manner.</w:t>
            </w:r>
          </w:p>
          <w:p w:rsidR="00463713" w:rsidRPr="00310030" w:rsidRDefault="00C52C5C" w:rsidP="00BE19EF">
            <w:pPr>
              <w:spacing w:before="200" w:after="200"/>
              <w:rPr>
                <w:rFonts w:ascii="Franklin Gothic Book" w:hAnsi="Franklin Gothic Book"/>
                <w:szCs w:val="20"/>
              </w:rPr>
            </w:pPr>
            <w:r w:rsidRPr="00310030">
              <w:rPr>
                <w:rFonts w:ascii="Franklin Gothic Book" w:hAnsi="Franklin Gothic Book"/>
                <w:szCs w:val="20"/>
              </w:rPr>
              <w:t xml:space="preserve">To </w:t>
            </w:r>
            <w:r w:rsidR="009D44CE" w:rsidRPr="00310030">
              <w:rPr>
                <w:rFonts w:ascii="Franklin Gothic Book" w:hAnsi="Franklin Gothic Book"/>
                <w:szCs w:val="20"/>
              </w:rPr>
              <w:t xml:space="preserve">maximise the impact of this investment and minimise duplication of support, </w:t>
            </w:r>
            <w:r w:rsidRPr="00310030">
              <w:rPr>
                <w:rFonts w:ascii="Franklin Gothic Book" w:hAnsi="Franklin Gothic Book"/>
                <w:szCs w:val="20"/>
              </w:rPr>
              <w:t xml:space="preserve">we will focus our support in areas </w:t>
            </w:r>
            <w:r w:rsidR="009D44CE" w:rsidRPr="00310030">
              <w:rPr>
                <w:rFonts w:ascii="Franklin Gothic Book" w:hAnsi="Franklin Gothic Book"/>
                <w:szCs w:val="20"/>
              </w:rPr>
              <w:t xml:space="preserve">of Australia’s strength, </w:t>
            </w:r>
            <w:r w:rsidR="00EA2B8F">
              <w:rPr>
                <w:rFonts w:ascii="Franklin Gothic Book" w:hAnsi="Franklin Gothic Book"/>
                <w:szCs w:val="20"/>
              </w:rPr>
              <w:t xml:space="preserve">including </w:t>
            </w:r>
            <w:r w:rsidRPr="00310030">
              <w:rPr>
                <w:rFonts w:ascii="Franklin Gothic Book" w:hAnsi="Franklin Gothic Book"/>
                <w:szCs w:val="20"/>
              </w:rPr>
              <w:t xml:space="preserve">the AIP </w:t>
            </w:r>
            <w:r w:rsidR="000153DB" w:rsidRPr="00310030">
              <w:rPr>
                <w:rFonts w:ascii="Franklin Gothic Book" w:hAnsi="Franklin Gothic Book"/>
                <w:szCs w:val="20"/>
              </w:rPr>
              <w:t>priorities</w:t>
            </w:r>
            <w:r w:rsidRPr="00310030">
              <w:rPr>
                <w:rFonts w:ascii="Franklin Gothic Book" w:hAnsi="Franklin Gothic Book"/>
                <w:szCs w:val="20"/>
              </w:rPr>
              <w:t xml:space="preserve">. </w:t>
            </w:r>
            <w:r w:rsidR="009D44CE" w:rsidRPr="00310030">
              <w:rPr>
                <w:rFonts w:ascii="Franklin Gothic Book" w:hAnsi="Franklin Gothic Book"/>
                <w:szCs w:val="20"/>
              </w:rPr>
              <w:t>This</w:t>
            </w:r>
            <w:r w:rsidR="000A6801" w:rsidRPr="00310030">
              <w:rPr>
                <w:rFonts w:ascii="Franklin Gothic Book" w:hAnsi="Franklin Gothic Book"/>
                <w:szCs w:val="20"/>
              </w:rPr>
              <w:t xml:space="preserve"> </w:t>
            </w:r>
            <w:r w:rsidR="00790336">
              <w:rPr>
                <w:rFonts w:ascii="Franklin Gothic Book" w:hAnsi="Franklin Gothic Book"/>
                <w:szCs w:val="20"/>
              </w:rPr>
              <w:t xml:space="preserve">indicatively </w:t>
            </w:r>
            <w:r w:rsidR="000A6801" w:rsidRPr="00310030">
              <w:rPr>
                <w:rFonts w:ascii="Franklin Gothic Book" w:hAnsi="Franklin Gothic Book"/>
                <w:szCs w:val="20"/>
              </w:rPr>
              <w:t>include</w:t>
            </w:r>
            <w:r w:rsidR="009D44CE" w:rsidRPr="00310030">
              <w:rPr>
                <w:rFonts w:ascii="Franklin Gothic Book" w:hAnsi="Franklin Gothic Book"/>
                <w:szCs w:val="20"/>
              </w:rPr>
              <w:t>s</w:t>
            </w:r>
            <w:r w:rsidR="000A6801" w:rsidRPr="00310030">
              <w:rPr>
                <w:rFonts w:ascii="Franklin Gothic Book" w:hAnsi="Franklin Gothic Book"/>
                <w:szCs w:val="20"/>
              </w:rPr>
              <w:t>: agriculture and food</w:t>
            </w:r>
            <w:r w:rsidR="009D44CE" w:rsidRPr="00310030">
              <w:rPr>
                <w:rFonts w:ascii="Franklin Gothic Book" w:hAnsi="Franklin Gothic Book"/>
                <w:szCs w:val="20"/>
              </w:rPr>
              <w:t xml:space="preserve"> security</w:t>
            </w:r>
            <w:r w:rsidR="000A6801" w:rsidRPr="00310030">
              <w:rPr>
                <w:rFonts w:ascii="Franklin Gothic Book" w:hAnsi="Franklin Gothic Book"/>
                <w:szCs w:val="20"/>
              </w:rPr>
              <w:t>, infrastructure</w:t>
            </w:r>
            <w:r w:rsidR="00354866" w:rsidRPr="00310030">
              <w:rPr>
                <w:rFonts w:ascii="Franklin Gothic Book" w:hAnsi="Franklin Gothic Book"/>
                <w:szCs w:val="20"/>
              </w:rPr>
              <w:t xml:space="preserve">, social protection and disaster risk reduction, economic reform and restructuring, water and sanitation, and </w:t>
            </w:r>
            <w:r w:rsidR="000A6801" w:rsidRPr="00310030">
              <w:rPr>
                <w:rFonts w:ascii="Franklin Gothic Book" w:hAnsi="Franklin Gothic Book"/>
                <w:szCs w:val="20"/>
              </w:rPr>
              <w:t>education</w:t>
            </w:r>
            <w:r w:rsidR="00381281">
              <w:rPr>
                <w:rFonts w:ascii="Franklin Gothic Book" w:hAnsi="Franklin Gothic Book"/>
                <w:szCs w:val="20"/>
              </w:rPr>
              <w:t xml:space="preserve"> (including TVET)</w:t>
            </w:r>
            <w:r w:rsidR="00354866" w:rsidRPr="00310030">
              <w:rPr>
                <w:rFonts w:ascii="Franklin Gothic Book" w:hAnsi="Franklin Gothic Book"/>
                <w:szCs w:val="20"/>
              </w:rPr>
              <w:t xml:space="preserve">. </w:t>
            </w:r>
          </w:p>
          <w:p w:rsidR="00310030" w:rsidRPr="002167FB" w:rsidRDefault="00310030" w:rsidP="00BE19EF">
            <w:pPr>
              <w:spacing w:before="200" w:after="200"/>
              <w:rPr>
                <w:rFonts w:ascii="Franklin Gothic Book" w:hAnsi="Franklin Gothic Book"/>
                <w:szCs w:val="20"/>
              </w:rPr>
            </w:pPr>
            <w:r>
              <w:rPr>
                <w:rFonts w:ascii="Franklin Gothic Book" w:hAnsi="Franklin Gothic Book"/>
                <w:szCs w:val="20"/>
              </w:rPr>
              <w:t>There are two main components to the proposed investment option:</w:t>
            </w:r>
          </w:p>
          <w:p w:rsidR="00926D0C" w:rsidRPr="002167FB" w:rsidRDefault="00D85717" w:rsidP="00BE19EF">
            <w:pPr>
              <w:spacing w:before="200" w:after="200"/>
              <w:rPr>
                <w:rFonts w:ascii="Franklin Gothic Book" w:hAnsi="Franklin Gothic Book"/>
                <w:b/>
                <w:szCs w:val="20"/>
              </w:rPr>
            </w:pPr>
            <w:r w:rsidRPr="00D85717">
              <w:rPr>
                <w:rFonts w:ascii="Franklin Gothic Book" w:hAnsi="Franklin Gothic Book"/>
                <w:b/>
                <w:szCs w:val="20"/>
              </w:rPr>
              <w:t>Component 1:</w:t>
            </w:r>
            <w:r>
              <w:rPr>
                <w:rFonts w:ascii="Franklin Gothic Book" w:hAnsi="Franklin Gothic Book"/>
                <w:b/>
                <w:szCs w:val="20"/>
                <w:u w:val="single"/>
              </w:rPr>
              <w:t xml:space="preserve"> </w:t>
            </w:r>
            <w:r w:rsidR="00D338E7" w:rsidRPr="002167FB">
              <w:rPr>
                <w:rFonts w:ascii="Franklin Gothic Book" w:hAnsi="Franklin Gothic Book"/>
                <w:b/>
                <w:szCs w:val="20"/>
                <w:u w:val="single"/>
              </w:rPr>
              <w:t xml:space="preserve">Access </w:t>
            </w:r>
            <w:r w:rsidR="00D338E7" w:rsidRPr="002167FB">
              <w:rPr>
                <w:rFonts w:ascii="Franklin Gothic Book" w:hAnsi="Franklin Gothic Book"/>
                <w:b/>
                <w:szCs w:val="20"/>
              </w:rPr>
              <w:t>to professional and technical knowledge and skills</w:t>
            </w:r>
          </w:p>
          <w:p w:rsidR="00001F00" w:rsidRDefault="00D71265" w:rsidP="00BE19EF">
            <w:pPr>
              <w:pStyle w:val="BodyText"/>
              <w:spacing w:before="200" w:after="200" w:line="240" w:lineRule="auto"/>
            </w:pPr>
            <w:r w:rsidRPr="002167FB">
              <w:t>The major component of the investment</w:t>
            </w:r>
            <w:r w:rsidRPr="002167FB">
              <w:rPr>
                <w:b/>
              </w:rPr>
              <w:t xml:space="preserve"> </w:t>
            </w:r>
            <w:r w:rsidRPr="002167FB">
              <w:t xml:space="preserve">will expand the pool of Vietnamese with higher professional and technical capabilities. The central feature will continue to be the highly valued </w:t>
            </w:r>
            <w:r w:rsidR="005A73A7" w:rsidRPr="005A73A7">
              <w:t>Australia Awards Scholarships</w:t>
            </w:r>
            <w:r w:rsidR="005A73A7" w:rsidRPr="005A73A7" w:rsidDel="005A73A7">
              <w:t xml:space="preserve"> </w:t>
            </w:r>
            <w:r w:rsidRPr="002167FB">
              <w:t xml:space="preserve">for Vietnamese to undertake tertiary study </w:t>
            </w:r>
            <w:r w:rsidR="00F90F7E">
              <w:t>in Australia</w:t>
            </w:r>
            <w:r w:rsidRPr="002167FB">
              <w:t xml:space="preserve"> and to build networks with Australia. </w:t>
            </w:r>
          </w:p>
          <w:p w:rsidR="00001F00" w:rsidRDefault="00EE510D" w:rsidP="00BE19EF">
            <w:pPr>
              <w:pStyle w:val="BodyText"/>
              <w:spacing w:before="200" w:after="200" w:line="240" w:lineRule="auto"/>
            </w:pPr>
            <w:r>
              <w:t>The investment will provide up to 600 AAS. Over the life of the investment, the number of new long term s</w:t>
            </w:r>
            <w:r w:rsidR="000153DB" w:rsidRPr="002167FB">
              <w:t>cholarship</w:t>
            </w:r>
            <w:r>
              <w:t xml:space="preserve">s per year </w:t>
            </w:r>
            <w:r w:rsidR="000153DB" w:rsidRPr="002167FB">
              <w:t xml:space="preserve">will be </w:t>
            </w:r>
            <w:r>
              <w:t xml:space="preserve">gradually and modestly reduced </w:t>
            </w:r>
            <w:r w:rsidR="000153DB" w:rsidRPr="002167FB">
              <w:t xml:space="preserve">from 150 to 100, </w:t>
            </w:r>
            <w:r w:rsidR="005A73A7" w:rsidRPr="005A73A7">
              <w:t>subject to agreement with SCB and ultimately Ministerial Approval</w:t>
            </w:r>
            <w:r>
              <w:t>. Re-directed</w:t>
            </w:r>
            <w:r w:rsidR="00D71265" w:rsidRPr="002167FB">
              <w:t xml:space="preserve"> fund</w:t>
            </w:r>
            <w:r>
              <w:t>s will support</w:t>
            </w:r>
            <w:r w:rsidR="00D71265" w:rsidRPr="002167FB">
              <w:t xml:space="preserve"> activities based on the specific HRD needs of target groups, to ensure aid effectiveness, value for money and achievement of a more holistic set of outcomes</w:t>
            </w:r>
            <w:r w:rsidR="000D43E1" w:rsidRPr="002167FB">
              <w:t xml:space="preserve">. </w:t>
            </w:r>
          </w:p>
          <w:p w:rsidR="00001F00" w:rsidRDefault="0023368F" w:rsidP="00BE19EF">
            <w:pPr>
              <w:pStyle w:val="BodyText"/>
              <w:spacing w:before="200" w:after="200" w:line="240" w:lineRule="auto"/>
              <w:rPr>
                <w:rFonts w:cs="Calibri"/>
              </w:rPr>
            </w:pPr>
            <w:r w:rsidRPr="002167FB">
              <w:t xml:space="preserve">Lecturers and officers in positions of leadership/influence will continue to be prioritised to maximise impact. The quantity and quality of teachers at both the higher education and TVET levels continues to be low. </w:t>
            </w:r>
            <w:r w:rsidR="007132C1" w:rsidRPr="002167FB">
              <w:t xml:space="preserve">At the request of GOV, </w:t>
            </w:r>
            <w:r w:rsidR="00926D0C" w:rsidRPr="002167FB">
              <w:t xml:space="preserve">alongside traditional Master and PhD level scholarships, </w:t>
            </w:r>
            <w:r w:rsidR="007132C1" w:rsidRPr="002167FB">
              <w:t xml:space="preserve">we will consider </w:t>
            </w:r>
            <w:r w:rsidR="00926D0C" w:rsidRPr="002167FB">
              <w:t>scholarships for TVET teachers</w:t>
            </w:r>
            <w:r w:rsidR="000D43E1" w:rsidRPr="002167FB">
              <w:t xml:space="preserve"> </w:t>
            </w:r>
            <w:r w:rsidR="007132C1" w:rsidRPr="002167FB">
              <w:rPr>
                <w:rFonts w:cs="Calibri"/>
              </w:rPr>
              <w:t>for Certificate IV Workplace Training &amp; Assessment courses, possibly with embedded work experience within their specialist sector.</w:t>
            </w:r>
            <w:r w:rsidR="00493495">
              <w:rPr>
                <w:rFonts w:cs="Calibri"/>
              </w:rPr>
              <w:t xml:space="preserve"> Other support to strengthen the relevance of TVET training to </w:t>
            </w:r>
            <w:r w:rsidR="00F90F7E">
              <w:rPr>
                <w:rFonts w:cs="Calibri"/>
              </w:rPr>
              <w:t>industry</w:t>
            </w:r>
            <w:r w:rsidR="00493495">
              <w:rPr>
                <w:rFonts w:cs="Calibri"/>
              </w:rPr>
              <w:t xml:space="preserve"> demand will also be considered</w:t>
            </w:r>
            <w:r w:rsidR="004C4E9D">
              <w:rPr>
                <w:rFonts w:cs="Calibri"/>
              </w:rPr>
              <w:t xml:space="preserve"> (Component 2)</w:t>
            </w:r>
            <w:r w:rsidR="00493495">
              <w:rPr>
                <w:rFonts w:cs="Calibri"/>
              </w:rPr>
              <w:t>.</w:t>
            </w:r>
            <w:r w:rsidR="007132C1" w:rsidRPr="002167FB">
              <w:rPr>
                <w:rFonts w:cs="Calibri"/>
              </w:rPr>
              <w:t xml:space="preserve"> </w:t>
            </w:r>
          </w:p>
          <w:p w:rsidR="00BA7D78" w:rsidRDefault="00743BDD" w:rsidP="00BE19EF">
            <w:pPr>
              <w:pStyle w:val="BodyText"/>
              <w:spacing w:before="200" w:after="200" w:line="240" w:lineRule="auto"/>
            </w:pPr>
            <w:r w:rsidRPr="002167FB">
              <w:t>Awardees will have the opportunity to study subjects that align with Australia’s priorities and expertise, fields that are under-represented by self-funded students, and that are in high-demand and low-supply/quality in Vietnam</w:t>
            </w:r>
            <w:r w:rsidR="005A73A7">
              <w:t xml:space="preserve"> with regard to Vietnam’s workforce needs</w:t>
            </w:r>
            <w:r w:rsidRPr="002167FB">
              <w:t>.</w:t>
            </w:r>
            <w:r w:rsidR="00D50EB5">
              <w:t xml:space="preserve"> </w:t>
            </w:r>
          </w:p>
          <w:p w:rsidR="00001F00" w:rsidRPr="003E3D93" w:rsidRDefault="00BA7D78" w:rsidP="00BE19EF">
            <w:pPr>
              <w:pStyle w:val="BodyText"/>
              <w:spacing w:before="200" w:after="200" w:line="240" w:lineRule="auto"/>
              <w:rPr>
                <w:strike/>
              </w:rPr>
            </w:pPr>
            <w:r>
              <w:t>Vietnamese are consistently one of the top recipient</w:t>
            </w:r>
            <w:r w:rsidR="00493495">
              <w:t xml:space="preserve"> countr</w:t>
            </w:r>
            <w:r w:rsidR="00AE62EF">
              <w:t>ies</w:t>
            </w:r>
            <w:r>
              <w:t xml:space="preserve"> of </w:t>
            </w:r>
            <w:r w:rsidR="00B153D8">
              <w:t xml:space="preserve">the Australia Awards </w:t>
            </w:r>
            <w:r>
              <w:t xml:space="preserve">Endeavour </w:t>
            </w:r>
            <w:r w:rsidR="00B153D8">
              <w:t>Scholarships</w:t>
            </w:r>
            <w:r>
              <w:t xml:space="preserve"> (approximately 40 per year). </w:t>
            </w:r>
            <w:r w:rsidR="00D50EB5">
              <w:t xml:space="preserve">We will explore </w:t>
            </w:r>
            <w:r>
              <w:t xml:space="preserve">the key characteristics of the Endeavour stream and seek to ensure the </w:t>
            </w:r>
            <w:r w:rsidR="005A73A7" w:rsidRPr="005A73A7">
              <w:t xml:space="preserve">Australia Awards Scholarships </w:t>
            </w:r>
            <w:r>
              <w:t xml:space="preserve">and Endeavour streams complement one-another towards Australia’s goals. </w:t>
            </w:r>
          </w:p>
          <w:p w:rsidR="00001F00" w:rsidRDefault="00926D0C" w:rsidP="00BE19EF">
            <w:pPr>
              <w:pStyle w:val="BodyText"/>
              <w:spacing w:before="200" w:after="200" w:line="240" w:lineRule="auto"/>
            </w:pPr>
            <w:r w:rsidRPr="002167FB">
              <w:t xml:space="preserve">To ensure equity and pro-poor outcomes, </w:t>
            </w:r>
            <w:r w:rsidR="00777899">
              <w:t>indicative award targets</w:t>
            </w:r>
            <w:r w:rsidR="00777899" w:rsidRPr="002167FB">
              <w:t xml:space="preserve"> </w:t>
            </w:r>
            <w:r w:rsidRPr="002167FB">
              <w:t>for disadvantaged Vietnamese (rural and those with a disability) will be considered</w:t>
            </w:r>
            <w:r w:rsidR="00743BDD" w:rsidRPr="002167FB">
              <w:t xml:space="preserve">. </w:t>
            </w:r>
            <w:r w:rsidR="00A30606">
              <w:t xml:space="preserve">We will continue to </w:t>
            </w:r>
            <w:r w:rsidR="00BE19EF">
              <w:t xml:space="preserve">support improved access to scholarships through </w:t>
            </w:r>
            <w:r w:rsidR="00A30606">
              <w:t xml:space="preserve">in-country English language </w:t>
            </w:r>
            <w:r w:rsidR="00BE19EF">
              <w:t xml:space="preserve">training, and other targeted support through the existing </w:t>
            </w:r>
            <w:r w:rsidR="00493495">
              <w:t xml:space="preserve">AAS </w:t>
            </w:r>
            <w:r w:rsidR="00BE19EF" w:rsidRPr="00BE19EF">
              <w:rPr>
                <w:i/>
              </w:rPr>
              <w:t>Equity of Access Fund</w:t>
            </w:r>
            <w:r w:rsidR="00493495">
              <w:rPr>
                <w:i/>
              </w:rPr>
              <w:t xml:space="preserve"> for </w:t>
            </w:r>
            <w:r w:rsidR="00493495">
              <w:rPr>
                <w:i/>
              </w:rPr>
              <w:lastRenderedPageBreak/>
              <w:t>disadvantaged students</w:t>
            </w:r>
            <w:r w:rsidR="00BE19EF">
              <w:t xml:space="preserve">. </w:t>
            </w:r>
          </w:p>
          <w:p w:rsidR="00D338E7" w:rsidRPr="002167FB" w:rsidRDefault="00D85717" w:rsidP="00BE19EF">
            <w:pPr>
              <w:pStyle w:val="BodyText"/>
              <w:spacing w:before="200" w:after="200" w:line="240" w:lineRule="auto"/>
              <w:rPr>
                <w:b/>
              </w:rPr>
            </w:pPr>
            <w:r>
              <w:rPr>
                <w:b/>
              </w:rPr>
              <w:t xml:space="preserve">Component 2: </w:t>
            </w:r>
            <w:r w:rsidR="00D338E7" w:rsidRPr="002167FB">
              <w:rPr>
                <w:b/>
              </w:rPr>
              <w:t xml:space="preserve">Skills </w:t>
            </w:r>
            <w:r w:rsidR="00AE62EF">
              <w:rPr>
                <w:b/>
              </w:rPr>
              <w:t xml:space="preserve">development and </w:t>
            </w:r>
            <w:r w:rsidR="00D338E7" w:rsidRPr="002167FB">
              <w:rPr>
                <w:b/>
                <w:u w:val="single"/>
              </w:rPr>
              <w:t>utilisation</w:t>
            </w:r>
          </w:p>
          <w:p w:rsidR="00FF48B4" w:rsidRPr="003E3D93" w:rsidRDefault="00FF48B4" w:rsidP="00BE19EF">
            <w:pPr>
              <w:pStyle w:val="BodyText"/>
              <w:spacing w:before="200" w:after="200" w:line="240" w:lineRule="auto"/>
              <w:rPr>
                <w:color w:val="000000" w:themeColor="text1"/>
              </w:rPr>
            </w:pPr>
            <w:r w:rsidRPr="002167FB">
              <w:t xml:space="preserve">If individuals’ skills are enhanced but workplaces in Vietnam are not ready to make best use of those skills, then the impact of our other investments in human resources development will be undermined. </w:t>
            </w:r>
            <w:r w:rsidR="00926D0C" w:rsidRPr="002167FB">
              <w:t xml:space="preserve">Skills utilisation is an important element of workforce development and is increasingly recognised as just as valuable to productivity as skills </w:t>
            </w:r>
            <w:r w:rsidR="00926D0C" w:rsidRPr="003E3D93">
              <w:rPr>
                <w:color w:val="000000" w:themeColor="text1"/>
              </w:rPr>
              <w:t>acquisition</w:t>
            </w:r>
            <w:r w:rsidR="00926D0C" w:rsidRPr="003E3D93">
              <w:rPr>
                <w:i/>
                <w:color w:val="000000" w:themeColor="text1"/>
              </w:rPr>
              <w:t xml:space="preserve">. </w:t>
            </w:r>
          </w:p>
          <w:p w:rsidR="00A74ACF" w:rsidRPr="003E3D93" w:rsidRDefault="00D338E7" w:rsidP="00A74ACF">
            <w:pPr>
              <w:pStyle w:val="BodyText"/>
              <w:spacing w:before="200" w:after="200" w:line="240" w:lineRule="auto"/>
              <w:rPr>
                <w:color w:val="000000" w:themeColor="text1"/>
              </w:rPr>
            </w:pPr>
            <w:r w:rsidRPr="003E3D93">
              <w:rPr>
                <w:color w:val="000000" w:themeColor="text1"/>
              </w:rPr>
              <w:t xml:space="preserve">At the </w:t>
            </w:r>
            <w:r w:rsidRPr="003E3D93">
              <w:rPr>
                <w:i/>
                <w:color w:val="000000" w:themeColor="text1"/>
              </w:rPr>
              <w:t>individual</w:t>
            </w:r>
            <w:r w:rsidRPr="003E3D93">
              <w:rPr>
                <w:color w:val="000000" w:themeColor="text1"/>
              </w:rPr>
              <w:t xml:space="preserve"> level, Australia Awards alumni will be supported to reintegrate into the workplace, and to effectively utilise and transfer their skills</w:t>
            </w:r>
            <w:r w:rsidR="00C650DA" w:rsidRPr="003E3D93">
              <w:rPr>
                <w:color w:val="000000" w:themeColor="text1"/>
              </w:rPr>
              <w:t xml:space="preserve"> through </w:t>
            </w:r>
            <w:r w:rsidR="004C4E9D" w:rsidRPr="003E3D93">
              <w:rPr>
                <w:color w:val="000000" w:themeColor="text1"/>
              </w:rPr>
              <w:t>activities for alumni and their employers</w:t>
            </w:r>
            <w:r w:rsidR="00C650DA" w:rsidRPr="003E3D93">
              <w:rPr>
                <w:color w:val="000000" w:themeColor="text1"/>
              </w:rPr>
              <w:t xml:space="preserve">, potentially including </w:t>
            </w:r>
            <w:r w:rsidR="004C4E9D" w:rsidRPr="003E3D93">
              <w:rPr>
                <w:color w:val="000000" w:themeColor="text1"/>
              </w:rPr>
              <w:t xml:space="preserve">informal training and </w:t>
            </w:r>
            <w:r w:rsidR="00A74ACF" w:rsidRPr="003E3D93">
              <w:rPr>
                <w:color w:val="000000" w:themeColor="text1"/>
              </w:rPr>
              <w:t xml:space="preserve">mentoring support, </w:t>
            </w:r>
          </w:p>
          <w:p w:rsidR="00732ED9" w:rsidRPr="0072295D" w:rsidRDefault="00D338E7" w:rsidP="00BE19EF">
            <w:pPr>
              <w:spacing w:before="200" w:after="200"/>
              <w:rPr>
                <w:rFonts w:ascii="Franklin Gothic Book" w:hAnsi="Franklin Gothic Book"/>
                <w:szCs w:val="20"/>
              </w:rPr>
            </w:pPr>
            <w:r w:rsidRPr="003E3D93">
              <w:rPr>
                <w:rFonts w:ascii="Franklin Gothic Book" w:hAnsi="Franklin Gothic Book"/>
                <w:color w:val="000000" w:themeColor="text1"/>
                <w:szCs w:val="20"/>
              </w:rPr>
              <w:t xml:space="preserve">At the </w:t>
            </w:r>
            <w:r w:rsidRPr="003E3D93">
              <w:rPr>
                <w:rFonts w:ascii="Franklin Gothic Book" w:hAnsi="Franklin Gothic Book"/>
                <w:i/>
                <w:color w:val="000000" w:themeColor="text1"/>
                <w:szCs w:val="20"/>
              </w:rPr>
              <w:t>organisational</w:t>
            </w:r>
            <w:r w:rsidRPr="003E3D93">
              <w:rPr>
                <w:rFonts w:ascii="Franklin Gothic Book" w:hAnsi="Franklin Gothic Book"/>
                <w:color w:val="000000" w:themeColor="text1"/>
                <w:szCs w:val="20"/>
              </w:rPr>
              <w:t xml:space="preserve"> level, </w:t>
            </w:r>
            <w:r w:rsidR="00732ED9" w:rsidRPr="003E3D93">
              <w:rPr>
                <w:rFonts w:ascii="Franklin Gothic Book" w:hAnsi="Franklin Gothic Book"/>
                <w:color w:val="000000" w:themeColor="text1"/>
                <w:szCs w:val="20"/>
              </w:rPr>
              <w:t xml:space="preserve">we will provide </w:t>
            </w:r>
            <w:r w:rsidR="00732ED9" w:rsidRPr="0072295D">
              <w:rPr>
                <w:rFonts w:ascii="Franklin Gothic Book" w:hAnsi="Franklin Gothic Book"/>
                <w:szCs w:val="20"/>
              </w:rPr>
              <w:t xml:space="preserve">targeted, tailored HRD supports to improve workplace environments to cultivate skills utilisation. </w:t>
            </w:r>
            <w:r w:rsidR="0072295D" w:rsidRPr="0072295D">
              <w:rPr>
                <w:rFonts w:ascii="Franklin Gothic Book" w:hAnsi="Franklin Gothic Book"/>
                <w:szCs w:val="20"/>
              </w:rPr>
              <w:t>The types of support will include</w:t>
            </w:r>
            <w:r w:rsidR="00BE2629" w:rsidRPr="0072295D">
              <w:rPr>
                <w:rFonts w:ascii="Franklin Gothic Book" w:hAnsi="Franklin Gothic Book"/>
              </w:rPr>
              <w:t xml:space="preserve"> </w:t>
            </w:r>
            <w:r w:rsidR="00BE2629" w:rsidRPr="0072295D">
              <w:rPr>
                <w:rFonts w:ascii="Franklin Gothic Book" w:hAnsi="Franklin Gothic Book"/>
                <w:b/>
              </w:rPr>
              <w:t>informal short course training</w:t>
            </w:r>
            <w:r w:rsidR="00BE2629" w:rsidRPr="0072295D">
              <w:rPr>
                <w:rFonts w:ascii="Franklin Gothic Book" w:hAnsi="Franklin Gothic Book"/>
              </w:rPr>
              <w:t xml:space="preserve"> to middle-level managers, especially women, of selected organisations; and </w:t>
            </w:r>
            <w:r w:rsidR="00BE2629" w:rsidRPr="0072295D">
              <w:rPr>
                <w:rFonts w:ascii="Franklin Gothic Book" w:hAnsi="Franklin Gothic Book"/>
                <w:b/>
              </w:rPr>
              <w:t>advisory support</w:t>
            </w:r>
            <w:r w:rsidR="00BE2629" w:rsidRPr="0072295D">
              <w:rPr>
                <w:rFonts w:ascii="Franklin Gothic Book" w:hAnsi="Franklin Gothic Book"/>
              </w:rPr>
              <w:t xml:space="preserve">, including through Australia-Vietnam partnerships. </w:t>
            </w:r>
            <w:r w:rsidR="00BE2629" w:rsidRPr="0072295D">
              <w:rPr>
                <w:rFonts w:ascii="Franklin Gothic Book" w:hAnsi="Franklin Gothic Book"/>
                <w:szCs w:val="20"/>
              </w:rPr>
              <w:t>These supports</w:t>
            </w:r>
            <w:r w:rsidR="00732ED9" w:rsidRPr="0072295D">
              <w:rPr>
                <w:rFonts w:ascii="Franklin Gothic Book" w:hAnsi="Franklin Gothic Book"/>
                <w:szCs w:val="20"/>
              </w:rPr>
              <w:t xml:space="preserve"> </w:t>
            </w:r>
            <w:r w:rsidR="0076480A" w:rsidRPr="0072295D">
              <w:rPr>
                <w:rFonts w:ascii="Franklin Gothic Book" w:hAnsi="Franklin Gothic Book"/>
                <w:szCs w:val="20"/>
              </w:rPr>
              <w:t>will</w:t>
            </w:r>
            <w:r w:rsidR="00A30606" w:rsidRPr="0072295D">
              <w:rPr>
                <w:rFonts w:ascii="Franklin Gothic Book" w:hAnsi="Franklin Gothic Book"/>
                <w:szCs w:val="20"/>
              </w:rPr>
              <w:t xml:space="preserve"> assist in</w:t>
            </w:r>
            <w:r w:rsidR="00732ED9" w:rsidRPr="0072295D">
              <w:rPr>
                <w:rFonts w:ascii="Franklin Gothic Book" w:hAnsi="Franklin Gothic Book"/>
                <w:szCs w:val="20"/>
              </w:rPr>
              <w:t xml:space="preserve">: </w:t>
            </w:r>
            <w:proofErr w:type="spellStart"/>
            <w:r w:rsidR="00732ED9" w:rsidRPr="0072295D">
              <w:rPr>
                <w:rFonts w:ascii="Franklin Gothic Book" w:hAnsi="Franklin Gothic Book"/>
                <w:szCs w:val="20"/>
              </w:rPr>
              <w:t>i</w:t>
            </w:r>
            <w:proofErr w:type="spellEnd"/>
            <w:r w:rsidR="00732ED9" w:rsidRPr="0072295D">
              <w:rPr>
                <w:rFonts w:ascii="Franklin Gothic Book" w:hAnsi="Franklin Gothic Book"/>
                <w:szCs w:val="20"/>
              </w:rPr>
              <w:t>) improv</w:t>
            </w:r>
            <w:r w:rsidR="00A30606" w:rsidRPr="0072295D">
              <w:rPr>
                <w:rFonts w:ascii="Franklin Gothic Book" w:hAnsi="Franklin Gothic Book"/>
                <w:szCs w:val="20"/>
              </w:rPr>
              <w:t>ing</w:t>
            </w:r>
            <w:r w:rsidR="00732ED9" w:rsidRPr="0072295D">
              <w:rPr>
                <w:rFonts w:ascii="Franklin Gothic Book" w:hAnsi="Franklin Gothic Book"/>
                <w:szCs w:val="20"/>
              </w:rPr>
              <w:t xml:space="preserve"> the levers for skill utilisation (e.g. leadership, technical and management training for the managers and supervisors who have influence over </w:t>
            </w:r>
            <w:r w:rsidR="00001F00" w:rsidRPr="0072295D">
              <w:rPr>
                <w:rFonts w:ascii="Franklin Gothic Book" w:hAnsi="Franklin Gothic Book"/>
                <w:szCs w:val="20"/>
              </w:rPr>
              <w:t xml:space="preserve">the utilisation and development of </w:t>
            </w:r>
            <w:r w:rsidR="00732ED9" w:rsidRPr="0072295D">
              <w:rPr>
                <w:rFonts w:ascii="Franklin Gothic Book" w:hAnsi="Franklin Gothic Book"/>
                <w:szCs w:val="20"/>
              </w:rPr>
              <w:t>skill-sets of their staff; and ii) improv</w:t>
            </w:r>
            <w:r w:rsidR="00A30606" w:rsidRPr="0072295D">
              <w:rPr>
                <w:rFonts w:ascii="Franklin Gothic Book" w:hAnsi="Franklin Gothic Book"/>
                <w:szCs w:val="20"/>
              </w:rPr>
              <w:t>ing</w:t>
            </w:r>
            <w:r w:rsidR="00732ED9" w:rsidRPr="0072295D">
              <w:rPr>
                <w:rFonts w:ascii="Franklin Gothic Book" w:hAnsi="Franklin Gothic Book"/>
                <w:szCs w:val="20"/>
              </w:rPr>
              <w:t xml:space="preserve"> skills utilisation delivery practice (e.g. good human resource practices; skills audits; enterprise-level competency frameworks; job design; mentoring; knowledge transfer). </w:t>
            </w:r>
            <w:r w:rsidR="00A30606" w:rsidRPr="0072295D">
              <w:rPr>
                <w:rFonts w:ascii="Franklin Gothic Book" w:hAnsi="Franklin Gothic Book"/>
              </w:rPr>
              <w:t xml:space="preserve">This component will consider innovative ways to engage the private sector, for example working with TVET institutions to establish training that meets industry’s needs. </w:t>
            </w:r>
            <w:r w:rsidR="00A30606" w:rsidRPr="0072295D">
              <w:rPr>
                <w:rFonts w:ascii="Franklin Gothic Book" w:hAnsi="Franklin Gothic Book"/>
                <w:szCs w:val="20"/>
              </w:rPr>
              <w:t>These types of supports can only have meaningful impact where efforts are focussed. We will focus on</w:t>
            </w:r>
            <w:r w:rsidR="00732ED9" w:rsidRPr="0072295D">
              <w:rPr>
                <w:rFonts w:ascii="Franklin Gothic Book" w:hAnsi="Franklin Gothic Book"/>
                <w:szCs w:val="20"/>
              </w:rPr>
              <w:t>:</w:t>
            </w:r>
          </w:p>
          <w:p w:rsidR="00732ED9" w:rsidRPr="0076480A" w:rsidRDefault="00381281" w:rsidP="00BE19EF">
            <w:pPr>
              <w:pStyle w:val="ListParagraph"/>
              <w:numPr>
                <w:ilvl w:val="0"/>
                <w:numId w:val="31"/>
              </w:numPr>
              <w:spacing w:before="200" w:after="200"/>
              <w:contextualSpacing w:val="0"/>
              <w:rPr>
                <w:rFonts w:ascii="Franklin Gothic Book" w:hAnsi="Franklin Gothic Book"/>
                <w:sz w:val="20"/>
                <w:szCs w:val="20"/>
              </w:rPr>
            </w:pPr>
            <w:r>
              <w:rPr>
                <w:rFonts w:ascii="Franklin Gothic Book" w:hAnsi="Franklin Gothic Book"/>
                <w:b/>
                <w:sz w:val="20"/>
                <w:szCs w:val="20"/>
              </w:rPr>
              <w:t xml:space="preserve">a small number of </w:t>
            </w:r>
            <w:r w:rsidR="00D338E7" w:rsidRPr="00A30606">
              <w:rPr>
                <w:rFonts w:ascii="Franklin Gothic Book" w:hAnsi="Franklin Gothic Book"/>
                <w:b/>
                <w:sz w:val="20"/>
                <w:szCs w:val="20"/>
              </w:rPr>
              <w:t>organisations</w:t>
            </w:r>
            <w:r w:rsidR="00D338E7" w:rsidRPr="0076480A">
              <w:rPr>
                <w:rFonts w:ascii="Franklin Gothic Book" w:hAnsi="Franklin Gothic Book"/>
                <w:sz w:val="20"/>
                <w:szCs w:val="20"/>
              </w:rPr>
              <w:t xml:space="preserve"> </w:t>
            </w:r>
            <w:r w:rsidR="00732ED9" w:rsidRPr="0076480A">
              <w:rPr>
                <w:rFonts w:ascii="Franklin Gothic Book" w:hAnsi="Franklin Gothic Book"/>
                <w:sz w:val="20"/>
                <w:szCs w:val="20"/>
              </w:rPr>
              <w:t>that align to areas of support under Australia’s AIP for Vietnam or other WOG priorities, and be government departments, civil society organisations, or businesses, that Australia is already working with.</w:t>
            </w:r>
            <w:r w:rsidR="0076480A" w:rsidRPr="0076480A">
              <w:rPr>
                <w:rFonts w:ascii="Franklin Gothic Book" w:hAnsi="Franklin Gothic Book"/>
                <w:sz w:val="20"/>
                <w:szCs w:val="20"/>
              </w:rPr>
              <w:t xml:space="preserve"> </w:t>
            </w:r>
            <w:r w:rsidR="00732ED9" w:rsidRPr="0076480A">
              <w:rPr>
                <w:rFonts w:ascii="Franklin Gothic Book" w:hAnsi="Franklin Gothic Book"/>
                <w:sz w:val="20"/>
                <w:szCs w:val="20"/>
              </w:rPr>
              <w:t>Selection of the organisations will be guided by: (</w:t>
            </w:r>
            <w:proofErr w:type="spellStart"/>
            <w:r w:rsidR="00732ED9" w:rsidRPr="0076480A">
              <w:rPr>
                <w:rFonts w:ascii="Franklin Gothic Book" w:hAnsi="Franklin Gothic Book"/>
                <w:sz w:val="20"/>
                <w:szCs w:val="20"/>
              </w:rPr>
              <w:t>i</w:t>
            </w:r>
            <w:proofErr w:type="spellEnd"/>
            <w:r w:rsidR="00732ED9" w:rsidRPr="0076480A">
              <w:rPr>
                <w:rFonts w:ascii="Franklin Gothic Book" w:hAnsi="Franklin Gothic Book"/>
                <w:sz w:val="20"/>
                <w:szCs w:val="20"/>
              </w:rPr>
              <w:t xml:space="preserve">) </w:t>
            </w:r>
            <w:r w:rsidR="0076480A" w:rsidRPr="0076480A">
              <w:rPr>
                <w:rFonts w:ascii="Franklin Gothic Book" w:hAnsi="Franklin Gothic Book"/>
                <w:sz w:val="20"/>
                <w:szCs w:val="20"/>
              </w:rPr>
              <w:t xml:space="preserve">the organisations </w:t>
            </w:r>
            <w:r w:rsidR="00732ED9" w:rsidRPr="0076480A">
              <w:rPr>
                <w:rFonts w:ascii="Franklin Gothic Book" w:hAnsi="Franklin Gothic Book"/>
                <w:sz w:val="20"/>
                <w:szCs w:val="20"/>
              </w:rPr>
              <w:t xml:space="preserve">level of commitment and capacity/willingness to </w:t>
            </w:r>
            <w:r w:rsidR="00732ED9" w:rsidRPr="0076480A">
              <w:rPr>
                <w:rFonts w:ascii="Franklin Gothic Book" w:hAnsi="Franklin Gothic Book"/>
                <w:iCs/>
                <w:sz w:val="20"/>
                <w:szCs w:val="20"/>
              </w:rPr>
              <w:t xml:space="preserve">take new reform steps to adapt and implement Australian experience; (ii) </w:t>
            </w:r>
            <w:r w:rsidR="0076480A" w:rsidRPr="0076480A">
              <w:rPr>
                <w:rFonts w:ascii="Franklin Gothic Book" w:hAnsi="Franklin Gothic Book"/>
                <w:iCs/>
                <w:sz w:val="20"/>
                <w:szCs w:val="20"/>
              </w:rPr>
              <w:t xml:space="preserve">the </w:t>
            </w:r>
            <w:r w:rsidR="00732ED9" w:rsidRPr="0076480A">
              <w:rPr>
                <w:rFonts w:ascii="Franklin Gothic Book" w:hAnsi="Franklin Gothic Book"/>
                <w:sz w:val="20"/>
                <w:szCs w:val="20"/>
              </w:rPr>
              <w:t>HR capacity development needs of the org</w:t>
            </w:r>
            <w:r w:rsidR="0076480A" w:rsidRPr="0076480A">
              <w:rPr>
                <w:rFonts w:ascii="Franklin Gothic Book" w:hAnsi="Franklin Gothic Book"/>
                <w:sz w:val="20"/>
                <w:szCs w:val="20"/>
              </w:rPr>
              <w:t xml:space="preserve">anisation are aligned with </w:t>
            </w:r>
            <w:r w:rsidR="00493495">
              <w:rPr>
                <w:rFonts w:ascii="Franklin Gothic Book" w:hAnsi="Franklin Gothic Book"/>
                <w:sz w:val="20"/>
                <w:szCs w:val="20"/>
              </w:rPr>
              <w:t xml:space="preserve">Australia’s </w:t>
            </w:r>
            <w:r w:rsidR="00732ED9" w:rsidRPr="0076480A">
              <w:rPr>
                <w:rFonts w:ascii="Franklin Gothic Book" w:hAnsi="Franklin Gothic Book"/>
                <w:sz w:val="20"/>
                <w:szCs w:val="20"/>
              </w:rPr>
              <w:t>areas of value-add (our domestic expertise); and (iii) the opportunity for two-way learning and experience exchange, so there is benefit for both Vietnam and Australia.</w:t>
            </w:r>
          </w:p>
          <w:p w:rsidR="0076480A" w:rsidRPr="00001F00" w:rsidRDefault="0076480A" w:rsidP="00BE19EF">
            <w:pPr>
              <w:pStyle w:val="ListParagraph"/>
              <w:numPr>
                <w:ilvl w:val="0"/>
                <w:numId w:val="31"/>
              </w:numPr>
              <w:spacing w:before="200" w:after="200"/>
              <w:contextualSpacing w:val="0"/>
              <w:rPr>
                <w:rFonts w:ascii="Franklin Gothic Book" w:hAnsi="Franklin Gothic Book"/>
                <w:sz w:val="20"/>
                <w:szCs w:val="20"/>
              </w:rPr>
            </w:pPr>
            <w:r w:rsidRPr="00A30606">
              <w:rPr>
                <w:rFonts w:ascii="Franklin Gothic Book" w:hAnsi="Franklin Gothic Book" w:cs="Arial"/>
                <w:b/>
                <w:sz w:val="20"/>
                <w:szCs w:val="20"/>
              </w:rPr>
              <w:t>Vietnamese mid-career women</w:t>
            </w:r>
            <w:r w:rsidRPr="00001F00">
              <w:rPr>
                <w:rFonts w:ascii="Franklin Gothic Book" w:hAnsi="Franklin Gothic Book"/>
                <w:sz w:val="20"/>
                <w:szCs w:val="20"/>
              </w:rPr>
              <w:t xml:space="preserve"> to</w:t>
            </w:r>
            <w:r w:rsidRPr="00001F00">
              <w:rPr>
                <w:rFonts w:ascii="Franklin Gothic Book" w:hAnsi="Franklin Gothic Book" w:cs="Arial"/>
                <w:sz w:val="20"/>
                <w:szCs w:val="20"/>
              </w:rPr>
              <w:t xml:space="preserve"> enhance their promotion to senior positions in Vietnam. This will include </w:t>
            </w:r>
            <w:r w:rsidRPr="00001F00">
              <w:rPr>
                <w:rFonts w:ascii="Franklin Gothic Book" w:hAnsi="Franklin Gothic Book"/>
                <w:sz w:val="20"/>
                <w:szCs w:val="20"/>
              </w:rPr>
              <w:t>opportunities for technical and leadership training to help narrow the gaps in professional development and promotion opportunities that Vietnamese women are facing as compared to their male counterparts. A preparatory study</w:t>
            </w:r>
            <w:r w:rsidR="00001F00">
              <w:rPr>
                <w:rFonts w:ascii="Franklin Gothic Book" w:hAnsi="Franklin Gothic Book"/>
                <w:sz w:val="20"/>
                <w:szCs w:val="20"/>
              </w:rPr>
              <w:t xml:space="preserve"> on </w:t>
            </w:r>
            <w:r w:rsidR="00001F00" w:rsidRPr="00001F00">
              <w:rPr>
                <w:rFonts w:ascii="Franklin Gothic Book" w:hAnsi="Franklin Gothic Book"/>
                <w:i/>
                <w:sz w:val="20"/>
                <w:szCs w:val="20"/>
              </w:rPr>
              <w:t>s</w:t>
            </w:r>
            <w:r w:rsidRPr="00001F00">
              <w:rPr>
                <w:rFonts w:ascii="Franklin Gothic Book" w:hAnsi="Franklin Gothic Book"/>
                <w:i/>
                <w:sz w:val="20"/>
                <w:szCs w:val="20"/>
              </w:rPr>
              <w:t>trategies for enhancing the promotion of Vietnamese mid-career women to senior positions in Vietnam</w:t>
            </w:r>
            <w:r w:rsidR="00001F00">
              <w:rPr>
                <w:rFonts w:ascii="Franklin Gothic Book" w:hAnsi="Franklin Gothic Book"/>
                <w:sz w:val="20"/>
                <w:szCs w:val="20"/>
              </w:rPr>
              <w:t xml:space="preserve"> is currently under development and will inform the Investment Design.</w:t>
            </w:r>
            <w:r w:rsidR="00BE2629">
              <w:rPr>
                <w:rFonts w:ascii="Franklin Gothic Book" w:hAnsi="Franklin Gothic Book"/>
                <w:sz w:val="20"/>
                <w:szCs w:val="20"/>
              </w:rPr>
              <w:t xml:space="preserve"> </w:t>
            </w:r>
          </w:p>
          <w:p w:rsidR="002167FB" w:rsidRPr="008E3CD5" w:rsidRDefault="008E3CD5" w:rsidP="00BE19EF">
            <w:pPr>
              <w:spacing w:before="200" w:after="200"/>
              <w:rPr>
                <w:rFonts w:ascii="Franklin Gothic Book" w:hAnsi="Franklin Gothic Book"/>
                <w:szCs w:val="20"/>
              </w:rPr>
            </w:pPr>
            <w:r w:rsidRPr="008E3CD5">
              <w:rPr>
                <w:rFonts w:ascii="Franklin Gothic Book" w:hAnsi="Franklin Gothic Book"/>
              </w:rPr>
              <w:t>Th</w:t>
            </w:r>
            <w:r w:rsidR="00C63CA2">
              <w:rPr>
                <w:rFonts w:ascii="Franklin Gothic Book" w:hAnsi="Franklin Gothic Book"/>
              </w:rPr>
              <w:t xml:space="preserve">e support of organisational development </w:t>
            </w:r>
            <w:r w:rsidRPr="008E3CD5">
              <w:rPr>
                <w:rFonts w:ascii="Franklin Gothic Book" w:hAnsi="Franklin Gothic Book"/>
              </w:rPr>
              <w:t xml:space="preserve">is a new approach for Australia. It will require time to understand the </w:t>
            </w:r>
            <w:r w:rsidR="00C65D27">
              <w:rPr>
                <w:rFonts w:ascii="Franklin Gothic Book" w:hAnsi="Franklin Gothic Book"/>
              </w:rPr>
              <w:t xml:space="preserve">needs of </w:t>
            </w:r>
            <w:r w:rsidR="00A30606">
              <w:rPr>
                <w:rFonts w:ascii="Franklin Gothic Book" w:hAnsi="Franklin Gothic Book"/>
              </w:rPr>
              <w:t xml:space="preserve">women and </w:t>
            </w:r>
            <w:r w:rsidR="00C65D27">
              <w:rPr>
                <w:rFonts w:ascii="Franklin Gothic Book" w:hAnsi="Franklin Gothic Book"/>
              </w:rPr>
              <w:t xml:space="preserve">the </w:t>
            </w:r>
            <w:r w:rsidRPr="008E3CD5">
              <w:rPr>
                <w:rFonts w:ascii="Franklin Gothic Book" w:hAnsi="Franklin Gothic Book"/>
              </w:rPr>
              <w:t>selected organisations</w:t>
            </w:r>
            <w:r w:rsidR="00C65D27">
              <w:rPr>
                <w:rFonts w:ascii="Franklin Gothic Book" w:hAnsi="Franklin Gothic Book"/>
              </w:rPr>
              <w:t>,</w:t>
            </w:r>
            <w:r w:rsidRPr="008E3CD5">
              <w:rPr>
                <w:rFonts w:ascii="Franklin Gothic Book" w:hAnsi="Franklin Gothic Book"/>
              </w:rPr>
              <w:t xml:space="preserve"> </w:t>
            </w:r>
            <w:r w:rsidR="00C65D27">
              <w:rPr>
                <w:rFonts w:ascii="Franklin Gothic Book" w:hAnsi="Franklin Gothic Book"/>
              </w:rPr>
              <w:t>identify</w:t>
            </w:r>
            <w:r w:rsidRPr="008E3CD5">
              <w:rPr>
                <w:rFonts w:ascii="Franklin Gothic Book" w:hAnsi="Franklin Gothic Book"/>
              </w:rPr>
              <w:t xml:space="preserve"> appropriate support</w:t>
            </w:r>
            <w:r w:rsidR="00C65D27">
              <w:rPr>
                <w:rFonts w:ascii="Franklin Gothic Book" w:hAnsi="Franklin Gothic Book"/>
              </w:rPr>
              <w:t xml:space="preserve"> options</w:t>
            </w:r>
            <w:r w:rsidRPr="008E3CD5">
              <w:rPr>
                <w:rFonts w:ascii="Franklin Gothic Book" w:hAnsi="Franklin Gothic Book"/>
              </w:rPr>
              <w:t xml:space="preserve">, and establish the support mechanisms. </w:t>
            </w:r>
            <w:r w:rsidR="007B2880">
              <w:rPr>
                <w:rFonts w:ascii="Franklin Gothic Book" w:hAnsi="Franklin Gothic Book"/>
              </w:rPr>
              <w:t>The investment</w:t>
            </w:r>
            <w:r w:rsidR="007B2880" w:rsidRPr="008E3CD5">
              <w:rPr>
                <w:rFonts w:ascii="Franklin Gothic Book" w:hAnsi="Franklin Gothic Book"/>
              </w:rPr>
              <w:t xml:space="preserve"> </w:t>
            </w:r>
            <w:r w:rsidRPr="008E3CD5">
              <w:rPr>
                <w:rFonts w:ascii="Franklin Gothic Book" w:hAnsi="Franklin Gothic Book"/>
              </w:rPr>
              <w:t xml:space="preserve">will need to be flexible and scalable in order to </w:t>
            </w:r>
            <w:r w:rsidR="00C65D27">
              <w:rPr>
                <w:rFonts w:ascii="Franklin Gothic Book" w:hAnsi="Franklin Gothic Book"/>
              </w:rPr>
              <w:t>tailor</w:t>
            </w:r>
            <w:r w:rsidRPr="008E3CD5">
              <w:rPr>
                <w:rFonts w:ascii="Franklin Gothic Book" w:hAnsi="Franklin Gothic Book"/>
              </w:rPr>
              <w:t xml:space="preserve"> support according to its results. </w:t>
            </w:r>
            <w:r w:rsidR="009A4CCD">
              <w:rPr>
                <w:rFonts w:ascii="Franklin Gothic Book" w:hAnsi="Franklin Gothic Book"/>
              </w:rPr>
              <w:t>It is recognised that for maximum effectiveness, i</w:t>
            </w:r>
            <w:r w:rsidR="009A4CCD" w:rsidRPr="009A4CCD">
              <w:rPr>
                <w:rFonts w:ascii="Franklin Gothic Book" w:hAnsi="Franklin Gothic Book"/>
              </w:rPr>
              <w:t xml:space="preserve">mproved human resource management </w:t>
            </w:r>
            <w:r w:rsidR="009A4CCD">
              <w:rPr>
                <w:rFonts w:ascii="Franklin Gothic Book" w:hAnsi="Franklin Gothic Book"/>
              </w:rPr>
              <w:t>will in many cases need</w:t>
            </w:r>
            <w:r w:rsidR="009A4CCD" w:rsidRPr="009A4CCD">
              <w:rPr>
                <w:rFonts w:ascii="Franklin Gothic Book" w:hAnsi="Franklin Gothic Book"/>
              </w:rPr>
              <w:t xml:space="preserve"> to be backed up </w:t>
            </w:r>
            <w:r w:rsidR="009A4CCD">
              <w:rPr>
                <w:rFonts w:ascii="Franklin Gothic Book" w:hAnsi="Franklin Gothic Book"/>
              </w:rPr>
              <w:t xml:space="preserve">by systemic </w:t>
            </w:r>
            <w:r w:rsidR="009A4CCD" w:rsidRPr="009A4CCD">
              <w:rPr>
                <w:rFonts w:ascii="Franklin Gothic Book" w:hAnsi="Franklin Gothic Book"/>
              </w:rPr>
              <w:t xml:space="preserve">institutional, legal and/or policy </w:t>
            </w:r>
            <w:r w:rsidR="00F95123">
              <w:rPr>
                <w:rFonts w:ascii="Franklin Gothic Book" w:hAnsi="Franklin Gothic Book"/>
              </w:rPr>
              <w:t>reforms</w:t>
            </w:r>
            <w:r w:rsidR="009A4CCD" w:rsidRPr="009A4CCD">
              <w:rPr>
                <w:rFonts w:ascii="Franklin Gothic Book" w:hAnsi="Franklin Gothic Book"/>
              </w:rPr>
              <w:t>, as well as shifts in social norms, to facilitate people (especially women) putting their skills into practice in their organisation and advancing in the workforce.</w:t>
            </w:r>
          </w:p>
          <w:p w:rsidR="00CE5053" w:rsidRPr="00881873" w:rsidRDefault="00CE5053" w:rsidP="00CE5053">
            <w:pPr>
              <w:spacing w:before="200" w:after="200"/>
              <w:rPr>
                <w:rFonts w:ascii="Franklin Gothic Book" w:hAnsi="Franklin Gothic Book"/>
                <w:b/>
                <w:i/>
                <w:szCs w:val="20"/>
              </w:rPr>
            </w:pPr>
            <w:r w:rsidRPr="00881873">
              <w:rPr>
                <w:rFonts w:ascii="Franklin Gothic Book" w:hAnsi="Franklin Gothic Book"/>
                <w:b/>
                <w:i/>
                <w:szCs w:val="20"/>
              </w:rPr>
              <w:t xml:space="preserve">The following options were </w:t>
            </w:r>
            <w:r w:rsidRPr="00881873">
              <w:rPr>
                <w:rFonts w:ascii="Franklin Gothic Book" w:hAnsi="Franklin Gothic Book"/>
                <w:b/>
                <w:i/>
                <w:szCs w:val="20"/>
                <w:u w:val="single"/>
              </w:rPr>
              <w:t>not</w:t>
            </w:r>
            <w:r w:rsidRPr="00881873">
              <w:rPr>
                <w:rFonts w:ascii="Franklin Gothic Book" w:hAnsi="Franklin Gothic Book"/>
                <w:b/>
                <w:i/>
                <w:szCs w:val="20"/>
              </w:rPr>
              <w:t xml:space="preserve"> supported through the HRD Strategy:</w:t>
            </w:r>
          </w:p>
          <w:p w:rsidR="00CE5053" w:rsidRDefault="00CE5053" w:rsidP="00CE5053">
            <w:pPr>
              <w:pStyle w:val="ListParagraph"/>
              <w:numPr>
                <w:ilvl w:val="0"/>
                <w:numId w:val="30"/>
              </w:numPr>
              <w:spacing w:before="200" w:after="200"/>
              <w:contextualSpacing w:val="0"/>
              <w:rPr>
                <w:rFonts w:ascii="Franklin Gothic Book" w:hAnsi="Franklin Gothic Book"/>
                <w:sz w:val="20"/>
                <w:szCs w:val="20"/>
              </w:rPr>
            </w:pPr>
            <w:r w:rsidRPr="00C91827">
              <w:rPr>
                <w:rFonts w:ascii="Franklin Gothic Book" w:hAnsi="Franklin Gothic Book"/>
                <w:b/>
                <w:i/>
                <w:sz w:val="20"/>
                <w:szCs w:val="20"/>
              </w:rPr>
              <w:t xml:space="preserve">Early childhood and basic education. </w:t>
            </w:r>
            <w:r w:rsidRPr="00C91827">
              <w:rPr>
                <w:rFonts w:ascii="Franklin Gothic Book" w:hAnsi="Franklin Gothic Book"/>
                <w:sz w:val="20"/>
                <w:szCs w:val="20"/>
              </w:rPr>
              <w:t xml:space="preserve">Significant investment by </w:t>
            </w:r>
            <w:r>
              <w:rPr>
                <w:rFonts w:ascii="Franklin Gothic Book" w:hAnsi="Franklin Gothic Book"/>
                <w:sz w:val="20"/>
                <w:szCs w:val="20"/>
              </w:rPr>
              <w:t>the WB, ADB</w:t>
            </w:r>
            <w:r w:rsidRPr="00C91827">
              <w:rPr>
                <w:rFonts w:ascii="Franklin Gothic Book" w:hAnsi="Franklin Gothic Book"/>
                <w:sz w:val="20"/>
                <w:szCs w:val="20"/>
              </w:rPr>
              <w:t xml:space="preserve"> and GOV has resulted in more students </w:t>
            </w:r>
            <w:r>
              <w:rPr>
                <w:rFonts w:ascii="Franklin Gothic Book" w:hAnsi="Franklin Gothic Book"/>
                <w:sz w:val="20"/>
                <w:szCs w:val="20"/>
              </w:rPr>
              <w:t xml:space="preserve">accessing and </w:t>
            </w:r>
            <w:r w:rsidRPr="00C91827">
              <w:rPr>
                <w:rFonts w:ascii="Franklin Gothic Book" w:hAnsi="Franklin Gothic Book"/>
                <w:sz w:val="20"/>
                <w:szCs w:val="20"/>
              </w:rPr>
              <w:t>succeeding in achieving higher levels of learning attainment</w:t>
            </w:r>
            <w:r>
              <w:rPr>
                <w:rFonts w:ascii="Franklin Gothic Book" w:hAnsi="Franklin Gothic Book"/>
                <w:sz w:val="20"/>
                <w:szCs w:val="20"/>
              </w:rPr>
              <w:t>.</w:t>
            </w:r>
            <w:r w:rsidRPr="00C91827">
              <w:rPr>
                <w:rFonts w:ascii="Franklin Gothic Book" w:hAnsi="Franklin Gothic Book"/>
                <w:sz w:val="20"/>
                <w:szCs w:val="20"/>
              </w:rPr>
              <w:t xml:space="preserve"> There is a growing increase in school leavers who qualify for and demand access to higher education.</w:t>
            </w:r>
          </w:p>
          <w:p w:rsidR="00CE5053" w:rsidRDefault="00CE5053" w:rsidP="00CE5053">
            <w:pPr>
              <w:pStyle w:val="ListParagraph"/>
              <w:numPr>
                <w:ilvl w:val="0"/>
                <w:numId w:val="30"/>
              </w:numPr>
              <w:spacing w:before="200" w:after="200"/>
              <w:contextualSpacing w:val="0"/>
              <w:rPr>
                <w:rFonts w:ascii="Franklin Gothic Book" w:hAnsi="Franklin Gothic Book"/>
                <w:sz w:val="20"/>
                <w:szCs w:val="20"/>
              </w:rPr>
            </w:pPr>
            <w:r w:rsidRPr="008053C8">
              <w:rPr>
                <w:rFonts w:ascii="Franklin Gothic Book" w:hAnsi="Franklin Gothic Book"/>
                <w:b/>
                <w:i/>
                <w:sz w:val="20"/>
                <w:szCs w:val="20"/>
              </w:rPr>
              <w:t>Sector wide systemic reform</w:t>
            </w:r>
            <w:r w:rsidRPr="008053C8">
              <w:rPr>
                <w:rFonts w:ascii="Franklin Gothic Book" w:hAnsi="Franklin Gothic Book"/>
                <w:sz w:val="20"/>
                <w:szCs w:val="20"/>
              </w:rPr>
              <w:t xml:space="preserve">. This is an already crowded area with significant investment by WB, ADB, UN, Japan, Korea and Germany to help the GOV implement its </w:t>
            </w:r>
            <w:r w:rsidRPr="008053C8">
              <w:rPr>
                <w:rFonts w:ascii="Franklin Gothic Book" w:hAnsi="Franklin Gothic Book"/>
                <w:i/>
                <w:sz w:val="20"/>
                <w:szCs w:val="20"/>
              </w:rPr>
              <w:t xml:space="preserve">Higher Education Reform Agenda (2005-20). </w:t>
            </w:r>
            <w:r w:rsidRPr="008053C8">
              <w:rPr>
                <w:rFonts w:ascii="Franklin Gothic Book" w:hAnsi="Franklin Gothic Book"/>
                <w:sz w:val="20"/>
                <w:szCs w:val="20"/>
              </w:rPr>
              <w:t xml:space="preserve">Reform implementation has been slow and patchy. To be successful, systemic reform requires significant funds and time investment. </w:t>
            </w:r>
          </w:p>
          <w:p w:rsidR="00E63755" w:rsidRPr="00881873" w:rsidRDefault="00E63755" w:rsidP="00E63755">
            <w:pPr>
              <w:spacing w:before="200" w:after="200"/>
              <w:rPr>
                <w:rFonts w:ascii="Franklin Gothic Book" w:hAnsi="Franklin Gothic Book"/>
                <w:b/>
                <w:color w:val="1F497D" w:themeColor="text2"/>
                <w:szCs w:val="20"/>
              </w:rPr>
            </w:pPr>
            <w:r>
              <w:rPr>
                <w:rFonts w:ascii="Franklin Gothic Book" w:hAnsi="Franklin Gothic Book"/>
                <w:b/>
                <w:color w:val="1F497D" w:themeColor="text2"/>
                <w:szCs w:val="20"/>
              </w:rPr>
              <w:t>Considerations for t</w:t>
            </w:r>
            <w:r w:rsidRPr="00881873">
              <w:rPr>
                <w:rFonts w:ascii="Franklin Gothic Book" w:hAnsi="Franklin Gothic Book"/>
                <w:b/>
                <w:color w:val="1F497D" w:themeColor="text2"/>
                <w:szCs w:val="20"/>
              </w:rPr>
              <w:t>he Investment Design</w:t>
            </w:r>
          </w:p>
          <w:p w:rsidR="005A1D9B" w:rsidRDefault="005A1D9B" w:rsidP="00BE19EF">
            <w:pPr>
              <w:pStyle w:val="BodyText"/>
              <w:numPr>
                <w:ilvl w:val="0"/>
                <w:numId w:val="28"/>
              </w:numPr>
              <w:spacing w:after="0" w:line="240" w:lineRule="auto"/>
              <w:ind w:left="714" w:hanging="357"/>
              <w:rPr>
                <w:rFonts w:cs="Arial"/>
                <w:lang w:eastAsia="en-US"/>
              </w:rPr>
            </w:pPr>
            <w:r>
              <w:rPr>
                <w:rFonts w:cs="Arial"/>
                <w:lang w:eastAsia="en-US"/>
              </w:rPr>
              <w:t>the investment’s theory of change, including end outcome and intermediate outcomes</w:t>
            </w:r>
          </w:p>
          <w:p w:rsidR="000D0C60" w:rsidRPr="003E3D93" w:rsidRDefault="00EE11B2" w:rsidP="000D0C60">
            <w:pPr>
              <w:pStyle w:val="BodyText"/>
              <w:numPr>
                <w:ilvl w:val="0"/>
                <w:numId w:val="28"/>
              </w:numPr>
              <w:spacing w:after="0" w:line="240" w:lineRule="auto"/>
              <w:ind w:left="714" w:hanging="357"/>
              <w:rPr>
                <w:rFonts w:cs="Arial"/>
                <w:color w:val="000000" w:themeColor="text1"/>
                <w:lang w:eastAsia="en-US"/>
              </w:rPr>
            </w:pPr>
            <w:r>
              <w:rPr>
                <w:rFonts w:cs="Arial"/>
                <w:lang w:eastAsia="en-US"/>
              </w:rPr>
              <w:t xml:space="preserve">the </w:t>
            </w:r>
            <w:r w:rsidRPr="003E3D93">
              <w:rPr>
                <w:rFonts w:cs="Arial"/>
                <w:color w:val="000000" w:themeColor="text1"/>
                <w:lang w:eastAsia="en-US"/>
              </w:rPr>
              <w:t xml:space="preserve">targeting </w:t>
            </w:r>
            <w:r w:rsidR="00E91839" w:rsidRPr="003E3D93">
              <w:rPr>
                <w:rFonts w:cs="Arial"/>
                <w:color w:val="000000" w:themeColor="text1"/>
                <w:lang w:eastAsia="en-US"/>
              </w:rPr>
              <w:t xml:space="preserve">of </w:t>
            </w:r>
            <w:r w:rsidR="00777899" w:rsidRPr="003E3D93">
              <w:rPr>
                <w:rFonts w:cs="Arial"/>
                <w:color w:val="000000" w:themeColor="text1"/>
                <w:lang w:eastAsia="en-US"/>
              </w:rPr>
              <w:t>Australia Awards Scholarships</w:t>
            </w:r>
            <w:r w:rsidR="00E91839" w:rsidRPr="003E3D93">
              <w:rPr>
                <w:rFonts w:cs="Arial"/>
                <w:color w:val="000000" w:themeColor="text1"/>
                <w:lang w:eastAsia="en-US"/>
              </w:rPr>
              <w:t xml:space="preserve">, </w:t>
            </w:r>
            <w:r w:rsidR="00777899" w:rsidRPr="003E3D93">
              <w:rPr>
                <w:rFonts w:cs="Arial"/>
                <w:color w:val="000000" w:themeColor="text1"/>
                <w:lang w:eastAsia="en-US"/>
              </w:rPr>
              <w:t>particularly</w:t>
            </w:r>
            <w:r w:rsidR="00E91839" w:rsidRPr="003E3D93">
              <w:rPr>
                <w:rFonts w:cs="Arial"/>
                <w:color w:val="000000" w:themeColor="text1"/>
                <w:lang w:eastAsia="en-US"/>
              </w:rPr>
              <w:t xml:space="preserve"> for disadvantaged Vietnamese</w:t>
            </w:r>
            <w:r w:rsidR="000D0C60" w:rsidRPr="003E3D93">
              <w:rPr>
                <w:rFonts w:cs="Arial"/>
                <w:color w:val="000000" w:themeColor="text1"/>
                <w:lang w:eastAsia="en-US"/>
              </w:rPr>
              <w:t xml:space="preserve"> and what </w:t>
            </w:r>
            <w:r w:rsidR="000D0C60" w:rsidRPr="003E3D93">
              <w:rPr>
                <w:color w:val="000000" w:themeColor="text1"/>
              </w:rPr>
              <w:t xml:space="preserve">additional support would be required by </w:t>
            </w:r>
            <w:r w:rsidR="00777899" w:rsidRPr="003E3D93">
              <w:rPr>
                <w:color w:val="000000" w:themeColor="text1"/>
              </w:rPr>
              <w:t>such</w:t>
            </w:r>
            <w:r w:rsidR="000D0C60" w:rsidRPr="003E3D93">
              <w:rPr>
                <w:color w:val="000000" w:themeColor="text1"/>
              </w:rPr>
              <w:t xml:space="preserve"> scholarship recipients </w:t>
            </w:r>
          </w:p>
          <w:p w:rsidR="008E3CD5" w:rsidRPr="003E3D93" w:rsidRDefault="008E3CD5" w:rsidP="00BE19EF">
            <w:pPr>
              <w:pStyle w:val="BodyText"/>
              <w:numPr>
                <w:ilvl w:val="0"/>
                <w:numId w:val="28"/>
              </w:numPr>
              <w:spacing w:after="0" w:line="240" w:lineRule="auto"/>
              <w:ind w:left="714" w:hanging="357"/>
              <w:rPr>
                <w:rFonts w:cs="Arial"/>
                <w:color w:val="000000" w:themeColor="text1"/>
                <w:lang w:eastAsia="en-US"/>
              </w:rPr>
            </w:pPr>
            <w:r w:rsidRPr="003E3D93">
              <w:rPr>
                <w:rFonts w:cs="Arial"/>
                <w:color w:val="000000" w:themeColor="text1"/>
                <w:lang w:eastAsia="en-US"/>
              </w:rPr>
              <w:t xml:space="preserve">the </w:t>
            </w:r>
            <w:r w:rsidR="006E0817">
              <w:rPr>
                <w:rFonts w:cs="Arial"/>
                <w:color w:val="000000" w:themeColor="text1"/>
                <w:lang w:eastAsia="en-US"/>
              </w:rPr>
              <w:t xml:space="preserve">type of </w:t>
            </w:r>
            <w:r w:rsidR="00EF4296" w:rsidRPr="003E3D93">
              <w:rPr>
                <w:rFonts w:cs="Arial"/>
                <w:color w:val="000000" w:themeColor="text1"/>
                <w:lang w:eastAsia="en-US"/>
              </w:rPr>
              <w:t>HRD</w:t>
            </w:r>
            <w:r w:rsidR="006E0817">
              <w:rPr>
                <w:rFonts w:cs="Arial"/>
                <w:color w:val="000000" w:themeColor="text1"/>
                <w:lang w:eastAsia="en-US"/>
              </w:rPr>
              <w:t xml:space="preserve"> and </w:t>
            </w:r>
            <w:r w:rsidR="00F378ED">
              <w:rPr>
                <w:rFonts w:cs="Arial"/>
                <w:color w:val="000000" w:themeColor="text1"/>
                <w:lang w:eastAsia="en-US"/>
              </w:rPr>
              <w:t>strategic</w:t>
            </w:r>
            <w:r w:rsidR="00EF4296" w:rsidRPr="003E3D93">
              <w:rPr>
                <w:rFonts w:cs="Arial"/>
                <w:color w:val="000000" w:themeColor="text1"/>
                <w:lang w:eastAsia="en-US"/>
              </w:rPr>
              <w:t xml:space="preserve"> support for the </w:t>
            </w:r>
            <w:r w:rsidRPr="003E3D93">
              <w:rPr>
                <w:rFonts w:cs="Arial"/>
                <w:color w:val="000000" w:themeColor="text1"/>
                <w:lang w:eastAsia="en-US"/>
              </w:rPr>
              <w:t xml:space="preserve">TVET </w:t>
            </w:r>
            <w:r w:rsidR="00EF4296" w:rsidRPr="003E3D93">
              <w:rPr>
                <w:rFonts w:cs="Arial"/>
                <w:color w:val="000000" w:themeColor="text1"/>
                <w:lang w:eastAsia="en-US"/>
              </w:rPr>
              <w:t xml:space="preserve">sector </w:t>
            </w:r>
          </w:p>
          <w:p w:rsidR="008E3CD5" w:rsidRDefault="008E3CD5" w:rsidP="00BE19EF">
            <w:pPr>
              <w:pStyle w:val="BodyText"/>
              <w:numPr>
                <w:ilvl w:val="0"/>
                <w:numId w:val="28"/>
              </w:numPr>
              <w:spacing w:after="0" w:line="240" w:lineRule="auto"/>
              <w:ind w:left="714" w:hanging="357"/>
              <w:rPr>
                <w:rFonts w:cs="Arial"/>
                <w:lang w:eastAsia="en-US"/>
              </w:rPr>
            </w:pPr>
            <w:r w:rsidRPr="003E3D93">
              <w:rPr>
                <w:rFonts w:cs="Arial"/>
                <w:color w:val="000000" w:themeColor="text1"/>
                <w:lang w:eastAsia="en-US"/>
              </w:rPr>
              <w:t xml:space="preserve">the delivery model/s of </w:t>
            </w:r>
            <w:r w:rsidR="00777899" w:rsidRPr="003E3D93">
              <w:rPr>
                <w:rFonts w:cs="Arial"/>
                <w:color w:val="000000" w:themeColor="text1"/>
                <w:lang w:eastAsia="en-US"/>
              </w:rPr>
              <w:t xml:space="preserve">Australia Awards </w:t>
            </w:r>
            <w:r w:rsidR="00777899" w:rsidRPr="00777899">
              <w:rPr>
                <w:rFonts w:cs="Arial"/>
                <w:lang w:eastAsia="en-US"/>
              </w:rPr>
              <w:t>Scholarships</w:t>
            </w:r>
          </w:p>
          <w:p w:rsidR="00E91839" w:rsidRDefault="00E91839" w:rsidP="00BE19EF">
            <w:pPr>
              <w:pStyle w:val="BodyText"/>
              <w:numPr>
                <w:ilvl w:val="0"/>
                <w:numId w:val="28"/>
              </w:numPr>
              <w:spacing w:after="0" w:line="240" w:lineRule="auto"/>
              <w:ind w:left="714" w:hanging="357"/>
              <w:rPr>
                <w:rFonts w:cs="Arial"/>
                <w:lang w:eastAsia="en-US"/>
              </w:rPr>
            </w:pPr>
            <w:r>
              <w:rPr>
                <w:rFonts w:cs="Arial"/>
                <w:lang w:eastAsia="en-US"/>
              </w:rPr>
              <w:t xml:space="preserve">the </w:t>
            </w:r>
            <w:r w:rsidR="008E3CD5">
              <w:rPr>
                <w:rFonts w:cs="Arial"/>
                <w:lang w:eastAsia="en-US"/>
              </w:rPr>
              <w:t>skills utilisation approach, including mainstream and targeted support for women, and support for TVET-</w:t>
            </w:r>
            <w:r w:rsidR="00F378ED">
              <w:rPr>
                <w:rFonts w:cs="Arial"/>
                <w:lang w:eastAsia="en-US"/>
              </w:rPr>
              <w:t>industry/</w:t>
            </w:r>
            <w:r w:rsidR="001A784D">
              <w:rPr>
                <w:rFonts w:cs="Arial"/>
                <w:lang w:eastAsia="en-US"/>
              </w:rPr>
              <w:t>business</w:t>
            </w:r>
            <w:r w:rsidR="008E3CD5">
              <w:rPr>
                <w:rFonts w:cs="Arial"/>
                <w:lang w:eastAsia="en-US"/>
              </w:rPr>
              <w:t xml:space="preserve"> engagement</w:t>
            </w:r>
          </w:p>
          <w:p w:rsidR="00F95123" w:rsidRDefault="00F95123" w:rsidP="00BE19EF">
            <w:pPr>
              <w:pStyle w:val="BodyText"/>
              <w:numPr>
                <w:ilvl w:val="0"/>
                <w:numId w:val="28"/>
              </w:numPr>
              <w:spacing w:after="0" w:line="240" w:lineRule="auto"/>
              <w:ind w:left="714" w:hanging="357"/>
              <w:rPr>
                <w:rFonts w:cs="Arial"/>
                <w:lang w:eastAsia="en-US"/>
              </w:rPr>
            </w:pPr>
            <w:proofErr w:type="gramStart"/>
            <w:r w:rsidRPr="00F95123">
              <w:rPr>
                <w:rFonts w:cs="Arial"/>
                <w:lang w:eastAsia="en-US"/>
              </w:rPr>
              <w:t>how</w:t>
            </w:r>
            <w:proofErr w:type="gramEnd"/>
            <w:r w:rsidRPr="00F95123">
              <w:rPr>
                <w:rFonts w:cs="Arial"/>
                <w:lang w:eastAsia="en-US"/>
              </w:rPr>
              <w:t xml:space="preserve"> innovative ways </w:t>
            </w:r>
            <w:r>
              <w:rPr>
                <w:rFonts w:cs="Arial"/>
                <w:lang w:eastAsia="en-US"/>
              </w:rPr>
              <w:t xml:space="preserve">can be used </w:t>
            </w:r>
            <w:r w:rsidRPr="00F95123">
              <w:rPr>
                <w:rFonts w:cs="Arial"/>
                <w:lang w:eastAsia="en-US"/>
              </w:rPr>
              <w:t xml:space="preserve">to promote private sector growth or engage the private sector in </w:t>
            </w:r>
            <w:r w:rsidRPr="00F95123">
              <w:rPr>
                <w:rFonts w:cs="Arial"/>
                <w:lang w:eastAsia="en-US"/>
              </w:rPr>
              <w:lastRenderedPageBreak/>
              <w:t>achieving development outcomes.</w:t>
            </w:r>
          </w:p>
          <w:p w:rsidR="00EE11B2" w:rsidRDefault="00E91839" w:rsidP="00BE19EF">
            <w:pPr>
              <w:pStyle w:val="BodyText"/>
              <w:numPr>
                <w:ilvl w:val="0"/>
                <w:numId w:val="28"/>
              </w:numPr>
              <w:spacing w:after="0" w:line="240" w:lineRule="auto"/>
              <w:ind w:left="714" w:hanging="357"/>
              <w:rPr>
                <w:rFonts w:cs="Arial"/>
                <w:lang w:eastAsia="en-US"/>
              </w:rPr>
            </w:pPr>
            <w:r>
              <w:rPr>
                <w:rFonts w:cs="Arial"/>
                <w:lang w:eastAsia="en-US"/>
              </w:rPr>
              <w:t>the organisations that will receive targeted support</w:t>
            </w:r>
            <w:r w:rsidR="009A18C7">
              <w:rPr>
                <w:rFonts w:cs="Arial"/>
                <w:lang w:eastAsia="en-US"/>
              </w:rPr>
              <w:t xml:space="preserve">, and </w:t>
            </w:r>
            <w:r w:rsidR="00157679">
              <w:rPr>
                <w:rFonts w:cs="Arial"/>
                <w:lang w:eastAsia="en-US"/>
              </w:rPr>
              <w:t>options for support</w:t>
            </w:r>
          </w:p>
          <w:p w:rsidR="00FF2BB0" w:rsidRPr="008C2ED3" w:rsidRDefault="00FF2BB0" w:rsidP="00FF2BB0">
            <w:pPr>
              <w:pStyle w:val="BodyText"/>
              <w:numPr>
                <w:ilvl w:val="0"/>
                <w:numId w:val="28"/>
              </w:numPr>
              <w:spacing w:after="0" w:line="240" w:lineRule="auto"/>
              <w:ind w:left="714" w:hanging="357"/>
              <w:rPr>
                <w:rFonts w:cs="Arial"/>
                <w:lang w:eastAsia="en-US"/>
              </w:rPr>
            </w:pPr>
            <w:proofErr w:type="gramStart"/>
            <w:r>
              <w:t>the</w:t>
            </w:r>
            <w:proofErr w:type="gramEnd"/>
            <w:r>
              <w:t xml:space="preserve"> importance of design and modality flexibility given that it is recognised that the Australia-Vietnam relationship is expected to evolve into a new type of engagement up</w:t>
            </w:r>
            <w:r w:rsidR="004C4E9D">
              <w:t xml:space="preserve"> </w:t>
            </w:r>
            <w:r>
              <w:t>to 2020</w:t>
            </w:r>
            <w:r w:rsidR="00F378ED">
              <w:t xml:space="preserve"> and beyond</w:t>
            </w:r>
            <w:r>
              <w:t>.</w:t>
            </w:r>
          </w:p>
        </w:tc>
      </w:tr>
      <w:tr w:rsidR="0093262F" w:rsidRPr="00BD306C" w:rsidTr="00E46D88">
        <w:trPr>
          <w:cantSplit w:val="0"/>
        </w:trPr>
        <w:tc>
          <w:tcPr>
            <w:tcW w:w="9781" w:type="dxa"/>
            <w:tcBorders>
              <w:bottom w:val="single" w:sz="4" w:space="0" w:color="808080"/>
            </w:tcBorders>
            <w:shd w:val="clear" w:color="auto" w:fill="F7F3A7"/>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D:</w:t>
            </w:r>
            <w:r w:rsidR="00161DDA" w:rsidRPr="00BD306C">
              <w:rPr>
                <w:rFonts w:ascii="Franklin Gothic Book" w:eastAsia="Times New Roman" w:hAnsi="Franklin Gothic Book" w:cs="Arial"/>
                <w:b/>
                <w:sz w:val="22"/>
                <w:szCs w:val="22"/>
                <w:lang w:eastAsia="en-US"/>
              </w:rPr>
              <w:t xml:space="preserve"> Implementation/</w:t>
            </w:r>
            <w:r w:rsidRPr="00BD306C">
              <w:rPr>
                <w:rFonts w:ascii="Franklin Gothic Book" w:eastAsia="Times New Roman" w:hAnsi="Franklin Gothic Book" w:cs="Arial"/>
                <w:b/>
                <w:sz w:val="22"/>
                <w:szCs w:val="22"/>
                <w:lang w:eastAsia="en-US"/>
              </w:rPr>
              <w:t xml:space="preserve">delivery approach (How and with whom?)  </w:t>
            </w:r>
          </w:p>
        </w:tc>
      </w:tr>
      <w:tr w:rsidR="0093262F" w:rsidRPr="00BD306C" w:rsidTr="00E46D88">
        <w:trPr>
          <w:cantSplit w:val="0"/>
        </w:trPr>
        <w:tc>
          <w:tcPr>
            <w:tcW w:w="9781" w:type="dxa"/>
          </w:tcPr>
          <w:p w:rsidR="00901E8E" w:rsidRPr="00901E8E" w:rsidRDefault="00901E8E" w:rsidP="00A357D7">
            <w:pPr>
              <w:pStyle w:val="BodyText"/>
              <w:spacing w:before="200" w:after="200" w:line="240" w:lineRule="auto"/>
              <w:rPr>
                <w:b/>
                <w:color w:val="1F497D" w:themeColor="text2"/>
              </w:rPr>
            </w:pPr>
            <w:r w:rsidRPr="00901E8E">
              <w:rPr>
                <w:b/>
                <w:color w:val="1F497D" w:themeColor="text2"/>
              </w:rPr>
              <w:t>Delivery options</w:t>
            </w:r>
          </w:p>
          <w:p w:rsidR="000C359F" w:rsidRDefault="000C359F" w:rsidP="00A357D7">
            <w:pPr>
              <w:pStyle w:val="BodyText"/>
              <w:spacing w:before="200" w:after="200" w:line="240" w:lineRule="auto"/>
            </w:pPr>
            <w:r>
              <w:t>Various delivery approaches have been considered</w:t>
            </w:r>
            <w:r w:rsidR="0053557B">
              <w:t>.</w:t>
            </w:r>
            <w:r>
              <w:t xml:space="preserve"> </w:t>
            </w:r>
            <w:r w:rsidR="004262A2">
              <w:t xml:space="preserve">The following </w:t>
            </w:r>
            <w:r w:rsidR="004262A2" w:rsidRPr="004262A2">
              <w:t>o</w:t>
            </w:r>
            <w:r w:rsidRPr="004262A2">
              <w:t>ption</w:t>
            </w:r>
            <w:r w:rsidRPr="00E63755">
              <w:rPr>
                <w:i/>
              </w:rPr>
              <w:t xml:space="preserve"> </w:t>
            </w:r>
            <w:r w:rsidR="0053557B">
              <w:t xml:space="preserve">is recommended for support. </w:t>
            </w:r>
          </w:p>
          <w:p w:rsidR="000C359F" w:rsidRPr="000C359F" w:rsidRDefault="000C359F" w:rsidP="00A357D7">
            <w:pPr>
              <w:pStyle w:val="BodyText"/>
              <w:spacing w:before="200" w:after="200" w:line="240" w:lineRule="auto"/>
              <w:rPr>
                <w:b/>
              </w:rPr>
            </w:pPr>
            <w:r w:rsidRPr="000C359F">
              <w:rPr>
                <w:b/>
              </w:rPr>
              <w:t>Managing Contractor with management under a Facility model</w:t>
            </w:r>
          </w:p>
          <w:p w:rsidR="00DF341C" w:rsidRPr="00774DEA" w:rsidRDefault="00DF341C" w:rsidP="00A357D7">
            <w:pPr>
              <w:pStyle w:val="BodyText"/>
              <w:spacing w:before="200" w:after="200" w:line="240" w:lineRule="auto"/>
            </w:pPr>
            <w:r>
              <w:t xml:space="preserve">It is proposed the investment be delivered through a </w:t>
            </w:r>
            <w:r w:rsidRPr="008016A9">
              <w:rPr>
                <w:i/>
              </w:rPr>
              <w:t>Facility</w:t>
            </w:r>
            <w:r w:rsidRPr="00774DEA">
              <w:t xml:space="preserve"> </w:t>
            </w:r>
            <w:r>
              <w:t>model. The facility would</w:t>
            </w:r>
            <w:r w:rsidRPr="00774DEA">
              <w:t xml:space="preserve"> </w:t>
            </w:r>
            <w:r w:rsidR="006831EB">
              <w:t xml:space="preserve">house and coordinate </w:t>
            </w:r>
            <w:r w:rsidR="003624B4">
              <w:t>both investment components</w:t>
            </w:r>
            <w:r w:rsidRPr="00774DEA">
              <w:t>.</w:t>
            </w:r>
            <w:r>
              <w:t xml:space="preserve"> This approach would:</w:t>
            </w:r>
          </w:p>
          <w:p w:rsidR="006831EB" w:rsidRDefault="006831EB" w:rsidP="00A357D7">
            <w:pPr>
              <w:pStyle w:val="BodyText"/>
              <w:numPr>
                <w:ilvl w:val="0"/>
                <w:numId w:val="33"/>
              </w:numPr>
              <w:spacing w:after="0" w:line="240" w:lineRule="auto"/>
              <w:ind w:left="714" w:hanging="357"/>
            </w:pPr>
            <w:r>
              <w:t>provide a focal point for Australian HRD assistance</w:t>
            </w:r>
            <w:r w:rsidR="00821C7F">
              <w:t xml:space="preserve"> and strengthen Australia’s visibility</w:t>
            </w:r>
          </w:p>
          <w:p w:rsidR="00DF341C" w:rsidRDefault="00DF341C" w:rsidP="00A357D7">
            <w:pPr>
              <w:pStyle w:val="BodyText"/>
              <w:numPr>
                <w:ilvl w:val="0"/>
                <w:numId w:val="33"/>
              </w:numPr>
              <w:spacing w:after="0" w:line="240" w:lineRule="auto"/>
              <w:ind w:left="714" w:hanging="357"/>
            </w:pPr>
            <w:r w:rsidRPr="00774DEA">
              <w:t>help ensure a cohesive package of support for selected organisations</w:t>
            </w:r>
          </w:p>
          <w:p w:rsidR="00DF341C" w:rsidRDefault="00DF341C" w:rsidP="00A357D7">
            <w:pPr>
              <w:pStyle w:val="BodyText"/>
              <w:numPr>
                <w:ilvl w:val="0"/>
                <w:numId w:val="33"/>
              </w:numPr>
              <w:spacing w:after="0" w:line="240" w:lineRule="auto"/>
              <w:ind w:left="714" w:hanging="357"/>
            </w:pPr>
            <w:r w:rsidRPr="00774DEA">
              <w:t xml:space="preserve">maximise efficiencies in implementing costs </w:t>
            </w:r>
            <w:r>
              <w:t xml:space="preserve">and allow </w:t>
            </w:r>
            <w:r w:rsidRPr="00774DEA">
              <w:t xml:space="preserve">scope to manage a relatively </w:t>
            </w:r>
            <w:r w:rsidRPr="00774DEA">
              <w:rPr>
                <w:i/>
              </w:rPr>
              <w:t>fixed</w:t>
            </w:r>
            <w:r w:rsidRPr="00774DEA">
              <w:t xml:space="preserve"> operating fund for expenditure </w:t>
            </w:r>
            <w:r>
              <w:t>for the</w:t>
            </w:r>
            <w:r w:rsidRPr="00774DEA">
              <w:t xml:space="preserve"> scholarships </w:t>
            </w:r>
            <w:r>
              <w:t xml:space="preserve">component </w:t>
            </w:r>
            <w:r w:rsidRPr="00774DEA">
              <w:t xml:space="preserve">alongside a </w:t>
            </w:r>
            <w:r w:rsidRPr="00774DEA">
              <w:rPr>
                <w:i/>
              </w:rPr>
              <w:t>flexible</w:t>
            </w:r>
            <w:r w:rsidRPr="00774DEA">
              <w:t xml:space="preserve"> fund to support emerging needs for the workplace support </w:t>
            </w:r>
            <w:r>
              <w:t>component</w:t>
            </w:r>
          </w:p>
          <w:p w:rsidR="00DF341C" w:rsidRPr="00DF341C" w:rsidRDefault="00DF341C" w:rsidP="00A357D7">
            <w:pPr>
              <w:pStyle w:val="BodyText"/>
              <w:numPr>
                <w:ilvl w:val="0"/>
                <w:numId w:val="33"/>
              </w:numPr>
              <w:spacing w:after="0" w:line="240" w:lineRule="auto"/>
              <w:ind w:left="714" w:hanging="357"/>
            </w:pPr>
            <w:r w:rsidRPr="00DF341C">
              <w:rPr>
                <w:rFonts w:cs="Arial"/>
              </w:rPr>
              <w:t>allow interventions to commence slowly, expand where results are being achieved, or be re-allocated as necessary</w:t>
            </w:r>
          </w:p>
          <w:p w:rsidR="00DF341C" w:rsidRDefault="00DF341C" w:rsidP="00A357D7">
            <w:pPr>
              <w:pStyle w:val="BodyText"/>
              <w:numPr>
                <w:ilvl w:val="0"/>
                <w:numId w:val="33"/>
              </w:numPr>
              <w:spacing w:after="0" w:line="240" w:lineRule="auto"/>
              <w:ind w:left="714" w:hanging="357"/>
            </w:pPr>
            <w:r w:rsidRPr="00774DEA">
              <w:t>motivate Australian and Vietnamese stakeholders to explore</w:t>
            </w:r>
            <w:r>
              <w:t xml:space="preserve"> opportunities to work together</w:t>
            </w:r>
          </w:p>
          <w:p w:rsidR="00DF341C" w:rsidRDefault="00DF341C" w:rsidP="00A357D7">
            <w:pPr>
              <w:pStyle w:val="BodyText"/>
              <w:numPr>
                <w:ilvl w:val="0"/>
                <w:numId w:val="33"/>
              </w:numPr>
              <w:spacing w:after="0" w:line="240" w:lineRule="auto"/>
              <w:ind w:left="714" w:hanging="357"/>
            </w:pPr>
            <w:proofErr w:type="gramStart"/>
            <w:r w:rsidRPr="00774DEA">
              <w:t>support</w:t>
            </w:r>
            <w:proofErr w:type="gramEnd"/>
            <w:r w:rsidRPr="00774DEA">
              <w:t xml:space="preserve"> promotion and demand </w:t>
            </w:r>
            <w:r>
              <w:t>for</w:t>
            </w:r>
            <w:r w:rsidRPr="00774DEA">
              <w:t xml:space="preserve"> other modalities, such as AAF, </w:t>
            </w:r>
            <w:r>
              <w:t>GPFD</w:t>
            </w:r>
            <w:r w:rsidRPr="00774DEA">
              <w:t>, and AVID.</w:t>
            </w:r>
          </w:p>
          <w:p w:rsidR="003624B4" w:rsidRDefault="00DF341C" w:rsidP="00A357D7">
            <w:pPr>
              <w:pStyle w:val="BodyText"/>
              <w:spacing w:before="200" w:after="200" w:line="240" w:lineRule="auto"/>
            </w:pPr>
            <w:r>
              <w:t xml:space="preserve">It is proposed </w:t>
            </w:r>
            <w:r w:rsidR="00BE2629">
              <w:t>a</w:t>
            </w:r>
            <w:r>
              <w:t xml:space="preserve"> </w:t>
            </w:r>
            <w:r w:rsidR="00DA10A8">
              <w:t xml:space="preserve">managing </w:t>
            </w:r>
            <w:r>
              <w:t xml:space="preserve">contractor </w:t>
            </w:r>
            <w:r w:rsidR="00DA10A8">
              <w:t xml:space="preserve">be engaged to manage the facility. This would provide DFAT the opportunity to outsource multiple resource-intensive tasks associated with the management of a significant number of scholarships and place them collectively within the framework of a single administering agency. Under this model, the managing contractor supplies dedicated resources and expertise toward the associated day to day tasks </w:t>
            </w:r>
            <w:r w:rsidR="00777899">
              <w:t xml:space="preserve">associated with administering, reporting and M&amp;E </w:t>
            </w:r>
            <w:r w:rsidR="003624B4">
              <w:t>of both investment components:</w:t>
            </w:r>
          </w:p>
          <w:p w:rsidR="003624B4" w:rsidRDefault="003624B4" w:rsidP="00A357D7">
            <w:pPr>
              <w:pStyle w:val="BodyText"/>
              <w:numPr>
                <w:ilvl w:val="0"/>
                <w:numId w:val="35"/>
              </w:numPr>
              <w:spacing w:before="200" w:after="200" w:line="240" w:lineRule="auto"/>
            </w:pPr>
            <w:r>
              <w:t xml:space="preserve">Component 1: </w:t>
            </w:r>
            <w:r w:rsidR="00DA10A8">
              <w:t xml:space="preserve">promotion and selection, </w:t>
            </w:r>
            <w:r>
              <w:t xml:space="preserve">English language training, </w:t>
            </w:r>
            <w:r w:rsidR="00DA10A8">
              <w:t>pre-departure, departure, on award management, reintegration and al</w:t>
            </w:r>
            <w:r>
              <w:t>umni activities</w:t>
            </w:r>
          </w:p>
          <w:p w:rsidR="003624B4" w:rsidRDefault="003624B4" w:rsidP="00A357D7">
            <w:pPr>
              <w:pStyle w:val="BodyText"/>
              <w:numPr>
                <w:ilvl w:val="0"/>
                <w:numId w:val="35"/>
              </w:numPr>
              <w:spacing w:before="200" w:after="200" w:line="240" w:lineRule="auto"/>
            </w:pPr>
            <w:r>
              <w:t>Component 2: research</w:t>
            </w:r>
            <w:r w:rsidR="00D50EB5">
              <w:t xml:space="preserve">, technical assistance, </w:t>
            </w:r>
            <w:r>
              <w:t>short courses</w:t>
            </w:r>
            <w:r w:rsidR="00D50EB5">
              <w:t>, partnerships</w:t>
            </w:r>
          </w:p>
          <w:p w:rsidR="00BE2629" w:rsidRDefault="00BE2629" w:rsidP="00A357D7">
            <w:pPr>
              <w:pStyle w:val="BodyText"/>
              <w:spacing w:before="200" w:after="200" w:line="240" w:lineRule="auto"/>
            </w:pPr>
            <w:r>
              <w:t xml:space="preserve">It is proposed </w:t>
            </w:r>
            <w:r w:rsidR="00E709AA">
              <w:t xml:space="preserve">a </w:t>
            </w:r>
            <w:r w:rsidR="00E709AA" w:rsidRPr="00E709AA">
              <w:rPr>
                <w:i/>
              </w:rPr>
              <w:t>single</w:t>
            </w:r>
            <w:r>
              <w:t xml:space="preserve"> contractor be engaged to support the cohesive approach (with outsourcing as required), although options for the managing contractor model will be explored during the Investment Design. </w:t>
            </w:r>
          </w:p>
          <w:p w:rsidR="00DF341C" w:rsidRPr="00D50EB5" w:rsidRDefault="00D50EB5" w:rsidP="00A357D7">
            <w:pPr>
              <w:pStyle w:val="BodyText"/>
              <w:spacing w:before="200" w:after="200" w:line="240" w:lineRule="auto"/>
              <w:rPr>
                <w:b/>
                <w:color w:val="1F497D" w:themeColor="text2"/>
              </w:rPr>
            </w:pPr>
            <w:r w:rsidRPr="00D50EB5">
              <w:rPr>
                <w:b/>
                <w:color w:val="1F497D" w:themeColor="text2"/>
              </w:rPr>
              <w:t>Partnerships</w:t>
            </w:r>
          </w:p>
          <w:p w:rsidR="00D50EB5" w:rsidRDefault="00881C6E" w:rsidP="002C1700">
            <w:pPr>
              <w:pStyle w:val="BodyText"/>
              <w:spacing w:before="200" w:after="200" w:line="240" w:lineRule="auto"/>
            </w:pPr>
            <w:r w:rsidRPr="00233E7D">
              <w:t>We will establish a formal partnership with MOET as the counterpart</w:t>
            </w:r>
            <w:r w:rsidR="00E709AA">
              <w:t xml:space="preserve"> authority for the investment. </w:t>
            </w:r>
            <w:r w:rsidR="00021832" w:rsidRPr="00233E7D">
              <w:t xml:space="preserve">DFAT will </w:t>
            </w:r>
            <w:r w:rsidRPr="00233E7D">
              <w:t xml:space="preserve">manage the strategic planning and approval of key aspects of the </w:t>
            </w:r>
            <w:r w:rsidR="00021832" w:rsidRPr="00233E7D">
              <w:t xml:space="preserve">investment in partnership with MOET. Partnerships will also be established with the respective line ministries of the targeted organisations, which is of particular importance to component 2. </w:t>
            </w:r>
            <w:r w:rsidR="00E667A9">
              <w:t xml:space="preserve"> These partnerships will be based around principles of mutual obligation and a commitment to stronger workplace environments. </w:t>
            </w:r>
            <w:r w:rsidR="00E709AA">
              <w:t xml:space="preserve"> </w:t>
            </w:r>
            <w:r w:rsidR="00FB13BD">
              <w:t xml:space="preserve">A </w:t>
            </w:r>
            <w:r w:rsidR="00E709AA">
              <w:t xml:space="preserve">strategic oversight mechanism, such as a </w:t>
            </w:r>
            <w:r w:rsidR="00E709AA" w:rsidRPr="00E709AA">
              <w:rPr>
                <w:i/>
              </w:rPr>
              <w:t>steering committee</w:t>
            </w:r>
            <w:r w:rsidR="00E709AA">
              <w:t xml:space="preserve">, will be established to put into practice the partnership arrangement and ensure senior </w:t>
            </w:r>
            <w:r w:rsidR="00901E8E">
              <w:t xml:space="preserve">oversight by </w:t>
            </w:r>
            <w:r w:rsidR="00E709AA">
              <w:t xml:space="preserve">DFAT and GOV </w:t>
            </w:r>
            <w:r w:rsidR="00901E8E">
              <w:t xml:space="preserve">officials. </w:t>
            </w:r>
          </w:p>
          <w:p w:rsidR="00901E8E" w:rsidRDefault="00901E8E" w:rsidP="002C1700">
            <w:pPr>
              <w:pStyle w:val="BodyText"/>
              <w:spacing w:before="200" w:after="200" w:line="240" w:lineRule="auto"/>
            </w:pPr>
            <w:r>
              <w:t xml:space="preserve">As part of the AAS model, DFAT has established partnerships with Australian education institutions to provide the education and training for AAS recipients. </w:t>
            </w:r>
            <w:r w:rsidR="007E5B5B">
              <w:t xml:space="preserve">Under the proposed investment, partnerships will also be explored for the delivery of some of the training to be conducted in Vietnam, by Australian institutions or their partners. </w:t>
            </w:r>
            <w:r w:rsidRPr="00901E8E">
              <w:t>.</w:t>
            </w:r>
          </w:p>
          <w:p w:rsidR="00E709AA" w:rsidRPr="00881873" w:rsidRDefault="00E63755" w:rsidP="00A357D7">
            <w:pPr>
              <w:spacing w:before="200" w:after="200"/>
              <w:rPr>
                <w:rFonts w:ascii="Franklin Gothic Book" w:hAnsi="Franklin Gothic Book"/>
                <w:b/>
                <w:color w:val="1F497D" w:themeColor="text2"/>
                <w:szCs w:val="20"/>
              </w:rPr>
            </w:pPr>
            <w:r>
              <w:rPr>
                <w:rFonts w:ascii="Franklin Gothic Book" w:hAnsi="Franklin Gothic Book"/>
                <w:b/>
                <w:color w:val="1F497D" w:themeColor="text2"/>
                <w:szCs w:val="20"/>
              </w:rPr>
              <w:t>Considerations for t</w:t>
            </w:r>
            <w:r w:rsidR="00E709AA" w:rsidRPr="00881873">
              <w:rPr>
                <w:rFonts w:ascii="Franklin Gothic Book" w:hAnsi="Franklin Gothic Book"/>
                <w:b/>
                <w:color w:val="1F497D" w:themeColor="text2"/>
                <w:szCs w:val="20"/>
              </w:rPr>
              <w:t>he Investment Design</w:t>
            </w:r>
          </w:p>
          <w:p w:rsidR="00E709AA" w:rsidRDefault="00E266D4" w:rsidP="00A357D7">
            <w:pPr>
              <w:pStyle w:val="BodyText"/>
              <w:numPr>
                <w:ilvl w:val="0"/>
                <w:numId w:val="37"/>
              </w:numPr>
              <w:spacing w:after="0" w:line="240" w:lineRule="auto"/>
              <w:ind w:left="714" w:hanging="357"/>
            </w:pPr>
            <w:r>
              <w:t>g</w:t>
            </w:r>
            <w:r w:rsidR="00E709AA">
              <w:t>overnance and management arrangements, specifically the roles of DFAT, the managing contractor, and partner government</w:t>
            </w:r>
          </w:p>
          <w:p w:rsidR="00E63755" w:rsidRDefault="00E63755" w:rsidP="00A357D7">
            <w:pPr>
              <w:pStyle w:val="BodyText"/>
              <w:numPr>
                <w:ilvl w:val="0"/>
                <w:numId w:val="37"/>
              </w:numPr>
              <w:spacing w:after="0" w:line="240" w:lineRule="auto"/>
              <w:ind w:left="714" w:hanging="357"/>
            </w:pPr>
            <w:r>
              <w:t>scholarships delivery models</w:t>
            </w:r>
          </w:p>
          <w:p w:rsidR="0093262F" w:rsidRPr="00E63755" w:rsidRDefault="00E63755" w:rsidP="00A357D7">
            <w:pPr>
              <w:pStyle w:val="BodyText"/>
              <w:numPr>
                <w:ilvl w:val="0"/>
                <w:numId w:val="37"/>
              </w:numPr>
              <w:spacing w:after="0" w:line="240" w:lineRule="auto"/>
              <w:ind w:left="714" w:hanging="357"/>
            </w:pPr>
            <w:r>
              <w:t>managing contractor requirements</w:t>
            </w:r>
          </w:p>
        </w:tc>
      </w:tr>
      <w:tr w:rsidR="0093262F" w:rsidRPr="00BD306C" w:rsidTr="00E46D88">
        <w:trPr>
          <w:cantSplit w:val="0"/>
        </w:trPr>
        <w:tc>
          <w:tcPr>
            <w:tcW w:w="9781" w:type="dxa"/>
            <w:tcBorders>
              <w:bottom w:val="single" w:sz="4" w:space="0" w:color="808080"/>
            </w:tcBorders>
            <w:shd w:val="clear" w:color="auto" w:fill="F7F3A7"/>
          </w:tcPr>
          <w:p w:rsidR="0093262F" w:rsidRPr="00BD306C" w:rsidRDefault="0093262F" w:rsidP="00A357D7">
            <w:pPr>
              <w:tabs>
                <w:tab w:val="num" w:pos="568"/>
              </w:tabs>
              <w:spacing w:before="200" w:after="200"/>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 xml:space="preserve">E: Risk </w:t>
            </w:r>
            <w:r w:rsidR="00A54396">
              <w:rPr>
                <w:rFonts w:ascii="Franklin Gothic Book" w:eastAsia="Times New Roman" w:hAnsi="Franklin Gothic Book" w:cs="Arial"/>
                <w:b/>
                <w:sz w:val="22"/>
                <w:szCs w:val="22"/>
                <w:lang w:eastAsia="en-US"/>
              </w:rPr>
              <w:t>assessment approach</w:t>
            </w:r>
            <w:r w:rsidR="00A54396" w:rsidRPr="00BD306C">
              <w:rPr>
                <w:rFonts w:ascii="Franklin Gothic Book" w:eastAsia="Times New Roman" w:hAnsi="Franklin Gothic Book" w:cs="Arial"/>
                <w:b/>
                <w:sz w:val="22"/>
                <w:szCs w:val="22"/>
                <w:lang w:eastAsia="en-US"/>
              </w:rPr>
              <w:t xml:space="preserve"> </w:t>
            </w:r>
            <w:r w:rsidRPr="00BD306C">
              <w:rPr>
                <w:rFonts w:ascii="Franklin Gothic Book" w:eastAsia="Times New Roman" w:hAnsi="Franklin Gothic Book" w:cs="Arial"/>
                <w:b/>
                <w:sz w:val="22"/>
                <w:szCs w:val="22"/>
                <w:lang w:eastAsia="en-US"/>
              </w:rPr>
              <w:t xml:space="preserve">(What might go wrong?)  </w:t>
            </w:r>
          </w:p>
        </w:tc>
      </w:tr>
      <w:tr w:rsidR="0093262F" w:rsidRPr="00BD306C" w:rsidTr="00E46D88">
        <w:trPr>
          <w:cantSplit w:val="0"/>
        </w:trPr>
        <w:tc>
          <w:tcPr>
            <w:tcW w:w="9781" w:type="dxa"/>
          </w:tcPr>
          <w:p w:rsidR="007D19E0" w:rsidRDefault="00E61490" w:rsidP="00A357D7">
            <w:pPr>
              <w:pStyle w:val="BodyText"/>
              <w:spacing w:before="200" w:after="200" w:line="240" w:lineRule="auto"/>
            </w:pPr>
            <w:r w:rsidRPr="007D19E0">
              <w:t xml:space="preserve">Transition to a different HRD delivery approach and entering into new investment areas brings a level of </w:t>
            </w:r>
            <w:r w:rsidR="004D6DA6" w:rsidRPr="007D19E0">
              <w:t xml:space="preserve">new </w:t>
            </w:r>
            <w:r w:rsidRPr="007D19E0">
              <w:t xml:space="preserve">risk to the aid program. </w:t>
            </w:r>
            <w:r w:rsidR="007D19E0" w:rsidRPr="007D19E0">
              <w:t xml:space="preserve">A full risk analysis will be undertaken in the upcoming design. </w:t>
            </w:r>
            <w:r w:rsidR="005F42AD" w:rsidRPr="005F42AD">
              <w:t xml:space="preserve">The Investment Design Risk </w:t>
            </w:r>
            <w:r w:rsidR="005F42AD" w:rsidRPr="005F42AD">
              <w:lastRenderedPageBreak/>
              <w:t xml:space="preserve">Assessment (see below) indicates that overall </w:t>
            </w:r>
            <w:r w:rsidR="005F42AD" w:rsidRPr="00A91DCC">
              <w:rPr>
                <w:b/>
              </w:rPr>
              <w:t xml:space="preserve">the HRD Program is </w:t>
            </w:r>
            <w:r w:rsidR="005F42AD" w:rsidRPr="005F42AD">
              <w:rPr>
                <w:b/>
              </w:rPr>
              <w:t>low risk investment</w:t>
            </w:r>
            <w:r w:rsidR="005F42AD">
              <w:t>.</w:t>
            </w:r>
            <w:r w:rsidR="00FB13BD">
              <w:t xml:space="preserve"> </w:t>
            </w:r>
            <w:r w:rsidRPr="007D19E0">
              <w:t xml:space="preserve">The key </w:t>
            </w:r>
            <w:r w:rsidR="005F42AD">
              <w:t xml:space="preserve">investment </w:t>
            </w:r>
            <w:r w:rsidRPr="007D19E0">
              <w:t>risks identified include:</w:t>
            </w:r>
            <w:r w:rsidR="004D6DA6" w:rsidRPr="007D19E0">
              <w:t xml:space="preserve">  a fragmented HRD portfolio that is unwieldy and increases the overall management challenges of the program and diminishes its effectiveness</w:t>
            </w:r>
            <w:r w:rsidR="00E667A9">
              <w:t xml:space="preserve"> to create synergies and manage effectively/efficiently;</w:t>
            </w:r>
            <w:r w:rsidR="004D6DA6" w:rsidRPr="007D19E0">
              <w:t xml:space="preserve"> </w:t>
            </w:r>
            <w:r w:rsidR="00DA5876">
              <w:rPr>
                <w:rFonts w:eastAsiaTheme="minorEastAsia"/>
              </w:rPr>
              <w:t>p</w:t>
            </w:r>
            <w:r w:rsidR="004D6DA6" w:rsidRPr="007D19E0">
              <w:rPr>
                <w:rFonts w:eastAsiaTheme="minorEastAsia"/>
              </w:rPr>
              <w:t>artner organisations do not facilitate the application of newly acquired skills and knowledge</w:t>
            </w:r>
            <w:r w:rsidR="004D6DA6" w:rsidRPr="007D19E0">
              <w:t xml:space="preserve"> negating the impact of the training on organisational outcomes; </w:t>
            </w:r>
            <w:r w:rsidR="000C3DD7" w:rsidRPr="007D19E0">
              <w:rPr>
                <w:rFonts w:eastAsiaTheme="minorEastAsia"/>
              </w:rPr>
              <w:t>partner agencies do not have ability to create enabling environment due to higher level systemic issues relating to civil service reform</w:t>
            </w:r>
            <w:r w:rsidR="000C3DD7" w:rsidRPr="007D19E0">
              <w:t>;</w:t>
            </w:r>
            <w:r w:rsidR="000C3DD7" w:rsidRPr="007D19E0">
              <w:rPr>
                <w:rFonts w:eastAsiaTheme="minorEastAsia"/>
              </w:rPr>
              <w:t xml:space="preserve"> development </w:t>
            </w:r>
            <w:r w:rsidR="004D6DA6" w:rsidRPr="007D19E0">
              <w:rPr>
                <w:rFonts w:eastAsiaTheme="minorEastAsia"/>
              </w:rPr>
              <w:t>of HR capacity at provincial and district levels is affected by limited partner agency resources, centralist attitudes and poorly articulated delivery structures</w:t>
            </w:r>
            <w:r w:rsidR="004D6DA6" w:rsidRPr="007D19E0">
              <w:t xml:space="preserve">; </w:t>
            </w:r>
            <w:r w:rsidR="000C3DD7" w:rsidRPr="007D19E0">
              <w:t xml:space="preserve">extent </w:t>
            </w:r>
            <w:r w:rsidR="004D6DA6" w:rsidRPr="007D19E0">
              <w:t xml:space="preserve">of DFAT budget available for the overall strategy is insufficient to achieve desired outcomes. </w:t>
            </w:r>
          </w:p>
          <w:p w:rsidR="00400D42" w:rsidRPr="007D19E0" w:rsidRDefault="00E61490" w:rsidP="00A357D7">
            <w:pPr>
              <w:pStyle w:val="BodyText"/>
              <w:spacing w:before="200" w:after="200" w:line="240" w:lineRule="auto"/>
            </w:pPr>
            <w:r w:rsidRPr="007D19E0">
              <w:t xml:space="preserve">These risks and associated mitigation strategies will be reviewed by the design team based on in-country consultations during the design mission.  They will be discussed during the design team’s presentation of the Aide Memoire and during peer-review of the design. Identified program risks will </w:t>
            </w:r>
            <w:r w:rsidR="004D6DA6" w:rsidRPr="007D19E0">
              <w:t xml:space="preserve">then </w:t>
            </w:r>
            <w:r w:rsidRPr="007D19E0">
              <w:t xml:space="preserve">be managed in accordance with the Aid Programming Guide and </w:t>
            </w:r>
            <w:r w:rsidR="00400D42" w:rsidRPr="007D19E0">
              <w:t>will</w:t>
            </w:r>
            <w:r w:rsidRPr="007D19E0">
              <w:t xml:space="preserve"> feed into the overall Vietnam Program’s Risk Register and Post Risk and Fraud Management Plan. </w:t>
            </w:r>
          </w:p>
          <w:p w:rsidR="0093262F" w:rsidRPr="007D19E0" w:rsidRDefault="00E61490" w:rsidP="00A357D7">
            <w:pPr>
              <w:pStyle w:val="BodyText"/>
              <w:spacing w:before="200" w:after="200" w:line="240" w:lineRule="auto"/>
              <w:rPr>
                <w:szCs w:val="22"/>
              </w:rPr>
            </w:pPr>
            <w:r w:rsidRPr="007D19E0">
              <w:t xml:space="preserve">At this stage, </w:t>
            </w:r>
            <w:r w:rsidR="005F42AD">
              <w:t xml:space="preserve">there are </w:t>
            </w:r>
            <w:r w:rsidRPr="007D19E0">
              <w:t xml:space="preserve">no </w:t>
            </w:r>
            <w:r w:rsidR="005F42AD">
              <w:t xml:space="preserve">major safeguard </w:t>
            </w:r>
            <w:r w:rsidRPr="007D19E0">
              <w:t xml:space="preserve">risks </w:t>
            </w:r>
            <w:r w:rsidR="005F42AD">
              <w:t>(</w:t>
            </w:r>
            <w:r w:rsidR="005F42AD" w:rsidRPr="007D19E0">
              <w:t>child protection, displacement and resettlemen</w:t>
            </w:r>
            <w:r w:rsidR="005F42AD">
              <w:t xml:space="preserve">t and environmental protection) </w:t>
            </w:r>
            <w:r w:rsidRPr="007D19E0">
              <w:t xml:space="preserve">anticipated </w:t>
            </w:r>
            <w:r w:rsidR="005F42AD">
              <w:t xml:space="preserve">for this investment. </w:t>
            </w:r>
            <w:r w:rsidRPr="007D19E0">
              <w:t>This will be further assessed during the design and peer review phase.</w:t>
            </w:r>
          </w:p>
        </w:tc>
      </w:tr>
    </w:tbl>
    <w:p w:rsidR="00CB13AC" w:rsidRPr="00456754" w:rsidRDefault="00CB13AC" w:rsidP="004262A2">
      <w:pPr>
        <w:tabs>
          <w:tab w:val="left" w:pos="4769"/>
        </w:tabs>
        <w:sectPr w:rsidR="00CB13AC" w:rsidRPr="00456754" w:rsidSect="00B26EE5">
          <w:headerReference w:type="even" r:id="rId12"/>
          <w:headerReference w:type="default" r:id="rId13"/>
          <w:footerReference w:type="default" r:id="rId14"/>
          <w:headerReference w:type="first" r:id="rId15"/>
          <w:footerReference w:type="first" r:id="rId16"/>
          <w:pgSz w:w="11907" w:h="16840" w:code="9"/>
          <w:pgMar w:top="494" w:right="1871" w:bottom="907" w:left="1871" w:header="170" w:footer="454" w:gutter="0"/>
          <w:cols w:space="720"/>
          <w:titlePg/>
          <w:docGrid w:linePitch="272"/>
        </w:sectPr>
      </w:pPr>
    </w:p>
    <w:p w:rsidR="00B43671" w:rsidRPr="00E14560" w:rsidRDefault="00B43671" w:rsidP="004262A2">
      <w:pPr>
        <w:pStyle w:val="Heading2"/>
        <w:rPr>
          <w:rFonts w:ascii="Franklin Gothic Book" w:hAnsi="Franklin Gothic Book"/>
          <w:sz w:val="21"/>
          <w:szCs w:val="21"/>
        </w:rPr>
      </w:pPr>
    </w:p>
    <w:sectPr w:rsidR="00B43671" w:rsidRPr="00E14560" w:rsidSect="00732E68">
      <w:pgSz w:w="11907" w:h="16840" w:code="9"/>
      <w:pgMar w:top="494" w:right="1871" w:bottom="907" w:left="567" w:header="170"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CE" w:rsidRDefault="001E62CE" w:rsidP="0050529F">
      <w:r>
        <w:separator/>
      </w:r>
    </w:p>
    <w:p w:rsidR="001E62CE" w:rsidRDefault="001E62CE"/>
    <w:p w:rsidR="001E62CE" w:rsidRDefault="001E62CE"/>
    <w:p w:rsidR="001E62CE" w:rsidRDefault="001E62CE"/>
    <w:p w:rsidR="001E62CE" w:rsidRDefault="001E62CE"/>
    <w:p w:rsidR="001E62CE" w:rsidRDefault="001E62CE"/>
    <w:p w:rsidR="001E62CE" w:rsidRDefault="001E62CE"/>
  </w:endnote>
  <w:endnote w:type="continuationSeparator" w:id="0">
    <w:p w:rsidR="001E62CE" w:rsidRDefault="001E62CE" w:rsidP="0050529F">
      <w:r>
        <w:continuationSeparator/>
      </w:r>
    </w:p>
    <w:p w:rsidR="001E62CE" w:rsidRDefault="001E62CE"/>
    <w:p w:rsidR="001E62CE" w:rsidRDefault="001E62CE"/>
    <w:p w:rsidR="001E62CE" w:rsidRDefault="001E62CE"/>
    <w:p w:rsidR="001E62CE" w:rsidRDefault="001E62CE"/>
    <w:p w:rsidR="001E62CE" w:rsidRDefault="001E62CE"/>
    <w:p w:rsidR="001E62CE" w:rsidRDefault="001E62CE"/>
  </w:endnote>
  <w:endnote w:id="1">
    <w:p w:rsidR="00FB13BD" w:rsidRPr="003E3D93" w:rsidRDefault="00FB13BD">
      <w:pPr>
        <w:pStyle w:val="EndnoteText"/>
        <w:rPr>
          <w:sz w:val="16"/>
          <w:szCs w:val="16"/>
        </w:rPr>
      </w:pPr>
      <w:r>
        <w:rPr>
          <w:rStyle w:val="EndnoteReference"/>
        </w:rPr>
        <w:endnoteRef/>
      </w:r>
      <w:r>
        <w:t xml:space="preserve"> </w:t>
      </w:r>
      <w:r w:rsidRPr="003E3D93">
        <w:rPr>
          <w:sz w:val="16"/>
          <w:szCs w:val="16"/>
        </w:rPr>
        <w:t xml:space="preserve">Asian Development Bank (2014) Vietnam Development Report: Skilling </w:t>
      </w:r>
      <w:proofErr w:type="gramStart"/>
      <w:r w:rsidRPr="003E3D93">
        <w:rPr>
          <w:sz w:val="16"/>
          <w:szCs w:val="16"/>
        </w:rPr>
        <w:t>Up</w:t>
      </w:r>
      <w:proofErr w:type="gramEnd"/>
      <w:r w:rsidRPr="003E3D93">
        <w:rPr>
          <w:sz w:val="16"/>
          <w:szCs w:val="16"/>
        </w:rPr>
        <w:t xml:space="preserve"> Vietnam: Preparing the workforce for a modern market economy. Coxhead, I. et al. (2009): 76.</w:t>
      </w:r>
    </w:p>
  </w:endnote>
  <w:endnote w:id="2">
    <w:p w:rsidR="00FB13BD" w:rsidRPr="003E3D93" w:rsidRDefault="00FB13BD">
      <w:pPr>
        <w:pStyle w:val="EndnoteText"/>
        <w:rPr>
          <w:sz w:val="16"/>
          <w:szCs w:val="16"/>
        </w:rPr>
      </w:pPr>
      <w:r w:rsidRPr="003E3D93">
        <w:rPr>
          <w:rStyle w:val="EndnoteReference"/>
          <w:sz w:val="16"/>
          <w:szCs w:val="16"/>
        </w:rPr>
        <w:endnoteRef/>
      </w:r>
      <w:r w:rsidRPr="003E3D93">
        <w:rPr>
          <w:sz w:val="16"/>
          <w:szCs w:val="16"/>
        </w:rPr>
        <w:t xml:space="preserve"> Coxhead, I. et al. (2009). Getting to Work: Labour Market, Employment and Urbanization in Viet Nam to 2020-Learning from International Experiences. The Asia Foundation</w:t>
      </w:r>
    </w:p>
  </w:endnote>
  <w:endnote w:id="3">
    <w:p w:rsidR="00FB13BD" w:rsidRPr="003E3D93" w:rsidRDefault="00FB13BD" w:rsidP="004C6FCF">
      <w:pPr>
        <w:pStyle w:val="EndnoteText"/>
        <w:rPr>
          <w:sz w:val="16"/>
          <w:szCs w:val="16"/>
        </w:rPr>
      </w:pPr>
      <w:r w:rsidRPr="003E3D93">
        <w:rPr>
          <w:rStyle w:val="EndnoteReference"/>
          <w:sz w:val="16"/>
          <w:szCs w:val="16"/>
        </w:rPr>
        <w:endnoteRef/>
      </w:r>
      <w:r w:rsidRPr="003E3D93">
        <w:rPr>
          <w:sz w:val="16"/>
          <w:szCs w:val="16"/>
        </w:rPr>
        <w:t xml:space="preserve"> The literacy rate of the majority </w:t>
      </w:r>
      <w:proofErr w:type="spellStart"/>
      <w:r w:rsidRPr="003E3D93">
        <w:rPr>
          <w:sz w:val="16"/>
          <w:szCs w:val="16"/>
        </w:rPr>
        <w:t>Kinh</w:t>
      </w:r>
      <w:proofErr w:type="spellEnd"/>
      <w:r w:rsidRPr="003E3D93">
        <w:rPr>
          <w:sz w:val="16"/>
          <w:szCs w:val="16"/>
        </w:rPr>
        <w:t xml:space="preserve"> is 97% and that of the </w:t>
      </w:r>
      <w:proofErr w:type="spellStart"/>
      <w:r w:rsidRPr="003E3D93">
        <w:rPr>
          <w:sz w:val="16"/>
          <w:szCs w:val="16"/>
        </w:rPr>
        <w:t>Muong</w:t>
      </w:r>
      <w:proofErr w:type="spellEnd"/>
      <w:r w:rsidRPr="003E3D93">
        <w:rPr>
          <w:sz w:val="16"/>
          <w:szCs w:val="16"/>
        </w:rPr>
        <w:t xml:space="preserve"> people, among the lowest group, is 38%. The difference between these groups is highest at university level with 3.55 percentage points, slightly higher than “secondary technical level” with 2.2 percentage points. </w:t>
      </w:r>
      <w:proofErr w:type="gramStart"/>
      <w:r w:rsidRPr="003E3D93">
        <w:rPr>
          <w:sz w:val="16"/>
          <w:szCs w:val="16"/>
        </w:rPr>
        <w:t>(UNFPA 2011 Ethnic Groups in Vietnam).</w:t>
      </w:r>
      <w:proofErr w:type="gramEnd"/>
    </w:p>
  </w:endnote>
  <w:endnote w:id="4">
    <w:p w:rsidR="00FB13BD" w:rsidRPr="003E3D93" w:rsidRDefault="00FB13BD" w:rsidP="004C6FCF">
      <w:pPr>
        <w:pStyle w:val="EndnoteText"/>
        <w:rPr>
          <w:sz w:val="16"/>
          <w:szCs w:val="16"/>
        </w:rPr>
      </w:pPr>
      <w:r w:rsidRPr="003E3D93">
        <w:rPr>
          <w:rStyle w:val="EndnoteReference"/>
          <w:sz w:val="16"/>
          <w:szCs w:val="16"/>
        </w:rPr>
        <w:endnoteRef/>
      </w:r>
      <w:r w:rsidRPr="003E3D93">
        <w:rPr>
          <w:sz w:val="16"/>
          <w:szCs w:val="16"/>
        </w:rPr>
        <w:t xml:space="preserve"> The 2009 Census showed that 46% of adults with disabilities never attended school. The disparities are even larger for secondary and tertiary school completion rates. As a consequence, unemployment rates are also higher (30%) and 32% of households with a disabled family member live below the </w:t>
      </w:r>
      <w:r w:rsidRPr="003E3D93">
        <w:rPr>
          <w:iCs/>
          <w:sz w:val="16"/>
          <w:szCs w:val="16"/>
        </w:rPr>
        <w:t>poverty</w:t>
      </w:r>
      <w:r w:rsidRPr="003E3D93">
        <w:rPr>
          <w:sz w:val="16"/>
          <w:szCs w:val="16"/>
        </w:rPr>
        <w:t xml:space="preserve"> line.</w:t>
      </w:r>
    </w:p>
  </w:endnote>
  <w:endnote w:id="5">
    <w:p w:rsidR="00FB13BD" w:rsidRPr="003E3D93" w:rsidRDefault="00FB13BD" w:rsidP="004C6FCF">
      <w:pPr>
        <w:pStyle w:val="EndnoteText"/>
        <w:rPr>
          <w:i/>
          <w:sz w:val="16"/>
          <w:szCs w:val="16"/>
        </w:rPr>
      </w:pPr>
      <w:r w:rsidRPr="003E3D93">
        <w:rPr>
          <w:rStyle w:val="EndnoteReference"/>
          <w:sz w:val="16"/>
          <w:szCs w:val="16"/>
        </w:rPr>
        <w:endnoteRef/>
      </w:r>
      <w:r w:rsidRPr="003E3D93">
        <w:rPr>
          <w:sz w:val="16"/>
          <w:szCs w:val="16"/>
        </w:rPr>
        <w:t xml:space="preserve"> </w:t>
      </w:r>
      <w:r w:rsidRPr="003E3D93">
        <w:rPr>
          <w:rStyle w:val="Emphasis"/>
          <w:i w:val="0"/>
          <w:sz w:val="16"/>
          <w:szCs w:val="16"/>
        </w:rPr>
        <w:t>The labour force participation rate was 82.5% for men and 73.5% for women</w:t>
      </w:r>
      <w:r w:rsidRPr="003E3D93">
        <w:rPr>
          <w:sz w:val="16"/>
          <w:szCs w:val="16"/>
        </w:rPr>
        <w:t xml:space="preserve"> - </w:t>
      </w:r>
      <w:r w:rsidRPr="003E3D93">
        <w:rPr>
          <w:rStyle w:val="Emphasis"/>
          <w:sz w:val="16"/>
          <w:szCs w:val="16"/>
        </w:rPr>
        <w:t>Vietnam Labour Force Survey in 2013</w:t>
      </w:r>
    </w:p>
  </w:endnote>
  <w:endnote w:id="6">
    <w:p w:rsidR="00FB13BD" w:rsidRPr="00042659" w:rsidRDefault="00FB13BD" w:rsidP="004C6FCF">
      <w:pPr>
        <w:pStyle w:val="EndnoteText"/>
        <w:rPr>
          <w:szCs w:val="16"/>
        </w:rPr>
      </w:pPr>
      <w:r w:rsidRPr="003E3D93">
        <w:rPr>
          <w:rStyle w:val="EndnoteReference"/>
          <w:sz w:val="16"/>
          <w:szCs w:val="16"/>
        </w:rPr>
        <w:endnoteRef/>
      </w:r>
      <w:r w:rsidRPr="003E3D93">
        <w:rPr>
          <w:sz w:val="16"/>
          <w:szCs w:val="16"/>
        </w:rPr>
        <w:t xml:space="preserve"> </w:t>
      </w:r>
      <w:r w:rsidRPr="003E3D93">
        <w:rPr>
          <w:rFonts w:cs="HP-Helve-Condense-Regular"/>
          <w:sz w:val="16"/>
          <w:szCs w:val="16"/>
        </w:rPr>
        <w:t xml:space="preserve">Women are seldom </w:t>
      </w:r>
      <w:r w:rsidRPr="003E3D93">
        <w:rPr>
          <w:rFonts w:cs="ArialMT"/>
          <w:color w:val="1C1C1C"/>
          <w:sz w:val="16"/>
          <w:szCs w:val="16"/>
        </w:rPr>
        <w:t xml:space="preserve">Chair of the People’s Committee, with rates as low as 1.56% at the provincial level to 4.09% at the commune level. </w:t>
      </w:r>
      <w:hyperlink r:id="rId1" w:history="1">
        <w:r w:rsidRPr="003E3D93">
          <w:rPr>
            <w:rStyle w:val="Hyperlink"/>
            <w:rFonts w:cs="ArialMT"/>
            <w:sz w:val="16"/>
            <w:szCs w:val="16"/>
          </w:rPr>
          <w:t>http://www.undp.org/content/dam/vietnam/docs/Publications/31204_Women_s_Representation_in_Leadership_in_Viet_Nam.pdf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Helve-Condense-Regular">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BD" w:rsidRPr="001171DE" w:rsidRDefault="00FB13BD" w:rsidP="003B2756">
    <w:pPr>
      <w:pStyle w:val="Footer"/>
      <w:rPr>
        <w:color w:val="auto"/>
      </w:rPr>
    </w:pPr>
    <w:r>
      <w:rPr>
        <w:color w:val="auto"/>
      </w:rPr>
      <w:tab/>
    </w:r>
    <w:r>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E73410">
      <w:rPr>
        <w:noProof/>
        <w:color w:val="auto"/>
      </w:rPr>
      <w:t>6</w:t>
    </w:r>
    <w:r w:rsidRPr="001171DE">
      <w:rPr>
        <w:color w:val="auto"/>
      </w:rPr>
      <w:fldChar w:fldCharType="end"/>
    </w:r>
    <w:r>
      <w:rPr>
        <w:noProof/>
        <w:color w:val="auto"/>
      </w:rPr>
      <mc:AlternateContent>
        <mc:Choice Requires="wps">
          <w:drawing>
            <wp:anchor distT="0" distB="0" distL="114300" distR="114300" simplePos="0" relativeHeight="251707392" behindDoc="1" locked="0" layoutInCell="1" allowOverlap="1" wp14:anchorId="31A07FC3" wp14:editId="7552209F">
              <wp:simplePos x="0" y="0"/>
              <wp:positionH relativeFrom="column">
                <wp:posOffset>0</wp:posOffset>
              </wp:positionH>
              <wp:positionV relativeFrom="paragraph">
                <wp:posOffset>8498840</wp:posOffset>
              </wp:positionV>
              <wp:extent cx="7379970" cy="2181860"/>
              <wp:effectExtent l="0" t="2540" r="1905" b="0"/>
              <wp:wrapNone/>
              <wp:docPr id="4" name="Rectangle 4"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pQhi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BEuMOwq4NuFHGA9RrtHy6JaPGzTwPSKMWSCP&#10;TgQDzsG4GrQ+m082AHHmSdPfHVJ63YFWvrRWDx0nDJzIw/n05kIQHFxF++FHzcAacvQ6kn1tbR8U&#10;AjP0GgP4dgkgf/WIwuJiuqiqBcSZwt4kL/NyHkOckvp83Vjnf+C6R2HSYAvORvXk5cn5YA6pz0fC&#10;a3spzE5IiZiBYIJmq/1vwncxNGHhfOgUHGD1zyk8hn2j6bHnyo95bLkkAa/rhHHwTM37PYew2EcW&#10;MQFJS0NoYsY6b7mnXXi8BetO62D7ZQPmZ9vDKanCqHTwZfRyXOGxRkbXSQ0cYRpOBqIxf/+s8kmR&#10;rSZVspuXi6TYFbMEEJdJllerap4VVbHZ/RUw5EXdCca4ehKKn2spL74C8s0SOFX1WAWxmtAACVJl&#10;sxGx01KwYHwwztnDfi0teiFQ1cVysV2tYibBzvWxXnjoLVL0DS6z8BmrPSTfVrHI0RMhx3l6a39M&#10;BIBwy2K5m2WLYlomi8VsmhTTbZasyt06Wa7z+RzMWK+2+S2LbeTr/juOaMg5WEHQR/DuuWMDYiJk&#10;8mRWgIcgQAqGafAXEXmAtky9/Xbi3oAss/Adi0Gajox4p7MsG+v0wj2yuTw/knq37Arkyfl3lpCU&#10;5xSLZR8qfewYe83eoOqhumKVwT8KTDptP2M0QHdusPvjSCzHSD4q6BxVXhTgnr8W7LWwvxaIoqCq&#10;wR6AxOnagwT3j8aKQwcv5dFtpZfQbVoR+0DoRKNVYH8QoANHT069LrT4azmeev9Pe/g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M/LpQhi&#10;AwAAGw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r>
      <w:rPr>
        <w:noProof/>
        <w:color w:val="auto"/>
      </w:rPr>
      <mc:AlternateContent>
        <mc:Choice Requires="wps">
          <w:drawing>
            <wp:anchor distT="0" distB="0" distL="114300" distR="114300" simplePos="0" relativeHeight="251706368" behindDoc="1" locked="0" layoutInCell="1" allowOverlap="1" wp14:anchorId="6ABA6A39" wp14:editId="0C89ED4B">
              <wp:simplePos x="0" y="0"/>
              <wp:positionH relativeFrom="column">
                <wp:posOffset>0</wp:posOffset>
              </wp:positionH>
              <wp:positionV relativeFrom="paragraph">
                <wp:posOffset>8498840</wp:posOffset>
              </wp:positionV>
              <wp:extent cx="7379970" cy="2181860"/>
              <wp:effectExtent l="0" t="2540" r="1905" b="0"/>
              <wp:wrapNone/>
              <wp:docPr id="3" name="Rectangle 3"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oEwpi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CJYYdxRwbcKPMB6iXKPl0S0fN2jge0QYs0Ae&#10;nQgGnINxNWh9Np9sAOLMk6a/O6T0ugOtfGmtHjpOGDiRh/PpzYUgOLiK9sOPmoE15Oh1JPva2j4o&#10;BGboNQbw7RJA/uoRhcXFdFFVC4gzhb1JXublPIY4JfX5urHO/8B1j8KkwRacjerJy5PzwRxSn4+E&#10;1/ZSmJ2QEjEDwQTNVvvfhO9iaMLC+dApOMDqn1N4DPtG02PPlR/z2HJJAl7XCePgmZr3ew5hsY8s&#10;YgKSlobQxIx13nJPu/B4C9ad1sH2ywbMz7aHU1KFUengy+jluMJjjYyukxo4wjScDERj/v5Z5ZMi&#10;W02qZDcvF0mxK2YJIC6TLK9W1TwrqmKz+ytgyIu6E4xx9SQUP9dSXnwF5JslcKrqsQpiNaEBEqTK&#10;ZiNip6VgwfhgnLOH/Vpa9EKgqovlYrtaxUyCnetjvfDQW6ToG1xm4TNWe0i+rWKRoydCjvP01v6Y&#10;CADhlsVyN8sWxbRMFovZNCmm2yxZlbt1slzn8zmYsV5t81sW28jX/Xcc0ZBzsIKgj+Ddc8cGxETI&#10;5MmsAA9BgBQM0+AvIvIAbZl6++3EvQFZZuE7FoM0HRnxTmdZNtbphXtkc3l+JPVu2RXIk/PvLCEp&#10;zykWyz5U+tgx9pq9QdVDdcUqg38UmHTafsZogO7cYPfHkViOkXxU0DmqvCjAPX8t2Gthfy0QRUFV&#10;gz0AidO1BwnuH40Vhw5eyqPbSi+h27Qi9oHQiUarwP4gQAeOnpx6XWjx13I89f6f9vA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KmoEwpi&#10;AwAAGw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BD" w:rsidRPr="00D6213A" w:rsidRDefault="00FB13BD" w:rsidP="00D6213A">
    <w:pPr>
      <w:pStyle w:val="Footer"/>
    </w:pP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E73410">
      <w:rPr>
        <w:rStyle w:val="FooterChar"/>
        <w:noProof/>
      </w:rPr>
      <w:t>1</w:t>
    </w:r>
    <w:r w:rsidRPr="00D6213A">
      <w:rPr>
        <w:rStyle w:val="FooterChar"/>
      </w:rPr>
      <w:fldChar w:fldCharType="end"/>
    </w:r>
    <w:r>
      <w:rPr>
        <w:noProof/>
      </w:rPr>
      <mc:AlternateContent>
        <mc:Choice Requires="wps">
          <w:drawing>
            <wp:anchor distT="0" distB="0" distL="114300" distR="114300" simplePos="0" relativeHeight="251704320" behindDoc="1" locked="0" layoutInCell="1" allowOverlap="1" wp14:anchorId="22610EE5" wp14:editId="008526F6">
              <wp:simplePos x="0" y="0"/>
              <wp:positionH relativeFrom="column">
                <wp:posOffset>0</wp:posOffset>
              </wp:positionH>
              <wp:positionV relativeFrom="paragraph">
                <wp:posOffset>8498840</wp:posOffset>
              </wp:positionV>
              <wp:extent cx="7379970" cy="2181860"/>
              <wp:effectExtent l="0" t="2540" r="1905" b="0"/>
              <wp:wrapNone/>
              <wp:docPr id="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bHah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a2x2o&#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03296" behindDoc="1" locked="0" layoutInCell="1" allowOverlap="1" wp14:anchorId="0F344E96" wp14:editId="64B79234">
              <wp:simplePos x="0" y="0"/>
              <wp:positionH relativeFrom="column">
                <wp:posOffset>0</wp:posOffset>
              </wp:positionH>
              <wp:positionV relativeFrom="paragraph">
                <wp:posOffset>8498840</wp:posOffset>
              </wp:positionV>
              <wp:extent cx="7379970" cy="2181860"/>
              <wp:effectExtent l="0" t="2540" r="1905" b="0"/>
              <wp:wrapNone/>
              <wp:docPr id="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pA11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FyGJOwjRnwANy71gKANilFkCvNb+h2sHYa7Q4mAXD2vUsx3ClBpA&#10;j04IPc9e2wrUPukPxhOx+lGRTxZJtWpBLVsYo/qWYQpeZP58cnPBCxauol3/h6JgDj44FdA+N6bz&#10;CgEaeg4RfLlEkD07RGBxNp6V5QzMJrA3yoqsmIYYJ7g6X9fGut+Z6pCf1JEBb4N6fHy0zpuDq/MR&#10;/9pOcL3lQiCqIZqg2Sj3kbs2xMYvnA+dogOsfp7DQ9zXihw6Jt2QyIYJ7PHalmsLz1Ss2zGIi3mg&#10;AROQNMTHJqSsdYY50vrHG7DutA62XzZgfrbdnxLSj1J5XwYvhxUWimRwHVfAEab+pCcaEvifMhvl&#10;6XJUxttpMYvzbT6JAXERp1m5LKdpXubr7VePIcurllPK5COX7FxMWf4dkB/WwKmshzII5YR6SJAy&#10;nQyIrRKceuO9cdbsdyth0BFDWeeL2Wa5DJkEO9fHOu6guQje1VGR+s9Q7j75NpIGjg5zMcyTW/tD&#10;IgCEWxaL7SSd5eMins0m4zgfb9J4WWxX8WKVTadgxmq5yW5ZbAJf+/9xBEPOwfKCOoB3Ty3tEeU+&#10;k0eTHDwEAVLQT72/CIs99GXizI8T9wZkkfrvUAxCt3jAO56k6VCnF+6BzeX5gdSrZVcgT86/soSk&#10;PKdYKHtf6UPH2Cn6AlUP1RWqDP5SYNIq8yVCPbTnOrKfD9iwCIkHCZ2jzPIc3HPXgrkWdtcClgRU&#10;1ZEDIGG6ciDB/YM2fN/CS1lwW6oFdJuGhz7gO9FgFdjvBWjBwZNTr/M9/loOp17/1Ob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R6QNd&#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CE" w:rsidRDefault="001E62CE" w:rsidP="0050529F">
      <w:r>
        <w:separator/>
      </w:r>
    </w:p>
    <w:p w:rsidR="001E62CE" w:rsidRDefault="001E62CE"/>
    <w:p w:rsidR="001E62CE" w:rsidRDefault="001E62CE"/>
    <w:p w:rsidR="001E62CE" w:rsidRDefault="001E62CE"/>
    <w:p w:rsidR="001E62CE" w:rsidRDefault="001E62CE"/>
    <w:p w:rsidR="001E62CE" w:rsidRDefault="001E62CE"/>
    <w:p w:rsidR="001E62CE" w:rsidRDefault="001E62CE"/>
  </w:footnote>
  <w:footnote w:type="continuationSeparator" w:id="0">
    <w:p w:rsidR="001E62CE" w:rsidRDefault="001E62CE" w:rsidP="0050529F">
      <w:r>
        <w:continuationSeparator/>
      </w:r>
    </w:p>
    <w:p w:rsidR="001E62CE" w:rsidRDefault="001E62CE"/>
    <w:p w:rsidR="001E62CE" w:rsidRDefault="001E62CE"/>
    <w:p w:rsidR="001E62CE" w:rsidRDefault="001E62CE"/>
    <w:p w:rsidR="001E62CE" w:rsidRDefault="001E62CE"/>
    <w:p w:rsidR="001E62CE" w:rsidRDefault="001E62CE"/>
    <w:p w:rsidR="001E62CE" w:rsidRDefault="001E62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BD" w:rsidRDefault="00FB1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BD" w:rsidRDefault="00FB13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BD" w:rsidRDefault="00FB13BD"/>
  <w:p w:rsidR="00FB13BD" w:rsidRDefault="00FB13BD"/>
  <w:p w:rsidR="00FB13BD" w:rsidRDefault="00FB13BD"/>
  <w:p w:rsidR="00FB13BD" w:rsidRDefault="00FB13BD"/>
  <w:p w:rsidR="00FB13BD" w:rsidRDefault="00FB13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625DB2"/>
    <w:multiLevelType w:val="hybridMultilevel"/>
    <w:tmpl w:val="70C469D0"/>
    <w:lvl w:ilvl="0" w:tplc="0C090001">
      <w:start w:val="1"/>
      <w:numFmt w:val="bullet"/>
      <w:lvlText w:val=""/>
      <w:lvlJc w:val="left"/>
      <w:pPr>
        <w:ind w:left="360" w:hanging="360"/>
      </w:pPr>
      <w:rPr>
        <w:rFonts w:ascii="Symbol" w:hAnsi="Symbol"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C74235"/>
    <w:multiLevelType w:val="hybridMultilevel"/>
    <w:tmpl w:val="90BAA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5027E7"/>
    <w:multiLevelType w:val="hybridMultilevel"/>
    <w:tmpl w:val="739C9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210602"/>
    <w:multiLevelType w:val="hybridMultilevel"/>
    <w:tmpl w:val="784A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2E3A4A"/>
    <w:multiLevelType w:val="hybridMultilevel"/>
    <w:tmpl w:val="F1DE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CA234A4"/>
    <w:multiLevelType w:val="hybridMultilevel"/>
    <w:tmpl w:val="7868C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nsid w:val="25264A5A"/>
    <w:multiLevelType w:val="hybridMultilevel"/>
    <w:tmpl w:val="E640A804"/>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72700B"/>
    <w:multiLevelType w:val="hybridMultilevel"/>
    <w:tmpl w:val="BFA0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2A1A5FAE"/>
    <w:multiLevelType w:val="hybridMultilevel"/>
    <w:tmpl w:val="BC14C982"/>
    <w:lvl w:ilvl="0" w:tplc="297021C0">
      <w:start w:val="1"/>
      <w:numFmt w:val="low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694A9F"/>
    <w:multiLevelType w:val="hybridMultilevel"/>
    <w:tmpl w:val="27962892"/>
    <w:lvl w:ilvl="0" w:tplc="C282A4F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078756D"/>
    <w:multiLevelType w:val="hybridMultilevel"/>
    <w:tmpl w:val="6FC2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E84608"/>
    <w:multiLevelType w:val="hybridMultilevel"/>
    <w:tmpl w:val="C01A52B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48B255D"/>
    <w:multiLevelType w:val="hybridMultilevel"/>
    <w:tmpl w:val="4FF4B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F02FB3"/>
    <w:multiLevelType w:val="hybridMultilevel"/>
    <w:tmpl w:val="3AFA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9C050F6"/>
    <w:multiLevelType w:val="hybridMultilevel"/>
    <w:tmpl w:val="5704B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DD3285"/>
    <w:multiLevelType w:val="hybridMultilevel"/>
    <w:tmpl w:val="261EB7E6"/>
    <w:lvl w:ilvl="0" w:tplc="6ADE4BBE">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61276358"/>
    <w:multiLevelType w:val="hybridMultilevel"/>
    <w:tmpl w:val="9B660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4">
    <w:nsid w:val="6928784A"/>
    <w:multiLevelType w:val="hybridMultilevel"/>
    <w:tmpl w:val="F5624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B1605C"/>
    <w:multiLevelType w:val="hybridMultilevel"/>
    <w:tmpl w:val="E2A2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BD7ED4"/>
    <w:multiLevelType w:val="hybridMultilevel"/>
    <w:tmpl w:val="A6DA6C4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B442570"/>
    <w:multiLevelType w:val="hybridMultilevel"/>
    <w:tmpl w:val="C3C84E4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9"/>
  </w:num>
  <w:num w:numId="4">
    <w:abstractNumId w:val="23"/>
  </w:num>
  <w:num w:numId="5">
    <w:abstractNumId w:val="21"/>
  </w:num>
  <w:num w:numId="6">
    <w:abstractNumId w:val="17"/>
  </w:num>
  <w:num w:numId="7">
    <w:abstractNumId w:val="32"/>
  </w:num>
  <w:num w:numId="8">
    <w:abstractNumId w:val="8"/>
  </w:num>
  <w:num w:numId="9">
    <w:abstractNumId w:val="11"/>
  </w:num>
  <w:num w:numId="10">
    <w:abstractNumId w:val="37"/>
  </w:num>
  <w:num w:numId="11">
    <w:abstractNumId w:val="39"/>
  </w:num>
  <w:num w:numId="12">
    <w:abstractNumId w:val="0"/>
  </w:num>
  <w:num w:numId="13">
    <w:abstractNumId w:val="3"/>
  </w:num>
  <w:num w:numId="14">
    <w:abstractNumId w:val="31"/>
  </w:num>
  <w:num w:numId="15">
    <w:abstractNumId w:val="1"/>
  </w:num>
  <w:num w:numId="16">
    <w:abstractNumId w:val="15"/>
  </w:num>
  <w:num w:numId="17">
    <w:abstractNumId w:val="33"/>
  </w:num>
  <w:num w:numId="18">
    <w:abstractNumId w:val="12"/>
  </w:num>
  <w:num w:numId="19">
    <w:abstractNumId w:val="22"/>
  </w:num>
  <w:num w:numId="20">
    <w:abstractNumId w:val="16"/>
  </w:num>
  <w:num w:numId="21">
    <w:abstractNumId w:val="27"/>
  </w:num>
  <w:num w:numId="22">
    <w:abstractNumId w:val="24"/>
  </w:num>
  <w:num w:numId="23">
    <w:abstractNumId w:val="18"/>
  </w:num>
  <w:num w:numId="24">
    <w:abstractNumId w:val="20"/>
  </w:num>
  <w:num w:numId="25">
    <w:abstractNumId w:val="36"/>
  </w:num>
  <w:num w:numId="26">
    <w:abstractNumId w:val="14"/>
  </w:num>
  <w:num w:numId="27">
    <w:abstractNumId w:val="34"/>
  </w:num>
  <w:num w:numId="28">
    <w:abstractNumId w:val="6"/>
  </w:num>
  <w:num w:numId="29">
    <w:abstractNumId w:val="25"/>
  </w:num>
  <w:num w:numId="30">
    <w:abstractNumId w:val="29"/>
  </w:num>
  <w:num w:numId="31">
    <w:abstractNumId w:val="7"/>
  </w:num>
  <w:num w:numId="32">
    <w:abstractNumId w:val="38"/>
  </w:num>
  <w:num w:numId="33">
    <w:abstractNumId w:val="19"/>
  </w:num>
  <w:num w:numId="34">
    <w:abstractNumId w:val="2"/>
  </w:num>
  <w:num w:numId="35">
    <w:abstractNumId w:val="10"/>
  </w:num>
  <w:num w:numId="36">
    <w:abstractNumId w:val="4"/>
  </w:num>
  <w:num w:numId="37">
    <w:abstractNumId w:val="35"/>
  </w:num>
  <w:num w:numId="38">
    <w:abstractNumId w:val="5"/>
  </w:num>
  <w:num w:numId="3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C2"/>
    <w:rsid w:val="000004FF"/>
    <w:rsid w:val="00001F00"/>
    <w:rsid w:val="00002161"/>
    <w:rsid w:val="0000242A"/>
    <w:rsid w:val="00002E28"/>
    <w:rsid w:val="000039CF"/>
    <w:rsid w:val="00004E18"/>
    <w:rsid w:val="00007D44"/>
    <w:rsid w:val="00007E94"/>
    <w:rsid w:val="00011B80"/>
    <w:rsid w:val="000142A2"/>
    <w:rsid w:val="000143D9"/>
    <w:rsid w:val="000153DB"/>
    <w:rsid w:val="00020121"/>
    <w:rsid w:val="000208E4"/>
    <w:rsid w:val="00021832"/>
    <w:rsid w:val="00021A9E"/>
    <w:rsid w:val="000276BE"/>
    <w:rsid w:val="00027D4E"/>
    <w:rsid w:val="00030111"/>
    <w:rsid w:val="00031100"/>
    <w:rsid w:val="00031EB5"/>
    <w:rsid w:val="0003231A"/>
    <w:rsid w:val="00036AF0"/>
    <w:rsid w:val="00040AF6"/>
    <w:rsid w:val="000514B7"/>
    <w:rsid w:val="0005506B"/>
    <w:rsid w:val="000550B0"/>
    <w:rsid w:val="00055E78"/>
    <w:rsid w:val="00056C8C"/>
    <w:rsid w:val="00057589"/>
    <w:rsid w:val="00057D09"/>
    <w:rsid w:val="00061ACC"/>
    <w:rsid w:val="0007128C"/>
    <w:rsid w:val="00071B95"/>
    <w:rsid w:val="0007395B"/>
    <w:rsid w:val="000745E2"/>
    <w:rsid w:val="00076939"/>
    <w:rsid w:val="0007703B"/>
    <w:rsid w:val="000774FD"/>
    <w:rsid w:val="00077BEE"/>
    <w:rsid w:val="00081F4E"/>
    <w:rsid w:val="000826C8"/>
    <w:rsid w:val="00083AAC"/>
    <w:rsid w:val="00083B3E"/>
    <w:rsid w:val="000851D2"/>
    <w:rsid w:val="0008648D"/>
    <w:rsid w:val="00087F90"/>
    <w:rsid w:val="000905A8"/>
    <w:rsid w:val="00091878"/>
    <w:rsid w:val="000936F7"/>
    <w:rsid w:val="0009370D"/>
    <w:rsid w:val="000957FC"/>
    <w:rsid w:val="000979A0"/>
    <w:rsid w:val="00097B02"/>
    <w:rsid w:val="000A0D90"/>
    <w:rsid w:val="000A1618"/>
    <w:rsid w:val="000A6801"/>
    <w:rsid w:val="000B1545"/>
    <w:rsid w:val="000B3121"/>
    <w:rsid w:val="000B4833"/>
    <w:rsid w:val="000B68F6"/>
    <w:rsid w:val="000B6BE5"/>
    <w:rsid w:val="000B75E8"/>
    <w:rsid w:val="000C258A"/>
    <w:rsid w:val="000C29BF"/>
    <w:rsid w:val="000C359F"/>
    <w:rsid w:val="000C3DD7"/>
    <w:rsid w:val="000C6080"/>
    <w:rsid w:val="000C60A8"/>
    <w:rsid w:val="000C62CD"/>
    <w:rsid w:val="000C7039"/>
    <w:rsid w:val="000C7882"/>
    <w:rsid w:val="000D086E"/>
    <w:rsid w:val="000D0C60"/>
    <w:rsid w:val="000D151B"/>
    <w:rsid w:val="000D1993"/>
    <w:rsid w:val="000D2528"/>
    <w:rsid w:val="000D43E1"/>
    <w:rsid w:val="000D4FAF"/>
    <w:rsid w:val="000E4573"/>
    <w:rsid w:val="000E4DA2"/>
    <w:rsid w:val="000E7297"/>
    <w:rsid w:val="000E7A8D"/>
    <w:rsid w:val="000F1638"/>
    <w:rsid w:val="000F2D94"/>
    <w:rsid w:val="000F33DB"/>
    <w:rsid w:val="000F41BF"/>
    <w:rsid w:val="000F592B"/>
    <w:rsid w:val="000F6521"/>
    <w:rsid w:val="00100485"/>
    <w:rsid w:val="001006DD"/>
    <w:rsid w:val="001008C0"/>
    <w:rsid w:val="00100AA2"/>
    <w:rsid w:val="00102B6C"/>
    <w:rsid w:val="00106185"/>
    <w:rsid w:val="00106BDC"/>
    <w:rsid w:val="0010729C"/>
    <w:rsid w:val="00112E97"/>
    <w:rsid w:val="001136EB"/>
    <w:rsid w:val="001139DE"/>
    <w:rsid w:val="00114751"/>
    <w:rsid w:val="001154CA"/>
    <w:rsid w:val="001171DE"/>
    <w:rsid w:val="00117DF8"/>
    <w:rsid w:val="00120F1E"/>
    <w:rsid w:val="00120FC7"/>
    <w:rsid w:val="00122038"/>
    <w:rsid w:val="0012429A"/>
    <w:rsid w:val="001258C6"/>
    <w:rsid w:val="0012793C"/>
    <w:rsid w:val="00130B0E"/>
    <w:rsid w:val="00131FF0"/>
    <w:rsid w:val="00132003"/>
    <w:rsid w:val="001320BA"/>
    <w:rsid w:val="00133AAD"/>
    <w:rsid w:val="00135806"/>
    <w:rsid w:val="001365AB"/>
    <w:rsid w:val="001366B4"/>
    <w:rsid w:val="00141A30"/>
    <w:rsid w:val="00142A41"/>
    <w:rsid w:val="00143053"/>
    <w:rsid w:val="0014411B"/>
    <w:rsid w:val="001448E7"/>
    <w:rsid w:val="00147846"/>
    <w:rsid w:val="0015043E"/>
    <w:rsid w:val="00150E40"/>
    <w:rsid w:val="00154EF9"/>
    <w:rsid w:val="00157679"/>
    <w:rsid w:val="00157858"/>
    <w:rsid w:val="001612CE"/>
    <w:rsid w:val="00161DDA"/>
    <w:rsid w:val="0016544D"/>
    <w:rsid w:val="001657F1"/>
    <w:rsid w:val="0016740F"/>
    <w:rsid w:val="00173C6E"/>
    <w:rsid w:val="001756EE"/>
    <w:rsid w:val="00180B19"/>
    <w:rsid w:val="0018196F"/>
    <w:rsid w:val="001829BB"/>
    <w:rsid w:val="0018305E"/>
    <w:rsid w:val="0018353A"/>
    <w:rsid w:val="001861F4"/>
    <w:rsid w:val="00186DC7"/>
    <w:rsid w:val="0018794A"/>
    <w:rsid w:val="00192498"/>
    <w:rsid w:val="00194806"/>
    <w:rsid w:val="00197EE2"/>
    <w:rsid w:val="001A374B"/>
    <w:rsid w:val="001A3933"/>
    <w:rsid w:val="001A43BC"/>
    <w:rsid w:val="001A5FB0"/>
    <w:rsid w:val="001A784D"/>
    <w:rsid w:val="001B101B"/>
    <w:rsid w:val="001B1A0C"/>
    <w:rsid w:val="001B22BF"/>
    <w:rsid w:val="001B2948"/>
    <w:rsid w:val="001B41CD"/>
    <w:rsid w:val="001B714C"/>
    <w:rsid w:val="001B7DA6"/>
    <w:rsid w:val="001C1C4B"/>
    <w:rsid w:val="001C1EA0"/>
    <w:rsid w:val="001C31B9"/>
    <w:rsid w:val="001C48DD"/>
    <w:rsid w:val="001C507E"/>
    <w:rsid w:val="001C700E"/>
    <w:rsid w:val="001C7117"/>
    <w:rsid w:val="001C7DDD"/>
    <w:rsid w:val="001D19E9"/>
    <w:rsid w:val="001D20FC"/>
    <w:rsid w:val="001D210A"/>
    <w:rsid w:val="001E4BDE"/>
    <w:rsid w:val="001E62CE"/>
    <w:rsid w:val="001E6635"/>
    <w:rsid w:val="001F12A2"/>
    <w:rsid w:val="001F6C6F"/>
    <w:rsid w:val="001F7480"/>
    <w:rsid w:val="00201174"/>
    <w:rsid w:val="0020164F"/>
    <w:rsid w:val="00202880"/>
    <w:rsid w:val="00202E4E"/>
    <w:rsid w:val="00203BCC"/>
    <w:rsid w:val="00205E0B"/>
    <w:rsid w:val="00205F2B"/>
    <w:rsid w:val="002100F9"/>
    <w:rsid w:val="00211251"/>
    <w:rsid w:val="002115BD"/>
    <w:rsid w:val="002126BA"/>
    <w:rsid w:val="00212B27"/>
    <w:rsid w:val="00212C48"/>
    <w:rsid w:val="002167FB"/>
    <w:rsid w:val="00216CBC"/>
    <w:rsid w:val="002227A9"/>
    <w:rsid w:val="00226DEE"/>
    <w:rsid w:val="00231D45"/>
    <w:rsid w:val="002335A9"/>
    <w:rsid w:val="0023368F"/>
    <w:rsid w:val="00233E7D"/>
    <w:rsid w:val="00235D29"/>
    <w:rsid w:val="002363D9"/>
    <w:rsid w:val="00236B8C"/>
    <w:rsid w:val="00237C4B"/>
    <w:rsid w:val="00240D59"/>
    <w:rsid w:val="002441D5"/>
    <w:rsid w:val="00246E5F"/>
    <w:rsid w:val="00253C26"/>
    <w:rsid w:val="0025401B"/>
    <w:rsid w:val="0025405D"/>
    <w:rsid w:val="00261E78"/>
    <w:rsid w:val="002672E9"/>
    <w:rsid w:val="00270898"/>
    <w:rsid w:val="00272AF0"/>
    <w:rsid w:val="00275C42"/>
    <w:rsid w:val="002825FC"/>
    <w:rsid w:val="002849B4"/>
    <w:rsid w:val="00290FF6"/>
    <w:rsid w:val="002911A4"/>
    <w:rsid w:val="00291F1C"/>
    <w:rsid w:val="002938CD"/>
    <w:rsid w:val="00296A93"/>
    <w:rsid w:val="00296F7C"/>
    <w:rsid w:val="00297FA7"/>
    <w:rsid w:val="002A15F4"/>
    <w:rsid w:val="002A1935"/>
    <w:rsid w:val="002A1A79"/>
    <w:rsid w:val="002A22F7"/>
    <w:rsid w:val="002A2856"/>
    <w:rsid w:val="002A3D7F"/>
    <w:rsid w:val="002A4D70"/>
    <w:rsid w:val="002B31B3"/>
    <w:rsid w:val="002B433A"/>
    <w:rsid w:val="002B54AB"/>
    <w:rsid w:val="002B61A8"/>
    <w:rsid w:val="002B65FE"/>
    <w:rsid w:val="002B6860"/>
    <w:rsid w:val="002B6EBE"/>
    <w:rsid w:val="002B79D4"/>
    <w:rsid w:val="002C0F4B"/>
    <w:rsid w:val="002C1700"/>
    <w:rsid w:val="002C1E00"/>
    <w:rsid w:val="002C639B"/>
    <w:rsid w:val="002C7F9A"/>
    <w:rsid w:val="002D1328"/>
    <w:rsid w:val="002D28ED"/>
    <w:rsid w:val="002D5D7B"/>
    <w:rsid w:val="002D6914"/>
    <w:rsid w:val="002D6DF0"/>
    <w:rsid w:val="002E084E"/>
    <w:rsid w:val="002E5604"/>
    <w:rsid w:val="002F003E"/>
    <w:rsid w:val="002F2D4A"/>
    <w:rsid w:val="002F479A"/>
    <w:rsid w:val="002F54F3"/>
    <w:rsid w:val="002F5A14"/>
    <w:rsid w:val="003016F4"/>
    <w:rsid w:val="00303038"/>
    <w:rsid w:val="0030318A"/>
    <w:rsid w:val="00304102"/>
    <w:rsid w:val="00306734"/>
    <w:rsid w:val="00310030"/>
    <w:rsid w:val="00310426"/>
    <w:rsid w:val="00310974"/>
    <w:rsid w:val="003136CB"/>
    <w:rsid w:val="00315135"/>
    <w:rsid w:val="00315D13"/>
    <w:rsid w:val="003167E5"/>
    <w:rsid w:val="00320FCE"/>
    <w:rsid w:val="003220B8"/>
    <w:rsid w:val="003223F8"/>
    <w:rsid w:val="0032292A"/>
    <w:rsid w:val="00323D28"/>
    <w:rsid w:val="0032486D"/>
    <w:rsid w:val="003260C0"/>
    <w:rsid w:val="00326B5A"/>
    <w:rsid w:val="00326D37"/>
    <w:rsid w:val="003279FD"/>
    <w:rsid w:val="003314B9"/>
    <w:rsid w:val="003327F8"/>
    <w:rsid w:val="00335F19"/>
    <w:rsid w:val="00336303"/>
    <w:rsid w:val="003363C7"/>
    <w:rsid w:val="00340D95"/>
    <w:rsid w:val="00341177"/>
    <w:rsid w:val="00341311"/>
    <w:rsid w:val="00341E32"/>
    <w:rsid w:val="00342BF7"/>
    <w:rsid w:val="00343B25"/>
    <w:rsid w:val="00345B8E"/>
    <w:rsid w:val="0035012B"/>
    <w:rsid w:val="00351ACA"/>
    <w:rsid w:val="003526F7"/>
    <w:rsid w:val="00352AE5"/>
    <w:rsid w:val="00354866"/>
    <w:rsid w:val="00357648"/>
    <w:rsid w:val="00357AF7"/>
    <w:rsid w:val="00360662"/>
    <w:rsid w:val="00360783"/>
    <w:rsid w:val="003624B4"/>
    <w:rsid w:val="00371C8B"/>
    <w:rsid w:val="00372E1B"/>
    <w:rsid w:val="00372F3B"/>
    <w:rsid w:val="003743C8"/>
    <w:rsid w:val="00375709"/>
    <w:rsid w:val="00380774"/>
    <w:rsid w:val="00381281"/>
    <w:rsid w:val="00383294"/>
    <w:rsid w:val="00383F3F"/>
    <w:rsid w:val="00384342"/>
    <w:rsid w:val="00385A4C"/>
    <w:rsid w:val="00392981"/>
    <w:rsid w:val="003932E7"/>
    <w:rsid w:val="00395CFA"/>
    <w:rsid w:val="003A082C"/>
    <w:rsid w:val="003A0CF4"/>
    <w:rsid w:val="003A27D2"/>
    <w:rsid w:val="003A2D7B"/>
    <w:rsid w:val="003A38D9"/>
    <w:rsid w:val="003A44D6"/>
    <w:rsid w:val="003A4556"/>
    <w:rsid w:val="003A74BF"/>
    <w:rsid w:val="003B122C"/>
    <w:rsid w:val="003B2756"/>
    <w:rsid w:val="003C288C"/>
    <w:rsid w:val="003C31EE"/>
    <w:rsid w:val="003C3885"/>
    <w:rsid w:val="003C393E"/>
    <w:rsid w:val="003C7721"/>
    <w:rsid w:val="003D081D"/>
    <w:rsid w:val="003D2E2F"/>
    <w:rsid w:val="003D438F"/>
    <w:rsid w:val="003D44F4"/>
    <w:rsid w:val="003E0E66"/>
    <w:rsid w:val="003E14E2"/>
    <w:rsid w:val="003E3D93"/>
    <w:rsid w:val="003E4982"/>
    <w:rsid w:val="003E63B3"/>
    <w:rsid w:val="003E7AA9"/>
    <w:rsid w:val="003F661C"/>
    <w:rsid w:val="00400D42"/>
    <w:rsid w:val="00403152"/>
    <w:rsid w:val="00403AAA"/>
    <w:rsid w:val="00406000"/>
    <w:rsid w:val="00412707"/>
    <w:rsid w:val="00413539"/>
    <w:rsid w:val="0041396D"/>
    <w:rsid w:val="00415A92"/>
    <w:rsid w:val="004167C9"/>
    <w:rsid w:val="00420E02"/>
    <w:rsid w:val="004224FF"/>
    <w:rsid w:val="004228CD"/>
    <w:rsid w:val="00424537"/>
    <w:rsid w:val="0042527A"/>
    <w:rsid w:val="0042602F"/>
    <w:rsid w:val="004262A2"/>
    <w:rsid w:val="00426354"/>
    <w:rsid w:val="00433FCB"/>
    <w:rsid w:val="00437C95"/>
    <w:rsid w:val="004419A8"/>
    <w:rsid w:val="00441E77"/>
    <w:rsid w:val="00442340"/>
    <w:rsid w:val="00443639"/>
    <w:rsid w:val="004453CE"/>
    <w:rsid w:val="004458D4"/>
    <w:rsid w:val="00445A3B"/>
    <w:rsid w:val="00445C4E"/>
    <w:rsid w:val="00445E5D"/>
    <w:rsid w:val="00451E14"/>
    <w:rsid w:val="0045475F"/>
    <w:rsid w:val="00456754"/>
    <w:rsid w:val="00462000"/>
    <w:rsid w:val="00463713"/>
    <w:rsid w:val="004656AC"/>
    <w:rsid w:val="00466C98"/>
    <w:rsid w:val="00466DE7"/>
    <w:rsid w:val="00467CE4"/>
    <w:rsid w:val="0047165B"/>
    <w:rsid w:val="00474DBE"/>
    <w:rsid w:val="00477047"/>
    <w:rsid w:val="0047710F"/>
    <w:rsid w:val="00480967"/>
    <w:rsid w:val="00481777"/>
    <w:rsid w:val="004870EF"/>
    <w:rsid w:val="00490BDE"/>
    <w:rsid w:val="00493495"/>
    <w:rsid w:val="004957EC"/>
    <w:rsid w:val="00495935"/>
    <w:rsid w:val="00495D63"/>
    <w:rsid w:val="00496F8D"/>
    <w:rsid w:val="0049744E"/>
    <w:rsid w:val="004A7400"/>
    <w:rsid w:val="004B201A"/>
    <w:rsid w:val="004B38C1"/>
    <w:rsid w:val="004B4F8D"/>
    <w:rsid w:val="004B6488"/>
    <w:rsid w:val="004B64F3"/>
    <w:rsid w:val="004B65B2"/>
    <w:rsid w:val="004C0255"/>
    <w:rsid w:val="004C1173"/>
    <w:rsid w:val="004C36CF"/>
    <w:rsid w:val="004C4A3E"/>
    <w:rsid w:val="004C4E9D"/>
    <w:rsid w:val="004C59EA"/>
    <w:rsid w:val="004C5EC5"/>
    <w:rsid w:val="004C65C6"/>
    <w:rsid w:val="004C660D"/>
    <w:rsid w:val="004C6FCF"/>
    <w:rsid w:val="004D0699"/>
    <w:rsid w:val="004D1529"/>
    <w:rsid w:val="004D19CE"/>
    <w:rsid w:val="004D23F6"/>
    <w:rsid w:val="004D2DD0"/>
    <w:rsid w:val="004D3D6A"/>
    <w:rsid w:val="004D4522"/>
    <w:rsid w:val="004D54FD"/>
    <w:rsid w:val="004D6DA6"/>
    <w:rsid w:val="004E01E9"/>
    <w:rsid w:val="004E1B5F"/>
    <w:rsid w:val="004E3E40"/>
    <w:rsid w:val="004E570D"/>
    <w:rsid w:val="004E6400"/>
    <w:rsid w:val="004E642E"/>
    <w:rsid w:val="004E6924"/>
    <w:rsid w:val="004E6A61"/>
    <w:rsid w:val="004E6E33"/>
    <w:rsid w:val="004E6F48"/>
    <w:rsid w:val="004E702A"/>
    <w:rsid w:val="004F0C2D"/>
    <w:rsid w:val="004F296B"/>
    <w:rsid w:val="004F3D7E"/>
    <w:rsid w:val="004F521E"/>
    <w:rsid w:val="004F65E8"/>
    <w:rsid w:val="004F73E1"/>
    <w:rsid w:val="00500241"/>
    <w:rsid w:val="00500EB4"/>
    <w:rsid w:val="005035BF"/>
    <w:rsid w:val="00503974"/>
    <w:rsid w:val="0050439B"/>
    <w:rsid w:val="0050529F"/>
    <w:rsid w:val="00506A51"/>
    <w:rsid w:val="00507DF9"/>
    <w:rsid w:val="005110C3"/>
    <w:rsid w:val="00514B5E"/>
    <w:rsid w:val="005157C1"/>
    <w:rsid w:val="00515954"/>
    <w:rsid w:val="00515E3D"/>
    <w:rsid w:val="00515F9C"/>
    <w:rsid w:val="005208AC"/>
    <w:rsid w:val="0052286C"/>
    <w:rsid w:val="005229CF"/>
    <w:rsid w:val="00522AB9"/>
    <w:rsid w:val="0052565A"/>
    <w:rsid w:val="005265B9"/>
    <w:rsid w:val="00526A06"/>
    <w:rsid w:val="005307E8"/>
    <w:rsid w:val="0053110D"/>
    <w:rsid w:val="00532F3A"/>
    <w:rsid w:val="00533533"/>
    <w:rsid w:val="0053557B"/>
    <w:rsid w:val="00535E24"/>
    <w:rsid w:val="00537E02"/>
    <w:rsid w:val="00542718"/>
    <w:rsid w:val="00543224"/>
    <w:rsid w:val="005440F6"/>
    <w:rsid w:val="00544CCD"/>
    <w:rsid w:val="0054557A"/>
    <w:rsid w:val="00546AA2"/>
    <w:rsid w:val="00546DD6"/>
    <w:rsid w:val="0054757A"/>
    <w:rsid w:val="00552305"/>
    <w:rsid w:val="0055771D"/>
    <w:rsid w:val="00562DD0"/>
    <w:rsid w:val="00565055"/>
    <w:rsid w:val="005650FC"/>
    <w:rsid w:val="00565635"/>
    <w:rsid w:val="00565676"/>
    <w:rsid w:val="00567FCF"/>
    <w:rsid w:val="00570765"/>
    <w:rsid w:val="00571B01"/>
    <w:rsid w:val="005732BD"/>
    <w:rsid w:val="00575295"/>
    <w:rsid w:val="005764F7"/>
    <w:rsid w:val="005819D6"/>
    <w:rsid w:val="00581C01"/>
    <w:rsid w:val="0058242D"/>
    <w:rsid w:val="005845CB"/>
    <w:rsid w:val="0058498A"/>
    <w:rsid w:val="00586350"/>
    <w:rsid w:val="00587CAA"/>
    <w:rsid w:val="00590277"/>
    <w:rsid w:val="00592535"/>
    <w:rsid w:val="0059461A"/>
    <w:rsid w:val="00594D9B"/>
    <w:rsid w:val="00596C1A"/>
    <w:rsid w:val="00596FB7"/>
    <w:rsid w:val="00597520"/>
    <w:rsid w:val="005A0C93"/>
    <w:rsid w:val="005A18C5"/>
    <w:rsid w:val="005A1B9C"/>
    <w:rsid w:val="005A1D9B"/>
    <w:rsid w:val="005A3ED5"/>
    <w:rsid w:val="005A511C"/>
    <w:rsid w:val="005A5164"/>
    <w:rsid w:val="005A73A7"/>
    <w:rsid w:val="005A7CF6"/>
    <w:rsid w:val="005B38E5"/>
    <w:rsid w:val="005B7C5C"/>
    <w:rsid w:val="005B7C71"/>
    <w:rsid w:val="005C25C7"/>
    <w:rsid w:val="005C4A6B"/>
    <w:rsid w:val="005C661F"/>
    <w:rsid w:val="005D2A59"/>
    <w:rsid w:val="005E7BA8"/>
    <w:rsid w:val="005F0C00"/>
    <w:rsid w:val="005F15ED"/>
    <w:rsid w:val="005F33F2"/>
    <w:rsid w:val="005F42AD"/>
    <w:rsid w:val="005F460C"/>
    <w:rsid w:val="006006D9"/>
    <w:rsid w:val="0060117A"/>
    <w:rsid w:val="00602BE6"/>
    <w:rsid w:val="006034A1"/>
    <w:rsid w:val="0060384B"/>
    <w:rsid w:val="00612E14"/>
    <w:rsid w:val="00617F30"/>
    <w:rsid w:val="00620DB1"/>
    <w:rsid w:val="0062598A"/>
    <w:rsid w:val="0062686B"/>
    <w:rsid w:val="00630DD5"/>
    <w:rsid w:val="00637549"/>
    <w:rsid w:val="00642A6F"/>
    <w:rsid w:val="00642E50"/>
    <w:rsid w:val="006449CA"/>
    <w:rsid w:val="00646049"/>
    <w:rsid w:val="00647FBA"/>
    <w:rsid w:val="0065234A"/>
    <w:rsid w:val="006524E3"/>
    <w:rsid w:val="0065268F"/>
    <w:rsid w:val="0065391A"/>
    <w:rsid w:val="00653B19"/>
    <w:rsid w:val="0065679C"/>
    <w:rsid w:val="00657108"/>
    <w:rsid w:val="00663306"/>
    <w:rsid w:val="00663909"/>
    <w:rsid w:val="00663E95"/>
    <w:rsid w:val="0066534E"/>
    <w:rsid w:val="006659FF"/>
    <w:rsid w:val="006669A8"/>
    <w:rsid w:val="006671BC"/>
    <w:rsid w:val="0067299B"/>
    <w:rsid w:val="00673287"/>
    <w:rsid w:val="00680679"/>
    <w:rsid w:val="0068132F"/>
    <w:rsid w:val="0068146D"/>
    <w:rsid w:val="0068173A"/>
    <w:rsid w:val="00682DB1"/>
    <w:rsid w:val="006831EB"/>
    <w:rsid w:val="00683240"/>
    <w:rsid w:val="00683991"/>
    <w:rsid w:val="00683FFB"/>
    <w:rsid w:val="0068509E"/>
    <w:rsid w:val="0068768A"/>
    <w:rsid w:val="00695279"/>
    <w:rsid w:val="00697C69"/>
    <w:rsid w:val="006A1B0D"/>
    <w:rsid w:val="006A223D"/>
    <w:rsid w:val="006B0F12"/>
    <w:rsid w:val="006B33A7"/>
    <w:rsid w:val="006B70E9"/>
    <w:rsid w:val="006C1260"/>
    <w:rsid w:val="006C2232"/>
    <w:rsid w:val="006C6800"/>
    <w:rsid w:val="006C7242"/>
    <w:rsid w:val="006C78E7"/>
    <w:rsid w:val="006D0BC5"/>
    <w:rsid w:val="006D210D"/>
    <w:rsid w:val="006D2CF2"/>
    <w:rsid w:val="006D2E37"/>
    <w:rsid w:val="006D34C3"/>
    <w:rsid w:val="006D4AAA"/>
    <w:rsid w:val="006D5375"/>
    <w:rsid w:val="006E0817"/>
    <w:rsid w:val="006E0EDF"/>
    <w:rsid w:val="006E327C"/>
    <w:rsid w:val="006E649B"/>
    <w:rsid w:val="006E7795"/>
    <w:rsid w:val="006E7E9F"/>
    <w:rsid w:val="006E7FA8"/>
    <w:rsid w:val="006F00DB"/>
    <w:rsid w:val="006F4623"/>
    <w:rsid w:val="006F4B40"/>
    <w:rsid w:val="00701FEA"/>
    <w:rsid w:val="00702E45"/>
    <w:rsid w:val="007040D1"/>
    <w:rsid w:val="00704787"/>
    <w:rsid w:val="0070518E"/>
    <w:rsid w:val="007069F7"/>
    <w:rsid w:val="00706DE1"/>
    <w:rsid w:val="00710059"/>
    <w:rsid w:val="00710337"/>
    <w:rsid w:val="00710884"/>
    <w:rsid w:val="007110C9"/>
    <w:rsid w:val="00712349"/>
    <w:rsid w:val="00712FCE"/>
    <w:rsid w:val="007132C1"/>
    <w:rsid w:val="00714BA3"/>
    <w:rsid w:val="007167AE"/>
    <w:rsid w:val="00721098"/>
    <w:rsid w:val="007217A6"/>
    <w:rsid w:val="0072295D"/>
    <w:rsid w:val="0072495B"/>
    <w:rsid w:val="007311E0"/>
    <w:rsid w:val="00732D00"/>
    <w:rsid w:val="00732E68"/>
    <w:rsid w:val="00732ED9"/>
    <w:rsid w:val="007360D3"/>
    <w:rsid w:val="0073644C"/>
    <w:rsid w:val="00737641"/>
    <w:rsid w:val="00737C72"/>
    <w:rsid w:val="0074068F"/>
    <w:rsid w:val="00743BDD"/>
    <w:rsid w:val="007452F9"/>
    <w:rsid w:val="0074660C"/>
    <w:rsid w:val="00747913"/>
    <w:rsid w:val="00750E77"/>
    <w:rsid w:val="00751449"/>
    <w:rsid w:val="00754386"/>
    <w:rsid w:val="00755D95"/>
    <w:rsid w:val="00756B0E"/>
    <w:rsid w:val="007570C2"/>
    <w:rsid w:val="0076480A"/>
    <w:rsid w:val="00766BCF"/>
    <w:rsid w:val="00767F39"/>
    <w:rsid w:val="007726E1"/>
    <w:rsid w:val="00772C12"/>
    <w:rsid w:val="00774F4B"/>
    <w:rsid w:val="007774C7"/>
    <w:rsid w:val="00777899"/>
    <w:rsid w:val="00777DC6"/>
    <w:rsid w:val="00783EEA"/>
    <w:rsid w:val="00786564"/>
    <w:rsid w:val="00790336"/>
    <w:rsid w:val="0079256F"/>
    <w:rsid w:val="0079307B"/>
    <w:rsid w:val="007941CF"/>
    <w:rsid w:val="00796F48"/>
    <w:rsid w:val="00797DB5"/>
    <w:rsid w:val="007A2A5E"/>
    <w:rsid w:val="007A2ACD"/>
    <w:rsid w:val="007A357A"/>
    <w:rsid w:val="007A3C6A"/>
    <w:rsid w:val="007A52F3"/>
    <w:rsid w:val="007A5821"/>
    <w:rsid w:val="007A6B87"/>
    <w:rsid w:val="007B0EBF"/>
    <w:rsid w:val="007B12EF"/>
    <w:rsid w:val="007B177A"/>
    <w:rsid w:val="007B2880"/>
    <w:rsid w:val="007B3BB6"/>
    <w:rsid w:val="007B51E2"/>
    <w:rsid w:val="007B6F81"/>
    <w:rsid w:val="007C08B4"/>
    <w:rsid w:val="007C0F2E"/>
    <w:rsid w:val="007C241E"/>
    <w:rsid w:val="007D19E0"/>
    <w:rsid w:val="007D5A8C"/>
    <w:rsid w:val="007D5D8D"/>
    <w:rsid w:val="007E10A5"/>
    <w:rsid w:val="007E29F9"/>
    <w:rsid w:val="007E2A95"/>
    <w:rsid w:val="007E3D71"/>
    <w:rsid w:val="007E5B5B"/>
    <w:rsid w:val="007E62F7"/>
    <w:rsid w:val="007F0036"/>
    <w:rsid w:val="007F1240"/>
    <w:rsid w:val="007F1C88"/>
    <w:rsid w:val="007F211B"/>
    <w:rsid w:val="007F2841"/>
    <w:rsid w:val="007F3E30"/>
    <w:rsid w:val="007F4405"/>
    <w:rsid w:val="0080096B"/>
    <w:rsid w:val="00800B90"/>
    <w:rsid w:val="008016A9"/>
    <w:rsid w:val="00802A66"/>
    <w:rsid w:val="008053C8"/>
    <w:rsid w:val="00810A63"/>
    <w:rsid w:val="00810DE3"/>
    <w:rsid w:val="0081282D"/>
    <w:rsid w:val="008143D3"/>
    <w:rsid w:val="008160D6"/>
    <w:rsid w:val="00821541"/>
    <w:rsid w:val="00821A06"/>
    <w:rsid w:val="00821B44"/>
    <w:rsid w:val="00821C7F"/>
    <w:rsid w:val="008220F3"/>
    <w:rsid w:val="00822273"/>
    <w:rsid w:val="008235DB"/>
    <w:rsid w:val="00830647"/>
    <w:rsid w:val="00830E80"/>
    <w:rsid w:val="00831975"/>
    <w:rsid w:val="00832911"/>
    <w:rsid w:val="00833EB7"/>
    <w:rsid w:val="00835C03"/>
    <w:rsid w:val="0084092F"/>
    <w:rsid w:val="00840E97"/>
    <w:rsid w:val="00844C87"/>
    <w:rsid w:val="00844D82"/>
    <w:rsid w:val="00851C3A"/>
    <w:rsid w:val="008532FB"/>
    <w:rsid w:val="008540F0"/>
    <w:rsid w:val="008560EB"/>
    <w:rsid w:val="008568C0"/>
    <w:rsid w:val="008573E7"/>
    <w:rsid w:val="008601BD"/>
    <w:rsid w:val="008634D6"/>
    <w:rsid w:val="008637F9"/>
    <w:rsid w:val="0086486C"/>
    <w:rsid w:val="00864874"/>
    <w:rsid w:val="0086621F"/>
    <w:rsid w:val="00867918"/>
    <w:rsid w:val="0086797F"/>
    <w:rsid w:val="00870F1C"/>
    <w:rsid w:val="00871CA1"/>
    <w:rsid w:val="00874F47"/>
    <w:rsid w:val="00877D87"/>
    <w:rsid w:val="008810FA"/>
    <w:rsid w:val="008812B8"/>
    <w:rsid w:val="00881873"/>
    <w:rsid w:val="00881C6E"/>
    <w:rsid w:val="00884878"/>
    <w:rsid w:val="00884FF4"/>
    <w:rsid w:val="008855AD"/>
    <w:rsid w:val="00885B9C"/>
    <w:rsid w:val="00885F33"/>
    <w:rsid w:val="00886D18"/>
    <w:rsid w:val="00891E92"/>
    <w:rsid w:val="00892303"/>
    <w:rsid w:val="00896927"/>
    <w:rsid w:val="00897E16"/>
    <w:rsid w:val="00897E17"/>
    <w:rsid w:val="008A144E"/>
    <w:rsid w:val="008A151F"/>
    <w:rsid w:val="008A3013"/>
    <w:rsid w:val="008A308F"/>
    <w:rsid w:val="008A310A"/>
    <w:rsid w:val="008B024C"/>
    <w:rsid w:val="008B3420"/>
    <w:rsid w:val="008B5F65"/>
    <w:rsid w:val="008B6AE4"/>
    <w:rsid w:val="008C0FBD"/>
    <w:rsid w:val="008C1127"/>
    <w:rsid w:val="008C2206"/>
    <w:rsid w:val="008C2ED3"/>
    <w:rsid w:val="008C5617"/>
    <w:rsid w:val="008C6687"/>
    <w:rsid w:val="008C7AC8"/>
    <w:rsid w:val="008D0242"/>
    <w:rsid w:val="008D27EF"/>
    <w:rsid w:val="008D2DC8"/>
    <w:rsid w:val="008D34F9"/>
    <w:rsid w:val="008D36FA"/>
    <w:rsid w:val="008D4425"/>
    <w:rsid w:val="008D745E"/>
    <w:rsid w:val="008D762E"/>
    <w:rsid w:val="008D7C11"/>
    <w:rsid w:val="008E2541"/>
    <w:rsid w:val="008E2DA5"/>
    <w:rsid w:val="008E3CD5"/>
    <w:rsid w:val="008E44A5"/>
    <w:rsid w:val="008E4EF2"/>
    <w:rsid w:val="008F06F2"/>
    <w:rsid w:val="008F1E28"/>
    <w:rsid w:val="008F4C4B"/>
    <w:rsid w:val="008F5D80"/>
    <w:rsid w:val="008F6483"/>
    <w:rsid w:val="009006D2"/>
    <w:rsid w:val="00900ADB"/>
    <w:rsid w:val="009018F1"/>
    <w:rsid w:val="00901E8E"/>
    <w:rsid w:val="009051B0"/>
    <w:rsid w:val="00910DB9"/>
    <w:rsid w:val="009126A4"/>
    <w:rsid w:val="009163AF"/>
    <w:rsid w:val="00923D3D"/>
    <w:rsid w:val="00924CCB"/>
    <w:rsid w:val="0092520A"/>
    <w:rsid w:val="00926D0C"/>
    <w:rsid w:val="00927978"/>
    <w:rsid w:val="00927A02"/>
    <w:rsid w:val="009323F6"/>
    <w:rsid w:val="0093262F"/>
    <w:rsid w:val="00932FAD"/>
    <w:rsid w:val="00933916"/>
    <w:rsid w:val="00942AB9"/>
    <w:rsid w:val="009445BA"/>
    <w:rsid w:val="00945130"/>
    <w:rsid w:val="00945B0A"/>
    <w:rsid w:val="00946ADF"/>
    <w:rsid w:val="009475F3"/>
    <w:rsid w:val="00951562"/>
    <w:rsid w:val="00951651"/>
    <w:rsid w:val="00953CAB"/>
    <w:rsid w:val="00954EF3"/>
    <w:rsid w:val="00957948"/>
    <w:rsid w:val="00957B52"/>
    <w:rsid w:val="00963573"/>
    <w:rsid w:val="00965165"/>
    <w:rsid w:val="009668EF"/>
    <w:rsid w:val="009670B6"/>
    <w:rsid w:val="00970317"/>
    <w:rsid w:val="00971ABD"/>
    <w:rsid w:val="009729A9"/>
    <w:rsid w:val="00973321"/>
    <w:rsid w:val="009761F8"/>
    <w:rsid w:val="00976FB3"/>
    <w:rsid w:val="009775BB"/>
    <w:rsid w:val="0098030D"/>
    <w:rsid w:val="00981E62"/>
    <w:rsid w:val="00995A56"/>
    <w:rsid w:val="00996460"/>
    <w:rsid w:val="0099677B"/>
    <w:rsid w:val="009A18C7"/>
    <w:rsid w:val="009A1E07"/>
    <w:rsid w:val="009A290D"/>
    <w:rsid w:val="009A3A9E"/>
    <w:rsid w:val="009A421F"/>
    <w:rsid w:val="009A4674"/>
    <w:rsid w:val="009A4CCD"/>
    <w:rsid w:val="009B1632"/>
    <w:rsid w:val="009B3A9B"/>
    <w:rsid w:val="009B5190"/>
    <w:rsid w:val="009B5381"/>
    <w:rsid w:val="009B654F"/>
    <w:rsid w:val="009B6A03"/>
    <w:rsid w:val="009C16DF"/>
    <w:rsid w:val="009C1FDC"/>
    <w:rsid w:val="009C4804"/>
    <w:rsid w:val="009C78AB"/>
    <w:rsid w:val="009D104E"/>
    <w:rsid w:val="009D1D99"/>
    <w:rsid w:val="009D1FDF"/>
    <w:rsid w:val="009D2251"/>
    <w:rsid w:val="009D3524"/>
    <w:rsid w:val="009D44CE"/>
    <w:rsid w:val="009D5236"/>
    <w:rsid w:val="009E1667"/>
    <w:rsid w:val="009E1CA8"/>
    <w:rsid w:val="009E2C3C"/>
    <w:rsid w:val="009E327D"/>
    <w:rsid w:val="009E32E8"/>
    <w:rsid w:val="009E3381"/>
    <w:rsid w:val="009E6780"/>
    <w:rsid w:val="009E79EC"/>
    <w:rsid w:val="009F3781"/>
    <w:rsid w:val="009F4D99"/>
    <w:rsid w:val="009F50F0"/>
    <w:rsid w:val="00A01327"/>
    <w:rsid w:val="00A018E7"/>
    <w:rsid w:val="00A03651"/>
    <w:rsid w:val="00A03911"/>
    <w:rsid w:val="00A05140"/>
    <w:rsid w:val="00A06FC9"/>
    <w:rsid w:val="00A10DE1"/>
    <w:rsid w:val="00A11D59"/>
    <w:rsid w:val="00A123C7"/>
    <w:rsid w:val="00A13029"/>
    <w:rsid w:val="00A1495D"/>
    <w:rsid w:val="00A14E44"/>
    <w:rsid w:val="00A14E66"/>
    <w:rsid w:val="00A20730"/>
    <w:rsid w:val="00A20C97"/>
    <w:rsid w:val="00A22538"/>
    <w:rsid w:val="00A2438A"/>
    <w:rsid w:val="00A27E2B"/>
    <w:rsid w:val="00A30606"/>
    <w:rsid w:val="00A33B7B"/>
    <w:rsid w:val="00A33EBA"/>
    <w:rsid w:val="00A34039"/>
    <w:rsid w:val="00A3552E"/>
    <w:rsid w:val="00A357D7"/>
    <w:rsid w:val="00A35A1F"/>
    <w:rsid w:val="00A378AD"/>
    <w:rsid w:val="00A417FA"/>
    <w:rsid w:val="00A42506"/>
    <w:rsid w:val="00A42760"/>
    <w:rsid w:val="00A443C7"/>
    <w:rsid w:val="00A458B3"/>
    <w:rsid w:val="00A45B60"/>
    <w:rsid w:val="00A46743"/>
    <w:rsid w:val="00A537FC"/>
    <w:rsid w:val="00A54396"/>
    <w:rsid w:val="00A54DCD"/>
    <w:rsid w:val="00A5551F"/>
    <w:rsid w:val="00A56988"/>
    <w:rsid w:val="00A60F03"/>
    <w:rsid w:val="00A62007"/>
    <w:rsid w:val="00A62E17"/>
    <w:rsid w:val="00A65CAA"/>
    <w:rsid w:val="00A662CF"/>
    <w:rsid w:val="00A674EA"/>
    <w:rsid w:val="00A74ACF"/>
    <w:rsid w:val="00A76676"/>
    <w:rsid w:val="00A766FD"/>
    <w:rsid w:val="00A80353"/>
    <w:rsid w:val="00A80D38"/>
    <w:rsid w:val="00A81630"/>
    <w:rsid w:val="00A820E7"/>
    <w:rsid w:val="00A82DF8"/>
    <w:rsid w:val="00A83E18"/>
    <w:rsid w:val="00A864E5"/>
    <w:rsid w:val="00A87079"/>
    <w:rsid w:val="00A87522"/>
    <w:rsid w:val="00A91DCC"/>
    <w:rsid w:val="00A9333E"/>
    <w:rsid w:val="00A94EC5"/>
    <w:rsid w:val="00A9554E"/>
    <w:rsid w:val="00AA09D1"/>
    <w:rsid w:val="00AA14C6"/>
    <w:rsid w:val="00AA30F1"/>
    <w:rsid w:val="00AA406C"/>
    <w:rsid w:val="00AA4F9F"/>
    <w:rsid w:val="00AA5E1B"/>
    <w:rsid w:val="00AA6ECF"/>
    <w:rsid w:val="00AA7256"/>
    <w:rsid w:val="00AB0987"/>
    <w:rsid w:val="00AB3900"/>
    <w:rsid w:val="00AB5B43"/>
    <w:rsid w:val="00AB7215"/>
    <w:rsid w:val="00AC005D"/>
    <w:rsid w:val="00AC07EE"/>
    <w:rsid w:val="00AC14DE"/>
    <w:rsid w:val="00AC4894"/>
    <w:rsid w:val="00AC56C2"/>
    <w:rsid w:val="00AC5C1D"/>
    <w:rsid w:val="00AC5E19"/>
    <w:rsid w:val="00AD445D"/>
    <w:rsid w:val="00AD58AC"/>
    <w:rsid w:val="00AD6F47"/>
    <w:rsid w:val="00AE2781"/>
    <w:rsid w:val="00AE5C52"/>
    <w:rsid w:val="00AE62EF"/>
    <w:rsid w:val="00AE6E0A"/>
    <w:rsid w:val="00AF045F"/>
    <w:rsid w:val="00AF0FA2"/>
    <w:rsid w:val="00AF0FDD"/>
    <w:rsid w:val="00AF15E6"/>
    <w:rsid w:val="00AF5A70"/>
    <w:rsid w:val="00AF5C5C"/>
    <w:rsid w:val="00B03FB1"/>
    <w:rsid w:val="00B04900"/>
    <w:rsid w:val="00B07EC1"/>
    <w:rsid w:val="00B10E02"/>
    <w:rsid w:val="00B11F6B"/>
    <w:rsid w:val="00B1284C"/>
    <w:rsid w:val="00B153D8"/>
    <w:rsid w:val="00B154B4"/>
    <w:rsid w:val="00B15829"/>
    <w:rsid w:val="00B17A9D"/>
    <w:rsid w:val="00B21C2F"/>
    <w:rsid w:val="00B249B7"/>
    <w:rsid w:val="00B25054"/>
    <w:rsid w:val="00B26EE5"/>
    <w:rsid w:val="00B2764E"/>
    <w:rsid w:val="00B30E77"/>
    <w:rsid w:val="00B3237A"/>
    <w:rsid w:val="00B327BC"/>
    <w:rsid w:val="00B32B69"/>
    <w:rsid w:val="00B32EE5"/>
    <w:rsid w:val="00B33F27"/>
    <w:rsid w:val="00B3485D"/>
    <w:rsid w:val="00B34B88"/>
    <w:rsid w:val="00B37A25"/>
    <w:rsid w:val="00B40FA7"/>
    <w:rsid w:val="00B41057"/>
    <w:rsid w:val="00B421B7"/>
    <w:rsid w:val="00B43671"/>
    <w:rsid w:val="00B44032"/>
    <w:rsid w:val="00B44FFA"/>
    <w:rsid w:val="00B456CC"/>
    <w:rsid w:val="00B46CDF"/>
    <w:rsid w:val="00B478EF"/>
    <w:rsid w:val="00B50CD9"/>
    <w:rsid w:val="00B51BAD"/>
    <w:rsid w:val="00B53F25"/>
    <w:rsid w:val="00B55BE4"/>
    <w:rsid w:val="00B564A3"/>
    <w:rsid w:val="00B56514"/>
    <w:rsid w:val="00B56551"/>
    <w:rsid w:val="00B57AE9"/>
    <w:rsid w:val="00B60AB4"/>
    <w:rsid w:val="00B61A93"/>
    <w:rsid w:val="00B62023"/>
    <w:rsid w:val="00B638BD"/>
    <w:rsid w:val="00B63C40"/>
    <w:rsid w:val="00B644B6"/>
    <w:rsid w:val="00B65EB5"/>
    <w:rsid w:val="00B65F7A"/>
    <w:rsid w:val="00B72CEC"/>
    <w:rsid w:val="00B73156"/>
    <w:rsid w:val="00B74929"/>
    <w:rsid w:val="00B777E6"/>
    <w:rsid w:val="00B80134"/>
    <w:rsid w:val="00B80707"/>
    <w:rsid w:val="00B83258"/>
    <w:rsid w:val="00B83735"/>
    <w:rsid w:val="00B84D2E"/>
    <w:rsid w:val="00B861D4"/>
    <w:rsid w:val="00B8737A"/>
    <w:rsid w:val="00B87675"/>
    <w:rsid w:val="00B910DF"/>
    <w:rsid w:val="00B91531"/>
    <w:rsid w:val="00B922B9"/>
    <w:rsid w:val="00B95043"/>
    <w:rsid w:val="00B9749F"/>
    <w:rsid w:val="00BA3026"/>
    <w:rsid w:val="00BA3EFF"/>
    <w:rsid w:val="00BA4972"/>
    <w:rsid w:val="00BA5FE7"/>
    <w:rsid w:val="00BA7D78"/>
    <w:rsid w:val="00BB13F6"/>
    <w:rsid w:val="00BB1C24"/>
    <w:rsid w:val="00BB2580"/>
    <w:rsid w:val="00BB37EE"/>
    <w:rsid w:val="00BB530B"/>
    <w:rsid w:val="00BB58D3"/>
    <w:rsid w:val="00BC3754"/>
    <w:rsid w:val="00BC432E"/>
    <w:rsid w:val="00BC5AB1"/>
    <w:rsid w:val="00BC63DA"/>
    <w:rsid w:val="00BC6774"/>
    <w:rsid w:val="00BC6C8B"/>
    <w:rsid w:val="00BC6EEF"/>
    <w:rsid w:val="00BC7980"/>
    <w:rsid w:val="00BD1496"/>
    <w:rsid w:val="00BD2B2E"/>
    <w:rsid w:val="00BD2FEE"/>
    <w:rsid w:val="00BD306C"/>
    <w:rsid w:val="00BD4D43"/>
    <w:rsid w:val="00BD7695"/>
    <w:rsid w:val="00BE0D5C"/>
    <w:rsid w:val="00BE0EE1"/>
    <w:rsid w:val="00BE19EF"/>
    <w:rsid w:val="00BE2578"/>
    <w:rsid w:val="00BE2629"/>
    <w:rsid w:val="00BE3DD7"/>
    <w:rsid w:val="00BE4BDF"/>
    <w:rsid w:val="00BE5FED"/>
    <w:rsid w:val="00BE65E4"/>
    <w:rsid w:val="00BE7120"/>
    <w:rsid w:val="00BE7D81"/>
    <w:rsid w:val="00BF0AA7"/>
    <w:rsid w:val="00BF2A36"/>
    <w:rsid w:val="00BF2F97"/>
    <w:rsid w:val="00BF3545"/>
    <w:rsid w:val="00BF7B7F"/>
    <w:rsid w:val="00C00765"/>
    <w:rsid w:val="00C00E26"/>
    <w:rsid w:val="00C06287"/>
    <w:rsid w:val="00C12309"/>
    <w:rsid w:val="00C1340F"/>
    <w:rsid w:val="00C14290"/>
    <w:rsid w:val="00C20D5E"/>
    <w:rsid w:val="00C2123C"/>
    <w:rsid w:val="00C21635"/>
    <w:rsid w:val="00C23583"/>
    <w:rsid w:val="00C30BCA"/>
    <w:rsid w:val="00C312CC"/>
    <w:rsid w:val="00C357CD"/>
    <w:rsid w:val="00C36941"/>
    <w:rsid w:val="00C36C67"/>
    <w:rsid w:val="00C4066A"/>
    <w:rsid w:val="00C40D0E"/>
    <w:rsid w:val="00C469FC"/>
    <w:rsid w:val="00C47677"/>
    <w:rsid w:val="00C5255D"/>
    <w:rsid w:val="00C52C5C"/>
    <w:rsid w:val="00C53E6B"/>
    <w:rsid w:val="00C568F0"/>
    <w:rsid w:val="00C56BAB"/>
    <w:rsid w:val="00C602B7"/>
    <w:rsid w:val="00C60D92"/>
    <w:rsid w:val="00C61880"/>
    <w:rsid w:val="00C63CA2"/>
    <w:rsid w:val="00C650DA"/>
    <w:rsid w:val="00C65930"/>
    <w:rsid w:val="00C65D27"/>
    <w:rsid w:val="00C7041C"/>
    <w:rsid w:val="00C7228F"/>
    <w:rsid w:val="00C74AAD"/>
    <w:rsid w:val="00C75AB0"/>
    <w:rsid w:val="00C77EAA"/>
    <w:rsid w:val="00C80ADC"/>
    <w:rsid w:val="00C82AA4"/>
    <w:rsid w:val="00C8305C"/>
    <w:rsid w:val="00C844D6"/>
    <w:rsid w:val="00C8747A"/>
    <w:rsid w:val="00C87530"/>
    <w:rsid w:val="00C9032B"/>
    <w:rsid w:val="00C91827"/>
    <w:rsid w:val="00C9326B"/>
    <w:rsid w:val="00C949F8"/>
    <w:rsid w:val="00C95691"/>
    <w:rsid w:val="00C96A47"/>
    <w:rsid w:val="00C970CE"/>
    <w:rsid w:val="00CA1ECD"/>
    <w:rsid w:val="00CA3826"/>
    <w:rsid w:val="00CA4C7F"/>
    <w:rsid w:val="00CB13AC"/>
    <w:rsid w:val="00CB13B7"/>
    <w:rsid w:val="00CB1DD8"/>
    <w:rsid w:val="00CB7087"/>
    <w:rsid w:val="00CB71AA"/>
    <w:rsid w:val="00CC41EE"/>
    <w:rsid w:val="00CD0BF5"/>
    <w:rsid w:val="00CD0FA4"/>
    <w:rsid w:val="00CD1089"/>
    <w:rsid w:val="00CD1BCD"/>
    <w:rsid w:val="00CD22B3"/>
    <w:rsid w:val="00CD6D61"/>
    <w:rsid w:val="00CD7D66"/>
    <w:rsid w:val="00CE0A47"/>
    <w:rsid w:val="00CE2C6E"/>
    <w:rsid w:val="00CE2D75"/>
    <w:rsid w:val="00CE5053"/>
    <w:rsid w:val="00CE5423"/>
    <w:rsid w:val="00CE6C66"/>
    <w:rsid w:val="00CE799B"/>
    <w:rsid w:val="00CF0968"/>
    <w:rsid w:val="00CF2DA7"/>
    <w:rsid w:val="00CF3129"/>
    <w:rsid w:val="00CF321C"/>
    <w:rsid w:val="00CF4FE6"/>
    <w:rsid w:val="00CF556F"/>
    <w:rsid w:val="00CF5974"/>
    <w:rsid w:val="00CF6BE2"/>
    <w:rsid w:val="00D0445F"/>
    <w:rsid w:val="00D05EB3"/>
    <w:rsid w:val="00D0608D"/>
    <w:rsid w:val="00D061D5"/>
    <w:rsid w:val="00D06E87"/>
    <w:rsid w:val="00D06EFC"/>
    <w:rsid w:val="00D074BF"/>
    <w:rsid w:val="00D1113C"/>
    <w:rsid w:val="00D1197E"/>
    <w:rsid w:val="00D122E5"/>
    <w:rsid w:val="00D1619E"/>
    <w:rsid w:val="00D21956"/>
    <w:rsid w:val="00D219C1"/>
    <w:rsid w:val="00D21F37"/>
    <w:rsid w:val="00D22C33"/>
    <w:rsid w:val="00D2340E"/>
    <w:rsid w:val="00D25371"/>
    <w:rsid w:val="00D27373"/>
    <w:rsid w:val="00D32833"/>
    <w:rsid w:val="00D338E7"/>
    <w:rsid w:val="00D33DA7"/>
    <w:rsid w:val="00D3507E"/>
    <w:rsid w:val="00D354D0"/>
    <w:rsid w:val="00D41D9A"/>
    <w:rsid w:val="00D472D8"/>
    <w:rsid w:val="00D50EB5"/>
    <w:rsid w:val="00D5146D"/>
    <w:rsid w:val="00D51E01"/>
    <w:rsid w:val="00D5255B"/>
    <w:rsid w:val="00D538F6"/>
    <w:rsid w:val="00D5457D"/>
    <w:rsid w:val="00D56FF4"/>
    <w:rsid w:val="00D611A2"/>
    <w:rsid w:val="00D6213A"/>
    <w:rsid w:val="00D62C95"/>
    <w:rsid w:val="00D71265"/>
    <w:rsid w:val="00D71D57"/>
    <w:rsid w:val="00D73760"/>
    <w:rsid w:val="00D74036"/>
    <w:rsid w:val="00D7622C"/>
    <w:rsid w:val="00D802BD"/>
    <w:rsid w:val="00D808EE"/>
    <w:rsid w:val="00D85717"/>
    <w:rsid w:val="00D85967"/>
    <w:rsid w:val="00D86995"/>
    <w:rsid w:val="00D87FE7"/>
    <w:rsid w:val="00D91885"/>
    <w:rsid w:val="00D93663"/>
    <w:rsid w:val="00D93B5F"/>
    <w:rsid w:val="00D94097"/>
    <w:rsid w:val="00D94EC2"/>
    <w:rsid w:val="00D95DDC"/>
    <w:rsid w:val="00D96B60"/>
    <w:rsid w:val="00DA0634"/>
    <w:rsid w:val="00DA10A8"/>
    <w:rsid w:val="00DA2FC4"/>
    <w:rsid w:val="00DA3E6F"/>
    <w:rsid w:val="00DA5876"/>
    <w:rsid w:val="00DA62C5"/>
    <w:rsid w:val="00DA7CB8"/>
    <w:rsid w:val="00DA7DA7"/>
    <w:rsid w:val="00DB0CB2"/>
    <w:rsid w:val="00DB3D2B"/>
    <w:rsid w:val="00DB4ABC"/>
    <w:rsid w:val="00DC08BC"/>
    <w:rsid w:val="00DC1F63"/>
    <w:rsid w:val="00DC4A1E"/>
    <w:rsid w:val="00DC53B3"/>
    <w:rsid w:val="00DD1011"/>
    <w:rsid w:val="00DD48EA"/>
    <w:rsid w:val="00DE152B"/>
    <w:rsid w:val="00DE221F"/>
    <w:rsid w:val="00DE2B7A"/>
    <w:rsid w:val="00DE55E6"/>
    <w:rsid w:val="00DE5DBB"/>
    <w:rsid w:val="00DF1286"/>
    <w:rsid w:val="00DF169D"/>
    <w:rsid w:val="00DF341C"/>
    <w:rsid w:val="00DF7AE1"/>
    <w:rsid w:val="00E01486"/>
    <w:rsid w:val="00E0241F"/>
    <w:rsid w:val="00E04482"/>
    <w:rsid w:val="00E04B2E"/>
    <w:rsid w:val="00E04D37"/>
    <w:rsid w:val="00E05840"/>
    <w:rsid w:val="00E05DEE"/>
    <w:rsid w:val="00E06BAC"/>
    <w:rsid w:val="00E07968"/>
    <w:rsid w:val="00E10BA8"/>
    <w:rsid w:val="00E12448"/>
    <w:rsid w:val="00E13809"/>
    <w:rsid w:val="00E13B45"/>
    <w:rsid w:val="00E141AC"/>
    <w:rsid w:val="00E14560"/>
    <w:rsid w:val="00E14683"/>
    <w:rsid w:val="00E207DB"/>
    <w:rsid w:val="00E21A27"/>
    <w:rsid w:val="00E21EFB"/>
    <w:rsid w:val="00E2267F"/>
    <w:rsid w:val="00E235D4"/>
    <w:rsid w:val="00E25FBA"/>
    <w:rsid w:val="00E266D4"/>
    <w:rsid w:val="00E270B7"/>
    <w:rsid w:val="00E27C9F"/>
    <w:rsid w:val="00E32B23"/>
    <w:rsid w:val="00E36A50"/>
    <w:rsid w:val="00E4126D"/>
    <w:rsid w:val="00E41B22"/>
    <w:rsid w:val="00E436F7"/>
    <w:rsid w:val="00E43C87"/>
    <w:rsid w:val="00E44E45"/>
    <w:rsid w:val="00E46D88"/>
    <w:rsid w:val="00E476CF"/>
    <w:rsid w:val="00E47F57"/>
    <w:rsid w:val="00E528EB"/>
    <w:rsid w:val="00E56811"/>
    <w:rsid w:val="00E56A3E"/>
    <w:rsid w:val="00E57563"/>
    <w:rsid w:val="00E6139F"/>
    <w:rsid w:val="00E61490"/>
    <w:rsid w:val="00E61E1E"/>
    <w:rsid w:val="00E62387"/>
    <w:rsid w:val="00E63755"/>
    <w:rsid w:val="00E64B3B"/>
    <w:rsid w:val="00E667A9"/>
    <w:rsid w:val="00E709AA"/>
    <w:rsid w:val="00E71A05"/>
    <w:rsid w:val="00E73410"/>
    <w:rsid w:val="00E742BC"/>
    <w:rsid w:val="00E76F07"/>
    <w:rsid w:val="00E80AB0"/>
    <w:rsid w:val="00E82D98"/>
    <w:rsid w:val="00E83213"/>
    <w:rsid w:val="00E90B9D"/>
    <w:rsid w:val="00E912E5"/>
    <w:rsid w:val="00E91644"/>
    <w:rsid w:val="00E91839"/>
    <w:rsid w:val="00E923F1"/>
    <w:rsid w:val="00E92BD3"/>
    <w:rsid w:val="00E96A6F"/>
    <w:rsid w:val="00EA1B79"/>
    <w:rsid w:val="00EA2B8F"/>
    <w:rsid w:val="00EA42B1"/>
    <w:rsid w:val="00EA6D03"/>
    <w:rsid w:val="00EB1D3D"/>
    <w:rsid w:val="00EB3D8A"/>
    <w:rsid w:val="00EB4AF9"/>
    <w:rsid w:val="00EB711D"/>
    <w:rsid w:val="00EB7A0E"/>
    <w:rsid w:val="00EC0476"/>
    <w:rsid w:val="00EC71ED"/>
    <w:rsid w:val="00EC7486"/>
    <w:rsid w:val="00EC75C9"/>
    <w:rsid w:val="00ED2536"/>
    <w:rsid w:val="00ED27A5"/>
    <w:rsid w:val="00ED5BB7"/>
    <w:rsid w:val="00ED7B38"/>
    <w:rsid w:val="00EE0057"/>
    <w:rsid w:val="00EE0E84"/>
    <w:rsid w:val="00EE11B2"/>
    <w:rsid w:val="00EE208F"/>
    <w:rsid w:val="00EE308D"/>
    <w:rsid w:val="00EE44C9"/>
    <w:rsid w:val="00EE510D"/>
    <w:rsid w:val="00EE5B25"/>
    <w:rsid w:val="00EF087C"/>
    <w:rsid w:val="00EF1C63"/>
    <w:rsid w:val="00EF2769"/>
    <w:rsid w:val="00EF4296"/>
    <w:rsid w:val="00EF4DF3"/>
    <w:rsid w:val="00EF5B34"/>
    <w:rsid w:val="00F01449"/>
    <w:rsid w:val="00F02F28"/>
    <w:rsid w:val="00F04619"/>
    <w:rsid w:val="00F060D8"/>
    <w:rsid w:val="00F0799D"/>
    <w:rsid w:val="00F12744"/>
    <w:rsid w:val="00F13C31"/>
    <w:rsid w:val="00F13F24"/>
    <w:rsid w:val="00F1419E"/>
    <w:rsid w:val="00F209D8"/>
    <w:rsid w:val="00F22E54"/>
    <w:rsid w:val="00F23B1E"/>
    <w:rsid w:val="00F2583B"/>
    <w:rsid w:val="00F27ED1"/>
    <w:rsid w:val="00F30CF8"/>
    <w:rsid w:val="00F31315"/>
    <w:rsid w:val="00F314A0"/>
    <w:rsid w:val="00F31DC1"/>
    <w:rsid w:val="00F378ED"/>
    <w:rsid w:val="00F37E95"/>
    <w:rsid w:val="00F4027A"/>
    <w:rsid w:val="00F40408"/>
    <w:rsid w:val="00F42F5E"/>
    <w:rsid w:val="00F46297"/>
    <w:rsid w:val="00F46ABC"/>
    <w:rsid w:val="00F50F3D"/>
    <w:rsid w:val="00F5172B"/>
    <w:rsid w:val="00F53655"/>
    <w:rsid w:val="00F53C1E"/>
    <w:rsid w:val="00F55290"/>
    <w:rsid w:val="00F55956"/>
    <w:rsid w:val="00F56CA9"/>
    <w:rsid w:val="00F6071E"/>
    <w:rsid w:val="00F616C5"/>
    <w:rsid w:val="00F6201F"/>
    <w:rsid w:val="00F62CFC"/>
    <w:rsid w:val="00F639E2"/>
    <w:rsid w:val="00F65284"/>
    <w:rsid w:val="00F711FF"/>
    <w:rsid w:val="00F71512"/>
    <w:rsid w:val="00F739B0"/>
    <w:rsid w:val="00F74EF2"/>
    <w:rsid w:val="00F74FA5"/>
    <w:rsid w:val="00F75017"/>
    <w:rsid w:val="00F753E9"/>
    <w:rsid w:val="00F769FF"/>
    <w:rsid w:val="00F77E6A"/>
    <w:rsid w:val="00F81D93"/>
    <w:rsid w:val="00F82EB2"/>
    <w:rsid w:val="00F831FB"/>
    <w:rsid w:val="00F86C62"/>
    <w:rsid w:val="00F9035E"/>
    <w:rsid w:val="00F90714"/>
    <w:rsid w:val="00F907B5"/>
    <w:rsid w:val="00F90F7E"/>
    <w:rsid w:val="00F91F4B"/>
    <w:rsid w:val="00F92EBD"/>
    <w:rsid w:val="00F93164"/>
    <w:rsid w:val="00F93332"/>
    <w:rsid w:val="00F940A3"/>
    <w:rsid w:val="00F9413F"/>
    <w:rsid w:val="00F94A2D"/>
    <w:rsid w:val="00F94D21"/>
    <w:rsid w:val="00F95123"/>
    <w:rsid w:val="00FA11D0"/>
    <w:rsid w:val="00FA14EB"/>
    <w:rsid w:val="00FA19D8"/>
    <w:rsid w:val="00FA1A5C"/>
    <w:rsid w:val="00FA344A"/>
    <w:rsid w:val="00FA39DE"/>
    <w:rsid w:val="00FA406D"/>
    <w:rsid w:val="00FA44DE"/>
    <w:rsid w:val="00FA4570"/>
    <w:rsid w:val="00FA4B28"/>
    <w:rsid w:val="00FB00C2"/>
    <w:rsid w:val="00FB13BD"/>
    <w:rsid w:val="00FB3748"/>
    <w:rsid w:val="00FB5056"/>
    <w:rsid w:val="00FC015B"/>
    <w:rsid w:val="00FC1992"/>
    <w:rsid w:val="00FC19A6"/>
    <w:rsid w:val="00FC3052"/>
    <w:rsid w:val="00FC3C87"/>
    <w:rsid w:val="00FC3DC9"/>
    <w:rsid w:val="00FC6DA2"/>
    <w:rsid w:val="00FD0CB0"/>
    <w:rsid w:val="00FD19F3"/>
    <w:rsid w:val="00FD381E"/>
    <w:rsid w:val="00FD660C"/>
    <w:rsid w:val="00FE0B04"/>
    <w:rsid w:val="00FE0F81"/>
    <w:rsid w:val="00FE1390"/>
    <w:rsid w:val="00FE1536"/>
    <w:rsid w:val="00FE25EE"/>
    <w:rsid w:val="00FE2A91"/>
    <w:rsid w:val="00FE3C6D"/>
    <w:rsid w:val="00FE4491"/>
    <w:rsid w:val="00FE5718"/>
    <w:rsid w:val="00FE68CD"/>
    <w:rsid w:val="00FF2BB0"/>
    <w:rsid w:val="00FF2D07"/>
    <w:rsid w:val="00FF3DA4"/>
    <w:rsid w:val="00FF48B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20"/>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7D19E0"/>
    <w:pPr>
      <w:spacing w:after="160" w:line="280" w:lineRule="exact"/>
    </w:pPr>
    <w:rPr>
      <w:rFonts w:ascii="Franklin Gothic Book" w:eastAsia="Times New Roman" w:hAnsi="Franklin Gothic Book"/>
      <w:szCs w:val="20"/>
    </w:rPr>
  </w:style>
  <w:style w:type="character" w:customStyle="1" w:styleId="BodyTextChar">
    <w:name w:val="Body Text Char"/>
    <w:basedOn w:val="DefaultParagraphFont"/>
    <w:link w:val="BodyText"/>
    <w:rsid w:val="007D19E0"/>
    <w:rPr>
      <w:rFonts w:ascii="Franklin Gothic Book" w:eastAsia="Times New Roman" w:hAnsi="Franklin Gothic Book" w:cs="Times New Roman"/>
      <w:sz w:val="20"/>
      <w:szCs w:val="20"/>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0"/>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basedOn w:val="Normal"/>
    <w:uiPriority w:val="34"/>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19"/>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18"/>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paragraph" w:styleId="DocumentMap">
    <w:name w:val="Document Map"/>
    <w:basedOn w:val="Normal"/>
    <w:link w:val="DocumentMapChar"/>
    <w:uiPriority w:val="99"/>
    <w:semiHidden/>
    <w:unhideWhenUsed/>
    <w:rsid w:val="00AC5C1D"/>
    <w:rPr>
      <w:rFonts w:ascii="Tahoma" w:hAnsi="Tahoma" w:cs="Tahoma"/>
      <w:sz w:val="16"/>
      <w:szCs w:val="16"/>
    </w:rPr>
  </w:style>
  <w:style w:type="character" w:customStyle="1" w:styleId="DocumentMapChar">
    <w:name w:val="Document Map Char"/>
    <w:basedOn w:val="DefaultParagraphFont"/>
    <w:link w:val="DocumentMap"/>
    <w:uiPriority w:val="99"/>
    <w:semiHidden/>
    <w:rsid w:val="00AC5C1D"/>
    <w:rPr>
      <w:rFonts w:ascii="Tahoma" w:eastAsia="SimSun" w:hAnsi="Tahoma" w:cs="Tahoma"/>
      <w:sz w:val="16"/>
      <w:szCs w:val="16"/>
    </w:rPr>
  </w:style>
  <w:style w:type="character" w:styleId="Emphasis">
    <w:name w:val="Emphasis"/>
    <w:basedOn w:val="DefaultParagraphFont"/>
    <w:uiPriority w:val="20"/>
    <w:qFormat/>
    <w:rsid w:val="00942A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20"/>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7D19E0"/>
    <w:pPr>
      <w:spacing w:after="160" w:line="280" w:lineRule="exact"/>
    </w:pPr>
    <w:rPr>
      <w:rFonts w:ascii="Franklin Gothic Book" w:eastAsia="Times New Roman" w:hAnsi="Franklin Gothic Book"/>
      <w:szCs w:val="20"/>
    </w:rPr>
  </w:style>
  <w:style w:type="character" w:customStyle="1" w:styleId="BodyTextChar">
    <w:name w:val="Body Text Char"/>
    <w:basedOn w:val="DefaultParagraphFont"/>
    <w:link w:val="BodyText"/>
    <w:rsid w:val="007D19E0"/>
    <w:rPr>
      <w:rFonts w:ascii="Franklin Gothic Book" w:eastAsia="Times New Roman" w:hAnsi="Franklin Gothic Book" w:cs="Times New Roman"/>
      <w:sz w:val="20"/>
      <w:szCs w:val="20"/>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0"/>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basedOn w:val="Normal"/>
    <w:uiPriority w:val="34"/>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19"/>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18"/>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paragraph" w:styleId="DocumentMap">
    <w:name w:val="Document Map"/>
    <w:basedOn w:val="Normal"/>
    <w:link w:val="DocumentMapChar"/>
    <w:uiPriority w:val="99"/>
    <w:semiHidden/>
    <w:unhideWhenUsed/>
    <w:rsid w:val="00AC5C1D"/>
    <w:rPr>
      <w:rFonts w:ascii="Tahoma" w:hAnsi="Tahoma" w:cs="Tahoma"/>
      <w:sz w:val="16"/>
      <w:szCs w:val="16"/>
    </w:rPr>
  </w:style>
  <w:style w:type="character" w:customStyle="1" w:styleId="DocumentMapChar">
    <w:name w:val="Document Map Char"/>
    <w:basedOn w:val="DefaultParagraphFont"/>
    <w:link w:val="DocumentMap"/>
    <w:uiPriority w:val="99"/>
    <w:semiHidden/>
    <w:rsid w:val="00AC5C1D"/>
    <w:rPr>
      <w:rFonts w:ascii="Tahoma" w:eastAsia="SimSun" w:hAnsi="Tahoma" w:cs="Tahoma"/>
      <w:sz w:val="16"/>
      <w:szCs w:val="16"/>
    </w:rPr>
  </w:style>
  <w:style w:type="character" w:styleId="Emphasis">
    <w:name w:val="Emphasis"/>
    <w:basedOn w:val="DefaultParagraphFont"/>
    <w:uiPriority w:val="20"/>
    <w:qFormat/>
    <w:rsid w:val="00942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794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58251546">
      <w:bodyDiv w:val="1"/>
      <w:marLeft w:val="0"/>
      <w:marRight w:val="0"/>
      <w:marTop w:val="0"/>
      <w:marBottom w:val="0"/>
      <w:divBdr>
        <w:top w:val="none" w:sz="0" w:space="0" w:color="auto"/>
        <w:left w:val="none" w:sz="0" w:space="0" w:color="auto"/>
        <w:bottom w:val="none" w:sz="0" w:space="0" w:color="auto"/>
        <w:right w:val="none" w:sz="0" w:space="0" w:color="auto"/>
      </w:divBdr>
    </w:div>
    <w:div w:id="623659789">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799108256">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97763431">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1560664">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undp.org/content/dam/vietnam/docs/Publications/31204_Women_s_Representation_in_Leadership_in_Viet_Nam.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FFCD5-3697-47B9-B5FF-C81B9EF37DCF}"/>
</file>

<file path=customXml/itemProps2.xml><?xml version="1.0" encoding="utf-8"?>
<ds:datastoreItem xmlns:ds="http://schemas.openxmlformats.org/officeDocument/2006/customXml" ds:itemID="{C0365663-05BE-41A2-A060-9C67065AF9D5}"/>
</file>

<file path=customXml/itemProps3.xml><?xml version="1.0" encoding="utf-8"?>
<ds:datastoreItem xmlns:ds="http://schemas.openxmlformats.org/officeDocument/2006/customXml" ds:itemID="{C9514666-743A-47B9-879B-C6722833369A}"/>
</file>

<file path=customXml/itemProps4.xml><?xml version="1.0" encoding="utf-8"?>
<ds:datastoreItem xmlns:ds="http://schemas.openxmlformats.org/officeDocument/2006/customXml" ds:itemID="{02640A68-7EC2-4D4E-887D-8D29D68DA0C5}"/>
</file>

<file path=docProps/app.xml><?xml version="1.0" encoding="utf-8"?>
<Properties xmlns="http://schemas.openxmlformats.org/officeDocument/2006/extended-properties" xmlns:vt="http://schemas.openxmlformats.org/officeDocument/2006/docPropsVTypes">
  <Template>D0BF4B0.dotm</Template>
  <TotalTime>0</TotalTime>
  <Pages>7</Pages>
  <Words>3681</Words>
  <Characters>21982</Characters>
  <Application>Microsoft Office Word</Application>
  <DocSecurity>4</DocSecurity>
  <Lines>284</Lines>
  <Paragraphs>87</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Australia-Vietnam Human Resource Development Program, 2016-2020</dc:title>
  <dc:creator/>
  <cp:lastModifiedBy/>
  <cp:revision>1</cp:revision>
  <dcterms:created xsi:type="dcterms:W3CDTF">2015-05-11T01:04:00Z</dcterms:created>
  <dcterms:modified xsi:type="dcterms:W3CDTF">2015-05-11T01:04:00Z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