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9.xml" ContentType="application/vnd.openxmlformats-officedocument.customXmlProperties+xml"/>
  <Override PartName="/customXml/itemProps8.xml" ContentType="application/vnd.openxmlformats-officedocument.customXmlProperties+xml"/>
  <Override PartName="/word/webSettings.xml" ContentType="application/vnd.openxmlformats-officedocument.wordprocessingml.webSettings+xml"/>
  <Override PartName="/customXml/itemProps11.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8220F" w14:textId="77777777" w:rsidR="00F81654" w:rsidRPr="00B5326E" w:rsidRDefault="00F81654" w:rsidP="00C227BA">
      <w:pPr>
        <w:spacing w:before="120" w:after="120"/>
        <w:jc w:val="center"/>
        <w:rPr>
          <w:b/>
          <w:color w:val="548DD4" w:themeColor="text2" w:themeTint="99"/>
        </w:rPr>
      </w:pPr>
      <w:bookmarkStart w:id="0" w:name="_GoBack"/>
      <w:bookmarkEnd w:id="0"/>
    </w:p>
    <w:p w14:paraId="6D5F62CD" w14:textId="77777777" w:rsidR="00F81654" w:rsidRPr="00B5326E" w:rsidRDefault="00F81654" w:rsidP="00C227BA">
      <w:pPr>
        <w:spacing w:before="120" w:after="120"/>
        <w:jc w:val="center"/>
        <w:rPr>
          <w:b/>
          <w:color w:val="548DD4" w:themeColor="text2" w:themeTint="99"/>
        </w:rPr>
      </w:pPr>
    </w:p>
    <w:p w14:paraId="7F5E4C01" w14:textId="77777777" w:rsidR="00F81654" w:rsidRPr="00B5326E" w:rsidRDefault="00F81654" w:rsidP="00C227BA">
      <w:pPr>
        <w:spacing w:before="120" w:after="120"/>
        <w:jc w:val="center"/>
        <w:rPr>
          <w:b/>
          <w:color w:val="548DD4" w:themeColor="text2" w:themeTint="99"/>
        </w:rPr>
      </w:pPr>
    </w:p>
    <w:p w14:paraId="5F96B42E" w14:textId="77777777" w:rsidR="00F81654" w:rsidRPr="00B5326E" w:rsidRDefault="00F81654" w:rsidP="00C227BA">
      <w:pPr>
        <w:spacing w:before="120" w:after="120"/>
        <w:jc w:val="center"/>
        <w:rPr>
          <w:b/>
          <w:color w:val="548DD4" w:themeColor="text2" w:themeTint="99"/>
        </w:rPr>
      </w:pPr>
    </w:p>
    <w:p w14:paraId="338B1F41" w14:textId="77777777" w:rsidR="00F81654" w:rsidRPr="00B5326E" w:rsidRDefault="00F81654" w:rsidP="00C227BA">
      <w:pPr>
        <w:spacing w:before="120" w:after="120"/>
        <w:jc w:val="center"/>
        <w:rPr>
          <w:b/>
          <w:color w:val="548DD4" w:themeColor="text2" w:themeTint="99"/>
        </w:rPr>
      </w:pPr>
    </w:p>
    <w:p w14:paraId="7B3AD295" w14:textId="77777777" w:rsidR="00F81654" w:rsidRPr="00B5326E" w:rsidRDefault="00F81654" w:rsidP="00C227BA">
      <w:pPr>
        <w:spacing w:before="120" w:after="120"/>
        <w:jc w:val="center"/>
        <w:rPr>
          <w:b/>
          <w:color w:val="548DD4" w:themeColor="text2" w:themeTint="99"/>
        </w:rPr>
      </w:pPr>
    </w:p>
    <w:p w14:paraId="1AAD9365" w14:textId="77777777" w:rsidR="00F81654" w:rsidRPr="00B5326E" w:rsidRDefault="00F81654" w:rsidP="00C227BA">
      <w:pPr>
        <w:spacing w:before="120" w:after="120"/>
        <w:jc w:val="center"/>
        <w:rPr>
          <w:b/>
          <w:color w:val="548DD4" w:themeColor="text2" w:themeTint="99"/>
        </w:rPr>
      </w:pPr>
    </w:p>
    <w:p w14:paraId="0FFC4783" w14:textId="77777777" w:rsidR="00F81654" w:rsidRPr="00B5326E" w:rsidRDefault="00F81654" w:rsidP="00C227BA">
      <w:pPr>
        <w:spacing w:before="120" w:after="120"/>
        <w:jc w:val="center"/>
        <w:rPr>
          <w:b/>
          <w:color w:val="548DD4" w:themeColor="text2" w:themeTint="99"/>
        </w:rPr>
      </w:pPr>
    </w:p>
    <w:p w14:paraId="5C501A72" w14:textId="77777777" w:rsidR="00F81654" w:rsidRPr="00B5326E" w:rsidRDefault="00F81654" w:rsidP="00C227BA">
      <w:pPr>
        <w:spacing w:before="120" w:after="120"/>
        <w:jc w:val="center"/>
        <w:rPr>
          <w:b/>
          <w:color w:val="548DD4" w:themeColor="text2" w:themeTint="99"/>
        </w:rPr>
      </w:pPr>
    </w:p>
    <w:p w14:paraId="0813678D" w14:textId="77777777" w:rsidR="00F81654" w:rsidRPr="00B5326E" w:rsidRDefault="00F81654" w:rsidP="00C227BA">
      <w:pPr>
        <w:spacing w:before="120" w:after="120"/>
        <w:jc w:val="center"/>
        <w:rPr>
          <w:b/>
          <w:color w:val="548DD4" w:themeColor="text2" w:themeTint="99"/>
          <w:sz w:val="32"/>
          <w:szCs w:val="32"/>
        </w:rPr>
      </w:pPr>
    </w:p>
    <w:p w14:paraId="6B78416B" w14:textId="77777777" w:rsidR="00F81654" w:rsidRPr="00B5326E" w:rsidRDefault="00F81654" w:rsidP="00C227BA">
      <w:pPr>
        <w:spacing w:before="120" w:after="120"/>
        <w:jc w:val="center"/>
        <w:rPr>
          <w:b/>
          <w:color w:val="548DD4" w:themeColor="text2" w:themeTint="99"/>
          <w:sz w:val="32"/>
          <w:szCs w:val="32"/>
        </w:rPr>
      </w:pPr>
    </w:p>
    <w:p w14:paraId="7F72A4B9" w14:textId="77777777" w:rsidR="00F81654" w:rsidRPr="00B5326E" w:rsidRDefault="00F81654" w:rsidP="00C227BA">
      <w:pPr>
        <w:spacing w:before="120" w:after="120"/>
        <w:jc w:val="center"/>
        <w:rPr>
          <w:b/>
          <w:color w:val="548DD4" w:themeColor="text2" w:themeTint="99"/>
          <w:sz w:val="32"/>
          <w:szCs w:val="32"/>
        </w:rPr>
      </w:pPr>
    </w:p>
    <w:p w14:paraId="6C263AFA" w14:textId="77777777" w:rsidR="00F81654" w:rsidRPr="00B5326E" w:rsidRDefault="00F81654" w:rsidP="00C227BA">
      <w:pPr>
        <w:spacing w:before="120" w:after="120"/>
        <w:jc w:val="center"/>
        <w:rPr>
          <w:b/>
          <w:color w:val="548DD4" w:themeColor="text2" w:themeTint="99"/>
          <w:sz w:val="32"/>
          <w:szCs w:val="32"/>
        </w:rPr>
      </w:pPr>
    </w:p>
    <w:p w14:paraId="4D0EA7AA" w14:textId="4A86A9AA" w:rsidR="00F81654" w:rsidRPr="003F2017" w:rsidRDefault="00F81654" w:rsidP="00C227BA">
      <w:pPr>
        <w:spacing w:before="120" w:after="120"/>
        <w:jc w:val="center"/>
        <w:rPr>
          <w:b/>
          <w:color w:val="548DD4" w:themeColor="text2" w:themeTint="99"/>
          <w:sz w:val="32"/>
          <w:szCs w:val="32"/>
        </w:rPr>
      </w:pPr>
      <w:r w:rsidRPr="003F2017">
        <w:rPr>
          <w:b/>
          <w:color w:val="548DD4" w:themeColor="text2" w:themeTint="99"/>
          <w:sz w:val="32"/>
          <w:szCs w:val="32"/>
        </w:rPr>
        <w:t>VIETNAM</w:t>
      </w:r>
      <w:r w:rsidR="003F2017" w:rsidRPr="003F2017">
        <w:rPr>
          <w:b/>
          <w:color w:val="548DD4" w:themeColor="text2" w:themeTint="99"/>
          <w:sz w:val="32"/>
          <w:szCs w:val="32"/>
        </w:rPr>
        <w:t>-AUSTRALIA PARTNERSHIP</w:t>
      </w:r>
    </w:p>
    <w:p w14:paraId="4642FDC6" w14:textId="649F2444" w:rsidR="00F81654" w:rsidRPr="00B5326E" w:rsidRDefault="003F2017" w:rsidP="00C227BA">
      <w:pPr>
        <w:spacing w:before="120" w:after="120"/>
        <w:jc w:val="center"/>
        <w:rPr>
          <w:b/>
          <w:color w:val="548DD4" w:themeColor="text2" w:themeTint="99"/>
          <w:sz w:val="32"/>
          <w:szCs w:val="32"/>
        </w:rPr>
      </w:pPr>
      <w:r>
        <w:rPr>
          <w:b/>
          <w:color w:val="548DD4" w:themeColor="text2" w:themeTint="99"/>
          <w:sz w:val="32"/>
          <w:szCs w:val="32"/>
        </w:rPr>
        <w:t>HUMAN RESOURCE DEVELOPMENT</w:t>
      </w:r>
    </w:p>
    <w:p w14:paraId="0B01879C" w14:textId="77777777" w:rsidR="00D74D74" w:rsidRDefault="00D74D74" w:rsidP="00C227BA">
      <w:pPr>
        <w:spacing w:before="120" w:after="120"/>
        <w:jc w:val="center"/>
        <w:rPr>
          <w:b/>
          <w:color w:val="548DD4" w:themeColor="text2" w:themeTint="99"/>
          <w:sz w:val="32"/>
          <w:szCs w:val="32"/>
        </w:rPr>
      </w:pPr>
    </w:p>
    <w:p w14:paraId="483F20F1" w14:textId="77777777" w:rsidR="003F2017" w:rsidRPr="00B5326E" w:rsidRDefault="003F2017" w:rsidP="00C227BA">
      <w:pPr>
        <w:spacing w:before="120" w:after="120"/>
        <w:jc w:val="center"/>
        <w:rPr>
          <w:b/>
          <w:color w:val="548DD4" w:themeColor="text2" w:themeTint="99"/>
          <w:sz w:val="32"/>
          <w:szCs w:val="32"/>
        </w:rPr>
      </w:pPr>
    </w:p>
    <w:p w14:paraId="2E0B09EF" w14:textId="1D2F6297" w:rsidR="00D74D74" w:rsidRPr="00B5326E" w:rsidRDefault="0014611A" w:rsidP="00C227BA">
      <w:pPr>
        <w:spacing w:before="120" w:after="120"/>
        <w:jc w:val="center"/>
        <w:rPr>
          <w:b/>
          <w:color w:val="548DD4" w:themeColor="text2" w:themeTint="99"/>
          <w:sz w:val="32"/>
          <w:szCs w:val="32"/>
        </w:rPr>
      </w:pPr>
      <w:r w:rsidRPr="00B5326E">
        <w:rPr>
          <w:b/>
          <w:color w:val="548DD4" w:themeColor="text2" w:themeTint="99"/>
          <w:sz w:val="32"/>
          <w:szCs w:val="32"/>
        </w:rPr>
        <w:t xml:space="preserve">FINAL </w:t>
      </w:r>
      <w:r w:rsidR="00D74D74" w:rsidRPr="00B5326E">
        <w:rPr>
          <w:b/>
          <w:color w:val="548DD4" w:themeColor="text2" w:themeTint="99"/>
          <w:sz w:val="32"/>
          <w:szCs w:val="32"/>
        </w:rPr>
        <w:t>DESIGN DOCUMENT</w:t>
      </w:r>
    </w:p>
    <w:p w14:paraId="2A85DB35" w14:textId="77777777" w:rsidR="00F81654" w:rsidRPr="00B5326E" w:rsidRDefault="00F81654" w:rsidP="00C227BA">
      <w:pPr>
        <w:spacing w:before="120" w:after="120"/>
        <w:jc w:val="center"/>
        <w:rPr>
          <w:b/>
          <w:color w:val="548DD4" w:themeColor="text2" w:themeTint="99"/>
        </w:rPr>
      </w:pPr>
    </w:p>
    <w:p w14:paraId="6C374A5B" w14:textId="77777777" w:rsidR="00F81654" w:rsidRPr="00B5326E" w:rsidRDefault="00F81654" w:rsidP="00C227BA">
      <w:pPr>
        <w:spacing w:before="120" w:after="120"/>
        <w:jc w:val="center"/>
        <w:rPr>
          <w:b/>
          <w:color w:val="548DD4" w:themeColor="text2" w:themeTint="99"/>
        </w:rPr>
      </w:pPr>
    </w:p>
    <w:p w14:paraId="202C778D" w14:textId="77777777" w:rsidR="00F81654" w:rsidRPr="00B5326E" w:rsidRDefault="00F81654" w:rsidP="00C227BA">
      <w:pPr>
        <w:spacing w:before="120" w:after="120"/>
        <w:jc w:val="center"/>
        <w:rPr>
          <w:b/>
          <w:color w:val="548DD4" w:themeColor="text2" w:themeTint="99"/>
        </w:rPr>
      </w:pPr>
    </w:p>
    <w:p w14:paraId="64F324AD" w14:textId="77777777" w:rsidR="00F81654" w:rsidRPr="00B5326E" w:rsidRDefault="00F81654" w:rsidP="00C227BA">
      <w:pPr>
        <w:spacing w:before="120" w:after="120"/>
        <w:jc w:val="center"/>
        <w:rPr>
          <w:b/>
          <w:color w:val="548DD4" w:themeColor="text2" w:themeTint="99"/>
        </w:rPr>
      </w:pPr>
    </w:p>
    <w:p w14:paraId="5ED2F37D" w14:textId="77777777" w:rsidR="00F81654" w:rsidRPr="00B5326E" w:rsidRDefault="00F81654" w:rsidP="00C227BA">
      <w:pPr>
        <w:spacing w:before="120" w:after="120"/>
        <w:jc w:val="center"/>
        <w:rPr>
          <w:b/>
          <w:color w:val="548DD4" w:themeColor="text2" w:themeTint="99"/>
        </w:rPr>
      </w:pPr>
    </w:p>
    <w:p w14:paraId="5DD3D8CD" w14:textId="77777777" w:rsidR="00F81654" w:rsidRPr="00B5326E" w:rsidRDefault="00F81654" w:rsidP="00C227BA">
      <w:pPr>
        <w:spacing w:before="120" w:after="120"/>
        <w:jc w:val="center"/>
        <w:rPr>
          <w:b/>
          <w:color w:val="548DD4" w:themeColor="text2" w:themeTint="99"/>
        </w:rPr>
      </w:pPr>
    </w:p>
    <w:p w14:paraId="23311ADF" w14:textId="77777777" w:rsidR="00F81654" w:rsidRPr="00B5326E" w:rsidRDefault="00F81654" w:rsidP="00C227BA">
      <w:pPr>
        <w:spacing w:before="120" w:after="120"/>
        <w:jc w:val="center"/>
        <w:rPr>
          <w:b/>
          <w:color w:val="548DD4" w:themeColor="text2" w:themeTint="99"/>
        </w:rPr>
      </w:pPr>
    </w:p>
    <w:p w14:paraId="2DE0B428" w14:textId="77777777" w:rsidR="00F81654" w:rsidRPr="00B5326E" w:rsidRDefault="00F81654" w:rsidP="00C227BA">
      <w:pPr>
        <w:spacing w:before="120" w:after="120"/>
        <w:jc w:val="center"/>
        <w:rPr>
          <w:b/>
          <w:color w:val="548DD4" w:themeColor="text2" w:themeTint="99"/>
        </w:rPr>
      </w:pPr>
    </w:p>
    <w:p w14:paraId="206C1F86" w14:textId="77777777" w:rsidR="00F81654" w:rsidRPr="00B5326E" w:rsidRDefault="00F81654" w:rsidP="00C227BA">
      <w:pPr>
        <w:spacing w:before="120" w:after="120"/>
        <w:jc w:val="center"/>
        <w:rPr>
          <w:b/>
          <w:color w:val="548DD4" w:themeColor="text2" w:themeTint="99"/>
        </w:rPr>
      </w:pPr>
    </w:p>
    <w:p w14:paraId="6F022BF9" w14:textId="77777777" w:rsidR="00F81654" w:rsidRPr="00B5326E" w:rsidRDefault="00F81654" w:rsidP="00C227BA">
      <w:pPr>
        <w:spacing w:before="120" w:after="120"/>
        <w:jc w:val="center"/>
        <w:rPr>
          <w:b/>
          <w:color w:val="548DD4" w:themeColor="text2" w:themeTint="99"/>
        </w:rPr>
      </w:pPr>
    </w:p>
    <w:p w14:paraId="415DD68F" w14:textId="77777777" w:rsidR="00F81654" w:rsidRPr="00B5326E" w:rsidRDefault="00F81654" w:rsidP="00C227BA">
      <w:pPr>
        <w:spacing w:before="120" w:after="120"/>
        <w:jc w:val="center"/>
        <w:rPr>
          <w:b/>
          <w:color w:val="548DD4" w:themeColor="text2" w:themeTint="99"/>
        </w:rPr>
      </w:pPr>
    </w:p>
    <w:p w14:paraId="47FD0364" w14:textId="77777777" w:rsidR="00F81654" w:rsidRPr="00B5326E" w:rsidRDefault="00F81654" w:rsidP="00C227BA">
      <w:pPr>
        <w:spacing w:before="120" w:after="120"/>
        <w:jc w:val="center"/>
        <w:rPr>
          <w:b/>
          <w:color w:val="548DD4" w:themeColor="text2" w:themeTint="99"/>
        </w:rPr>
      </w:pPr>
    </w:p>
    <w:p w14:paraId="5077EC31" w14:textId="77777777" w:rsidR="00F81654" w:rsidRPr="00B5326E" w:rsidRDefault="00F81654" w:rsidP="00C227BA">
      <w:pPr>
        <w:spacing w:before="120" w:after="120"/>
        <w:jc w:val="center"/>
        <w:rPr>
          <w:b/>
          <w:color w:val="548DD4" w:themeColor="text2" w:themeTint="99"/>
        </w:rPr>
      </w:pPr>
    </w:p>
    <w:p w14:paraId="23ACFDFA" w14:textId="77777777" w:rsidR="00F81654" w:rsidRPr="00B5326E" w:rsidRDefault="00F81654" w:rsidP="00C227BA">
      <w:pPr>
        <w:spacing w:before="120" w:after="120"/>
        <w:jc w:val="center"/>
        <w:rPr>
          <w:b/>
          <w:color w:val="548DD4" w:themeColor="text2" w:themeTint="99"/>
        </w:rPr>
      </w:pPr>
    </w:p>
    <w:p w14:paraId="1EA69CE7" w14:textId="77777777" w:rsidR="00F81654" w:rsidRPr="00B5326E" w:rsidRDefault="00F81654" w:rsidP="00C227BA">
      <w:pPr>
        <w:spacing w:before="120" w:after="120"/>
        <w:rPr>
          <w:b/>
        </w:rPr>
      </w:pPr>
      <w:r w:rsidRPr="00B5326E">
        <w:rPr>
          <w:b/>
        </w:rPr>
        <w:lastRenderedPageBreak/>
        <w:br w:type="page"/>
      </w:r>
    </w:p>
    <w:p w14:paraId="7268B2FF" w14:textId="4B307FE0" w:rsidR="005E62D7" w:rsidRPr="00B5326E" w:rsidRDefault="005E62D7" w:rsidP="00C227BA">
      <w:pPr>
        <w:spacing w:before="120" w:after="120"/>
        <w:jc w:val="center"/>
      </w:pPr>
      <w:r w:rsidRPr="00B5326E">
        <w:rPr>
          <w:b/>
        </w:rPr>
        <w:lastRenderedPageBreak/>
        <w:t>TABLE OF CONTENTS</w:t>
      </w:r>
    </w:p>
    <w:p w14:paraId="7066BAB8" w14:textId="77777777" w:rsidR="005E62D7" w:rsidRPr="00B5326E" w:rsidRDefault="005E62D7" w:rsidP="00C227BA">
      <w:pPr>
        <w:spacing w:before="120" w:after="120"/>
        <w:jc w:val="center"/>
      </w:pPr>
    </w:p>
    <w:p w14:paraId="30160713" w14:textId="77777777" w:rsidR="005E62D7" w:rsidRPr="00B5326E" w:rsidRDefault="005E62D7" w:rsidP="00C227BA">
      <w:pPr>
        <w:spacing w:before="120" w:after="120"/>
        <w:jc w:val="center"/>
      </w:pPr>
    </w:p>
    <w:p w14:paraId="35A7E0B1" w14:textId="511F5569" w:rsidR="005E62D7" w:rsidRPr="00B5326E" w:rsidRDefault="005E62D7" w:rsidP="00C227BA">
      <w:pPr>
        <w:spacing w:before="120" w:after="120"/>
        <w:rPr>
          <w:i/>
        </w:rPr>
      </w:pPr>
      <w:r w:rsidRPr="00B5326E">
        <w:rPr>
          <w:i/>
        </w:rPr>
        <w:t>Executive Summary</w:t>
      </w:r>
    </w:p>
    <w:p w14:paraId="270A4C56" w14:textId="77777777" w:rsidR="005E62D7" w:rsidRPr="00B5326E" w:rsidRDefault="005E62D7" w:rsidP="00C227BA">
      <w:pPr>
        <w:spacing w:before="120" w:after="120"/>
      </w:pPr>
    </w:p>
    <w:p w14:paraId="581A42D6" w14:textId="38E23501" w:rsidR="005E62D7" w:rsidRPr="00B5326E" w:rsidRDefault="005E62D7" w:rsidP="00C227BA">
      <w:pPr>
        <w:rPr>
          <w:b/>
        </w:rPr>
      </w:pPr>
      <w:r w:rsidRPr="00B5326E">
        <w:rPr>
          <w:b/>
        </w:rPr>
        <w:t>1.</w:t>
      </w:r>
      <w:r w:rsidRPr="00B5326E">
        <w:rPr>
          <w:b/>
        </w:rPr>
        <w:tab/>
        <w:t>ANALYSIS AND STRATEGIC CONTEXT</w:t>
      </w:r>
    </w:p>
    <w:p w14:paraId="3A1C72A3" w14:textId="12D4F634" w:rsidR="005E62D7" w:rsidRPr="00B5326E" w:rsidRDefault="005E62D7" w:rsidP="00C227BA">
      <w:pPr>
        <w:ind w:firstLine="720"/>
      </w:pPr>
      <w:r w:rsidRPr="00B5326E">
        <w:t>1.1</w:t>
      </w:r>
      <w:r w:rsidRPr="00B5326E">
        <w:tab/>
        <w:t>Country and Sector Issues</w:t>
      </w:r>
    </w:p>
    <w:p w14:paraId="0A3346E4" w14:textId="644B2A56" w:rsidR="005E62D7" w:rsidRPr="00B5326E" w:rsidRDefault="005E62D7" w:rsidP="00C227BA">
      <w:r w:rsidRPr="00B5326E">
        <w:tab/>
        <w:t>1.2</w:t>
      </w:r>
      <w:r w:rsidRPr="00B5326E">
        <w:tab/>
        <w:t>Strategic Setting and Rationale</w:t>
      </w:r>
    </w:p>
    <w:p w14:paraId="0BADA081" w14:textId="72B29404" w:rsidR="00170F97" w:rsidRPr="00B5326E" w:rsidRDefault="005E62D7" w:rsidP="00C227BA">
      <w:pPr>
        <w:ind w:firstLine="720"/>
      </w:pPr>
      <w:r w:rsidRPr="00B5326E">
        <w:t>1.3</w:t>
      </w:r>
      <w:r w:rsidRPr="00B5326E">
        <w:tab/>
      </w:r>
      <w:r w:rsidR="00170F97" w:rsidRPr="00B5326E">
        <w:t>Current HRD Program</w:t>
      </w:r>
    </w:p>
    <w:p w14:paraId="7E81DCC5" w14:textId="47E54348" w:rsidR="005E62D7" w:rsidRPr="00B5326E" w:rsidRDefault="00170F97" w:rsidP="00C227BA">
      <w:pPr>
        <w:ind w:firstLine="720"/>
      </w:pPr>
      <w:r w:rsidRPr="00B5326E">
        <w:t>1.4</w:t>
      </w:r>
      <w:r w:rsidRPr="00B5326E">
        <w:tab/>
      </w:r>
      <w:r w:rsidR="005E62D7" w:rsidRPr="00B5326E">
        <w:t>Lessons Learned</w:t>
      </w:r>
    </w:p>
    <w:p w14:paraId="56FF6149" w14:textId="77777777" w:rsidR="005E62D7" w:rsidRPr="00B5326E" w:rsidRDefault="005E62D7" w:rsidP="00C227BA"/>
    <w:p w14:paraId="1E4400C4" w14:textId="32A422AC" w:rsidR="005E62D7" w:rsidRPr="00B5326E" w:rsidRDefault="005E62D7" w:rsidP="00C227BA">
      <w:pPr>
        <w:rPr>
          <w:b/>
        </w:rPr>
      </w:pPr>
      <w:r w:rsidRPr="00B5326E">
        <w:rPr>
          <w:b/>
        </w:rPr>
        <w:t>2.</w:t>
      </w:r>
      <w:r w:rsidRPr="00B5326E">
        <w:rPr>
          <w:b/>
        </w:rPr>
        <w:tab/>
        <w:t>INVESTMENT DESCRIPTION</w:t>
      </w:r>
    </w:p>
    <w:p w14:paraId="31DE317A" w14:textId="5DD2FCDF" w:rsidR="005E62D7" w:rsidRPr="00B5326E" w:rsidRDefault="005E62D7" w:rsidP="00C227BA">
      <w:r w:rsidRPr="00B5326E">
        <w:tab/>
        <w:t>2.1</w:t>
      </w:r>
      <w:r w:rsidRPr="00B5326E">
        <w:tab/>
        <w:t>Logic and Expected Outcomes</w:t>
      </w:r>
    </w:p>
    <w:p w14:paraId="341CD9BB" w14:textId="023BCF6E" w:rsidR="005E62D7" w:rsidRPr="00B5326E" w:rsidRDefault="005E62D7" w:rsidP="00C227BA">
      <w:r w:rsidRPr="00B5326E">
        <w:tab/>
        <w:t>2.2</w:t>
      </w:r>
      <w:r w:rsidRPr="00B5326E">
        <w:tab/>
        <w:t>Delivery Approach</w:t>
      </w:r>
    </w:p>
    <w:p w14:paraId="27AFE1D7" w14:textId="7C9BAAAA" w:rsidR="00A24A67" w:rsidRPr="00B5326E" w:rsidRDefault="008601F3" w:rsidP="00C227BA">
      <w:r w:rsidRPr="00B5326E">
        <w:tab/>
        <w:t>2.3</w:t>
      </w:r>
      <w:r w:rsidRPr="00B5326E">
        <w:tab/>
      </w:r>
      <w:r w:rsidR="00A24A67" w:rsidRPr="00B5326E">
        <w:t xml:space="preserve">Delivery </w:t>
      </w:r>
      <w:r w:rsidR="00877B33" w:rsidRPr="00B5326E">
        <w:t>Modalities</w:t>
      </w:r>
    </w:p>
    <w:p w14:paraId="092EAF6A" w14:textId="6F148E28" w:rsidR="00A24A67" w:rsidRPr="00B5326E" w:rsidRDefault="00A24A67" w:rsidP="00C227BA">
      <w:r w:rsidRPr="00B5326E">
        <w:tab/>
        <w:t>2.4</w:t>
      </w:r>
      <w:r w:rsidRPr="00B5326E">
        <w:tab/>
        <w:t>Budget and Resources</w:t>
      </w:r>
    </w:p>
    <w:p w14:paraId="029E970F" w14:textId="1915DE1D" w:rsidR="00A24A67" w:rsidRPr="00B5326E" w:rsidRDefault="00A24A67" w:rsidP="00C227BA">
      <w:r w:rsidRPr="00B5326E">
        <w:tab/>
        <w:t>2.5</w:t>
      </w:r>
      <w:r w:rsidRPr="00B5326E">
        <w:tab/>
        <w:t>Contracting Strategy</w:t>
      </w:r>
    </w:p>
    <w:p w14:paraId="089778DB" w14:textId="77777777" w:rsidR="008601F3" w:rsidRPr="00B5326E" w:rsidRDefault="008601F3" w:rsidP="00C227BA"/>
    <w:p w14:paraId="56DA57F5" w14:textId="116D30B7" w:rsidR="008601F3" w:rsidRPr="00B5326E" w:rsidRDefault="008601F3" w:rsidP="00C227BA">
      <w:pPr>
        <w:rPr>
          <w:b/>
        </w:rPr>
      </w:pPr>
      <w:r w:rsidRPr="00B5326E">
        <w:rPr>
          <w:b/>
        </w:rPr>
        <w:t>3.</w:t>
      </w:r>
      <w:r w:rsidRPr="00B5326E">
        <w:rPr>
          <w:b/>
        </w:rPr>
        <w:tab/>
        <w:t>IMPLEMENTATION ARRANGEMENTS</w:t>
      </w:r>
    </w:p>
    <w:p w14:paraId="51D9AE8E" w14:textId="1CEFB107" w:rsidR="005E62D7" w:rsidRPr="00B5326E" w:rsidRDefault="008601F3" w:rsidP="00C227BA">
      <w:r w:rsidRPr="00B5326E">
        <w:tab/>
        <w:t>3.1</w:t>
      </w:r>
      <w:r w:rsidRPr="00B5326E">
        <w:tab/>
        <w:t>Management and Governance Arrangements</w:t>
      </w:r>
    </w:p>
    <w:p w14:paraId="24F2A6BD" w14:textId="1217933B" w:rsidR="008601F3" w:rsidRPr="00B5326E" w:rsidRDefault="008601F3" w:rsidP="00C227BA">
      <w:r w:rsidRPr="00B5326E">
        <w:tab/>
        <w:t>3.2</w:t>
      </w:r>
      <w:r w:rsidRPr="00B5326E">
        <w:tab/>
      </w:r>
      <w:r w:rsidR="00C227BA">
        <w:t>Activity Implementation</w:t>
      </w:r>
    </w:p>
    <w:p w14:paraId="0B675621" w14:textId="798BE80B" w:rsidR="008601F3" w:rsidRPr="00B5326E" w:rsidRDefault="008601F3" w:rsidP="00C227BA">
      <w:r w:rsidRPr="00B5326E">
        <w:tab/>
        <w:t>3.3</w:t>
      </w:r>
      <w:r w:rsidRPr="00B5326E">
        <w:tab/>
        <w:t>Monitoring and Evaluation</w:t>
      </w:r>
    </w:p>
    <w:p w14:paraId="4876476D" w14:textId="7C9F097F" w:rsidR="00E27310" w:rsidRPr="00B5326E" w:rsidRDefault="00E27310" w:rsidP="00C227BA">
      <w:r w:rsidRPr="00B5326E">
        <w:tab/>
        <w:t>3.4</w:t>
      </w:r>
      <w:r w:rsidRPr="00B5326E">
        <w:tab/>
        <w:t>Reporting and Data Dissemination</w:t>
      </w:r>
    </w:p>
    <w:p w14:paraId="165FF021" w14:textId="7C3C3DD3" w:rsidR="008601F3" w:rsidRPr="00B5326E" w:rsidRDefault="008601F3" w:rsidP="00C227BA">
      <w:r w:rsidRPr="00B5326E">
        <w:tab/>
        <w:t>3.</w:t>
      </w:r>
      <w:r w:rsidR="00E27310" w:rsidRPr="00B5326E">
        <w:t>5</w:t>
      </w:r>
      <w:r w:rsidRPr="00B5326E">
        <w:tab/>
        <w:t>Sustainability</w:t>
      </w:r>
    </w:p>
    <w:p w14:paraId="0751E7D5" w14:textId="2E1CCF0D" w:rsidR="008601F3" w:rsidRPr="00B5326E" w:rsidRDefault="008601F3" w:rsidP="00C227BA">
      <w:r w:rsidRPr="00B5326E">
        <w:tab/>
        <w:t>3.</w:t>
      </w:r>
      <w:r w:rsidR="00E27310" w:rsidRPr="00B5326E">
        <w:t>6</w:t>
      </w:r>
      <w:r w:rsidRPr="00B5326E">
        <w:tab/>
        <w:t>Inclusiveness</w:t>
      </w:r>
    </w:p>
    <w:p w14:paraId="14C80A43" w14:textId="223FE1E4" w:rsidR="00E27310" w:rsidRPr="00B5326E" w:rsidRDefault="008601F3" w:rsidP="00C227BA">
      <w:r w:rsidRPr="00B5326E">
        <w:tab/>
        <w:t>3.</w:t>
      </w:r>
      <w:r w:rsidR="00E27310" w:rsidRPr="00B5326E">
        <w:t>7</w:t>
      </w:r>
      <w:r w:rsidRPr="00B5326E">
        <w:tab/>
      </w:r>
      <w:r w:rsidR="00E27310" w:rsidRPr="00B5326E">
        <w:t>Environmental Management</w:t>
      </w:r>
    </w:p>
    <w:p w14:paraId="2BB5D0F4" w14:textId="4C3BC093" w:rsidR="008601F3" w:rsidRPr="00B5326E" w:rsidRDefault="00E27310" w:rsidP="00C227BA">
      <w:pPr>
        <w:ind w:firstLine="720"/>
      </w:pPr>
      <w:r w:rsidRPr="00B5326E">
        <w:t>3.8</w:t>
      </w:r>
      <w:r w:rsidRPr="00B5326E">
        <w:tab/>
      </w:r>
      <w:r w:rsidR="008601F3" w:rsidRPr="00B5326E">
        <w:t>Risk Assessment</w:t>
      </w:r>
    </w:p>
    <w:p w14:paraId="1A3D4C9D" w14:textId="77777777" w:rsidR="004B100C" w:rsidRPr="00B5326E" w:rsidRDefault="004B100C" w:rsidP="00C227BA"/>
    <w:p w14:paraId="79AA2746" w14:textId="77777777" w:rsidR="000050D1" w:rsidRPr="00B5326E" w:rsidRDefault="000050D1" w:rsidP="00C227BA"/>
    <w:p w14:paraId="3CB0D0AB" w14:textId="6641FB59" w:rsidR="004B100C" w:rsidRPr="00B5326E" w:rsidRDefault="004B100C" w:rsidP="00C227BA">
      <w:pPr>
        <w:rPr>
          <w:b/>
        </w:rPr>
      </w:pPr>
      <w:r w:rsidRPr="00B5326E">
        <w:rPr>
          <w:b/>
        </w:rPr>
        <w:t>ANNEXES</w:t>
      </w:r>
    </w:p>
    <w:p w14:paraId="4185B3A4" w14:textId="0CE92C91" w:rsidR="00793F45" w:rsidRDefault="00793F45" w:rsidP="00C227BA">
      <w:pPr>
        <w:rPr>
          <w:color w:val="1A1A1A"/>
        </w:rPr>
      </w:pPr>
      <w:r w:rsidRPr="00793F45">
        <w:rPr>
          <w:color w:val="1A1A1A"/>
        </w:rPr>
        <w:t xml:space="preserve">Annex 1: </w:t>
      </w:r>
      <w:r w:rsidR="007E6E5B">
        <w:rPr>
          <w:color w:val="1A1A1A"/>
        </w:rPr>
        <w:t>Australia-Vietnam Human Resource Development Strategy 2014-2020</w:t>
      </w:r>
    </w:p>
    <w:p w14:paraId="3CEF7B70" w14:textId="232B732E" w:rsidR="00300EB7" w:rsidRPr="00793F45" w:rsidRDefault="00300EB7" w:rsidP="00C227BA">
      <w:pPr>
        <w:widowControl w:val="0"/>
        <w:autoSpaceDE w:val="0"/>
        <w:autoSpaceDN w:val="0"/>
        <w:adjustRightInd w:val="0"/>
        <w:rPr>
          <w:color w:val="1A1A1A"/>
        </w:rPr>
      </w:pPr>
      <w:r w:rsidRPr="00793F45">
        <w:rPr>
          <w:color w:val="1A1A1A"/>
        </w:rPr>
        <w:t xml:space="preserve">Annex </w:t>
      </w:r>
      <w:r>
        <w:rPr>
          <w:color w:val="1A1A1A"/>
        </w:rPr>
        <w:t>2</w:t>
      </w:r>
      <w:r w:rsidRPr="00793F45">
        <w:rPr>
          <w:color w:val="1A1A1A"/>
        </w:rPr>
        <w:t>: Australia Award</w:t>
      </w:r>
      <w:r>
        <w:rPr>
          <w:color w:val="1A1A1A"/>
        </w:rPr>
        <w:t>s</w:t>
      </w:r>
      <w:r w:rsidRPr="00793F45">
        <w:rPr>
          <w:color w:val="1A1A1A"/>
        </w:rPr>
        <w:t xml:space="preserve"> Scholarships Schedule </w:t>
      </w:r>
    </w:p>
    <w:p w14:paraId="37691C8C" w14:textId="57A407A9" w:rsidR="00793F45" w:rsidRPr="00793F45" w:rsidRDefault="00793F45" w:rsidP="00C227BA">
      <w:pPr>
        <w:widowControl w:val="0"/>
        <w:autoSpaceDE w:val="0"/>
        <w:autoSpaceDN w:val="0"/>
        <w:adjustRightInd w:val="0"/>
        <w:rPr>
          <w:color w:val="1A1A1A"/>
        </w:rPr>
      </w:pPr>
      <w:r w:rsidRPr="00793F45">
        <w:rPr>
          <w:color w:val="1A1A1A"/>
        </w:rPr>
        <w:t xml:space="preserve">Annex </w:t>
      </w:r>
      <w:r w:rsidR="00300EB7">
        <w:rPr>
          <w:color w:val="1A1A1A"/>
        </w:rPr>
        <w:t>3</w:t>
      </w:r>
      <w:r w:rsidRPr="00793F45">
        <w:rPr>
          <w:color w:val="1A1A1A"/>
        </w:rPr>
        <w:t>: Sub Program Se</w:t>
      </w:r>
      <w:r w:rsidR="001142CF">
        <w:rPr>
          <w:color w:val="1A1A1A"/>
        </w:rPr>
        <w:t>lec</w:t>
      </w:r>
      <w:r w:rsidRPr="00793F45">
        <w:rPr>
          <w:color w:val="1A1A1A"/>
        </w:rPr>
        <w:t>tion Criteria</w:t>
      </w:r>
    </w:p>
    <w:p w14:paraId="5678FD40" w14:textId="0DB23C76" w:rsidR="00793F45" w:rsidRPr="00793F45" w:rsidRDefault="00300EB7" w:rsidP="00C227BA">
      <w:pPr>
        <w:widowControl w:val="0"/>
        <w:autoSpaceDE w:val="0"/>
        <w:autoSpaceDN w:val="0"/>
        <w:adjustRightInd w:val="0"/>
        <w:rPr>
          <w:color w:val="1A1A1A"/>
        </w:rPr>
      </w:pPr>
      <w:r>
        <w:rPr>
          <w:color w:val="1A1A1A"/>
        </w:rPr>
        <w:t>Annex 4</w:t>
      </w:r>
      <w:r w:rsidR="00793F45" w:rsidRPr="00793F45">
        <w:rPr>
          <w:color w:val="1A1A1A"/>
        </w:rPr>
        <w:t>: Short-term Training</w:t>
      </w:r>
    </w:p>
    <w:p w14:paraId="7A986AA5" w14:textId="5434CB8A" w:rsidR="00793F45" w:rsidRDefault="00300EB7" w:rsidP="00C227BA">
      <w:pPr>
        <w:widowControl w:val="0"/>
        <w:autoSpaceDE w:val="0"/>
        <w:autoSpaceDN w:val="0"/>
        <w:adjustRightInd w:val="0"/>
        <w:rPr>
          <w:color w:val="1A1A1A"/>
        </w:rPr>
      </w:pPr>
      <w:r w:rsidRPr="004132CF">
        <w:rPr>
          <w:color w:val="1A1A1A"/>
        </w:rPr>
        <w:t>Annex 5</w:t>
      </w:r>
      <w:r w:rsidR="00793F45" w:rsidRPr="004132CF">
        <w:rPr>
          <w:color w:val="1A1A1A"/>
        </w:rPr>
        <w:t xml:space="preserve">: Contractor In-Country </w:t>
      </w:r>
      <w:r w:rsidR="004132CF" w:rsidRPr="004132CF">
        <w:rPr>
          <w:color w:val="1A1A1A"/>
        </w:rPr>
        <w:t>Responsibility Principles</w:t>
      </w:r>
      <w:r w:rsidR="00793F45" w:rsidRPr="004132CF">
        <w:rPr>
          <w:color w:val="1A1A1A"/>
        </w:rPr>
        <w:t xml:space="preserve"> for AVID and NCP</w:t>
      </w:r>
    </w:p>
    <w:p w14:paraId="3121469E" w14:textId="2BC9B969" w:rsidR="00300EB7" w:rsidRDefault="00300EB7" w:rsidP="00C227BA">
      <w:pPr>
        <w:rPr>
          <w:color w:val="1A1A1A"/>
        </w:rPr>
      </w:pPr>
      <w:r>
        <w:rPr>
          <w:color w:val="1A1A1A"/>
        </w:rPr>
        <w:t>Annex 6</w:t>
      </w:r>
      <w:r w:rsidRPr="00793F45">
        <w:rPr>
          <w:color w:val="1A1A1A"/>
        </w:rPr>
        <w:t>: Australia Award</w:t>
      </w:r>
      <w:r>
        <w:rPr>
          <w:color w:val="1A1A1A"/>
        </w:rPr>
        <w:t>s</w:t>
      </w:r>
      <w:r w:rsidRPr="00793F45">
        <w:rPr>
          <w:color w:val="1A1A1A"/>
        </w:rPr>
        <w:t xml:space="preserve"> Fellowships</w:t>
      </w:r>
    </w:p>
    <w:p w14:paraId="20880C18" w14:textId="2F212E52" w:rsidR="00300EB7" w:rsidRPr="00793F45" w:rsidRDefault="00300EB7" w:rsidP="00C227BA">
      <w:pPr>
        <w:rPr>
          <w:color w:val="1A1A1A"/>
        </w:rPr>
      </w:pPr>
      <w:r w:rsidRPr="00793F45">
        <w:rPr>
          <w:color w:val="1A1A1A"/>
        </w:rPr>
        <w:t xml:space="preserve">Annex </w:t>
      </w:r>
      <w:r>
        <w:rPr>
          <w:color w:val="1A1A1A"/>
        </w:rPr>
        <w:t>7</w:t>
      </w:r>
      <w:r w:rsidRPr="00793F45">
        <w:rPr>
          <w:color w:val="1A1A1A"/>
        </w:rPr>
        <w:t>: Benefits and challenges of split-degree programs</w:t>
      </w:r>
    </w:p>
    <w:p w14:paraId="0D317652" w14:textId="7EC9C831" w:rsidR="00300EB7" w:rsidRDefault="00300EB7" w:rsidP="00C227BA">
      <w:pPr>
        <w:rPr>
          <w:color w:val="1A1A1A"/>
        </w:rPr>
      </w:pPr>
      <w:r w:rsidRPr="00793F45">
        <w:rPr>
          <w:color w:val="1A1A1A"/>
        </w:rPr>
        <w:t xml:space="preserve">Annex </w:t>
      </w:r>
      <w:r>
        <w:rPr>
          <w:color w:val="1A1A1A"/>
        </w:rPr>
        <w:t>8</w:t>
      </w:r>
      <w:r w:rsidRPr="00793F45">
        <w:rPr>
          <w:color w:val="1A1A1A"/>
        </w:rPr>
        <w:t>:</w:t>
      </w:r>
      <w:r w:rsidRPr="00793F45">
        <w:t xml:space="preserve"> </w:t>
      </w:r>
      <w:r w:rsidRPr="00793F45">
        <w:rPr>
          <w:color w:val="1A1A1A"/>
        </w:rPr>
        <w:t>Feasibility Study of Vietnam TVET</w:t>
      </w:r>
    </w:p>
    <w:p w14:paraId="57FE3449" w14:textId="510AB4F6" w:rsidR="00300EB7" w:rsidRDefault="00300EB7" w:rsidP="00C227BA">
      <w:pPr>
        <w:ind w:left="1134" w:hanging="1134"/>
        <w:rPr>
          <w:color w:val="1A1A1A"/>
        </w:rPr>
      </w:pPr>
      <w:r>
        <w:rPr>
          <w:color w:val="1A1A1A"/>
        </w:rPr>
        <w:t>Annex 9</w:t>
      </w:r>
      <w:r w:rsidRPr="00793F45">
        <w:rPr>
          <w:color w:val="1A1A1A"/>
        </w:rPr>
        <w:t>: Strategies for Promoting Leadership Pathways for Female</w:t>
      </w:r>
    </w:p>
    <w:p w14:paraId="4E28A85D" w14:textId="77777777" w:rsidR="00300EB7" w:rsidRDefault="00300EB7" w:rsidP="00C227BA">
      <w:pPr>
        <w:ind w:firstLine="993"/>
        <w:rPr>
          <w:color w:val="1A1A1A"/>
        </w:rPr>
      </w:pPr>
      <w:r>
        <w:rPr>
          <w:color w:val="1A1A1A"/>
        </w:rPr>
        <w:t xml:space="preserve">  </w:t>
      </w:r>
      <w:r w:rsidRPr="00793F45">
        <w:rPr>
          <w:color w:val="1A1A1A"/>
        </w:rPr>
        <w:t>Australia Awards Alumni in Vietnam</w:t>
      </w:r>
    </w:p>
    <w:p w14:paraId="20757311" w14:textId="08C2344C" w:rsidR="00793F45" w:rsidRPr="00793F45" w:rsidRDefault="00793F45" w:rsidP="00C227BA">
      <w:pPr>
        <w:rPr>
          <w:color w:val="1A1A1A"/>
        </w:rPr>
      </w:pPr>
      <w:r w:rsidRPr="00793F45">
        <w:rPr>
          <w:color w:val="1A1A1A"/>
        </w:rPr>
        <w:t xml:space="preserve">Annex </w:t>
      </w:r>
      <w:r w:rsidR="00300EB7">
        <w:rPr>
          <w:color w:val="1A1A1A"/>
        </w:rPr>
        <w:t>10</w:t>
      </w:r>
      <w:r w:rsidRPr="00793F45">
        <w:rPr>
          <w:color w:val="1A1A1A"/>
        </w:rPr>
        <w:t>: Program-level M&amp;E Framework</w:t>
      </w:r>
    </w:p>
    <w:p w14:paraId="54CC12A4" w14:textId="6F95A6F0" w:rsidR="00793F45" w:rsidRPr="00793F45" w:rsidRDefault="00300EB7" w:rsidP="00C227BA">
      <w:pPr>
        <w:rPr>
          <w:color w:val="1A1A1A"/>
        </w:rPr>
      </w:pPr>
      <w:r>
        <w:rPr>
          <w:color w:val="1A1A1A"/>
        </w:rPr>
        <w:t>Annex 11</w:t>
      </w:r>
      <w:r w:rsidR="00793F45" w:rsidRPr="00793F45">
        <w:rPr>
          <w:color w:val="1A1A1A"/>
        </w:rPr>
        <w:t>: Monitoring and Evaluation methods and tools</w:t>
      </w:r>
    </w:p>
    <w:p w14:paraId="33F3F1A6" w14:textId="0AD7FE3D" w:rsidR="00793F45" w:rsidRPr="00793F45" w:rsidRDefault="00300EB7" w:rsidP="00C227BA">
      <w:pPr>
        <w:rPr>
          <w:color w:val="1A1A1A"/>
        </w:rPr>
      </w:pPr>
      <w:r>
        <w:rPr>
          <w:color w:val="1A1A1A"/>
        </w:rPr>
        <w:t>Annex 12</w:t>
      </w:r>
      <w:r w:rsidR="00793F45" w:rsidRPr="00793F45">
        <w:rPr>
          <w:color w:val="1A1A1A"/>
        </w:rPr>
        <w:t xml:space="preserve">: Planning and </w:t>
      </w:r>
      <w:proofErr w:type="gramStart"/>
      <w:r w:rsidR="00793F45" w:rsidRPr="00793F45">
        <w:rPr>
          <w:color w:val="1A1A1A"/>
        </w:rPr>
        <w:t>Reporting</w:t>
      </w:r>
      <w:proofErr w:type="gramEnd"/>
      <w:r w:rsidR="00793F45" w:rsidRPr="00793F45">
        <w:rPr>
          <w:color w:val="1A1A1A"/>
        </w:rPr>
        <w:t xml:space="preserve"> schedule</w:t>
      </w:r>
    </w:p>
    <w:p w14:paraId="308A3F81" w14:textId="5BA4D519" w:rsidR="00793F45" w:rsidRPr="00793F45" w:rsidRDefault="00300EB7" w:rsidP="00C227BA">
      <w:pPr>
        <w:rPr>
          <w:color w:val="1A1A1A"/>
        </w:rPr>
      </w:pPr>
      <w:r>
        <w:rPr>
          <w:color w:val="1A1A1A"/>
        </w:rPr>
        <w:t>Annex 13</w:t>
      </w:r>
      <w:r w:rsidR="00793F45" w:rsidRPr="00793F45">
        <w:rPr>
          <w:color w:val="1A1A1A"/>
        </w:rPr>
        <w:t>: Roles of major stakeholders in program monitoring and evaluation</w:t>
      </w:r>
    </w:p>
    <w:p w14:paraId="5F8C92A4" w14:textId="4574D363" w:rsidR="00793F45" w:rsidRDefault="00300EB7" w:rsidP="00C227BA">
      <w:pPr>
        <w:rPr>
          <w:color w:val="1A1A1A"/>
        </w:rPr>
      </w:pPr>
      <w:r>
        <w:rPr>
          <w:color w:val="1A1A1A"/>
        </w:rPr>
        <w:t>Annex 14</w:t>
      </w:r>
      <w:r w:rsidR="00793F45" w:rsidRPr="00793F45">
        <w:rPr>
          <w:color w:val="1A1A1A"/>
        </w:rPr>
        <w:t xml:space="preserve">: </w:t>
      </w:r>
      <w:r w:rsidR="00793F45" w:rsidRPr="00D65AD4">
        <w:rPr>
          <w:color w:val="1A1A1A"/>
        </w:rPr>
        <w:t xml:space="preserve">DRAFT Risk </w:t>
      </w:r>
      <w:r w:rsidR="006217FD" w:rsidRPr="00D65AD4">
        <w:rPr>
          <w:color w:val="1A1A1A"/>
        </w:rPr>
        <w:t>Register</w:t>
      </w:r>
    </w:p>
    <w:p w14:paraId="73967EEC" w14:textId="65066694" w:rsidR="00300EB7" w:rsidRPr="00793F45" w:rsidRDefault="00300EB7" w:rsidP="00C227BA">
      <w:pPr>
        <w:widowControl w:val="0"/>
        <w:autoSpaceDE w:val="0"/>
        <w:autoSpaceDN w:val="0"/>
        <w:adjustRightInd w:val="0"/>
        <w:rPr>
          <w:color w:val="1A1A1A"/>
        </w:rPr>
      </w:pPr>
      <w:r>
        <w:rPr>
          <w:color w:val="1A1A1A"/>
        </w:rPr>
        <w:t>Annex 15</w:t>
      </w:r>
      <w:r w:rsidRPr="00793F45">
        <w:rPr>
          <w:color w:val="1A1A1A"/>
        </w:rPr>
        <w:t xml:space="preserve">: Contractor Key Staff </w:t>
      </w:r>
      <w:r>
        <w:rPr>
          <w:color w:val="1A1A1A"/>
        </w:rPr>
        <w:t>Requirements</w:t>
      </w:r>
    </w:p>
    <w:p w14:paraId="0EBC24FD" w14:textId="50CB3B01" w:rsidR="00300EB7" w:rsidRPr="00793F45" w:rsidRDefault="00300EB7" w:rsidP="00C227BA">
      <w:pPr>
        <w:rPr>
          <w:color w:val="1A1A1A"/>
        </w:rPr>
      </w:pPr>
      <w:r w:rsidRPr="00793F45">
        <w:rPr>
          <w:color w:val="1A1A1A"/>
        </w:rPr>
        <w:t>Annex 1</w:t>
      </w:r>
      <w:r>
        <w:rPr>
          <w:color w:val="1A1A1A"/>
        </w:rPr>
        <w:t>6</w:t>
      </w:r>
      <w:r w:rsidRPr="00793F45">
        <w:rPr>
          <w:color w:val="1A1A1A"/>
        </w:rPr>
        <w:t xml:space="preserve">: Glossary of terms </w:t>
      </w:r>
    </w:p>
    <w:p w14:paraId="5FF856A1" w14:textId="1E447E4E" w:rsidR="00513D4C" w:rsidRPr="00B5326E" w:rsidRDefault="00513D4C" w:rsidP="00C227BA">
      <w:pPr>
        <w:rPr>
          <w:b/>
        </w:rPr>
      </w:pPr>
    </w:p>
    <w:p w14:paraId="76EABDCD" w14:textId="77777777" w:rsidR="00386BC1" w:rsidRPr="00B5326E" w:rsidRDefault="00386BC1" w:rsidP="00C227BA">
      <w:pPr>
        <w:spacing w:before="120" w:after="120"/>
        <w:rPr>
          <w:b/>
        </w:rPr>
      </w:pPr>
    </w:p>
    <w:p w14:paraId="0CBE3B89" w14:textId="17BE4F2C" w:rsidR="00513D4C" w:rsidRDefault="003F2017" w:rsidP="00C227BA">
      <w:pPr>
        <w:spacing w:before="120" w:after="120"/>
        <w:jc w:val="center"/>
        <w:rPr>
          <w:b/>
          <w:color w:val="548DD4" w:themeColor="text2" w:themeTint="99"/>
        </w:rPr>
      </w:pPr>
      <w:r>
        <w:rPr>
          <w:b/>
          <w:color w:val="548DD4" w:themeColor="text2" w:themeTint="99"/>
        </w:rPr>
        <w:t>VIETNAM-AUSTRALIA PARTNERSHIP</w:t>
      </w:r>
    </w:p>
    <w:p w14:paraId="78FEA0A7" w14:textId="48A6F9C4" w:rsidR="00513D4C" w:rsidRDefault="003F2017" w:rsidP="00C227BA">
      <w:pPr>
        <w:spacing w:before="120" w:after="120"/>
        <w:jc w:val="center"/>
        <w:rPr>
          <w:b/>
          <w:color w:val="548DD4" w:themeColor="text2" w:themeTint="99"/>
        </w:rPr>
      </w:pPr>
      <w:r>
        <w:rPr>
          <w:b/>
          <w:color w:val="548DD4" w:themeColor="text2" w:themeTint="99"/>
        </w:rPr>
        <w:t>HUMAN RESOURCE DEVELOPMENT</w:t>
      </w:r>
    </w:p>
    <w:p w14:paraId="5A241D18" w14:textId="77777777" w:rsidR="003F2017" w:rsidRPr="00D65AD4" w:rsidRDefault="003F2017" w:rsidP="00C227BA">
      <w:pPr>
        <w:spacing w:before="120" w:after="120"/>
        <w:jc w:val="center"/>
        <w:rPr>
          <w:b/>
          <w:color w:val="548DD4" w:themeColor="text2" w:themeTint="99"/>
        </w:rPr>
      </w:pPr>
    </w:p>
    <w:p w14:paraId="5B66151C" w14:textId="77777777" w:rsidR="00513D4C" w:rsidRPr="003D4DFB" w:rsidRDefault="00513D4C" w:rsidP="00C227BA">
      <w:pPr>
        <w:spacing w:before="120" w:after="120"/>
        <w:jc w:val="center"/>
        <w:rPr>
          <w:b/>
          <w:color w:val="548DD4" w:themeColor="text2" w:themeTint="99"/>
        </w:rPr>
      </w:pPr>
      <w:r w:rsidRPr="0023255A">
        <w:rPr>
          <w:b/>
          <w:color w:val="548DD4" w:themeColor="text2" w:themeTint="99"/>
        </w:rPr>
        <w:t>EXECUTIVE SUMMARY</w:t>
      </w:r>
    </w:p>
    <w:p w14:paraId="47F26C9E" w14:textId="255A5078" w:rsidR="00513D4C" w:rsidRPr="00BA26C7" w:rsidRDefault="00513D4C" w:rsidP="00C227BA">
      <w:pPr>
        <w:widowControl w:val="0"/>
        <w:autoSpaceDE w:val="0"/>
        <w:autoSpaceDN w:val="0"/>
        <w:adjustRightInd w:val="0"/>
        <w:spacing w:before="120" w:after="120"/>
        <w:rPr>
          <w:b/>
          <w:color w:val="548DD4" w:themeColor="text2" w:themeTint="99"/>
        </w:rPr>
      </w:pPr>
    </w:p>
    <w:p w14:paraId="567316A6" w14:textId="5DC6A474" w:rsidR="002B49CD" w:rsidRPr="00577434" w:rsidRDefault="002B49CD" w:rsidP="00C227BA">
      <w:pPr>
        <w:autoSpaceDE w:val="0"/>
        <w:autoSpaceDN w:val="0"/>
        <w:adjustRightInd w:val="0"/>
        <w:spacing w:before="120" w:after="120"/>
        <w:rPr>
          <w:rFonts w:eastAsiaTheme="minorHAnsi"/>
        </w:rPr>
      </w:pPr>
      <w:r w:rsidRPr="00D65AD4">
        <w:t xml:space="preserve">The </w:t>
      </w:r>
      <w:r w:rsidR="003F2017">
        <w:t>Vietnam-Australia Partnership on Human Resource Development (the “Program”)</w:t>
      </w:r>
      <w:r w:rsidR="00D0558D">
        <w:t xml:space="preserve"> </w:t>
      </w:r>
      <w:r w:rsidR="00B04B4D">
        <w:t xml:space="preserve">includes </w:t>
      </w:r>
      <w:r w:rsidRPr="00D65AD4">
        <w:rPr>
          <w:rFonts w:eastAsiaTheme="minorHAnsi"/>
        </w:rPr>
        <w:t xml:space="preserve">delivery of the well-established Australia Awards Scholarships </w:t>
      </w:r>
      <w:r w:rsidR="00771808" w:rsidRPr="00D65AD4">
        <w:rPr>
          <w:rFonts w:eastAsiaTheme="minorHAnsi"/>
        </w:rPr>
        <w:t xml:space="preserve">(AAS) </w:t>
      </w:r>
      <w:r w:rsidRPr="00D65AD4">
        <w:rPr>
          <w:rFonts w:eastAsiaTheme="minorHAnsi"/>
        </w:rPr>
        <w:t xml:space="preserve">program and support for alumni; supplemented by Short Term Training </w:t>
      </w:r>
      <w:r w:rsidR="00502181">
        <w:rPr>
          <w:rFonts w:eastAsiaTheme="minorHAnsi"/>
        </w:rPr>
        <w:t xml:space="preserve">and </w:t>
      </w:r>
      <w:r w:rsidR="00502181" w:rsidRPr="00D65AD4">
        <w:rPr>
          <w:rFonts w:eastAsiaTheme="minorHAnsi"/>
        </w:rPr>
        <w:t xml:space="preserve">a number of sub programs </w:t>
      </w:r>
      <w:r w:rsidRPr="00D65AD4">
        <w:rPr>
          <w:rFonts w:eastAsiaTheme="minorHAnsi"/>
        </w:rPr>
        <w:t xml:space="preserve">(to be identified); a </w:t>
      </w:r>
      <w:r w:rsidRPr="00D65AD4">
        <w:t>Women in Leadership program;</w:t>
      </w:r>
      <w:r w:rsidRPr="00D65AD4">
        <w:rPr>
          <w:rFonts w:eastAsiaTheme="minorHAnsi"/>
        </w:rPr>
        <w:t xml:space="preserve"> and ad hoc interventions (to be identified) to support ongoing sector programs.</w:t>
      </w:r>
      <w:r w:rsidRPr="00577434">
        <w:rPr>
          <w:rFonts w:eastAsiaTheme="minorHAnsi"/>
        </w:rPr>
        <w:t xml:space="preserve"> </w:t>
      </w:r>
    </w:p>
    <w:p w14:paraId="5CE53762" w14:textId="6166BC46" w:rsidR="00C23924" w:rsidRPr="00B5326E" w:rsidRDefault="00C23924" w:rsidP="00C227BA">
      <w:pPr>
        <w:autoSpaceDE w:val="0"/>
        <w:autoSpaceDN w:val="0"/>
        <w:adjustRightInd w:val="0"/>
        <w:spacing w:before="120" w:after="120"/>
      </w:pPr>
      <w:r w:rsidRPr="00B5326E">
        <w:t xml:space="preserve">Vietnam has a population of around 90 million. In barely more than two decades, political and economic reforms have transformed Vietnam from one of the poorest countries in the world to a lower middle-income country. </w:t>
      </w:r>
    </w:p>
    <w:p w14:paraId="608A9B71" w14:textId="0CDAB3F3" w:rsidR="00C23924" w:rsidRPr="003B74ED" w:rsidRDefault="00C23924" w:rsidP="00C227BA">
      <w:pPr>
        <w:autoSpaceDE w:val="0"/>
        <w:autoSpaceDN w:val="0"/>
        <w:adjustRightInd w:val="0"/>
        <w:spacing w:before="120" w:after="120"/>
      </w:pPr>
      <w:r w:rsidRPr="00B5326E">
        <w:t>Vietnam has ambitious plans to become an industrialised country by 2020. With more than 50 per cent of the population under the age of 30, a skilled workforce is crucial to support Vietnam’s economic moderni</w:t>
      </w:r>
      <w:r w:rsidR="003545CB" w:rsidRPr="00B5326E">
        <w:t>s</w:t>
      </w:r>
      <w:r w:rsidRPr="003B74ED">
        <w:t xml:space="preserve">ation. </w:t>
      </w:r>
    </w:p>
    <w:p w14:paraId="407A2D05" w14:textId="2791D7EC" w:rsidR="00C23924" w:rsidRPr="003B74ED" w:rsidRDefault="00C23924" w:rsidP="00C227BA">
      <w:pPr>
        <w:autoSpaceDE w:val="0"/>
        <w:autoSpaceDN w:val="0"/>
        <w:adjustRightInd w:val="0"/>
        <w:spacing w:before="120" w:after="120"/>
      </w:pPr>
      <w:r w:rsidRPr="003B74ED">
        <w:t>Promoting human resources and skills development (particularly skills for modern industry and innovation), is one of three breakthrough areas highlighted in Vietnam’s Socio-Economic Development Strategy (SEDS) 2011-2020. The Vietnam Manpower Development Master Plan 2011-20 indicates a need to more than double the trained/skilled workforce by 2020.</w:t>
      </w:r>
    </w:p>
    <w:p w14:paraId="2A1DF308" w14:textId="77777777" w:rsidR="00C23924" w:rsidRPr="003B74ED" w:rsidRDefault="00C23924" w:rsidP="00C227BA">
      <w:pPr>
        <w:autoSpaceDE w:val="0"/>
        <w:autoSpaceDN w:val="0"/>
        <w:adjustRightInd w:val="0"/>
        <w:spacing w:before="120" w:after="120"/>
      </w:pPr>
      <w:r w:rsidRPr="003B74ED">
        <w:t>The scale of education and training required to meet growth targets is substantial and will require investment and reform at all levels from basic to higher education. Quite simply, the current education system is unable to meet demand in terms of quantity or quality.</w:t>
      </w:r>
    </w:p>
    <w:p w14:paraId="5A01480E" w14:textId="3D51AE5C" w:rsidR="00C23924" w:rsidRPr="003B74ED" w:rsidRDefault="00C23924" w:rsidP="00C227BA">
      <w:pPr>
        <w:autoSpaceDE w:val="0"/>
        <w:autoSpaceDN w:val="0"/>
        <w:adjustRightInd w:val="0"/>
        <w:spacing w:before="120" w:after="120"/>
      </w:pPr>
      <w:r w:rsidRPr="003B74ED">
        <w:t>Since the mid-1970’s, approximately 4000 Australia Awards Scholarship</w:t>
      </w:r>
      <w:r w:rsidR="00B14813">
        <w:t>s</w:t>
      </w:r>
      <w:r w:rsidRPr="003B74ED">
        <w:t xml:space="preserve"> alumni have returned to Vietnam after successfully completing their tertiary studies in Australia. </w:t>
      </w:r>
      <w:r w:rsidR="004E0D3A">
        <w:rPr>
          <w:color w:val="262626"/>
        </w:rPr>
        <w:t>Perhaps another 4</w:t>
      </w:r>
      <w:r w:rsidRPr="003B74ED">
        <w:rPr>
          <w:color w:val="262626"/>
        </w:rPr>
        <w:t>0,000 alumni have been privately funded.</w:t>
      </w:r>
      <w:r w:rsidRPr="003B74ED">
        <w:t xml:space="preserve"> </w:t>
      </w:r>
    </w:p>
    <w:p w14:paraId="7E362C3B" w14:textId="403D651A" w:rsidR="00C23924" w:rsidRPr="003B74ED" w:rsidRDefault="00C23924" w:rsidP="00C227BA">
      <w:pPr>
        <w:autoSpaceDE w:val="0"/>
        <w:autoSpaceDN w:val="0"/>
        <w:adjustRightInd w:val="0"/>
        <w:spacing w:before="120" w:after="120"/>
      </w:pPr>
      <w:r w:rsidRPr="003B74ED">
        <w:t>The opportunity to study in Australia provides Vietnamese scholars exposure to world-class education, research and training institutions; as well as increased experience and understanding of Australia. For many Vietnamese alumni, the experience has been life changing in both technical and personal development.</w:t>
      </w:r>
      <w:r w:rsidR="002B49CD">
        <w:t xml:space="preserve"> </w:t>
      </w:r>
      <w:r w:rsidR="00CD6DB0" w:rsidRPr="00D65AD4">
        <w:t>Equally, t</w:t>
      </w:r>
      <w:r w:rsidR="002B49CD" w:rsidRPr="00D65AD4">
        <w:t xml:space="preserve">he large body of alumni also provide opportunities for </w:t>
      </w:r>
      <w:r w:rsidR="00CD6DB0" w:rsidRPr="00D65AD4">
        <w:t>strengthening</w:t>
      </w:r>
      <w:r w:rsidR="002B49CD" w:rsidRPr="00D65AD4">
        <w:t xml:space="preserve"> </w:t>
      </w:r>
      <w:r w:rsidR="00CD6DB0" w:rsidRPr="00D65AD4">
        <w:t>Australia’s economic, political and social engagement with Vietnam.</w:t>
      </w:r>
    </w:p>
    <w:p w14:paraId="7F4BC9E4" w14:textId="77777777" w:rsidR="00C23924" w:rsidRPr="003B74ED" w:rsidRDefault="00C23924" w:rsidP="00C227BA">
      <w:pPr>
        <w:autoSpaceDE w:val="0"/>
        <w:autoSpaceDN w:val="0"/>
        <w:adjustRightInd w:val="0"/>
        <w:spacing w:before="120" w:after="120"/>
      </w:pPr>
      <w:r w:rsidRPr="003B74ED">
        <w:t>In developing this design, the team reviewed evidence from recent Vietnam program reviews, “lessons learned” documents, discussions with stakeholders including alumni, Government of Vietnam ministries and DFAT; as well as the experience of a number of similar programs in the region.</w:t>
      </w:r>
    </w:p>
    <w:p w14:paraId="198D36C7" w14:textId="77777777" w:rsidR="00C23924" w:rsidRPr="003B74ED" w:rsidRDefault="00C23924" w:rsidP="00C227BA">
      <w:pPr>
        <w:autoSpaceDE w:val="0"/>
        <w:autoSpaceDN w:val="0"/>
        <w:adjustRightInd w:val="0"/>
        <w:spacing w:before="120" w:after="120"/>
      </w:pPr>
      <w:r w:rsidRPr="003B74ED">
        <w:t xml:space="preserve">The Vietnam HRD program to date has delivered a fairly standard scholarships program with a focus on long-term awards predominantly at Master level, with fairly broad eligibility. Evidence from other programs suggests simply building a critical mass of scholarship recipients within a target organisation is not necessarily a sufficient catalyst for change or effective utilisation of alumni’s knowledge and skills. </w:t>
      </w:r>
    </w:p>
    <w:p w14:paraId="597B2903" w14:textId="77777777" w:rsidR="00C23924" w:rsidRPr="003B74ED" w:rsidRDefault="00C23924" w:rsidP="00C227BA">
      <w:pPr>
        <w:autoSpaceDE w:val="0"/>
        <w:autoSpaceDN w:val="0"/>
        <w:adjustRightInd w:val="0"/>
        <w:spacing w:before="120" w:after="120"/>
      </w:pPr>
      <w:r w:rsidRPr="003B74ED">
        <w:t>Creating the 'right' conditions for alumni to improve their organisations is a challenge. It is proposed to test a number of strategies, involving different HRD modalities, to help improve workplace productivity by providing access to both structured support as well as flexible, responsive assistance to address emerging needs.</w:t>
      </w:r>
    </w:p>
    <w:p w14:paraId="66E324D6" w14:textId="4C6B7A7A" w:rsidR="007006EB" w:rsidRDefault="00C23924" w:rsidP="00C227BA">
      <w:pPr>
        <w:autoSpaceDE w:val="0"/>
        <w:autoSpaceDN w:val="0"/>
        <w:adjustRightInd w:val="0"/>
        <w:spacing w:before="120" w:after="120"/>
      </w:pPr>
      <w:r w:rsidRPr="003B74ED">
        <w:t xml:space="preserve">The </w:t>
      </w:r>
      <w:r w:rsidR="007006EB">
        <w:t xml:space="preserve">“Above-the-Line” Goal </w:t>
      </w:r>
      <w:r w:rsidR="007006EB" w:rsidRPr="00D65AD4">
        <w:t xml:space="preserve">for the </w:t>
      </w:r>
      <w:r w:rsidR="003F2017">
        <w:t>Program</w:t>
      </w:r>
      <w:r w:rsidR="00F84283">
        <w:t xml:space="preserve"> </w:t>
      </w:r>
      <w:r w:rsidR="007006EB" w:rsidRPr="00D65AD4">
        <w:t>is</w:t>
      </w:r>
      <w:r w:rsidR="007006EB">
        <w:t xml:space="preserve"> that </w:t>
      </w:r>
      <w:r w:rsidR="007006EB" w:rsidRPr="007006EB">
        <w:rPr>
          <w:i/>
        </w:rPr>
        <w:t>Vietnam accesses and uses high level professional and technical kno</w:t>
      </w:r>
      <w:r w:rsidR="007006EB">
        <w:rPr>
          <w:i/>
        </w:rPr>
        <w:t>wledge, skills and competencies.</w:t>
      </w:r>
      <w:r w:rsidR="007006EB">
        <w:t xml:space="preserve"> </w:t>
      </w:r>
    </w:p>
    <w:p w14:paraId="67C3C4A4" w14:textId="56B0A11F" w:rsidR="00C23924" w:rsidRPr="00D17759" w:rsidRDefault="00F56093" w:rsidP="00C227BA">
      <w:pPr>
        <w:autoSpaceDE w:val="0"/>
        <w:autoSpaceDN w:val="0"/>
        <w:adjustRightInd w:val="0"/>
        <w:spacing w:before="120" w:after="120"/>
      </w:pPr>
      <w:r w:rsidRPr="00D65AD4">
        <w:t xml:space="preserve">The </w:t>
      </w:r>
      <w:r w:rsidR="001129B6">
        <w:t>Program</w:t>
      </w:r>
      <w:r w:rsidR="00D17759" w:rsidRPr="00D65AD4">
        <w:t xml:space="preserve"> </w:t>
      </w:r>
      <w:r w:rsidR="00C23924" w:rsidRPr="00D65AD4">
        <w:t>seeks to</w:t>
      </w:r>
      <w:r w:rsidR="00C23924" w:rsidRPr="003610EF">
        <w:t xml:space="preserve"> achieve </w:t>
      </w:r>
      <w:r w:rsidR="00C23924" w:rsidRPr="00D17759">
        <w:t xml:space="preserve">three </w:t>
      </w:r>
      <w:r w:rsidR="007006EB" w:rsidRPr="00D17759">
        <w:t>End-of-Program Outcomes</w:t>
      </w:r>
      <w:r w:rsidRPr="00D17759">
        <w:t xml:space="preserve"> (EOPOs)</w:t>
      </w:r>
      <w:r w:rsidR="00C23924" w:rsidRPr="00D17759">
        <w:t xml:space="preserve">: </w:t>
      </w:r>
    </w:p>
    <w:p w14:paraId="5C5BA95C" w14:textId="23E7F365" w:rsidR="00C23924" w:rsidRPr="004132CF" w:rsidRDefault="00C23924" w:rsidP="00C227BA">
      <w:pPr>
        <w:autoSpaceDE w:val="0"/>
        <w:autoSpaceDN w:val="0"/>
        <w:adjustRightInd w:val="0"/>
        <w:spacing w:before="120" w:after="120"/>
        <w:rPr>
          <w:i/>
        </w:rPr>
      </w:pPr>
      <w:r w:rsidRPr="004132CF">
        <w:rPr>
          <w:i/>
        </w:rPr>
        <w:t xml:space="preserve">1. </w:t>
      </w:r>
      <w:r w:rsidR="00B14813" w:rsidRPr="004132CF">
        <w:rPr>
          <w:i/>
        </w:rPr>
        <w:t xml:space="preserve">Male and female </w:t>
      </w:r>
      <w:r w:rsidR="00670B25" w:rsidRPr="004132CF">
        <w:rPr>
          <w:i/>
        </w:rPr>
        <w:t>alumni</w:t>
      </w:r>
      <w:r w:rsidR="00B14813" w:rsidRPr="004132CF">
        <w:rPr>
          <w:i/>
        </w:rPr>
        <w:t xml:space="preserve"> </w:t>
      </w:r>
      <w:r w:rsidR="007006EB" w:rsidRPr="004132CF">
        <w:rPr>
          <w:i/>
        </w:rPr>
        <w:t>use new skills and knowledge to make positive contribution</w:t>
      </w:r>
      <w:r w:rsidR="007A389D" w:rsidRPr="004132CF">
        <w:rPr>
          <w:i/>
        </w:rPr>
        <w:t>s</w:t>
      </w:r>
      <w:r w:rsidR="007006EB" w:rsidRPr="004132CF">
        <w:rPr>
          <w:i/>
        </w:rPr>
        <w:t xml:space="preserve"> to selected priority areas</w:t>
      </w:r>
    </w:p>
    <w:p w14:paraId="437D09D6" w14:textId="77777777" w:rsidR="00C23924" w:rsidRPr="004132CF" w:rsidRDefault="00C23924" w:rsidP="00C227BA">
      <w:pPr>
        <w:autoSpaceDE w:val="0"/>
        <w:autoSpaceDN w:val="0"/>
        <w:adjustRightInd w:val="0"/>
        <w:spacing w:before="120" w:after="120"/>
        <w:rPr>
          <w:i/>
        </w:rPr>
      </w:pPr>
      <w:r w:rsidRPr="004132CF">
        <w:rPr>
          <w:i/>
        </w:rPr>
        <w:t>2. Stronger workplace enabling environments for skills utilisation in selected priority areas</w:t>
      </w:r>
    </w:p>
    <w:p w14:paraId="2EEF214C" w14:textId="77777777" w:rsidR="00C23924" w:rsidRPr="00B5326E" w:rsidRDefault="00C23924" w:rsidP="00C227BA">
      <w:pPr>
        <w:autoSpaceDE w:val="0"/>
        <w:autoSpaceDN w:val="0"/>
        <w:adjustRightInd w:val="0"/>
        <w:spacing w:before="120" w:after="120"/>
        <w:rPr>
          <w:i/>
        </w:rPr>
      </w:pPr>
      <w:r w:rsidRPr="004132CF">
        <w:rPr>
          <w:i/>
        </w:rPr>
        <w:t>3. Australia and Vietnam have stronger, sustainable links in selected sectors/agencies</w:t>
      </w:r>
    </w:p>
    <w:p w14:paraId="0E8E512C" w14:textId="77777777" w:rsidR="00C23924" w:rsidRPr="003B74ED"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3B74ED">
        <w:rPr>
          <w:rFonts w:asciiTheme="minorHAnsi" w:eastAsiaTheme="minorHAnsi" w:hAnsiTheme="minorHAnsi"/>
          <w:sz w:val="24"/>
          <w:szCs w:val="24"/>
          <w:lang w:eastAsia="en-US"/>
        </w:rPr>
        <w:t>The delivery approach assumes a more strategic role for DFAT Hanoi in policy analysis and dialogue working cooperatively with the Contractor to identify priority areas for sector and institution engagement to advance Australian aid objectives.</w:t>
      </w:r>
    </w:p>
    <w:p w14:paraId="3B1B4C11" w14:textId="535DD5A7" w:rsidR="00C23924" w:rsidRPr="001A0CDA"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D65AD4">
        <w:rPr>
          <w:rFonts w:asciiTheme="minorHAnsi" w:eastAsiaTheme="minorHAnsi" w:hAnsiTheme="minorHAnsi"/>
          <w:sz w:val="24"/>
          <w:szCs w:val="24"/>
          <w:lang w:eastAsia="en-US"/>
        </w:rPr>
        <w:t xml:space="preserve">Firstly, Australia Awards Scholarships </w:t>
      </w:r>
      <w:r w:rsidR="00F84283">
        <w:rPr>
          <w:rFonts w:asciiTheme="minorHAnsi" w:eastAsiaTheme="minorHAnsi" w:hAnsiTheme="minorHAnsi"/>
          <w:sz w:val="24"/>
          <w:szCs w:val="24"/>
          <w:lang w:eastAsia="en-US"/>
        </w:rPr>
        <w:t>are at</w:t>
      </w:r>
      <w:r w:rsidRPr="00D65AD4">
        <w:rPr>
          <w:rFonts w:asciiTheme="minorHAnsi" w:eastAsiaTheme="minorHAnsi" w:hAnsiTheme="minorHAnsi"/>
          <w:sz w:val="24"/>
          <w:szCs w:val="24"/>
          <w:lang w:eastAsia="en-US"/>
        </w:rPr>
        <w:t xml:space="preserve"> the core of the </w:t>
      </w:r>
      <w:r w:rsidR="00EF4E99" w:rsidRPr="00D65AD4">
        <w:rPr>
          <w:rFonts w:asciiTheme="minorHAnsi" w:eastAsiaTheme="minorHAnsi" w:hAnsiTheme="minorHAnsi"/>
          <w:sz w:val="24"/>
          <w:szCs w:val="24"/>
          <w:lang w:eastAsia="en-US"/>
        </w:rPr>
        <w:t xml:space="preserve">Australia Awards </w:t>
      </w:r>
      <w:r w:rsidRPr="00D65AD4">
        <w:rPr>
          <w:rFonts w:asciiTheme="minorHAnsi" w:eastAsiaTheme="minorHAnsi" w:hAnsiTheme="minorHAnsi"/>
          <w:sz w:val="24"/>
          <w:szCs w:val="24"/>
          <w:lang w:eastAsia="en-US"/>
        </w:rPr>
        <w:t xml:space="preserve">HRD </w:t>
      </w:r>
      <w:r w:rsidR="001129B6">
        <w:rPr>
          <w:rFonts w:asciiTheme="minorHAnsi" w:eastAsiaTheme="minorHAnsi" w:hAnsiTheme="minorHAnsi"/>
          <w:sz w:val="24"/>
          <w:szCs w:val="24"/>
          <w:lang w:eastAsia="en-US"/>
        </w:rPr>
        <w:t>Program</w:t>
      </w:r>
      <w:r w:rsidRPr="00D65AD4">
        <w:rPr>
          <w:rFonts w:asciiTheme="minorHAnsi" w:eastAsiaTheme="minorHAnsi" w:hAnsiTheme="minorHAnsi"/>
          <w:sz w:val="24"/>
          <w:szCs w:val="24"/>
          <w:lang w:eastAsia="en-US"/>
        </w:rPr>
        <w:t>, aligned closely with sector and geographical priorities in the new Aid Investment Plan</w:t>
      </w:r>
      <w:r w:rsidR="006D203D" w:rsidRPr="00D65AD4">
        <w:rPr>
          <w:rFonts w:asciiTheme="minorHAnsi" w:eastAsiaTheme="minorHAnsi" w:hAnsiTheme="minorHAnsi"/>
          <w:sz w:val="24"/>
          <w:szCs w:val="24"/>
          <w:lang w:eastAsia="en-US"/>
        </w:rPr>
        <w:t xml:space="preserve"> </w:t>
      </w:r>
      <w:r w:rsidR="00EB6FA5" w:rsidRPr="00D65AD4">
        <w:rPr>
          <w:rFonts w:asciiTheme="minorHAnsi" w:eastAsiaTheme="minorHAnsi" w:hAnsiTheme="minorHAnsi"/>
          <w:sz w:val="24"/>
          <w:szCs w:val="24"/>
          <w:lang w:eastAsia="en-US"/>
        </w:rPr>
        <w:t xml:space="preserve">(AIP), </w:t>
      </w:r>
      <w:r w:rsidR="006D203D" w:rsidRPr="00D65AD4">
        <w:rPr>
          <w:rFonts w:asciiTheme="minorHAnsi" w:eastAsiaTheme="minorHAnsi" w:hAnsiTheme="minorHAnsi"/>
          <w:sz w:val="24"/>
          <w:szCs w:val="24"/>
          <w:lang w:eastAsia="en-US"/>
        </w:rPr>
        <w:t>2015-20</w:t>
      </w:r>
      <w:r w:rsidRPr="00D65AD4">
        <w:rPr>
          <w:rFonts w:asciiTheme="minorHAnsi" w:eastAsiaTheme="minorHAnsi" w:hAnsiTheme="minorHAnsi"/>
          <w:sz w:val="24"/>
          <w:szCs w:val="24"/>
          <w:lang w:eastAsia="en-US"/>
        </w:rPr>
        <w:t xml:space="preserve">. The </w:t>
      </w:r>
      <w:r w:rsidR="001129B6">
        <w:rPr>
          <w:rFonts w:asciiTheme="minorHAnsi" w:eastAsiaTheme="minorHAnsi" w:hAnsiTheme="minorHAnsi"/>
          <w:sz w:val="24"/>
          <w:szCs w:val="24"/>
          <w:lang w:eastAsia="en-US"/>
        </w:rPr>
        <w:t>Program</w:t>
      </w:r>
      <w:r w:rsidRPr="00D65AD4">
        <w:rPr>
          <w:rFonts w:asciiTheme="minorHAnsi" w:eastAsiaTheme="minorHAnsi" w:hAnsiTheme="minorHAnsi"/>
          <w:sz w:val="24"/>
          <w:szCs w:val="24"/>
          <w:lang w:eastAsia="en-US"/>
        </w:rPr>
        <w:t xml:space="preserve"> design</w:t>
      </w:r>
      <w:r w:rsidRPr="00B42B3E">
        <w:rPr>
          <w:rFonts w:asciiTheme="minorHAnsi" w:eastAsiaTheme="minorHAnsi" w:hAnsiTheme="minorHAnsi"/>
          <w:sz w:val="24"/>
          <w:szCs w:val="24"/>
          <w:lang w:eastAsia="en-US"/>
        </w:rPr>
        <w:t xml:space="preserve"> proposes a more tightly focused</w:t>
      </w:r>
      <w:r w:rsidRPr="008C2305">
        <w:rPr>
          <w:rFonts w:asciiTheme="minorHAnsi" w:eastAsiaTheme="minorHAnsi" w:hAnsiTheme="minorHAnsi"/>
          <w:sz w:val="24"/>
          <w:szCs w:val="24"/>
          <w:lang w:eastAsia="en-US"/>
        </w:rPr>
        <w:t xml:space="preserve"> approach and aims to enhance the targeting and competitiveness of Australia Awards Scholarships.  </w:t>
      </w:r>
    </w:p>
    <w:p w14:paraId="7D87B749" w14:textId="567D724E" w:rsidR="00C23924" w:rsidRPr="00D9325F"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7A6D7C">
        <w:rPr>
          <w:rFonts w:asciiTheme="minorHAnsi" w:eastAsiaTheme="minorHAnsi" w:hAnsiTheme="minorHAnsi"/>
          <w:sz w:val="24"/>
          <w:szCs w:val="24"/>
          <w:lang w:eastAsia="en-US"/>
        </w:rPr>
        <w:t xml:space="preserve">It is proposed there be two categories of Australia Awards Scholarships: one an open </w:t>
      </w:r>
      <w:r w:rsidR="0072207B">
        <w:rPr>
          <w:rFonts w:asciiTheme="minorHAnsi" w:eastAsiaTheme="minorHAnsi" w:hAnsiTheme="minorHAnsi"/>
          <w:sz w:val="24"/>
          <w:szCs w:val="24"/>
          <w:lang w:eastAsia="en-US"/>
        </w:rPr>
        <w:t xml:space="preserve">untied </w:t>
      </w:r>
      <w:r w:rsidRPr="007A6D7C">
        <w:rPr>
          <w:rFonts w:asciiTheme="minorHAnsi" w:eastAsiaTheme="minorHAnsi" w:hAnsiTheme="minorHAnsi"/>
          <w:sz w:val="24"/>
          <w:szCs w:val="24"/>
          <w:lang w:eastAsia="en-US"/>
        </w:rPr>
        <w:t>category (70% of awards), eligible on a competitive basis to applicants from central/provincial government age</w:t>
      </w:r>
      <w:r w:rsidRPr="00D9325F">
        <w:rPr>
          <w:rFonts w:asciiTheme="minorHAnsi" w:eastAsiaTheme="minorHAnsi" w:hAnsiTheme="minorHAnsi"/>
          <w:sz w:val="24"/>
          <w:szCs w:val="24"/>
          <w:lang w:eastAsia="en-US"/>
        </w:rPr>
        <w:t xml:space="preserve">ncies, universities, the private sector, NGOs and INGOs within specified (AIP) priority sectors; and the other tied (initially 30% of awards, to be reviewed annually) to specific target institutions. </w:t>
      </w:r>
    </w:p>
    <w:p w14:paraId="483BEB60" w14:textId="7ED5FF76" w:rsidR="00C23924" w:rsidRPr="00F4554A"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B379A4">
        <w:rPr>
          <w:rFonts w:asciiTheme="minorHAnsi" w:eastAsiaTheme="minorHAnsi" w:hAnsiTheme="minorHAnsi"/>
          <w:sz w:val="24"/>
          <w:szCs w:val="24"/>
          <w:lang w:eastAsia="en-US"/>
        </w:rPr>
        <w:t>Australia Awards Alumni would be supported to strength</w:t>
      </w:r>
      <w:r w:rsidRPr="00602A77">
        <w:rPr>
          <w:rFonts w:asciiTheme="minorHAnsi" w:eastAsiaTheme="minorHAnsi" w:hAnsiTheme="minorHAnsi"/>
          <w:sz w:val="24"/>
          <w:szCs w:val="24"/>
          <w:lang w:eastAsia="en-US"/>
        </w:rPr>
        <w:t>en their contribution to the workplace through pre-and post</w:t>
      </w:r>
      <w:r w:rsidR="003545CB" w:rsidRPr="00FA40AE">
        <w:rPr>
          <w:rFonts w:asciiTheme="minorHAnsi" w:eastAsiaTheme="minorHAnsi" w:hAnsiTheme="minorHAnsi"/>
          <w:sz w:val="24"/>
          <w:szCs w:val="24"/>
          <w:lang w:eastAsia="en-US"/>
        </w:rPr>
        <w:t>-</w:t>
      </w:r>
      <w:r w:rsidRPr="00F4554A">
        <w:rPr>
          <w:rFonts w:asciiTheme="minorHAnsi" w:eastAsiaTheme="minorHAnsi" w:hAnsiTheme="minorHAnsi"/>
          <w:sz w:val="24"/>
          <w:szCs w:val="24"/>
          <w:lang w:eastAsia="en-US"/>
        </w:rPr>
        <w:t>reintegration support including, ‘soft’ skills training, small grants, seminars and workshops.</w:t>
      </w:r>
    </w:p>
    <w:p w14:paraId="3AA8CB2A" w14:textId="2D780518" w:rsidR="00C23924" w:rsidRPr="005C0E3B"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B31B3E">
        <w:rPr>
          <w:rFonts w:asciiTheme="minorHAnsi" w:eastAsiaTheme="minorHAnsi" w:hAnsiTheme="minorHAnsi"/>
          <w:sz w:val="24"/>
          <w:szCs w:val="24"/>
          <w:lang w:eastAsia="en-US"/>
        </w:rPr>
        <w:t xml:space="preserve"> </w:t>
      </w:r>
      <w:r w:rsidRPr="00274EF2">
        <w:rPr>
          <w:rFonts w:asciiTheme="minorHAnsi" w:eastAsiaTheme="minorHAnsi" w:hAnsiTheme="minorHAnsi"/>
          <w:sz w:val="24"/>
          <w:szCs w:val="24"/>
          <w:lang w:eastAsia="en-US"/>
        </w:rPr>
        <w:t xml:space="preserve">Secondly, it is proposed to develop and pilot </w:t>
      </w:r>
      <w:r w:rsidR="0072207B">
        <w:rPr>
          <w:rFonts w:asciiTheme="minorHAnsi" w:eastAsiaTheme="minorHAnsi" w:hAnsiTheme="minorHAnsi"/>
          <w:sz w:val="24"/>
          <w:szCs w:val="24"/>
          <w:lang w:eastAsia="en-US"/>
        </w:rPr>
        <w:t xml:space="preserve">one or </w:t>
      </w:r>
      <w:r w:rsidRPr="00274EF2">
        <w:rPr>
          <w:rFonts w:asciiTheme="minorHAnsi" w:eastAsiaTheme="minorHAnsi" w:hAnsiTheme="minorHAnsi"/>
          <w:sz w:val="24"/>
          <w:szCs w:val="24"/>
          <w:lang w:eastAsia="en-US"/>
        </w:rPr>
        <w:t>two sub programs encompassing mor</w:t>
      </w:r>
      <w:r w:rsidRPr="00F233A7">
        <w:rPr>
          <w:rFonts w:asciiTheme="minorHAnsi" w:eastAsiaTheme="minorHAnsi" w:hAnsiTheme="minorHAnsi"/>
          <w:sz w:val="24"/>
          <w:szCs w:val="24"/>
          <w:lang w:eastAsia="en-US"/>
        </w:rPr>
        <w:t xml:space="preserve">e intensive integrated HRD support directed at selected target institutions. The sub programs would offer a balance between long-term scholarships (core assistance) and other HRD modalities. That is, target institutions would receive priority support, not </w:t>
      </w:r>
      <w:r w:rsidRPr="004744D3">
        <w:rPr>
          <w:rFonts w:asciiTheme="minorHAnsi" w:eastAsiaTheme="minorHAnsi" w:hAnsiTheme="minorHAnsi"/>
          <w:sz w:val="24"/>
          <w:szCs w:val="24"/>
          <w:lang w:eastAsia="en-US"/>
        </w:rPr>
        <w:t xml:space="preserve">only through access to tied Australia </w:t>
      </w:r>
      <w:r w:rsidRPr="00AF245E">
        <w:rPr>
          <w:rFonts w:asciiTheme="minorHAnsi" w:eastAsiaTheme="minorHAnsi" w:hAnsiTheme="minorHAnsi"/>
          <w:sz w:val="24"/>
          <w:szCs w:val="24"/>
          <w:lang w:eastAsia="en-US"/>
        </w:rPr>
        <w:t>Award</w:t>
      </w:r>
      <w:r w:rsidR="006D203D" w:rsidRPr="00FE136A">
        <w:rPr>
          <w:rFonts w:asciiTheme="minorHAnsi" w:eastAsiaTheme="minorHAnsi" w:hAnsiTheme="minorHAnsi"/>
          <w:sz w:val="24"/>
          <w:szCs w:val="24"/>
          <w:lang w:eastAsia="en-US"/>
        </w:rPr>
        <w:t>s</w:t>
      </w:r>
      <w:r w:rsidRPr="005C0E3B">
        <w:rPr>
          <w:rFonts w:asciiTheme="minorHAnsi" w:eastAsiaTheme="minorHAnsi" w:hAnsiTheme="minorHAnsi"/>
          <w:sz w:val="24"/>
          <w:szCs w:val="24"/>
          <w:lang w:eastAsia="en-US"/>
        </w:rPr>
        <w:t xml:space="preserve"> Scholarships, but also through access to a package of flexible </w:t>
      </w:r>
      <w:r w:rsidR="00890EBD">
        <w:rPr>
          <w:rFonts w:asciiTheme="minorHAnsi" w:eastAsiaTheme="minorHAnsi" w:hAnsiTheme="minorHAnsi"/>
          <w:sz w:val="24"/>
          <w:szCs w:val="24"/>
          <w:lang w:eastAsia="en-US"/>
        </w:rPr>
        <w:t>integrated</w:t>
      </w:r>
      <w:r w:rsidRPr="005C0E3B">
        <w:rPr>
          <w:rFonts w:asciiTheme="minorHAnsi" w:eastAsiaTheme="minorHAnsi" w:hAnsiTheme="minorHAnsi"/>
          <w:sz w:val="24"/>
          <w:szCs w:val="24"/>
          <w:lang w:eastAsia="en-US"/>
        </w:rPr>
        <w:t xml:space="preserve"> HRD assistance. </w:t>
      </w:r>
    </w:p>
    <w:p w14:paraId="4CA061E8" w14:textId="77777777" w:rsidR="00F9256E" w:rsidRPr="00FA5F0F" w:rsidRDefault="00F9256E" w:rsidP="00C227BA">
      <w:pPr>
        <w:pStyle w:val="BulletPoints"/>
        <w:numPr>
          <w:ilvl w:val="0"/>
          <w:numId w:val="0"/>
        </w:numPr>
        <w:contextualSpacing w:val="0"/>
        <w:rPr>
          <w:rFonts w:asciiTheme="minorHAnsi" w:eastAsiaTheme="minorHAnsi" w:hAnsiTheme="minorHAnsi"/>
          <w:sz w:val="24"/>
          <w:szCs w:val="24"/>
          <w:lang w:eastAsia="en-US"/>
        </w:rPr>
      </w:pPr>
    </w:p>
    <w:p w14:paraId="169627A7" w14:textId="6D0787A2" w:rsidR="00C23924" w:rsidRPr="00B5326E"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D65AD4">
        <w:rPr>
          <w:rFonts w:asciiTheme="minorHAnsi" w:eastAsiaTheme="minorHAnsi" w:hAnsiTheme="minorHAnsi"/>
          <w:sz w:val="24"/>
          <w:szCs w:val="24"/>
          <w:lang w:eastAsia="en-US"/>
        </w:rPr>
        <w:t xml:space="preserve">The provision of </w:t>
      </w:r>
      <w:r w:rsidR="00B85CCE" w:rsidRPr="00D65AD4">
        <w:rPr>
          <w:rFonts w:asciiTheme="minorHAnsi" w:eastAsiaTheme="minorHAnsi" w:hAnsiTheme="minorHAnsi"/>
          <w:sz w:val="24"/>
          <w:szCs w:val="24"/>
          <w:lang w:eastAsia="en-US"/>
        </w:rPr>
        <w:t xml:space="preserve">integrated </w:t>
      </w:r>
      <w:r w:rsidRPr="00D65AD4">
        <w:rPr>
          <w:rFonts w:asciiTheme="minorHAnsi" w:eastAsiaTheme="minorHAnsi" w:hAnsiTheme="minorHAnsi"/>
          <w:sz w:val="24"/>
          <w:szCs w:val="24"/>
          <w:lang w:eastAsia="en-US"/>
        </w:rPr>
        <w:t>HRD activities would seek to go beyond the delivery of tertiary qualifications to enhance workplace productivity, build relationships</w:t>
      </w:r>
      <w:r w:rsidR="00AE63D2">
        <w:rPr>
          <w:rFonts w:asciiTheme="minorHAnsi" w:eastAsiaTheme="minorHAnsi" w:hAnsiTheme="minorHAnsi"/>
          <w:sz w:val="24"/>
          <w:szCs w:val="24"/>
          <w:lang w:eastAsia="en-US"/>
        </w:rPr>
        <w:t>,</w:t>
      </w:r>
      <w:r w:rsidR="00AE63D2" w:rsidRPr="00AE63D2">
        <w:rPr>
          <w:rFonts w:asciiTheme="minorHAnsi" w:eastAsiaTheme="minorHAnsi" w:hAnsiTheme="minorHAnsi"/>
          <w:sz w:val="24"/>
          <w:szCs w:val="24"/>
          <w:lang w:eastAsia="en-US"/>
        </w:rPr>
        <w:t xml:space="preserve"> </w:t>
      </w:r>
      <w:r w:rsidR="00AE63D2" w:rsidRPr="00670B25">
        <w:rPr>
          <w:rFonts w:asciiTheme="minorHAnsi" w:eastAsiaTheme="minorHAnsi" w:hAnsiTheme="minorHAnsi"/>
          <w:sz w:val="24"/>
          <w:szCs w:val="24"/>
          <w:lang w:eastAsia="en-US"/>
        </w:rPr>
        <w:t>promote promotion pathways for men and women,</w:t>
      </w:r>
      <w:r w:rsidR="00AE63D2" w:rsidRPr="00D65AD4">
        <w:rPr>
          <w:rFonts w:asciiTheme="minorHAnsi" w:eastAsiaTheme="minorHAnsi" w:hAnsiTheme="minorHAnsi"/>
          <w:sz w:val="24"/>
          <w:szCs w:val="24"/>
          <w:lang w:eastAsia="en-US"/>
        </w:rPr>
        <w:t xml:space="preserve"> </w:t>
      </w:r>
      <w:r w:rsidRPr="00D65AD4">
        <w:rPr>
          <w:rFonts w:asciiTheme="minorHAnsi" w:eastAsiaTheme="minorHAnsi" w:hAnsiTheme="minorHAnsi"/>
          <w:sz w:val="24"/>
          <w:szCs w:val="24"/>
          <w:lang w:eastAsia="en-US"/>
        </w:rPr>
        <w:t xml:space="preserve"> and strengthen program outcomes (specifically, </w:t>
      </w:r>
      <w:r w:rsidR="00F56093" w:rsidRPr="00D65AD4">
        <w:rPr>
          <w:rFonts w:asciiTheme="minorHAnsi" w:eastAsiaTheme="minorHAnsi" w:hAnsiTheme="minorHAnsi"/>
          <w:sz w:val="24"/>
          <w:szCs w:val="24"/>
          <w:lang w:eastAsia="en-US"/>
        </w:rPr>
        <w:t>EOPOs</w:t>
      </w:r>
      <w:r w:rsidRPr="00D65AD4">
        <w:rPr>
          <w:rFonts w:asciiTheme="minorHAnsi" w:eastAsiaTheme="minorHAnsi" w:hAnsiTheme="minorHAnsi"/>
          <w:sz w:val="24"/>
          <w:szCs w:val="24"/>
          <w:lang w:eastAsia="en-US"/>
        </w:rPr>
        <w:t xml:space="preserve"> 2 and 3) in priority sectors through a broader range of flexible capacity building interventions and delivery modalities, including formal and ad hoc short-term training</w:t>
      </w:r>
      <w:r w:rsidR="00EF4E99" w:rsidRPr="00D65AD4">
        <w:rPr>
          <w:rFonts w:asciiTheme="minorHAnsi" w:eastAsiaTheme="minorHAnsi" w:hAnsiTheme="minorHAnsi"/>
          <w:sz w:val="24"/>
          <w:szCs w:val="24"/>
          <w:lang w:eastAsia="en-US"/>
        </w:rPr>
        <w:t xml:space="preserve"> </w:t>
      </w:r>
      <w:r w:rsidR="00EB6FA5" w:rsidRPr="00D65AD4">
        <w:rPr>
          <w:rFonts w:asciiTheme="minorHAnsi" w:eastAsiaTheme="minorHAnsi" w:hAnsiTheme="minorHAnsi"/>
          <w:sz w:val="24"/>
          <w:szCs w:val="24"/>
          <w:lang w:eastAsia="en-US"/>
        </w:rPr>
        <w:t xml:space="preserve">for both technical and ‘soft’ skills </w:t>
      </w:r>
      <w:r w:rsidR="00EF4E99" w:rsidRPr="00D65AD4">
        <w:rPr>
          <w:rFonts w:asciiTheme="minorHAnsi" w:eastAsiaTheme="minorHAnsi" w:hAnsiTheme="minorHAnsi"/>
          <w:sz w:val="24"/>
          <w:szCs w:val="24"/>
          <w:lang w:eastAsia="en-US"/>
        </w:rPr>
        <w:t>(in Australia and/or Vietnam)</w:t>
      </w:r>
      <w:r w:rsidRPr="00D65AD4">
        <w:rPr>
          <w:rFonts w:asciiTheme="minorHAnsi" w:eastAsiaTheme="minorHAnsi" w:hAnsiTheme="minorHAnsi"/>
          <w:sz w:val="24"/>
          <w:szCs w:val="24"/>
          <w:lang w:eastAsia="en-US"/>
        </w:rPr>
        <w:t>; technical assistance to access Australian ideas and expertise; and informal learning opportunities including workshops</w:t>
      </w:r>
      <w:r w:rsidR="00EB6FA5" w:rsidRPr="00D65AD4">
        <w:rPr>
          <w:rFonts w:asciiTheme="minorHAnsi" w:eastAsiaTheme="minorHAnsi" w:hAnsiTheme="minorHAnsi"/>
          <w:sz w:val="24"/>
          <w:szCs w:val="24"/>
          <w:lang w:eastAsia="en-US"/>
        </w:rPr>
        <w:t>,</w:t>
      </w:r>
      <w:r w:rsidRPr="00D65AD4">
        <w:rPr>
          <w:rFonts w:asciiTheme="minorHAnsi" w:eastAsiaTheme="minorHAnsi" w:hAnsiTheme="minorHAnsi"/>
          <w:sz w:val="24"/>
          <w:szCs w:val="24"/>
          <w:lang w:eastAsia="en-US"/>
        </w:rPr>
        <w:t xml:space="preserve"> seminars</w:t>
      </w:r>
      <w:r w:rsidR="00EB6FA5" w:rsidRPr="00D65AD4">
        <w:rPr>
          <w:rFonts w:asciiTheme="minorHAnsi" w:eastAsiaTheme="minorHAnsi" w:hAnsiTheme="minorHAnsi"/>
          <w:sz w:val="24"/>
          <w:szCs w:val="24"/>
          <w:lang w:eastAsia="en-US"/>
        </w:rPr>
        <w:t xml:space="preserve"> and visiting lecturers. </w:t>
      </w:r>
      <w:r w:rsidRPr="00AE63D2">
        <w:rPr>
          <w:rFonts w:asciiTheme="minorHAnsi" w:eastAsiaTheme="minorHAnsi" w:hAnsiTheme="minorHAnsi"/>
          <w:sz w:val="24"/>
          <w:szCs w:val="24"/>
          <w:lang w:eastAsia="en-US"/>
        </w:rPr>
        <w:t>Target institutions would need to be identified and sub programs designed by the Contractor in close consultation with DFAT Hanoi</w:t>
      </w:r>
      <w:r w:rsidR="00FB42A3" w:rsidRPr="00AE63D2">
        <w:rPr>
          <w:rFonts w:asciiTheme="minorHAnsi" w:eastAsiaTheme="minorHAnsi" w:hAnsiTheme="minorHAnsi"/>
          <w:sz w:val="24"/>
          <w:szCs w:val="24"/>
          <w:lang w:eastAsia="en-US"/>
        </w:rPr>
        <w:t xml:space="preserve"> and endorsed by </w:t>
      </w:r>
      <w:r w:rsidR="00F314BE" w:rsidRPr="00AE63D2">
        <w:rPr>
          <w:rFonts w:asciiTheme="minorHAnsi" w:eastAsiaTheme="minorHAnsi" w:hAnsiTheme="minorHAnsi"/>
          <w:sz w:val="24"/>
          <w:szCs w:val="24"/>
          <w:lang w:eastAsia="en-US"/>
        </w:rPr>
        <w:t>the Program Coordinating Committee (</w:t>
      </w:r>
      <w:r w:rsidR="00FB42A3" w:rsidRPr="00AE63D2">
        <w:rPr>
          <w:rFonts w:asciiTheme="minorHAnsi" w:eastAsiaTheme="minorHAnsi" w:hAnsiTheme="minorHAnsi"/>
          <w:sz w:val="24"/>
          <w:szCs w:val="24"/>
          <w:lang w:eastAsia="en-US"/>
        </w:rPr>
        <w:t>PCC</w:t>
      </w:r>
      <w:r w:rsidR="00F314BE" w:rsidRPr="00AE63D2">
        <w:rPr>
          <w:rFonts w:asciiTheme="minorHAnsi" w:eastAsiaTheme="minorHAnsi" w:hAnsiTheme="minorHAnsi"/>
          <w:sz w:val="24"/>
          <w:szCs w:val="24"/>
          <w:lang w:eastAsia="en-US"/>
        </w:rPr>
        <w:t>)</w:t>
      </w:r>
      <w:r w:rsidRPr="00AE63D2">
        <w:rPr>
          <w:rFonts w:asciiTheme="minorHAnsi" w:eastAsiaTheme="minorHAnsi" w:hAnsiTheme="minorHAnsi"/>
          <w:sz w:val="24"/>
          <w:szCs w:val="24"/>
          <w:lang w:eastAsia="en-US"/>
        </w:rPr>
        <w:t>.</w:t>
      </w:r>
    </w:p>
    <w:p w14:paraId="3FFBBAA8" w14:textId="0726D7E4" w:rsidR="00C23924" w:rsidRPr="00B5326E"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B5326E">
        <w:rPr>
          <w:rFonts w:asciiTheme="minorHAnsi" w:eastAsiaTheme="minorHAnsi" w:hAnsiTheme="minorHAnsi"/>
          <w:sz w:val="24"/>
          <w:szCs w:val="24"/>
          <w:lang w:eastAsia="en-US"/>
        </w:rPr>
        <w:t>Thirdly, while priority would be accorded to the selected target institutions, flexible HRD modalities would also be available in a timely and responsive way to support ad hoc, or one</w:t>
      </w:r>
      <w:r w:rsidRPr="00D65AD4">
        <w:rPr>
          <w:rFonts w:asciiTheme="minorHAnsi" w:eastAsiaTheme="minorHAnsi" w:hAnsiTheme="minorHAnsi"/>
          <w:sz w:val="24"/>
          <w:szCs w:val="24"/>
          <w:lang w:eastAsia="en-US"/>
        </w:rPr>
        <w:t>-off</w:t>
      </w:r>
      <w:r w:rsidR="00EB6FA5" w:rsidRPr="00D65AD4">
        <w:rPr>
          <w:rFonts w:asciiTheme="minorHAnsi" w:eastAsiaTheme="minorHAnsi" w:hAnsiTheme="minorHAnsi"/>
          <w:sz w:val="24"/>
          <w:szCs w:val="24"/>
          <w:lang w:eastAsia="en-US"/>
        </w:rPr>
        <w:t>,</w:t>
      </w:r>
      <w:r w:rsidRPr="00D65AD4">
        <w:rPr>
          <w:rFonts w:asciiTheme="minorHAnsi" w:eastAsiaTheme="minorHAnsi" w:hAnsiTheme="minorHAnsi"/>
          <w:sz w:val="24"/>
          <w:szCs w:val="24"/>
          <w:lang w:eastAsia="en-US"/>
        </w:rPr>
        <w:t xml:space="preserve"> demand</w:t>
      </w:r>
      <w:r w:rsidRPr="00B5326E">
        <w:rPr>
          <w:rFonts w:asciiTheme="minorHAnsi" w:eastAsiaTheme="minorHAnsi" w:hAnsiTheme="minorHAnsi"/>
          <w:sz w:val="24"/>
          <w:szCs w:val="24"/>
          <w:lang w:eastAsia="en-US"/>
        </w:rPr>
        <w:t xml:space="preserve"> driven thematic requests relevant to any of the pillars and sectors under the new AIP. Opportun</w:t>
      </w:r>
      <w:r w:rsidR="00F314BE">
        <w:rPr>
          <w:rFonts w:asciiTheme="minorHAnsi" w:eastAsiaTheme="minorHAnsi" w:hAnsiTheme="minorHAnsi"/>
          <w:sz w:val="24"/>
          <w:szCs w:val="24"/>
          <w:lang w:eastAsia="en-US"/>
        </w:rPr>
        <w:t>ities to enhance and support on</w:t>
      </w:r>
      <w:r w:rsidRPr="00B5326E">
        <w:rPr>
          <w:rFonts w:asciiTheme="minorHAnsi" w:eastAsiaTheme="minorHAnsi" w:hAnsiTheme="minorHAnsi"/>
          <w:sz w:val="24"/>
          <w:szCs w:val="24"/>
          <w:lang w:eastAsia="en-US"/>
        </w:rPr>
        <w:t xml:space="preserve">going programs would typically be identified by DFAT sector teams </w:t>
      </w:r>
      <w:r w:rsidR="00C6475E">
        <w:rPr>
          <w:rFonts w:asciiTheme="minorHAnsi" w:eastAsiaTheme="minorHAnsi" w:hAnsiTheme="minorHAnsi"/>
          <w:sz w:val="24"/>
          <w:szCs w:val="24"/>
          <w:lang w:eastAsia="en-US"/>
        </w:rPr>
        <w:t xml:space="preserve">(and the Contractor) </w:t>
      </w:r>
      <w:r w:rsidRPr="00B5326E">
        <w:rPr>
          <w:rFonts w:asciiTheme="minorHAnsi" w:eastAsiaTheme="minorHAnsi" w:hAnsiTheme="minorHAnsi"/>
          <w:sz w:val="24"/>
          <w:szCs w:val="24"/>
          <w:lang w:eastAsia="en-US"/>
        </w:rPr>
        <w:t>through their engagement with counterpart agencies</w:t>
      </w:r>
      <w:r w:rsidR="00C6475E">
        <w:rPr>
          <w:rFonts w:asciiTheme="minorHAnsi" w:eastAsiaTheme="minorHAnsi" w:hAnsiTheme="minorHAnsi"/>
          <w:sz w:val="24"/>
          <w:szCs w:val="24"/>
          <w:lang w:eastAsia="en-US"/>
        </w:rPr>
        <w:t>. T</w:t>
      </w:r>
      <w:r w:rsidRPr="00B5326E">
        <w:rPr>
          <w:rFonts w:asciiTheme="minorHAnsi" w:eastAsiaTheme="minorHAnsi" w:hAnsiTheme="minorHAnsi"/>
          <w:sz w:val="24"/>
          <w:szCs w:val="24"/>
          <w:lang w:eastAsia="en-US"/>
        </w:rPr>
        <w:t>he Contractor would be responsible for activity implementation, including sub-contracting where appropriate.</w:t>
      </w:r>
    </w:p>
    <w:p w14:paraId="7A3239A7" w14:textId="51DA451A" w:rsidR="00C23924" w:rsidRPr="003B74ED"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B5326E">
        <w:rPr>
          <w:rFonts w:asciiTheme="minorHAnsi" w:eastAsiaTheme="minorHAnsi" w:hAnsiTheme="minorHAnsi"/>
          <w:sz w:val="24"/>
          <w:szCs w:val="24"/>
          <w:lang w:eastAsia="en-US"/>
        </w:rPr>
        <w:t xml:space="preserve">Fourthly, to the extent possible, the </w:t>
      </w:r>
      <w:r w:rsidR="001129B6">
        <w:rPr>
          <w:rFonts w:asciiTheme="minorHAnsi" w:eastAsiaTheme="minorHAnsi" w:hAnsiTheme="minorHAnsi"/>
          <w:sz w:val="24"/>
          <w:szCs w:val="24"/>
          <w:lang w:eastAsia="en-US"/>
        </w:rPr>
        <w:t>Program</w:t>
      </w:r>
      <w:r w:rsidRPr="00B5326E">
        <w:rPr>
          <w:rFonts w:asciiTheme="minorHAnsi" w:eastAsiaTheme="minorHAnsi" w:hAnsiTheme="minorHAnsi"/>
          <w:sz w:val="24"/>
          <w:szCs w:val="24"/>
          <w:lang w:eastAsia="en-US"/>
        </w:rPr>
        <w:t xml:space="preserve"> would seek to leverage other DFAT global programs (AAF, AVID, NCP) and whole of government partners in promoting program outcomes.  This would simply involve being aware of and maximising opportunities to build upon existing or planned initiatives to further facilitate linkages/partnerships between Vietnamese and Australian organi</w:t>
      </w:r>
      <w:r w:rsidR="00733E25" w:rsidRPr="003B74ED">
        <w:rPr>
          <w:rFonts w:asciiTheme="minorHAnsi" w:eastAsiaTheme="minorHAnsi" w:hAnsiTheme="minorHAnsi"/>
          <w:sz w:val="24"/>
          <w:szCs w:val="24"/>
          <w:lang w:eastAsia="en-US"/>
        </w:rPr>
        <w:t>s</w:t>
      </w:r>
      <w:r w:rsidRPr="003B74ED">
        <w:rPr>
          <w:rFonts w:asciiTheme="minorHAnsi" w:eastAsiaTheme="minorHAnsi" w:hAnsiTheme="minorHAnsi"/>
          <w:sz w:val="24"/>
          <w:szCs w:val="24"/>
          <w:lang w:eastAsia="en-US"/>
        </w:rPr>
        <w:t xml:space="preserve">ations. </w:t>
      </w:r>
    </w:p>
    <w:p w14:paraId="26BCEA7C" w14:textId="31CF65C2" w:rsidR="00C23924" w:rsidRPr="003B74ED"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7053F6">
        <w:rPr>
          <w:rFonts w:asciiTheme="minorHAnsi" w:eastAsiaTheme="minorHAnsi" w:hAnsiTheme="minorHAnsi"/>
          <w:sz w:val="24"/>
          <w:szCs w:val="24"/>
          <w:lang w:eastAsia="en-US"/>
        </w:rPr>
        <w:t xml:space="preserve">Fifthly, Australian aid policy </w:t>
      </w:r>
      <w:r w:rsidR="00AE63D2" w:rsidRPr="007053F6">
        <w:rPr>
          <w:rFonts w:asciiTheme="minorHAnsi" w:eastAsiaTheme="minorHAnsi" w:hAnsiTheme="minorHAnsi"/>
          <w:sz w:val="24"/>
          <w:szCs w:val="24"/>
          <w:lang w:eastAsia="en-US"/>
        </w:rPr>
        <w:t xml:space="preserve">objectives on </w:t>
      </w:r>
      <w:r w:rsidRPr="007053F6">
        <w:rPr>
          <w:rFonts w:asciiTheme="minorHAnsi" w:eastAsiaTheme="minorHAnsi" w:hAnsiTheme="minorHAnsi"/>
          <w:sz w:val="24"/>
          <w:szCs w:val="24"/>
          <w:lang w:eastAsia="en-US"/>
        </w:rPr>
        <w:t xml:space="preserve">gender </w:t>
      </w:r>
      <w:r w:rsidR="00AE63D2" w:rsidRPr="007053F6">
        <w:rPr>
          <w:rFonts w:asciiTheme="minorHAnsi" w:eastAsiaTheme="minorHAnsi" w:hAnsiTheme="minorHAnsi"/>
          <w:sz w:val="24"/>
          <w:szCs w:val="24"/>
          <w:lang w:eastAsia="en-US"/>
        </w:rPr>
        <w:t xml:space="preserve">equality and women’s empowerment </w:t>
      </w:r>
      <w:r w:rsidRPr="007053F6">
        <w:rPr>
          <w:rFonts w:asciiTheme="minorHAnsi" w:eastAsiaTheme="minorHAnsi" w:hAnsiTheme="minorHAnsi"/>
          <w:sz w:val="24"/>
          <w:szCs w:val="24"/>
          <w:lang w:eastAsia="en-US"/>
        </w:rPr>
        <w:t xml:space="preserve">and </w:t>
      </w:r>
      <w:r w:rsidR="00AE63D2" w:rsidRPr="007053F6">
        <w:rPr>
          <w:rFonts w:asciiTheme="minorHAnsi" w:eastAsiaTheme="minorHAnsi" w:hAnsiTheme="minorHAnsi"/>
          <w:sz w:val="24"/>
          <w:szCs w:val="24"/>
          <w:lang w:eastAsia="en-US"/>
        </w:rPr>
        <w:t xml:space="preserve">on </w:t>
      </w:r>
      <w:r w:rsidRPr="007053F6">
        <w:rPr>
          <w:rFonts w:asciiTheme="minorHAnsi" w:eastAsiaTheme="minorHAnsi" w:hAnsiTheme="minorHAnsi"/>
          <w:sz w:val="24"/>
          <w:szCs w:val="24"/>
          <w:lang w:eastAsia="en-US"/>
        </w:rPr>
        <w:t>social inclusion are addressed throughout the design, including through specific strategies to address disadvantage, provision of leadership training programs</w:t>
      </w:r>
      <w:r w:rsidR="00C94D38">
        <w:rPr>
          <w:rFonts w:asciiTheme="minorHAnsi" w:eastAsiaTheme="minorHAnsi" w:hAnsiTheme="minorHAnsi"/>
          <w:sz w:val="24"/>
          <w:szCs w:val="24"/>
          <w:lang w:eastAsia="en-US"/>
        </w:rPr>
        <w:t xml:space="preserve"> delivered in both Australia and Vietnam</w:t>
      </w:r>
      <w:r w:rsidRPr="007053F6">
        <w:rPr>
          <w:rFonts w:asciiTheme="minorHAnsi" w:eastAsiaTheme="minorHAnsi" w:hAnsiTheme="minorHAnsi"/>
          <w:sz w:val="24"/>
          <w:szCs w:val="24"/>
          <w:lang w:eastAsia="en-US"/>
        </w:rPr>
        <w:t xml:space="preserve">, gender </w:t>
      </w:r>
      <w:r w:rsidR="00AE63D2" w:rsidRPr="007053F6">
        <w:rPr>
          <w:rFonts w:asciiTheme="minorHAnsi" w:eastAsiaTheme="minorHAnsi" w:hAnsiTheme="minorHAnsi"/>
          <w:sz w:val="24"/>
          <w:szCs w:val="24"/>
          <w:lang w:eastAsia="en-US"/>
        </w:rPr>
        <w:t>responsive</w:t>
      </w:r>
      <w:r w:rsidRPr="007053F6">
        <w:rPr>
          <w:rFonts w:asciiTheme="minorHAnsi" w:eastAsiaTheme="minorHAnsi" w:hAnsiTheme="minorHAnsi"/>
          <w:sz w:val="24"/>
          <w:szCs w:val="24"/>
          <w:lang w:eastAsia="en-US"/>
        </w:rPr>
        <w:t xml:space="preserve"> approaches</w:t>
      </w:r>
      <w:r w:rsidRPr="00AE63D2">
        <w:rPr>
          <w:rFonts w:asciiTheme="minorHAnsi" w:eastAsiaTheme="minorHAnsi" w:hAnsiTheme="minorHAnsi"/>
          <w:sz w:val="24"/>
          <w:szCs w:val="24"/>
          <w:lang w:eastAsia="en-US"/>
        </w:rPr>
        <w:t xml:space="preserve"> to M&amp;E, reintegration activities and Contractor personnel.</w:t>
      </w:r>
    </w:p>
    <w:p w14:paraId="17EF928E" w14:textId="72246B3D" w:rsidR="00C23924" w:rsidRPr="003B74ED"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AE63D2">
        <w:rPr>
          <w:rFonts w:asciiTheme="minorHAnsi" w:eastAsiaTheme="minorHAnsi" w:hAnsiTheme="minorHAnsi"/>
          <w:sz w:val="24"/>
          <w:szCs w:val="24"/>
          <w:lang w:eastAsia="en-US"/>
        </w:rPr>
        <w:t xml:space="preserve">Identification of target institutions and sub programs will require further preparatory work by DFAT Hanoi and the Contractor to determine demand, commitment and the scope of interventions. The Contractor will be responsible for preparing a plan within </w:t>
      </w:r>
      <w:r w:rsidR="00AA53F2" w:rsidRPr="00AE63D2">
        <w:rPr>
          <w:rFonts w:asciiTheme="minorHAnsi" w:eastAsiaTheme="minorHAnsi" w:hAnsiTheme="minorHAnsi"/>
          <w:sz w:val="24"/>
          <w:szCs w:val="24"/>
          <w:lang w:eastAsia="en-US"/>
        </w:rPr>
        <w:t>6</w:t>
      </w:r>
      <w:r w:rsidRPr="00AE63D2">
        <w:rPr>
          <w:rFonts w:asciiTheme="minorHAnsi" w:eastAsiaTheme="minorHAnsi" w:hAnsiTheme="minorHAnsi"/>
          <w:sz w:val="24"/>
          <w:szCs w:val="24"/>
          <w:lang w:eastAsia="en-US"/>
        </w:rPr>
        <w:t xml:space="preserve"> months of mobilisation outlining the proposed approach to identification, preparation and implementation of sub programs, S</w:t>
      </w:r>
      <w:r w:rsidR="006A2488" w:rsidRPr="00AE63D2">
        <w:rPr>
          <w:rFonts w:asciiTheme="minorHAnsi" w:eastAsiaTheme="minorHAnsi" w:hAnsiTheme="minorHAnsi"/>
          <w:sz w:val="24"/>
          <w:szCs w:val="24"/>
          <w:lang w:eastAsia="en-US"/>
        </w:rPr>
        <w:t xml:space="preserve">hort </w:t>
      </w:r>
      <w:r w:rsidRPr="00AE63D2">
        <w:rPr>
          <w:rFonts w:asciiTheme="minorHAnsi" w:eastAsiaTheme="minorHAnsi" w:hAnsiTheme="minorHAnsi"/>
          <w:sz w:val="24"/>
          <w:szCs w:val="24"/>
          <w:lang w:eastAsia="en-US"/>
        </w:rPr>
        <w:t>T</w:t>
      </w:r>
      <w:r w:rsidR="006A2488" w:rsidRPr="00AE63D2">
        <w:rPr>
          <w:rFonts w:asciiTheme="minorHAnsi" w:eastAsiaTheme="minorHAnsi" w:hAnsiTheme="minorHAnsi"/>
          <w:sz w:val="24"/>
          <w:szCs w:val="24"/>
          <w:lang w:eastAsia="en-US"/>
        </w:rPr>
        <w:t xml:space="preserve">erm </w:t>
      </w:r>
      <w:r w:rsidRPr="00AE63D2">
        <w:rPr>
          <w:rFonts w:asciiTheme="minorHAnsi" w:eastAsiaTheme="minorHAnsi" w:hAnsiTheme="minorHAnsi"/>
          <w:sz w:val="24"/>
          <w:szCs w:val="24"/>
          <w:lang w:eastAsia="en-US"/>
        </w:rPr>
        <w:t>T</w:t>
      </w:r>
      <w:r w:rsidR="006A2488" w:rsidRPr="00AE63D2">
        <w:rPr>
          <w:rFonts w:asciiTheme="minorHAnsi" w:eastAsiaTheme="minorHAnsi" w:hAnsiTheme="minorHAnsi"/>
          <w:sz w:val="24"/>
          <w:szCs w:val="24"/>
          <w:lang w:eastAsia="en-US"/>
        </w:rPr>
        <w:t>raining</w:t>
      </w:r>
      <w:r w:rsidR="00F9256E" w:rsidRPr="00AE63D2">
        <w:rPr>
          <w:rFonts w:asciiTheme="minorHAnsi" w:eastAsiaTheme="minorHAnsi" w:hAnsiTheme="minorHAnsi"/>
          <w:sz w:val="24"/>
          <w:szCs w:val="24"/>
          <w:lang w:eastAsia="en-US"/>
        </w:rPr>
        <w:t xml:space="preserve">; </w:t>
      </w:r>
      <w:r w:rsidRPr="00AE63D2">
        <w:rPr>
          <w:rFonts w:asciiTheme="minorHAnsi" w:eastAsiaTheme="minorHAnsi" w:hAnsiTheme="minorHAnsi"/>
          <w:sz w:val="24"/>
          <w:szCs w:val="24"/>
          <w:lang w:eastAsia="en-US"/>
        </w:rPr>
        <w:t>the Women in Leadership program; and ad hoc activities.</w:t>
      </w:r>
      <w:r w:rsidRPr="003B74ED">
        <w:rPr>
          <w:rFonts w:asciiTheme="minorHAnsi" w:eastAsiaTheme="minorHAnsi" w:hAnsiTheme="minorHAnsi"/>
          <w:sz w:val="24"/>
          <w:szCs w:val="24"/>
          <w:lang w:eastAsia="en-US"/>
        </w:rPr>
        <w:t xml:space="preserve"> </w:t>
      </w:r>
    </w:p>
    <w:p w14:paraId="1B47B492" w14:textId="77777777" w:rsidR="00C23924" w:rsidRPr="003B74ED"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AE63D2">
        <w:rPr>
          <w:rFonts w:asciiTheme="minorHAnsi" w:eastAsiaTheme="minorHAnsi" w:hAnsiTheme="minorHAnsi"/>
          <w:sz w:val="24"/>
          <w:szCs w:val="24"/>
          <w:lang w:eastAsia="en-US"/>
        </w:rPr>
        <w:t>The plan will include stop/go points whereby the Contractor undertakes an initial assessment of potential sub programs for consideration by DFAT Hanoi;</w:t>
      </w:r>
      <w:r w:rsidRPr="003B74ED">
        <w:rPr>
          <w:rFonts w:asciiTheme="minorHAnsi" w:eastAsiaTheme="minorHAnsi" w:hAnsiTheme="minorHAnsi"/>
          <w:sz w:val="24"/>
          <w:szCs w:val="24"/>
          <w:lang w:eastAsia="en-US"/>
        </w:rPr>
        <w:t xml:space="preserve"> and it will be guided by sector and geographic priorities as determined through the AIP preparation process; discussions between DFAT Hanoi and the GOV; and available budget. </w:t>
      </w:r>
    </w:p>
    <w:p w14:paraId="752ACBD2" w14:textId="77777777" w:rsidR="003F2017" w:rsidRDefault="003F2017">
      <w:pPr>
        <w:rPr>
          <w:rFonts w:eastAsiaTheme="minorHAnsi" w:cs="Arial"/>
        </w:rPr>
      </w:pPr>
      <w:r>
        <w:rPr>
          <w:rFonts w:eastAsiaTheme="minorHAnsi"/>
        </w:rPr>
        <w:br w:type="page"/>
      </w:r>
    </w:p>
    <w:p w14:paraId="2743562E" w14:textId="52467CB3" w:rsidR="003D0926" w:rsidRDefault="00C23924" w:rsidP="00C227BA">
      <w:pPr>
        <w:pStyle w:val="BulletPoints"/>
        <w:numPr>
          <w:ilvl w:val="0"/>
          <w:numId w:val="0"/>
        </w:numPr>
        <w:contextualSpacing w:val="0"/>
        <w:rPr>
          <w:rFonts w:asciiTheme="minorHAnsi" w:eastAsiaTheme="minorHAnsi" w:hAnsiTheme="minorHAnsi"/>
          <w:sz w:val="24"/>
          <w:szCs w:val="24"/>
          <w:lang w:eastAsia="en-US"/>
        </w:rPr>
      </w:pPr>
      <w:r w:rsidRPr="007053F6">
        <w:rPr>
          <w:rFonts w:asciiTheme="minorHAnsi" w:eastAsiaTheme="minorHAnsi" w:hAnsiTheme="minorHAnsi"/>
          <w:sz w:val="24"/>
          <w:szCs w:val="24"/>
          <w:lang w:eastAsia="en-US"/>
        </w:rPr>
        <w:t xml:space="preserve">It is proposed sub programs </w:t>
      </w:r>
      <w:proofErr w:type="gramStart"/>
      <w:r w:rsidRPr="007053F6">
        <w:rPr>
          <w:rFonts w:asciiTheme="minorHAnsi" w:eastAsiaTheme="minorHAnsi" w:hAnsiTheme="minorHAnsi"/>
          <w:sz w:val="24"/>
          <w:szCs w:val="24"/>
          <w:lang w:eastAsia="en-US"/>
        </w:rPr>
        <w:t>be</w:t>
      </w:r>
      <w:proofErr w:type="gramEnd"/>
      <w:r w:rsidRPr="007053F6">
        <w:rPr>
          <w:rFonts w:asciiTheme="minorHAnsi" w:eastAsiaTheme="minorHAnsi" w:hAnsiTheme="minorHAnsi"/>
          <w:sz w:val="24"/>
          <w:szCs w:val="24"/>
          <w:lang w:eastAsia="en-US"/>
        </w:rPr>
        <w:t xml:space="preserve"> identified from within one or </w:t>
      </w:r>
      <w:r w:rsidR="007053F6" w:rsidRPr="007053F6">
        <w:rPr>
          <w:rFonts w:asciiTheme="minorHAnsi" w:eastAsiaTheme="minorHAnsi" w:hAnsiTheme="minorHAnsi"/>
          <w:sz w:val="24"/>
          <w:szCs w:val="24"/>
          <w:lang w:eastAsia="en-US"/>
        </w:rPr>
        <w:t>both</w:t>
      </w:r>
      <w:r w:rsidRPr="007053F6">
        <w:rPr>
          <w:rFonts w:asciiTheme="minorHAnsi" w:eastAsiaTheme="minorHAnsi" w:hAnsiTheme="minorHAnsi"/>
          <w:sz w:val="24"/>
          <w:szCs w:val="24"/>
          <w:lang w:eastAsia="en-US"/>
        </w:rPr>
        <w:t xml:space="preserve"> of the following options:</w:t>
      </w:r>
    </w:p>
    <w:p w14:paraId="3FEB7B5B" w14:textId="2347798B" w:rsidR="003D0926" w:rsidRPr="003D0926" w:rsidRDefault="00C23924" w:rsidP="00C227BA">
      <w:pPr>
        <w:pStyle w:val="BulletPoints"/>
        <w:numPr>
          <w:ilvl w:val="0"/>
          <w:numId w:val="33"/>
        </w:numPr>
        <w:contextualSpacing w:val="0"/>
        <w:rPr>
          <w:rFonts w:asciiTheme="minorHAnsi" w:eastAsiaTheme="minorHAnsi" w:hAnsiTheme="minorHAnsi"/>
          <w:sz w:val="24"/>
          <w:szCs w:val="24"/>
          <w:lang w:eastAsia="en-US"/>
        </w:rPr>
      </w:pPr>
      <w:proofErr w:type="gramStart"/>
      <w:r w:rsidRPr="003D0926">
        <w:rPr>
          <w:rFonts w:asciiTheme="minorHAnsi" w:eastAsiaTheme="minorEastAsia" w:hAnsiTheme="minorHAnsi" w:cstheme="minorBidi"/>
          <w:sz w:val="24"/>
          <w:szCs w:val="24"/>
          <w:lang w:eastAsia="en-US"/>
        </w:rPr>
        <w:t>universities</w:t>
      </w:r>
      <w:proofErr w:type="gramEnd"/>
      <w:r w:rsidRPr="003D0926">
        <w:rPr>
          <w:rFonts w:asciiTheme="minorHAnsi" w:eastAsiaTheme="minorEastAsia" w:hAnsiTheme="minorHAnsi" w:cstheme="minorBidi"/>
          <w:sz w:val="24"/>
          <w:szCs w:val="24"/>
          <w:lang w:eastAsia="en-US"/>
        </w:rPr>
        <w:t xml:space="preserve"> (faculties) in priority areas of geographical and sector focus – a number of universities across the country have strong historical links to Australia Awards. Targeting more established, financially stable universities may provide more immediate benefits. However, </w:t>
      </w:r>
      <w:r w:rsidR="003D0926">
        <w:rPr>
          <w:rFonts w:asciiTheme="minorHAnsi" w:eastAsiaTheme="minorEastAsia" w:hAnsiTheme="minorHAnsi" w:cstheme="minorBidi"/>
          <w:sz w:val="24"/>
          <w:szCs w:val="24"/>
          <w:lang w:eastAsia="en-US"/>
        </w:rPr>
        <w:t xml:space="preserve">as the </w:t>
      </w:r>
      <w:r w:rsidR="001129B6">
        <w:rPr>
          <w:rFonts w:asciiTheme="minorHAnsi" w:eastAsiaTheme="minorEastAsia" w:hAnsiTheme="minorHAnsi" w:cstheme="minorBidi"/>
          <w:sz w:val="24"/>
          <w:szCs w:val="24"/>
          <w:lang w:eastAsia="en-US"/>
        </w:rPr>
        <w:t>Program</w:t>
      </w:r>
      <w:r w:rsidR="003D0926">
        <w:rPr>
          <w:rFonts w:asciiTheme="minorHAnsi" w:eastAsiaTheme="minorEastAsia" w:hAnsiTheme="minorHAnsi" w:cstheme="minorBidi"/>
          <w:sz w:val="24"/>
          <w:szCs w:val="24"/>
          <w:lang w:eastAsia="en-US"/>
        </w:rPr>
        <w:t xml:space="preserve"> is </w:t>
      </w:r>
      <w:r w:rsidR="00222B40">
        <w:rPr>
          <w:rFonts w:asciiTheme="minorHAnsi" w:eastAsiaTheme="minorEastAsia" w:hAnsiTheme="minorHAnsi" w:cstheme="minorBidi"/>
          <w:sz w:val="24"/>
          <w:szCs w:val="24"/>
          <w:lang w:eastAsia="en-US"/>
        </w:rPr>
        <w:t xml:space="preserve">Official Development Assistance </w:t>
      </w:r>
      <w:r w:rsidR="003D0926">
        <w:rPr>
          <w:rFonts w:asciiTheme="minorHAnsi" w:eastAsiaTheme="minorEastAsia" w:hAnsiTheme="minorHAnsi" w:cstheme="minorBidi"/>
          <w:sz w:val="24"/>
          <w:szCs w:val="24"/>
          <w:lang w:eastAsia="en-US"/>
        </w:rPr>
        <w:t>(ODA), it will</w:t>
      </w:r>
      <w:r w:rsidRPr="003D0926">
        <w:rPr>
          <w:rFonts w:asciiTheme="minorHAnsi" w:eastAsiaTheme="minorEastAsia" w:hAnsiTheme="minorHAnsi" w:cstheme="minorBidi"/>
          <w:sz w:val="24"/>
          <w:szCs w:val="24"/>
          <w:lang w:eastAsia="en-US"/>
        </w:rPr>
        <w:t xml:space="preserve"> target universities that also include a focus on </w:t>
      </w:r>
      <w:r w:rsidRPr="003D0926">
        <w:rPr>
          <w:rFonts w:asciiTheme="minorHAnsi" w:eastAsiaTheme="minorEastAsia" w:hAnsiTheme="minorHAnsi" w:cstheme="minorBidi"/>
          <w:i/>
          <w:sz w:val="24"/>
          <w:szCs w:val="24"/>
          <w:lang w:eastAsia="en-US"/>
        </w:rPr>
        <w:t>disadvantage</w:t>
      </w:r>
      <w:r w:rsidRPr="003D0926">
        <w:rPr>
          <w:rFonts w:asciiTheme="minorHAnsi" w:eastAsiaTheme="minorEastAsia" w:hAnsiTheme="minorHAnsi" w:cstheme="minorBidi"/>
          <w:sz w:val="24"/>
          <w:szCs w:val="24"/>
          <w:lang w:eastAsia="en-US"/>
        </w:rPr>
        <w:t xml:space="preserve"> – with a substantial number of students from rural and ethnic minorities. In this way there may be scope to link and support the AIP pillar expected to focus on agriculture</w:t>
      </w:r>
      <w:r w:rsidR="006312E6" w:rsidRPr="003D0926">
        <w:rPr>
          <w:rFonts w:asciiTheme="minorHAnsi" w:eastAsiaTheme="minorEastAsia" w:hAnsiTheme="minorHAnsi" w:cstheme="minorBidi"/>
          <w:sz w:val="24"/>
          <w:szCs w:val="24"/>
          <w:lang w:eastAsia="en-US"/>
        </w:rPr>
        <w:t>,</w:t>
      </w:r>
      <w:r w:rsidRPr="003D0926">
        <w:rPr>
          <w:rFonts w:asciiTheme="minorHAnsi" w:eastAsiaTheme="minorEastAsia" w:hAnsiTheme="minorHAnsi" w:cstheme="minorBidi"/>
          <w:sz w:val="24"/>
          <w:szCs w:val="24"/>
          <w:lang w:eastAsia="en-US"/>
        </w:rPr>
        <w:t xml:space="preserve"> community and social inclusion. </w:t>
      </w:r>
    </w:p>
    <w:p w14:paraId="3F5BB05A" w14:textId="2530BD7B" w:rsidR="00C23924" w:rsidRPr="003D0926" w:rsidRDefault="00222B40" w:rsidP="00C227BA">
      <w:pPr>
        <w:pStyle w:val="BulletPoints"/>
        <w:numPr>
          <w:ilvl w:val="0"/>
          <w:numId w:val="33"/>
        </w:numPr>
        <w:contextualSpacing w:val="0"/>
        <w:rPr>
          <w:rFonts w:asciiTheme="minorHAnsi" w:eastAsiaTheme="minorHAnsi" w:hAnsiTheme="minorHAnsi"/>
          <w:sz w:val="24"/>
          <w:szCs w:val="24"/>
          <w:lang w:eastAsia="en-US"/>
        </w:rPr>
      </w:pPr>
      <w:r>
        <w:rPr>
          <w:rFonts w:asciiTheme="minorHAnsi" w:eastAsiaTheme="minorEastAsia" w:hAnsiTheme="minorHAnsi" w:cstheme="minorBidi"/>
          <w:sz w:val="24"/>
          <w:szCs w:val="24"/>
          <w:lang w:eastAsia="en-US"/>
        </w:rPr>
        <w:t>T</w:t>
      </w:r>
      <w:r w:rsidRPr="003D0926">
        <w:rPr>
          <w:rFonts w:asciiTheme="minorHAnsi" w:eastAsiaTheme="minorEastAsia" w:hAnsiTheme="minorHAnsi" w:cstheme="minorBidi"/>
          <w:sz w:val="24"/>
          <w:szCs w:val="24"/>
          <w:lang w:eastAsia="en-US"/>
        </w:rPr>
        <w:t xml:space="preserve">echnical </w:t>
      </w:r>
      <w:r>
        <w:rPr>
          <w:rFonts w:asciiTheme="minorHAnsi" w:eastAsiaTheme="minorEastAsia" w:hAnsiTheme="minorHAnsi" w:cstheme="minorBidi"/>
          <w:sz w:val="24"/>
          <w:szCs w:val="24"/>
          <w:lang w:eastAsia="en-US"/>
        </w:rPr>
        <w:t>V</w:t>
      </w:r>
      <w:r w:rsidRPr="003D0926">
        <w:rPr>
          <w:rFonts w:asciiTheme="minorHAnsi" w:eastAsiaTheme="minorEastAsia" w:hAnsiTheme="minorHAnsi" w:cstheme="minorBidi"/>
          <w:sz w:val="24"/>
          <w:szCs w:val="24"/>
          <w:lang w:eastAsia="en-US"/>
        </w:rPr>
        <w:t xml:space="preserve">ocational </w:t>
      </w:r>
      <w:r>
        <w:rPr>
          <w:rFonts w:asciiTheme="minorHAnsi" w:eastAsiaTheme="minorEastAsia" w:hAnsiTheme="minorHAnsi" w:cstheme="minorBidi"/>
          <w:sz w:val="24"/>
          <w:szCs w:val="24"/>
          <w:lang w:eastAsia="en-US"/>
        </w:rPr>
        <w:t>E</w:t>
      </w:r>
      <w:r w:rsidRPr="003D0926">
        <w:rPr>
          <w:rFonts w:asciiTheme="minorHAnsi" w:eastAsiaTheme="minorEastAsia" w:hAnsiTheme="minorHAnsi" w:cstheme="minorBidi"/>
          <w:sz w:val="24"/>
          <w:szCs w:val="24"/>
          <w:lang w:eastAsia="en-US"/>
        </w:rPr>
        <w:t xml:space="preserve">ducation </w:t>
      </w:r>
      <w:r w:rsidR="00C23924" w:rsidRPr="003D0926">
        <w:rPr>
          <w:rFonts w:asciiTheme="minorHAnsi" w:eastAsiaTheme="minorEastAsia" w:hAnsiTheme="minorHAnsi" w:cstheme="minorBidi"/>
          <w:sz w:val="24"/>
          <w:szCs w:val="24"/>
          <w:lang w:eastAsia="en-US"/>
        </w:rPr>
        <w:t xml:space="preserve">and </w:t>
      </w:r>
      <w:r>
        <w:rPr>
          <w:rFonts w:asciiTheme="minorHAnsi" w:eastAsiaTheme="minorEastAsia" w:hAnsiTheme="minorHAnsi" w:cstheme="minorBidi"/>
          <w:sz w:val="24"/>
          <w:szCs w:val="24"/>
          <w:lang w:eastAsia="en-US"/>
        </w:rPr>
        <w:t>T</w:t>
      </w:r>
      <w:r w:rsidRPr="003D0926">
        <w:rPr>
          <w:rFonts w:asciiTheme="minorHAnsi" w:eastAsiaTheme="minorEastAsia" w:hAnsiTheme="minorHAnsi" w:cstheme="minorBidi"/>
          <w:sz w:val="24"/>
          <w:szCs w:val="24"/>
          <w:lang w:eastAsia="en-US"/>
        </w:rPr>
        <w:t xml:space="preserve">raining </w:t>
      </w:r>
      <w:r w:rsidR="00C23924" w:rsidRPr="003D0926">
        <w:rPr>
          <w:rFonts w:asciiTheme="minorHAnsi" w:eastAsiaTheme="minorEastAsia" w:hAnsiTheme="minorHAnsi" w:cstheme="minorBidi"/>
          <w:sz w:val="24"/>
          <w:szCs w:val="24"/>
          <w:lang w:eastAsia="en-US"/>
        </w:rPr>
        <w:t xml:space="preserve">(TVET) - </w:t>
      </w:r>
      <w:r w:rsidR="00D65AD4" w:rsidRPr="003D0926">
        <w:rPr>
          <w:rFonts w:asciiTheme="minorHAnsi" w:eastAsiaTheme="minorEastAsia" w:hAnsiTheme="minorHAnsi" w:cstheme="minorBidi"/>
          <w:sz w:val="24"/>
          <w:szCs w:val="24"/>
          <w:lang w:eastAsia="en-US"/>
        </w:rPr>
        <w:t>d</w:t>
      </w:r>
      <w:r w:rsidR="00F9256E" w:rsidRPr="003D0926">
        <w:rPr>
          <w:rFonts w:asciiTheme="minorHAnsi" w:eastAsiaTheme="minorEastAsia" w:hAnsiTheme="minorHAnsi" w:cstheme="minorBidi"/>
          <w:sz w:val="24"/>
          <w:szCs w:val="24"/>
          <w:lang w:eastAsia="en-US"/>
        </w:rPr>
        <w:t xml:space="preserve">espite efforts by the Government of Vietnam, the TVET system remains complex, with multiple stakeholders, inefficiencies and duplication of effort and resources. </w:t>
      </w:r>
      <w:r w:rsidR="00C23924" w:rsidRPr="003D0926">
        <w:rPr>
          <w:rFonts w:asciiTheme="minorHAnsi" w:eastAsiaTheme="minorEastAsia" w:hAnsiTheme="minorHAnsi" w:cstheme="minorBidi"/>
          <w:sz w:val="24"/>
          <w:szCs w:val="24"/>
          <w:lang w:eastAsia="en-US"/>
        </w:rPr>
        <w:t>HRD support for TVET could involve a range of delivery modalities, including scholarships (Cert IV Diploma in Workplace Training and Assessment), technical advice in areas of Australian expertise</w:t>
      </w:r>
      <w:r w:rsidR="00F9256E" w:rsidRPr="003D0926">
        <w:rPr>
          <w:rFonts w:asciiTheme="minorHAnsi" w:eastAsiaTheme="minorEastAsia" w:hAnsiTheme="minorHAnsi" w:cstheme="minorBidi"/>
          <w:sz w:val="24"/>
          <w:szCs w:val="24"/>
          <w:lang w:eastAsia="en-US"/>
        </w:rPr>
        <w:t>, including</w:t>
      </w:r>
      <w:r w:rsidR="00C23924" w:rsidRPr="003D0926">
        <w:rPr>
          <w:rFonts w:asciiTheme="minorHAnsi" w:eastAsiaTheme="minorEastAsia" w:hAnsiTheme="minorHAnsi" w:cstheme="minorBidi"/>
          <w:sz w:val="24"/>
          <w:szCs w:val="24"/>
          <w:lang w:eastAsia="en-US"/>
        </w:rPr>
        <w:t xml:space="preserve"> </w:t>
      </w:r>
      <w:r w:rsidR="00F9256E" w:rsidRPr="003D0926">
        <w:rPr>
          <w:rFonts w:asciiTheme="minorHAnsi" w:eastAsiaTheme="minorEastAsia" w:hAnsiTheme="minorHAnsi" w:cstheme="minorBidi"/>
          <w:sz w:val="24"/>
          <w:szCs w:val="24"/>
          <w:lang w:eastAsia="en-US"/>
        </w:rPr>
        <w:t xml:space="preserve">support for </w:t>
      </w:r>
      <w:r w:rsidR="003D0926">
        <w:rPr>
          <w:rFonts w:asciiTheme="minorHAnsi" w:eastAsiaTheme="minorEastAsia" w:hAnsiTheme="minorHAnsi" w:cstheme="minorBidi"/>
          <w:sz w:val="24"/>
          <w:szCs w:val="24"/>
          <w:lang w:eastAsia="en-US"/>
        </w:rPr>
        <w:t xml:space="preserve">the </w:t>
      </w:r>
      <w:r w:rsidR="00F9256E" w:rsidRPr="003D0926">
        <w:rPr>
          <w:rFonts w:asciiTheme="minorHAnsi" w:eastAsiaTheme="minorEastAsia" w:hAnsiTheme="minorHAnsi" w:cstheme="minorBidi"/>
          <w:sz w:val="24"/>
          <w:szCs w:val="24"/>
          <w:lang w:eastAsia="en-US"/>
        </w:rPr>
        <w:t xml:space="preserve">establishment of Sector Skills Councils </w:t>
      </w:r>
      <w:r w:rsidR="00C23924" w:rsidRPr="003D0926">
        <w:rPr>
          <w:rFonts w:asciiTheme="minorHAnsi" w:eastAsiaTheme="minorEastAsia" w:hAnsiTheme="minorHAnsi" w:cstheme="minorBidi"/>
          <w:sz w:val="24"/>
          <w:szCs w:val="24"/>
          <w:lang w:eastAsia="en-US"/>
        </w:rPr>
        <w:t xml:space="preserve">or short-term training, particularly for managers and administrators. </w:t>
      </w:r>
      <w:r w:rsidR="00F9256E" w:rsidRPr="003D0926">
        <w:rPr>
          <w:rFonts w:asciiTheme="minorHAnsi" w:eastAsiaTheme="minorEastAsia" w:hAnsiTheme="minorHAnsi" w:cstheme="minorBidi"/>
          <w:sz w:val="24"/>
          <w:szCs w:val="24"/>
          <w:lang w:eastAsia="en-US"/>
        </w:rPr>
        <w:t>This could be linked to ‘centres of excellence’ colleges</w:t>
      </w:r>
      <w:r w:rsidR="00DB044F" w:rsidRPr="003D0926">
        <w:rPr>
          <w:rFonts w:asciiTheme="minorHAnsi" w:eastAsiaTheme="minorEastAsia" w:hAnsiTheme="minorHAnsi" w:cstheme="minorBidi"/>
          <w:sz w:val="24"/>
          <w:szCs w:val="24"/>
          <w:lang w:eastAsia="en-US"/>
        </w:rPr>
        <w:t>,</w:t>
      </w:r>
      <w:r w:rsidR="00F9256E" w:rsidRPr="003D0926">
        <w:rPr>
          <w:rFonts w:asciiTheme="minorHAnsi" w:eastAsiaTheme="minorEastAsia" w:hAnsiTheme="minorHAnsi" w:cstheme="minorBidi"/>
          <w:sz w:val="24"/>
          <w:szCs w:val="24"/>
          <w:lang w:eastAsia="en-US"/>
        </w:rPr>
        <w:t xml:space="preserve"> many of which already </w:t>
      </w:r>
      <w:r w:rsidR="00DB044F" w:rsidRPr="003D0926">
        <w:rPr>
          <w:rFonts w:asciiTheme="minorHAnsi" w:eastAsiaTheme="minorEastAsia" w:hAnsiTheme="minorHAnsi" w:cstheme="minorBidi"/>
          <w:sz w:val="24"/>
          <w:szCs w:val="24"/>
          <w:lang w:eastAsia="en-US"/>
        </w:rPr>
        <w:t xml:space="preserve">have </w:t>
      </w:r>
      <w:r w:rsidR="00F9256E" w:rsidRPr="003D0926">
        <w:rPr>
          <w:rFonts w:asciiTheme="minorHAnsi" w:eastAsiaTheme="minorEastAsia" w:hAnsiTheme="minorHAnsi" w:cstheme="minorBidi"/>
          <w:sz w:val="24"/>
          <w:szCs w:val="24"/>
          <w:lang w:eastAsia="en-US"/>
        </w:rPr>
        <w:t>established links with a number of Australian TAFE institutes.</w:t>
      </w:r>
    </w:p>
    <w:p w14:paraId="1D9D1959" w14:textId="0DE7D585" w:rsidR="00C23924" w:rsidRPr="00EA76FF" w:rsidRDefault="00C23924" w:rsidP="00C227BA">
      <w:pPr>
        <w:spacing w:before="120" w:after="120"/>
      </w:pPr>
      <w:r w:rsidRPr="007053F6">
        <w:t xml:space="preserve">Available funding </w:t>
      </w:r>
      <w:r w:rsidR="00771808" w:rsidRPr="007053F6">
        <w:t xml:space="preserve">and decisions regarding the desired balance between short and longer term activities </w:t>
      </w:r>
      <w:r w:rsidRPr="007053F6">
        <w:t>will determine the extent and timing of new activities that can be implemented.</w:t>
      </w:r>
      <w:r w:rsidRPr="00D65AD4">
        <w:t xml:space="preserve">  </w:t>
      </w:r>
    </w:p>
    <w:p w14:paraId="2EE22986" w14:textId="2BD91BA6" w:rsidR="00C23924" w:rsidRPr="00D9325F" w:rsidRDefault="00C23924" w:rsidP="00C227BA">
      <w:pPr>
        <w:autoSpaceDE w:val="0"/>
        <w:autoSpaceDN w:val="0"/>
        <w:adjustRightInd w:val="0"/>
        <w:spacing w:before="120" w:after="120"/>
      </w:pPr>
      <w:r w:rsidRPr="00314297">
        <w:t>The Contractor will be r</w:t>
      </w:r>
      <w:r w:rsidRPr="00B42B3E">
        <w:t>esponsib</w:t>
      </w:r>
      <w:r w:rsidRPr="008C2305">
        <w:t>le for</w:t>
      </w:r>
      <w:r w:rsidRPr="001A0CDA">
        <w:t xml:space="preserve"> the design and sub-contracting of HRD activities</w:t>
      </w:r>
      <w:r w:rsidRPr="004E1408">
        <w:t>, drawing upon the sector knowledge, policy and analytical supp</w:t>
      </w:r>
      <w:r w:rsidRPr="007A6D7C">
        <w:t>ort of DFAT, Hanoi. The Contractor wil</w:t>
      </w:r>
      <w:r w:rsidR="00A73DC9">
        <w:t>l manage implementation of the P</w:t>
      </w:r>
      <w:r w:rsidRPr="007A6D7C">
        <w:t xml:space="preserve">rogram via a Facility model. This will involve relatively fixed expenditure for management of </w:t>
      </w:r>
      <w:r w:rsidRPr="00D65AD4">
        <w:t xml:space="preserve">the </w:t>
      </w:r>
      <w:r w:rsidR="00AE5BF6" w:rsidRPr="00D65AD4">
        <w:t>Australia Awards S</w:t>
      </w:r>
      <w:r w:rsidRPr="00D65AD4">
        <w:t>cholarships component</w:t>
      </w:r>
      <w:r w:rsidRPr="007A6D7C">
        <w:t xml:space="preserve"> (promotion and selection, English language training, pre-departur</w:t>
      </w:r>
      <w:r w:rsidR="007F127D">
        <w:t>e, departure, on-</w:t>
      </w:r>
      <w:r w:rsidRPr="00D9325F">
        <w:t>award management, reintegration and alumni activities) alongside flexible expenditure in support of identified sub programs</w:t>
      </w:r>
      <w:r w:rsidR="00AE5BF6">
        <w:t>, short term training</w:t>
      </w:r>
      <w:r w:rsidRPr="00D9325F">
        <w:t xml:space="preserve"> and emerging needs. </w:t>
      </w:r>
    </w:p>
    <w:p w14:paraId="36E3B6C4" w14:textId="77627CB4" w:rsidR="00C23924" w:rsidRPr="00602A77" w:rsidRDefault="00AE5BF6" w:rsidP="00C227BA">
      <w:pPr>
        <w:spacing w:before="120" w:after="120"/>
      </w:pPr>
      <w:r>
        <w:t>T</w:t>
      </w:r>
      <w:r w:rsidR="00C23924" w:rsidRPr="00B379A4">
        <w:t>he Contractor would submit a proposal to DFAT Hanoi for approval outlining design</w:t>
      </w:r>
      <w:r w:rsidR="00C23924" w:rsidRPr="00602A77">
        <w:t xml:space="preserve"> activities and objectives, implementation schedule, estimated cost and the approach to sub-contracting. A simple tasking note from DFAT Hanoi would authorise the Contractor to proceed.</w:t>
      </w:r>
    </w:p>
    <w:p w14:paraId="58E75AA3" w14:textId="74BC7C36" w:rsidR="00C23924" w:rsidRPr="00F4554A" w:rsidRDefault="00C23924" w:rsidP="00C227BA">
      <w:pPr>
        <w:autoSpaceDE w:val="0"/>
        <w:autoSpaceDN w:val="0"/>
        <w:adjustRightInd w:val="0"/>
        <w:spacing w:before="120" w:after="120"/>
      </w:pPr>
      <w:r w:rsidRPr="00FA40AE">
        <w:t xml:space="preserve">Provision is made for an expanded role for the Contractor in managing </w:t>
      </w:r>
      <w:r w:rsidRPr="00F4554A">
        <w:t xml:space="preserve">the new phase of the HRD program. In particular, the Contractor will require capacity to manage and sub contract a range of new delivery modalities; the Contractor will require knowledge and access to a network of expertise within Australia relevant to the AIP pillars; </w:t>
      </w:r>
      <w:r w:rsidRPr="0017541C">
        <w:t>and will assume responsibility for a range of volunteer</w:t>
      </w:r>
      <w:r w:rsidR="00632783">
        <w:t xml:space="preserve">, </w:t>
      </w:r>
      <w:r w:rsidRPr="0017541C">
        <w:t xml:space="preserve">New Colombo Plan </w:t>
      </w:r>
      <w:r w:rsidR="00632783">
        <w:t xml:space="preserve">(and potentially) aid small grants </w:t>
      </w:r>
      <w:r w:rsidRPr="0017541C">
        <w:t>in-country activities.</w:t>
      </w:r>
      <w:r w:rsidRPr="00F4554A">
        <w:t xml:space="preserve"> </w:t>
      </w:r>
    </w:p>
    <w:p w14:paraId="3E8D0C76" w14:textId="77777777" w:rsidR="00C23924" w:rsidRPr="00274EF2" w:rsidRDefault="00C23924" w:rsidP="00C227BA">
      <w:pPr>
        <w:autoSpaceDE w:val="0"/>
        <w:autoSpaceDN w:val="0"/>
        <w:adjustRightInd w:val="0"/>
        <w:spacing w:before="120" w:after="120"/>
      </w:pPr>
      <w:r w:rsidRPr="00B31B3E">
        <w:t xml:space="preserve">A partnership will be formalised with MOET through establishment of a Program Coordinating Committee (PCC) to provide joint oversight of the </w:t>
      </w:r>
      <w:r w:rsidRPr="00274EF2">
        <w:t xml:space="preserve">program. The PCC will be a forum for discussion of program performance and effectiveness, and for adjustment of strategic and operational priorities for the program. </w:t>
      </w:r>
    </w:p>
    <w:p w14:paraId="4423DE43" w14:textId="6683E2B6" w:rsidR="00C23924" w:rsidRPr="00B5326E" w:rsidRDefault="00C23924" w:rsidP="00C227BA">
      <w:pPr>
        <w:autoSpaceDE w:val="0"/>
        <w:autoSpaceDN w:val="0"/>
        <w:adjustRightInd w:val="0"/>
        <w:spacing w:before="120" w:after="120"/>
      </w:pPr>
      <w:r w:rsidRPr="00F233A7">
        <w:t>Partnerships will also be established with selected target institutions in key sector sub</w:t>
      </w:r>
      <w:r w:rsidRPr="004744D3">
        <w:t xml:space="preserve"> programs. </w:t>
      </w:r>
      <w:r w:rsidR="006E7E25" w:rsidRPr="00AF245E">
        <w:t xml:space="preserve">The PCC will decide </w:t>
      </w:r>
      <w:r w:rsidR="006E7E25" w:rsidRPr="00FE136A">
        <w:t xml:space="preserve">whether </w:t>
      </w:r>
      <w:r w:rsidR="006E7E25" w:rsidRPr="005C0E3B">
        <w:t>to</w:t>
      </w:r>
      <w:r w:rsidRPr="00FA5F0F">
        <w:t xml:space="preserve"> invit</w:t>
      </w:r>
      <w:r w:rsidR="006E7E25" w:rsidRPr="00B5326E">
        <w:t>e</w:t>
      </w:r>
      <w:r w:rsidRPr="00B5326E">
        <w:t xml:space="preserve"> these partners as observer members of the PCC, bringing additional perspectives and opportunity for further building relationships.  </w:t>
      </w:r>
    </w:p>
    <w:p w14:paraId="2F12908D" w14:textId="7D8CB91B" w:rsidR="00C23924" w:rsidRPr="00B5326E" w:rsidRDefault="00C23924" w:rsidP="00C227BA">
      <w:pPr>
        <w:spacing w:before="120" w:after="120"/>
      </w:pPr>
      <w:r w:rsidRPr="00B5326E">
        <w:t xml:space="preserve">Risks need to be monitored regularly, balanced against the likely benefits, and risk levels and/or strategies adjusted accordingly. Overall, the risk assessment of the </w:t>
      </w:r>
      <w:r w:rsidR="00632783">
        <w:t>P</w:t>
      </w:r>
      <w:r w:rsidRPr="00B5326E">
        <w:t xml:space="preserve">rogram is low. </w:t>
      </w:r>
    </w:p>
    <w:p w14:paraId="76402D63" w14:textId="78EBBC7B" w:rsidR="00C23924" w:rsidRPr="00B5326E" w:rsidRDefault="00C23924" w:rsidP="00C227BA">
      <w:pPr>
        <w:spacing w:before="120" w:after="120"/>
      </w:pPr>
      <w:r w:rsidRPr="00B5326E">
        <w:t>The fundamental risk is that alumni are unable to utili</w:t>
      </w:r>
      <w:r w:rsidR="00F65D7B" w:rsidRPr="00B5326E">
        <w:t>s</w:t>
      </w:r>
      <w:r w:rsidRPr="00B5326E">
        <w:t xml:space="preserve">e their skills and knowledge after return. The design places increased emphasis on selecting the ‘right’ awardees from the ‘right’ organisations and providing additional support to improve workplace productivity. </w:t>
      </w:r>
    </w:p>
    <w:p w14:paraId="171A29B3" w14:textId="6B328A35" w:rsidR="00C23924" w:rsidRPr="003B74ED" w:rsidRDefault="00C23924" w:rsidP="00C227BA">
      <w:pPr>
        <w:spacing w:before="120" w:after="120"/>
      </w:pPr>
      <w:r w:rsidRPr="00B5326E">
        <w:t>The enhancements in the design offer a range of modalities and sub programs to address ‘utili</w:t>
      </w:r>
      <w:r w:rsidR="00F65D7B" w:rsidRPr="003B74ED">
        <w:t>s</w:t>
      </w:r>
      <w:r w:rsidRPr="003B74ED">
        <w:t xml:space="preserve">ation’ risks through a more strategic and focused approach. </w:t>
      </w:r>
    </w:p>
    <w:p w14:paraId="61BE7FE2" w14:textId="6AE9EAB4" w:rsidR="00C23924" w:rsidRPr="003B74ED" w:rsidRDefault="00C23924" w:rsidP="00C227BA">
      <w:pPr>
        <w:spacing w:before="120" w:after="120"/>
      </w:pPr>
      <w:r w:rsidRPr="003B74ED">
        <w:t>However, with innovation comes increased uncertainty. As lessons are learnt iteratively w</w:t>
      </w:r>
      <w:r w:rsidR="00632783">
        <w:t>ith new modalities, the future P</w:t>
      </w:r>
      <w:r w:rsidRPr="003B74ED">
        <w:t xml:space="preserve">rogram must ensure a timely and appropriate response to any emerging risks. </w:t>
      </w:r>
    </w:p>
    <w:p w14:paraId="1A1432D5" w14:textId="77777777" w:rsidR="00513D4C" w:rsidRPr="003B74ED" w:rsidRDefault="00513D4C" w:rsidP="00C227BA">
      <w:pPr>
        <w:spacing w:before="120" w:after="120"/>
        <w:rPr>
          <w:color w:val="262626"/>
        </w:rPr>
      </w:pPr>
    </w:p>
    <w:p w14:paraId="13EEC363" w14:textId="77777777" w:rsidR="00513D4C" w:rsidRPr="003B74ED" w:rsidRDefault="00513D4C" w:rsidP="00C227BA">
      <w:pPr>
        <w:spacing w:before="120" w:after="120"/>
      </w:pPr>
    </w:p>
    <w:p w14:paraId="1B03B1CC" w14:textId="3FEFED20" w:rsidR="005E62D7" w:rsidRPr="003B74ED" w:rsidRDefault="005E62D7" w:rsidP="00C227BA">
      <w:pPr>
        <w:spacing w:before="120" w:after="120"/>
        <w:rPr>
          <w:rFonts w:eastAsia="Times New Roman" w:cs="Arial"/>
          <w:b/>
          <w:bCs/>
        </w:rPr>
      </w:pPr>
      <w:r w:rsidRPr="003B74ED">
        <w:br w:type="page"/>
      </w:r>
    </w:p>
    <w:p w14:paraId="3E9DABB8" w14:textId="2452E40E" w:rsidR="0009268C" w:rsidRPr="003B74ED" w:rsidRDefault="0009268C" w:rsidP="00C227BA">
      <w:pPr>
        <w:pStyle w:val="Caption"/>
        <w:jc w:val="center"/>
        <w:outlineLvl w:val="0"/>
        <w:rPr>
          <w:rFonts w:asciiTheme="minorHAnsi" w:hAnsiTheme="minorHAnsi"/>
          <w:sz w:val="24"/>
        </w:rPr>
      </w:pPr>
      <w:r w:rsidRPr="003B74ED">
        <w:rPr>
          <w:rFonts w:asciiTheme="minorHAnsi" w:hAnsiTheme="minorHAnsi"/>
          <w:sz w:val="24"/>
        </w:rPr>
        <w:t>Glossary</w:t>
      </w:r>
    </w:p>
    <w:p w14:paraId="41D192E0" w14:textId="77777777" w:rsidR="0009268C" w:rsidRPr="003B74ED" w:rsidRDefault="0009268C" w:rsidP="00C227BA"/>
    <w:tbl>
      <w:tblPr>
        <w:tblStyle w:val="TableGrid"/>
        <w:tblW w:w="0" w:type="auto"/>
        <w:tblLook w:val="04A0" w:firstRow="1" w:lastRow="0" w:firstColumn="1" w:lastColumn="0" w:noHBand="0" w:noVBand="1"/>
      </w:tblPr>
      <w:tblGrid>
        <w:gridCol w:w="2346"/>
        <w:gridCol w:w="6170"/>
      </w:tblGrid>
      <w:tr w:rsidR="0009268C" w:rsidRPr="003B74ED" w14:paraId="6640C17B" w14:textId="77777777" w:rsidTr="00DD3998">
        <w:tc>
          <w:tcPr>
            <w:tcW w:w="2346" w:type="dxa"/>
          </w:tcPr>
          <w:p w14:paraId="1FFC7DD5" w14:textId="77777777" w:rsidR="0009268C" w:rsidRPr="003B74ED" w:rsidRDefault="0009268C" w:rsidP="00C227BA">
            <w:pPr>
              <w:rPr>
                <w:bCs/>
                <w:sz w:val="24"/>
                <w:szCs w:val="24"/>
              </w:rPr>
            </w:pPr>
            <w:r w:rsidRPr="003B74ED">
              <w:rPr>
                <w:bCs/>
                <w:sz w:val="24"/>
                <w:szCs w:val="24"/>
              </w:rPr>
              <w:t>AAAN</w:t>
            </w:r>
          </w:p>
        </w:tc>
        <w:tc>
          <w:tcPr>
            <w:tcW w:w="6170" w:type="dxa"/>
          </w:tcPr>
          <w:p w14:paraId="347421C8" w14:textId="77777777" w:rsidR="0009268C" w:rsidRPr="003B74ED" w:rsidRDefault="0009268C" w:rsidP="00C227BA">
            <w:pPr>
              <w:rPr>
                <w:sz w:val="24"/>
                <w:szCs w:val="24"/>
              </w:rPr>
            </w:pPr>
            <w:r w:rsidRPr="003B74ED">
              <w:rPr>
                <w:rFonts w:eastAsia="Calibri"/>
                <w:sz w:val="24"/>
                <w:szCs w:val="24"/>
              </w:rPr>
              <w:t>Australia Awards Alumni Network</w:t>
            </w:r>
          </w:p>
        </w:tc>
      </w:tr>
      <w:tr w:rsidR="0009268C" w:rsidRPr="003B74ED" w14:paraId="087AEB2B" w14:textId="77777777" w:rsidTr="00DD3998">
        <w:tc>
          <w:tcPr>
            <w:tcW w:w="2346" w:type="dxa"/>
          </w:tcPr>
          <w:p w14:paraId="5D4B84FE" w14:textId="77777777" w:rsidR="0009268C" w:rsidRPr="003B74ED" w:rsidRDefault="0009268C" w:rsidP="00C227BA">
            <w:pPr>
              <w:rPr>
                <w:sz w:val="24"/>
                <w:szCs w:val="24"/>
              </w:rPr>
            </w:pPr>
            <w:r w:rsidRPr="003B74ED">
              <w:rPr>
                <w:sz w:val="24"/>
                <w:szCs w:val="24"/>
              </w:rPr>
              <w:t>AAF</w:t>
            </w:r>
          </w:p>
        </w:tc>
        <w:tc>
          <w:tcPr>
            <w:tcW w:w="6170" w:type="dxa"/>
          </w:tcPr>
          <w:p w14:paraId="3539E109" w14:textId="77777777" w:rsidR="0009268C" w:rsidRPr="003B74ED" w:rsidRDefault="0009268C" w:rsidP="00C227BA">
            <w:pPr>
              <w:rPr>
                <w:sz w:val="24"/>
                <w:szCs w:val="24"/>
              </w:rPr>
            </w:pPr>
            <w:r w:rsidRPr="003B74ED">
              <w:rPr>
                <w:sz w:val="24"/>
                <w:szCs w:val="24"/>
              </w:rPr>
              <w:t>Australia Awards Fellowships</w:t>
            </w:r>
          </w:p>
        </w:tc>
      </w:tr>
      <w:tr w:rsidR="0009268C" w:rsidRPr="003B74ED" w14:paraId="69911ED6" w14:textId="77777777" w:rsidTr="00DD3998">
        <w:tc>
          <w:tcPr>
            <w:tcW w:w="2346" w:type="dxa"/>
          </w:tcPr>
          <w:p w14:paraId="6E9C7C60" w14:textId="77777777" w:rsidR="0009268C" w:rsidRPr="003B74ED" w:rsidRDefault="0009268C" w:rsidP="00C227BA">
            <w:pPr>
              <w:rPr>
                <w:sz w:val="24"/>
                <w:szCs w:val="24"/>
              </w:rPr>
            </w:pPr>
            <w:r w:rsidRPr="003B74ED">
              <w:rPr>
                <w:sz w:val="24"/>
                <w:szCs w:val="24"/>
              </w:rPr>
              <w:t>AAS</w:t>
            </w:r>
          </w:p>
        </w:tc>
        <w:tc>
          <w:tcPr>
            <w:tcW w:w="6170" w:type="dxa"/>
          </w:tcPr>
          <w:p w14:paraId="045C7214" w14:textId="77777777" w:rsidR="0009268C" w:rsidRPr="003B74ED" w:rsidRDefault="0009268C" w:rsidP="00C227BA">
            <w:pPr>
              <w:rPr>
                <w:sz w:val="24"/>
                <w:szCs w:val="24"/>
              </w:rPr>
            </w:pPr>
            <w:r w:rsidRPr="003B74ED">
              <w:rPr>
                <w:sz w:val="24"/>
                <w:szCs w:val="24"/>
              </w:rPr>
              <w:t>Australia Awards Scholarships</w:t>
            </w:r>
          </w:p>
        </w:tc>
      </w:tr>
      <w:tr w:rsidR="0009268C" w:rsidRPr="003B74ED" w14:paraId="396A0110" w14:textId="77777777" w:rsidTr="00DD3998">
        <w:tc>
          <w:tcPr>
            <w:tcW w:w="2346" w:type="dxa"/>
          </w:tcPr>
          <w:p w14:paraId="7F58F312" w14:textId="77777777" w:rsidR="0009268C" w:rsidRPr="003B74ED" w:rsidRDefault="0009268C" w:rsidP="00C227BA">
            <w:pPr>
              <w:rPr>
                <w:sz w:val="24"/>
                <w:szCs w:val="24"/>
              </w:rPr>
            </w:pPr>
            <w:r w:rsidRPr="003B74ED">
              <w:rPr>
                <w:bCs/>
                <w:sz w:val="24"/>
                <w:szCs w:val="24"/>
              </w:rPr>
              <w:t>ACIAR</w:t>
            </w:r>
          </w:p>
        </w:tc>
        <w:tc>
          <w:tcPr>
            <w:tcW w:w="6170" w:type="dxa"/>
          </w:tcPr>
          <w:p w14:paraId="1271F8FF" w14:textId="77777777" w:rsidR="0009268C" w:rsidRPr="003B74ED" w:rsidRDefault="0009268C" w:rsidP="00C227BA">
            <w:pPr>
              <w:rPr>
                <w:sz w:val="24"/>
                <w:szCs w:val="24"/>
              </w:rPr>
            </w:pPr>
            <w:r w:rsidRPr="003B74ED">
              <w:rPr>
                <w:sz w:val="24"/>
                <w:szCs w:val="24"/>
              </w:rPr>
              <w:t>Australian Centre for International Agricultural Research</w:t>
            </w:r>
          </w:p>
        </w:tc>
      </w:tr>
      <w:tr w:rsidR="0009268C" w:rsidRPr="003B74ED" w14:paraId="32A08B54" w14:textId="77777777" w:rsidTr="00DD3998">
        <w:tc>
          <w:tcPr>
            <w:tcW w:w="2346" w:type="dxa"/>
          </w:tcPr>
          <w:p w14:paraId="32B7A605" w14:textId="77777777" w:rsidR="0009268C" w:rsidRPr="003B74ED" w:rsidRDefault="0009268C" w:rsidP="00C227BA">
            <w:pPr>
              <w:rPr>
                <w:sz w:val="24"/>
                <w:szCs w:val="24"/>
              </w:rPr>
            </w:pPr>
            <w:r w:rsidRPr="003B74ED">
              <w:rPr>
                <w:sz w:val="24"/>
                <w:szCs w:val="24"/>
              </w:rPr>
              <w:t>ADB</w:t>
            </w:r>
          </w:p>
        </w:tc>
        <w:tc>
          <w:tcPr>
            <w:tcW w:w="6170" w:type="dxa"/>
          </w:tcPr>
          <w:p w14:paraId="4A68D42C" w14:textId="77777777" w:rsidR="0009268C" w:rsidRPr="003B74ED" w:rsidRDefault="0009268C" w:rsidP="00C227BA">
            <w:pPr>
              <w:rPr>
                <w:sz w:val="24"/>
                <w:szCs w:val="24"/>
              </w:rPr>
            </w:pPr>
            <w:r w:rsidRPr="003B74ED">
              <w:rPr>
                <w:sz w:val="24"/>
                <w:szCs w:val="24"/>
              </w:rPr>
              <w:t>Asian Development Bank</w:t>
            </w:r>
          </w:p>
        </w:tc>
      </w:tr>
      <w:tr w:rsidR="0009268C" w:rsidRPr="003B74ED" w14:paraId="62D34AEA" w14:textId="77777777" w:rsidTr="00DD3998">
        <w:tc>
          <w:tcPr>
            <w:tcW w:w="2346" w:type="dxa"/>
          </w:tcPr>
          <w:p w14:paraId="540DEC35" w14:textId="77777777" w:rsidR="0009268C" w:rsidRPr="003B74ED" w:rsidRDefault="0009268C" w:rsidP="00C227BA">
            <w:pPr>
              <w:rPr>
                <w:sz w:val="24"/>
                <w:szCs w:val="24"/>
              </w:rPr>
            </w:pPr>
            <w:r w:rsidRPr="003B74ED">
              <w:rPr>
                <w:sz w:val="24"/>
                <w:szCs w:val="24"/>
              </w:rPr>
              <w:t>AIP</w:t>
            </w:r>
          </w:p>
        </w:tc>
        <w:tc>
          <w:tcPr>
            <w:tcW w:w="6170" w:type="dxa"/>
          </w:tcPr>
          <w:p w14:paraId="352B8D2A" w14:textId="77777777" w:rsidR="0009268C" w:rsidRPr="003B74ED" w:rsidRDefault="0009268C" w:rsidP="00C227BA">
            <w:pPr>
              <w:rPr>
                <w:sz w:val="24"/>
                <w:szCs w:val="24"/>
              </w:rPr>
            </w:pPr>
            <w:r w:rsidRPr="003B74ED">
              <w:rPr>
                <w:sz w:val="24"/>
                <w:szCs w:val="24"/>
              </w:rPr>
              <w:t>Aid Investment Plan</w:t>
            </w:r>
          </w:p>
        </w:tc>
      </w:tr>
      <w:tr w:rsidR="0060472A" w:rsidRPr="003B74ED" w14:paraId="7878DBCF" w14:textId="77777777" w:rsidTr="00DD3998">
        <w:tc>
          <w:tcPr>
            <w:tcW w:w="2346" w:type="dxa"/>
          </w:tcPr>
          <w:p w14:paraId="2BDBFED5" w14:textId="4F959CA5" w:rsidR="0060472A" w:rsidRPr="003B74ED" w:rsidRDefault="0060472A" w:rsidP="00C227BA">
            <w:pPr>
              <w:rPr>
                <w:bCs/>
                <w:sz w:val="24"/>
                <w:szCs w:val="24"/>
              </w:rPr>
            </w:pPr>
            <w:r w:rsidRPr="003B74ED">
              <w:rPr>
                <w:bCs/>
                <w:sz w:val="24"/>
                <w:szCs w:val="24"/>
              </w:rPr>
              <w:t>AVID</w:t>
            </w:r>
          </w:p>
        </w:tc>
        <w:tc>
          <w:tcPr>
            <w:tcW w:w="6170" w:type="dxa"/>
          </w:tcPr>
          <w:p w14:paraId="31CBF4BE" w14:textId="39A736F1" w:rsidR="0060472A" w:rsidRPr="003B74ED" w:rsidRDefault="0060472A" w:rsidP="00C227BA">
            <w:pPr>
              <w:rPr>
                <w:sz w:val="24"/>
                <w:szCs w:val="24"/>
              </w:rPr>
            </w:pPr>
            <w:r w:rsidRPr="003B74ED">
              <w:rPr>
                <w:sz w:val="24"/>
                <w:szCs w:val="24"/>
              </w:rPr>
              <w:t>Australian Volunteers for International Development</w:t>
            </w:r>
          </w:p>
        </w:tc>
      </w:tr>
      <w:tr w:rsidR="0009268C" w:rsidRPr="003B74ED" w14:paraId="01C2AE43" w14:textId="77777777" w:rsidTr="00DD3998">
        <w:tc>
          <w:tcPr>
            <w:tcW w:w="2346" w:type="dxa"/>
          </w:tcPr>
          <w:p w14:paraId="1571ECB9" w14:textId="77777777" w:rsidR="0009268C" w:rsidRPr="003B74ED" w:rsidRDefault="0009268C" w:rsidP="00C227BA">
            <w:pPr>
              <w:rPr>
                <w:sz w:val="24"/>
                <w:szCs w:val="24"/>
              </w:rPr>
            </w:pPr>
            <w:r w:rsidRPr="003B74ED">
              <w:rPr>
                <w:bCs/>
                <w:sz w:val="24"/>
                <w:szCs w:val="24"/>
              </w:rPr>
              <w:t>CGA</w:t>
            </w:r>
          </w:p>
        </w:tc>
        <w:tc>
          <w:tcPr>
            <w:tcW w:w="6170" w:type="dxa"/>
          </w:tcPr>
          <w:p w14:paraId="4E933E1D" w14:textId="77777777" w:rsidR="0009268C" w:rsidRPr="003B74ED" w:rsidRDefault="0009268C" w:rsidP="00C227BA">
            <w:pPr>
              <w:rPr>
                <w:sz w:val="24"/>
                <w:szCs w:val="24"/>
              </w:rPr>
            </w:pPr>
            <w:r w:rsidRPr="003B74ED">
              <w:rPr>
                <w:sz w:val="24"/>
                <w:szCs w:val="24"/>
              </w:rPr>
              <w:t>Central Government Agency</w:t>
            </w:r>
          </w:p>
        </w:tc>
      </w:tr>
      <w:tr w:rsidR="0009268C" w:rsidRPr="003B74ED" w14:paraId="38E7A11B" w14:textId="77777777" w:rsidTr="00DD3998">
        <w:tc>
          <w:tcPr>
            <w:tcW w:w="2346" w:type="dxa"/>
          </w:tcPr>
          <w:p w14:paraId="24A3FE02" w14:textId="77777777" w:rsidR="0009268C" w:rsidRPr="003B74ED" w:rsidRDefault="0009268C" w:rsidP="00C227BA">
            <w:pPr>
              <w:rPr>
                <w:sz w:val="24"/>
                <w:szCs w:val="24"/>
              </w:rPr>
            </w:pPr>
            <w:r w:rsidRPr="003B74ED">
              <w:rPr>
                <w:sz w:val="24"/>
                <w:szCs w:val="24"/>
              </w:rPr>
              <w:t>CSO</w:t>
            </w:r>
          </w:p>
        </w:tc>
        <w:tc>
          <w:tcPr>
            <w:tcW w:w="6170" w:type="dxa"/>
          </w:tcPr>
          <w:p w14:paraId="42545903" w14:textId="77777777" w:rsidR="0009268C" w:rsidRPr="003B74ED" w:rsidRDefault="0009268C" w:rsidP="00C227BA">
            <w:pPr>
              <w:rPr>
                <w:sz w:val="24"/>
                <w:szCs w:val="24"/>
              </w:rPr>
            </w:pPr>
            <w:r w:rsidRPr="003B74ED">
              <w:rPr>
                <w:sz w:val="24"/>
                <w:szCs w:val="24"/>
              </w:rPr>
              <w:t>Civil society organisation</w:t>
            </w:r>
          </w:p>
        </w:tc>
      </w:tr>
      <w:tr w:rsidR="0009268C" w:rsidRPr="003B74ED" w14:paraId="6417E304" w14:textId="77777777" w:rsidTr="00DD3998">
        <w:tc>
          <w:tcPr>
            <w:tcW w:w="2346" w:type="dxa"/>
          </w:tcPr>
          <w:p w14:paraId="291C5A8F" w14:textId="77777777" w:rsidR="0009268C" w:rsidRPr="003B74ED" w:rsidRDefault="0009268C" w:rsidP="00C227BA">
            <w:pPr>
              <w:rPr>
                <w:sz w:val="24"/>
                <w:szCs w:val="24"/>
              </w:rPr>
            </w:pPr>
            <w:r w:rsidRPr="003B74ED">
              <w:rPr>
                <w:sz w:val="24"/>
                <w:szCs w:val="24"/>
              </w:rPr>
              <w:t>DFAT</w:t>
            </w:r>
          </w:p>
        </w:tc>
        <w:tc>
          <w:tcPr>
            <w:tcW w:w="6170" w:type="dxa"/>
          </w:tcPr>
          <w:p w14:paraId="3FCAD9F2" w14:textId="77777777" w:rsidR="0009268C" w:rsidRPr="003B74ED" w:rsidRDefault="0009268C" w:rsidP="00C227BA">
            <w:pPr>
              <w:rPr>
                <w:sz w:val="24"/>
                <w:szCs w:val="24"/>
              </w:rPr>
            </w:pPr>
            <w:r w:rsidRPr="003B74ED">
              <w:rPr>
                <w:sz w:val="24"/>
                <w:szCs w:val="24"/>
              </w:rPr>
              <w:t>Department of Foreign Affairs and Trade</w:t>
            </w:r>
          </w:p>
        </w:tc>
      </w:tr>
      <w:tr w:rsidR="00F56093" w:rsidRPr="003B74ED" w14:paraId="06927DD3" w14:textId="77777777" w:rsidTr="00DD3998">
        <w:tc>
          <w:tcPr>
            <w:tcW w:w="2346" w:type="dxa"/>
          </w:tcPr>
          <w:p w14:paraId="0B878527" w14:textId="3CF1C0AC" w:rsidR="00F56093" w:rsidRPr="003B74ED" w:rsidRDefault="00F56093" w:rsidP="00C227BA">
            <w:r>
              <w:t>EOPO</w:t>
            </w:r>
          </w:p>
        </w:tc>
        <w:tc>
          <w:tcPr>
            <w:tcW w:w="6170" w:type="dxa"/>
          </w:tcPr>
          <w:p w14:paraId="690BD90C" w14:textId="21796918" w:rsidR="00F56093" w:rsidRPr="007F127D" w:rsidRDefault="00F56093" w:rsidP="00C227BA">
            <w:pPr>
              <w:rPr>
                <w:rStyle w:val="st"/>
                <w:sz w:val="24"/>
                <w:szCs w:val="24"/>
              </w:rPr>
            </w:pPr>
            <w:r w:rsidRPr="007F127D">
              <w:rPr>
                <w:rStyle w:val="st"/>
                <w:sz w:val="24"/>
                <w:szCs w:val="24"/>
              </w:rPr>
              <w:t>End of Program Outcome(s)</w:t>
            </w:r>
          </w:p>
        </w:tc>
      </w:tr>
      <w:tr w:rsidR="0009268C" w:rsidRPr="003B74ED" w14:paraId="6CC4F6C9" w14:textId="77777777" w:rsidTr="00DD3998">
        <w:tc>
          <w:tcPr>
            <w:tcW w:w="2346" w:type="dxa"/>
          </w:tcPr>
          <w:p w14:paraId="036D02F3" w14:textId="77777777" w:rsidR="0009268C" w:rsidRPr="003B74ED" w:rsidRDefault="0009268C" w:rsidP="00C227BA">
            <w:pPr>
              <w:rPr>
                <w:sz w:val="24"/>
                <w:szCs w:val="24"/>
              </w:rPr>
            </w:pPr>
            <w:r w:rsidRPr="003B74ED">
              <w:rPr>
                <w:sz w:val="24"/>
                <w:szCs w:val="24"/>
              </w:rPr>
              <w:t>GDVT</w:t>
            </w:r>
          </w:p>
        </w:tc>
        <w:tc>
          <w:tcPr>
            <w:tcW w:w="6170" w:type="dxa"/>
          </w:tcPr>
          <w:p w14:paraId="0816C660" w14:textId="77777777" w:rsidR="0009268C" w:rsidRPr="003B74ED" w:rsidRDefault="0009268C" w:rsidP="00C227BA">
            <w:pPr>
              <w:rPr>
                <w:sz w:val="24"/>
                <w:szCs w:val="24"/>
              </w:rPr>
            </w:pPr>
            <w:r w:rsidRPr="003B74ED">
              <w:rPr>
                <w:rStyle w:val="st"/>
                <w:sz w:val="24"/>
                <w:szCs w:val="24"/>
              </w:rPr>
              <w:t>General Department of Vocational Training</w:t>
            </w:r>
          </w:p>
        </w:tc>
      </w:tr>
      <w:tr w:rsidR="0009268C" w:rsidRPr="003B74ED" w14:paraId="5AA8CC87" w14:textId="77777777" w:rsidTr="00DD3998">
        <w:tc>
          <w:tcPr>
            <w:tcW w:w="2346" w:type="dxa"/>
          </w:tcPr>
          <w:p w14:paraId="5B3C79C6" w14:textId="77777777" w:rsidR="0009268C" w:rsidRPr="003B74ED" w:rsidRDefault="0009268C" w:rsidP="00C227BA">
            <w:pPr>
              <w:rPr>
                <w:sz w:val="24"/>
                <w:szCs w:val="24"/>
              </w:rPr>
            </w:pPr>
            <w:r w:rsidRPr="003B74ED">
              <w:rPr>
                <w:sz w:val="24"/>
                <w:szCs w:val="24"/>
              </w:rPr>
              <w:t>GoA</w:t>
            </w:r>
          </w:p>
        </w:tc>
        <w:tc>
          <w:tcPr>
            <w:tcW w:w="6170" w:type="dxa"/>
          </w:tcPr>
          <w:p w14:paraId="3A188B67" w14:textId="77777777" w:rsidR="0009268C" w:rsidRPr="003B74ED" w:rsidRDefault="0009268C" w:rsidP="00C227BA">
            <w:pPr>
              <w:rPr>
                <w:sz w:val="24"/>
                <w:szCs w:val="24"/>
              </w:rPr>
            </w:pPr>
            <w:r w:rsidRPr="003B74ED">
              <w:rPr>
                <w:sz w:val="24"/>
                <w:szCs w:val="24"/>
              </w:rPr>
              <w:t>Government of Australia</w:t>
            </w:r>
          </w:p>
        </w:tc>
      </w:tr>
      <w:tr w:rsidR="0009268C" w:rsidRPr="003B74ED" w14:paraId="5A509072" w14:textId="77777777" w:rsidTr="00DD3998">
        <w:tc>
          <w:tcPr>
            <w:tcW w:w="2346" w:type="dxa"/>
          </w:tcPr>
          <w:p w14:paraId="18BB3648" w14:textId="77777777" w:rsidR="0009268C" w:rsidRPr="003B74ED" w:rsidRDefault="0009268C" w:rsidP="00C227BA">
            <w:pPr>
              <w:rPr>
                <w:sz w:val="24"/>
                <w:szCs w:val="24"/>
              </w:rPr>
            </w:pPr>
            <w:r w:rsidRPr="003B74ED">
              <w:rPr>
                <w:sz w:val="24"/>
                <w:szCs w:val="24"/>
              </w:rPr>
              <w:t>GoV</w:t>
            </w:r>
          </w:p>
        </w:tc>
        <w:tc>
          <w:tcPr>
            <w:tcW w:w="6170" w:type="dxa"/>
          </w:tcPr>
          <w:p w14:paraId="611E1676" w14:textId="77777777" w:rsidR="0009268C" w:rsidRPr="003B74ED" w:rsidRDefault="0009268C" w:rsidP="00C227BA">
            <w:pPr>
              <w:rPr>
                <w:sz w:val="24"/>
                <w:szCs w:val="24"/>
              </w:rPr>
            </w:pPr>
            <w:r w:rsidRPr="003B74ED">
              <w:rPr>
                <w:sz w:val="24"/>
                <w:szCs w:val="24"/>
              </w:rPr>
              <w:t>Government of Vietnam</w:t>
            </w:r>
          </w:p>
        </w:tc>
      </w:tr>
      <w:tr w:rsidR="0009268C" w:rsidRPr="003B74ED" w14:paraId="32ECFF7F" w14:textId="77777777" w:rsidTr="00DD3998">
        <w:tc>
          <w:tcPr>
            <w:tcW w:w="2346" w:type="dxa"/>
          </w:tcPr>
          <w:p w14:paraId="5FC24E9D" w14:textId="77777777" w:rsidR="0009268C" w:rsidRPr="003B74ED" w:rsidRDefault="0009268C" w:rsidP="00C227BA">
            <w:pPr>
              <w:rPr>
                <w:sz w:val="24"/>
                <w:szCs w:val="24"/>
              </w:rPr>
            </w:pPr>
            <w:r w:rsidRPr="003B74ED">
              <w:rPr>
                <w:sz w:val="24"/>
                <w:szCs w:val="24"/>
              </w:rPr>
              <w:t>HRD</w:t>
            </w:r>
          </w:p>
        </w:tc>
        <w:tc>
          <w:tcPr>
            <w:tcW w:w="6170" w:type="dxa"/>
          </w:tcPr>
          <w:p w14:paraId="3C4EB7C6" w14:textId="77777777" w:rsidR="0009268C" w:rsidRPr="003B74ED" w:rsidRDefault="0009268C" w:rsidP="00C227BA">
            <w:pPr>
              <w:rPr>
                <w:sz w:val="24"/>
                <w:szCs w:val="24"/>
              </w:rPr>
            </w:pPr>
            <w:r w:rsidRPr="003B74ED">
              <w:rPr>
                <w:sz w:val="24"/>
                <w:szCs w:val="24"/>
              </w:rPr>
              <w:t>Human Resource Development</w:t>
            </w:r>
          </w:p>
        </w:tc>
      </w:tr>
      <w:tr w:rsidR="0009268C" w:rsidRPr="003B74ED" w14:paraId="23B5D401" w14:textId="77777777" w:rsidTr="00DD3998">
        <w:tc>
          <w:tcPr>
            <w:tcW w:w="2346" w:type="dxa"/>
          </w:tcPr>
          <w:p w14:paraId="49127970" w14:textId="77777777" w:rsidR="0009268C" w:rsidRPr="003B74ED" w:rsidRDefault="0009268C" w:rsidP="00C227BA">
            <w:pPr>
              <w:rPr>
                <w:sz w:val="24"/>
                <w:szCs w:val="24"/>
              </w:rPr>
            </w:pPr>
            <w:r w:rsidRPr="003B74ED">
              <w:rPr>
                <w:sz w:val="24"/>
                <w:szCs w:val="24"/>
              </w:rPr>
              <w:t>ICT</w:t>
            </w:r>
          </w:p>
        </w:tc>
        <w:tc>
          <w:tcPr>
            <w:tcW w:w="6170" w:type="dxa"/>
          </w:tcPr>
          <w:p w14:paraId="64C99068" w14:textId="77777777" w:rsidR="0009268C" w:rsidRPr="003B74ED" w:rsidRDefault="0009268C" w:rsidP="00C227BA">
            <w:pPr>
              <w:rPr>
                <w:sz w:val="24"/>
                <w:szCs w:val="24"/>
              </w:rPr>
            </w:pPr>
            <w:r w:rsidRPr="003B74ED">
              <w:rPr>
                <w:sz w:val="24"/>
                <w:szCs w:val="24"/>
              </w:rPr>
              <w:t>Information Communications Technologies</w:t>
            </w:r>
          </w:p>
        </w:tc>
      </w:tr>
      <w:tr w:rsidR="0009268C" w:rsidRPr="003B74ED" w14:paraId="6B9068DB" w14:textId="77777777" w:rsidTr="00DD3998">
        <w:tc>
          <w:tcPr>
            <w:tcW w:w="2346" w:type="dxa"/>
          </w:tcPr>
          <w:p w14:paraId="1192E543" w14:textId="77777777" w:rsidR="0009268C" w:rsidRPr="003B74ED" w:rsidRDefault="0009268C" w:rsidP="00C227BA">
            <w:pPr>
              <w:rPr>
                <w:sz w:val="24"/>
                <w:szCs w:val="24"/>
              </w:rPr>
            </w:pPr>
            <w:r w:rsidRPr="003B74ED">
              <w:rPr>
                <w:sz w:val="24"/>
                <w:szCs w:val="24"/>
              </w:rPr>
              <w:t>IELTS</w:t>
            </w:r>
          </w:p>
        </w:tc>
        <w:tc>
          <w:tcPr>
            <w:tcW w:w="6170" w:type="dxa"/>
          </w:tcPr>
          <w:p w14:paraId="4B71E5F9" w14:textId="77777777" w:rsidR="0009268C" w:rsidRPr="003B74ED" w:rsidRDefault="0009268C" w:rsidP="00C227BA">
            <w:pPr>
              <w:rPr>
                <w:sz w:val="24"/>
                <w:szCs w:val="24"/>
              </w:rPr>
            </w:pPr>
            <w:r w:rsidRPr="003B74ED">
              <w:rPr>
                <w:sz w:val="24"/>
                <w:szCs w:val="24"/>
              </w:rPr>
              <w:t>International English Language Testing Service</w:t>
            </w:r>
          </w:p>
        </w:tc>
      </w:tr>
      <w:tr w:rsidR="0009268C" w:rsidRPr="003B74ED" w14:paraId="5BEDF8A8" w14:textId="77777777" w:rsidTr="00DD3998">
        <w:tc>
          <w:tcPr>
            <w:tcW w:w="2346" w:type="dxa"/>
          </w:tcPr>
          <w:p w14:paraId="1E138CE0" w14:textId="77777777" w:rsidR="0009268C" w:rsidRPr="003B74ED" w:rsidRDefault="0009268C" w:rsidP="00C227BA">
            <w:pPr>
              <w:rPr>
                <w:sz w:val="24"/>
                <w:szCs w:val="24"/>
              </w:rPr>
            </w:pPr>
            <w:r w:rsidRPr="003B74ED">
              <w:rPr>
                <w:sz w:val="24"/>
                <w:szCs w:val="24"/>
              </w:rPr>
              <w:t>INGO</w:t>
            </w:r>
          </w:p>
        </w:tc>
        <w:tc>
          <w:tcPr>
            <w:tcW w:w="6170" w:type="dxa"/>
          </w:tcPr>
          <w:p w14:paraId="6F1035D4" w14:textId="317DB69D" w:rsidR="0009268C" w:rsidRPr="003B74ED" w:rsidRDefault="007F127D" w:rsidP="00C227BA">
            <w:pPr>
              <w:rPr>
                <w:sz w:val="24"/>
                <w:szCs w:val="24"/>
              </w:rPr>
            </w:pPr>
            <w:r>
              <w:rPr>
                <w:sz w:val="24"/>
                <w:szCs w:val="24"/>
              </w:rPr>
              <w:t>International n</w:t>
            </w:r>
            <w:r w:rsidR="0009268C" w:rsidRPr="003B74ED">
              <w:rPr>
                <w:sz w:val="24"/>
                <w:szCs w:val="24"/>
              </w:rPr>
              <w:t>on-government organisation</w:t>
            </w:r>
          </w:p>
        </w:tc>
      </w:tr>
      <w:tr w:rsidR="0009268C" w:rsidRPr="003B74ED" w14:paraId="5E6F39C6" w14:textId="77777777" w:rsidTr="00DD3998">
        <w:tc>
          <w:tcPr>
            <w:tcW w:w="2346" w:type="dxa"/>
          </w:tcPr>
          <w:p w14:paraId="53691B93" w14:textId="77777777" w:rsidR="0009268C" w:rsidRPr="003B74ED" w:rsidRDefault="0009268C" w:rsidP="00C227BA">
            <w:pPr>
              <w:rPr>
                <w:sz w:val="24"/>
                <w:szCs w:val="24"/>
              </w:rPr>
            </w:pPr>
            <w:r w:rsidRPr="003B74ED">
              <w:rPr>
                <w:sz w:val="24"/>
                <w:szCs w:val="24"/>
              </w:rPr>
              <w:t>JICA</w:t>
            </w:r>
          </w:p>
        </w:tc>
        <w:tc>
          <w:tcPr>
            <w:tcW w:w="6170" w:type="dxa"/>
          </w:tcPr>
          <w:p w14:paraId="0253A861" w14:textId="77777777" w:rsidR="0009268C" w:rsidRPr="003B74ED" w:rsidRDefault="0009268C" w:rsidP="00C227BA">
            <w:pPr>
              <w:rPr>
                <w:sz w:val="24"/>
                <w:szCs w:val="24"/>
              </w:rPr>
            </w:pPr>
            <w:r w:rsidRPr="003B74ED">
              <w:rPr>
                <w:sz w:val="24"/>
                <w:szCs w:val="24"/>
              </w:rPr>
              <w:t>Japan International Cooperation Agency</w:t>
            </w:r>
          </w:p>
        </w:tc>
      </w:tr>
      <w:tr w:rsidR="0009268C" w:rsidRPr="003B74ED" w14:paraId="74CA4604" w14:textId="77777777" w:rsidTr="00DD3998">
        <w:tc>
          <w:tcPr>
            <w:tcW w:w="2346" w:type="dxa"/>
          </w:tcPr>
          <w:p w14:paraId="6C084509" w14:textId="77777777" w:rsidR="0009268C" w:rsidRPr="003B74ED" w:rsidRDefault="0009268C" w:rsidP="00C227BA">
            <w:pPr>
              <w:rPr>
                <w:sz w:val="24"/>
                <w:szCs w:val="24"/>
              </w:rPr>
            </w:pPr>
            <w:r w:rsidRPr="003B74ED">
              <w:rPr>
                <w:sz w:val="24"/>
                <w:szCs w:val="24"/>
              </w:rPr>
              <w:t>KOICA</w:t>
            </w:r>
          </w:p>
        </w:tc>
        <w:tc>
          <w:tcPr>
            <w:tcW w:w="6170" w:type="dxa"/>
          </w:tcPr>
          <w:p w14:paraId="144D4E87" w14:textId="77777777" w:rsidR="0009268C" w:rsidRPr="003B74ED" w:rsidRDefault="0009268C" w:rsidP="00C227BA">
            <w:pPr>
              <w:rPr>
                <w:sz w:val="24"/>
                <w:szCs w:val="24"/>
              </w:rPr>
            </w:pPr>
            <w:r w:rsidRPr="003B74ED">
              <w:rPr>
                <w:sz w:val="24"/>
                <w:szCs w:val="24"/>
              </w:rPr>
              <w:t>Korean International Cooperation Agency</w:t>
            </w:r>
          </w:p>
        </w:tc>
      </w:tr>
      <w:tr w:rsidR="0009268C" w:rsidRPr="003B74ED" w14:paraId="1B437DFF" w14:textId="77777777" w:rsidTr="00DD3998">
        <w:tc>
          <w:tcPr>
            <w:tcW w:w="2346" w:type="dxa"/>
          </w:tcPr>
          <w:p w14:paraId="0EECF168" w14:textId="77777777" w:rsidR="0009268C" w:rsidRPr="003B74ED" w:rsidRDefault="0009268C" w:rsidP="00C227BA">
            <w:pPr>
              <w:rPr>
                <w:sz w:val="24"/>
                <w:szCs w:val="24"/>
              </w:rPr>
            </w:pPr>
            <w:r w:rsidRPr="003B74ED">
              <w:rPr>
                <w:sz w:val="24"/>
                <w:szCs w:val="24"/>
              </w:rPr>
              <w:t>MDGs</w:t>
            </w:r>
          </w:p>
        </w:tc>
        <w:tc>
          <w:tcPr>
            <w:tcW w:w="6170" w:type="dxa"/>
          </w:tcPr>
          <w:p w14:paraId="32F5D044" w14:textId="77777777" w:rsidR="0009268C" w:rsidRPr="003B74ED" w:rsidRDefault="0009268C" w:rsidP="00C227BA">
            <w:pPr>
              <w:rPr>
                <w:sz w:val="24"/>
                <w:szCs w:val="24"/>
              </w:rPr>
            </w:pPr>
            <w:r w:rsidRPr="003B74ED">
              <w:rPr>
                <w:sz w:val="24"/>
                <w:szCs w:val="24"/>
              </w:rPr>
              <w:t>Millennium Development Goals</w:t>
            </w:r>
          </w:p>
        </w:tc>
      </w:tr>
      <w:tr w:rsidR="0009268C" w:rsidRPr="003B74ED" w14:paraId="2B397B10" w14:textId="77777777" w:rsidTr="00DD3998">
        <w:tc>
          <w:tcPr>
            <w:tcW w:w="2346" w:type="dxa"/>
          </w:tcPr>
          <w:p w14:paraId="07456972" w14:textId="77777777" w:rsidR="0009268C" w:rsidRPr="003B74ED" w:rsidRDefault="0009268C" w:rsidP="00C227BA">
            <w:pPr>
              <w:rPr>
                <w:sz w:val="24"/>
                <w:szCs w:val="24"/>
              </w:rPr>
            </w:pPr>
            <w:r w:rsidRPr="003B74ED">
              <w:rPr>
                <w:sz w:val="24"/>
                <w:szCs w:val="24"/>
              </w:rPr>
              <w:t>MOET</w:t>
            </w:r>
          </w:p>
        </w:tc>
        <w:tc>
          <w:tcPr>
            <w:tcW w:w="6170" w:type="dxa"/>
          </w:tcPr>
          <w:p w14:paraId="0CEAEAAC" w14:textId="77777777" w:rsidR="0009268C" w:rsidRPr="003B74ED" w:rsidRDefault="0009268C" w:rsidP="00C227BA">
            <w:pPr>
              <w:rPr>
                <w:sz w:val="24"/>
                <w:szCs w:val="24"/>
              </w:rPr>
            </w:pPr>
            <w:r w:rsidRPr="003B74ED">
              <w:rPr>
                <w:sz w:val="24"/>
                <w:szCs w:val="24"/>
              </w:rPr>
              <w:t>Ministry of Education and Training</w:t>
            </w:r>
          </w:p>
        </w:tc>
      </w:tr>
      <w:tr w:rsidR="0009268C" w:rsidRPr="003B74ED" w14:paraId="235314F9" w14:textId="77777777" w:rsidTr="00DD3998">
        <w:tc>
          <w:tcPr>
            <w:tcW w:w="2346" w:type="dxa"/>
          </w:tcPr>
          <w:p w14:paraId="5732DF97" w14:textId="77777777" w:rsidR="0009268C" w:rsidRPr="003B74ED" w:rsidRDefault="0009268C" w:rsidP="00C227BA">
            <w:pPr>
              <w:rPr>
                <w:sz w:val="24"/>
                <w:szCs w:val="24"/>
              </w:rPr>
            </w:pPr>
            <w:r w:rsidRPr="003B74ED">
              <w:rPr>
                <w:sz w:val="24"/>
                <w:szCs w:val="24"/>
              </w:rPr>
              <w:t>MOHA</w:t>
            </w:r>
          </w:p>
        </w:tc>
        <w:tc>
          <w:tcPr>
            <w:tcW w:w="6170" w:type="dxa"/>
          </w:tcPr>
          <w:p w14:paraId="55B88855" w14:textId="77777777" w:rsidR="0009268C" w:rsidRPr="003B74ED" w:rsidRDefault="0009268C" w:rsidP="00C227BA">
            <w:pPr>
              <w:rPr>
                <w:sz w:val="24"/>
                <w:szCs w:val="24"/>
              </w:rPr>
            </w:pPr>
            <w:r w:rsidRPr="003B74ED">
              <w:rPr>
                <w:sz w:val="24"/>
                <w:szCs w:val="24"/>
              </w:rPr>
              <w:t>Ministry of Home Affairs</w:t>
            </w:r>
          </w:p>
        </w:tc>
      </w:tr>
      <w:tr w:rsidR="0009268C" w:rsidRPr="003B74ED" w14:paraId="42FD016A" w14:textId="77777777" w:rsidTr="00DD3998">
        <w:tc>
          <w:tcPr>
            <w:tcW w:w="2346" w:type="dxa"/>
          </w:tcPr>
          <w:p w14:paraId="4558641B" w14:textId="77777777" w:rsidR="0009268C" w:rsidRPr="003B74ED" w:rsidRDefault="0009268C" w:rsidP="00C227BA">
            <w:pPr>
              <w:rPr>
                <w:sz w:val="24"/>
                <w:szCs w:val="24"/>
              </w:rPr>
            </w:pPr>
            <w:r w:rsidRPr="003B74ED">
              <w:rPr>
                <w:sz w:val="24"/>
                <w:szCs w:val="24"/>
              </w:rPr>
              <w:t>MOLISA</w:t>
            </w:r>
          </w:p>
        </w:tc>
        <w:tc>
          <w:tcPr>
            <w:tcW w:w="6170" w:type="dxa"/>
          </w:tcPr>
          <w:p w14:paraId="6B053CDE" w14:textId="77777777" w:rsidR="0009268C" w:rsidRPr="003B74ED" w:rsidRDefault="0009268C" w:rsidP="00C227BA">
            <w:pPr>
              <w:rPr>
                <w:sz w:val="24"/>
                <w:szCs w:val="24"/>
              </w:rPr>
            </w:pPr>
            <w:r w:rsidRPr="003B74ED">
              <w:rPr>
                <w:sz w:val="24"/>
                <w:szCs w:val="24"/>
              </w:rPr>
              <w:t>Ministry of Labour, War Invalids, and Social Affairs</w:t>
            </w:r>
          </w:p>
        </w:tc>
      </w:tr>
      <w:tr w:rsidR="0009268C" w:rsidRPr="003B74ED" w14:paraId="3CD4BFFB" w14:textId="77777777" w:rsidTr="00DD3998">
        <w:tc>
          <w:tcPr>
            <w:tcW w:w="2346" w:type="dxa"/>
          </w:tcPr>
          <w:p w14:paraId="7F2C2794" w14:textId="77777777" w:rsidR="0009268C" w:rsidRPr="003B74ED" w:rsidRDefault="0009268C" w:rsidP="00C227BA">
            <w:pPr>
              <w:rPr>
                <w:sz w:val="24"/>
                <w:szCs w:val="24"/>
              </w:rPr>
            </w:pPr>
            <w:r w:rsidRPr="003B74ED">
              <w:rPr>
                <w:sz w:val="24"/>
                <w:szCs w:val="24"/>
              </w:rPr>
              <w:t>MPI</w:t>
            </w:r>
          </w:p>
        </w:tc>
        <w:tc>
          <w:tcPr>
            <w:tcW w:w="6170" w:type="dxa"/>
          </w:tcPr>
          <w:p w14:paraId="5BF7646E" w14:textId="77777777" w:rsidR="0009268C" w:rsidRPr="003B74ED" w:rsidRDefault="0009268C" w:rsidP="00C227BA">
            <w:pPr>
              <w:rPr>
                <w:sz w:val="24"/>
                <w:szCs w:val="24"/>
              </w:rPr>
            </w:pPr>
            <w:r w:rsidRPr="003B74ED">
              <w:rPr>
                <w:sz w:val="24"/>
                <w:szCs w:val="24"/>
              </w:rPr>
              <w:t>Ministry of Planning and Investment</w:t>
            </w:r>
          </w:p>
        </w:tc>
      </w:tr>
      <w:tr w:rsidR="00D509A4" w:rsidRPr="003B74ED" w14:paraId="0089FFF4" w14:textId="77777777" w:rsidTr="00DD3998">
        <w:tc>
          <w:tcPr>
            <w:tcW w:w="2346" w:type="dxa"/>
          </w:tcPr>
          <w:p w14:paraId="4C7FB887" w14:textId="492CDD60" w:rsidR="00D509A4" w:rsidRPr="003B74ED" w:rsidRDefault="00D509A4" w:rsidP="00C227BA">
            <w:pPr>
              <w:rPr>
                <w:sz w:val="24"/>
                <w:szCs w:val="24"/>
              </w:rPr>
            </w:pPr>
            <w:r w:rsidRPr="003B74ED">
              <w:rPr>
                <w:sz w:val="24"/>
                <w:szCs w:val="24"/>
              </w:rPr>
              <w:t>NCP</w:t>
            </w:r>
          </w:p>
        </w:tc>
        <w:tc>
          <w:tcPr>
            <w:tcW w:w="6170" w:type="dxa"/>
          </w:tcPr>
          <w:p w14:paraId="5AD6E131" w14:textId="59358C62" w:rsidR="00D509A4" w:rsidRPr="003B74ED" w:rsidRDefault="00D509A4" w:rsidP="00C227BA">
            <w:pPr>
              <w:rPr>
                <w:sz w:val="24"/>
                <w:szCs w:val="24"/>
              </w:rPr>
            </w:pPr>
            <w:r w:rsidRPr="003B74ED">
              <w:rPr>
                <w:sz w:val="24"/>
                <w:szCs w:val="24"/>
              </w:rPr>
              <w:t>New Colombo Plan</w:t>
            </w:r>
          </w:p>
        </w:tc>
      </w:tr>
      <w:tr w:rsidR="0009268C" w:rsidRPr="003B74ED" w14:paraId="0B3070A0" w14:textId="77777777" w:rsidTr="00DD3998">
        <w:tc>
          <w:tcPr>
            <w:tcW w:w="2346" w:type="dxa"/>
          </w:tcPr>
          <w:p w14:paraId="48D5C8DD" w14:textId="77777777" w:rsidR="0009268C" w:rsidRPr="003B74ED" w:rsidRDefault="0009268C" w:rsidP="00C227BA">
            <w:pPr>
              <w:rPr>
                <w:sz w:val="24"/>
                <w:szCs w:val="24"/>
              </w:rPr>
            </w:pPr>
            <w:r w:rsidRPr="003B74ED">
              <w:rPr>
                <w:sz w:val="24"/>
                <w:szCs w:val="24"/>
              </w:rPr>
              <w:t>NGO</w:t>
            </w:r>
          </w:p>
        </w:tc>
        <w:tc>
          <w:tcPr>
            <w:tcW w:w="6170" w:type="dxa"/>
          </w:tcPr>
          <w:p w14:paraId="4C87A777" w14:textId="77777777" w:rsidR="0009268C" w:rsidRPr="003B74ED" w:rsidRDefault="0009268C" w:rsidP="00C227BA">
            <w:pPr>
              <w:rPr>
                <w:sz w:val="24"/>
                <w:szCs w:val="24"/>
              </w:rPr>
            </w:pPr>
            <w:r w:rsidRPr="003B74ED">
              <w:rPr>
                <w:sz w:val="24"/>
                <w:szCs w:val="24"/>
              </w:rPr>
              <w:t>Non-government organisation</w:t>
            </w:r>
          </w:p>
        </w:tc>
      </w:tr>
      <w:tr w:rsidR="0009268C" w:rsidRPr="003B74ED" w14:paraId="4A0D5AFC" w14:textId="77777777" w:rsidTr="00DD3998">
        <w:tc>
          <w:tcPr>
            <w:tcW w:w="2346" w:type="dxa"/>
          </w:tcPr>
          <w:p w14:paraId="5C5D6F48" w14:textId="77777777" w:rsidR="0009268C" w:rsidRPr="003B74ED" w:rsidRDefault="0009268C" w:rsidP="00C227BA">
            <w:pPr>
              <w:rPr>
                <w:sz w:val="24"/>
                <w:szCs w:val="24"/>
              </w:rPr>
            </w:pPr>
            <w:r w:rsidRPr="003B74ED">
              <w:rPr>
                <w:sz w:val="24"/>
                <w:szCs w:val="24"/>
              </w:rPr>
              <w:t>PhD</w:t>
            </w:r>
          </w:p>
        </w:tc>
        <w:tc>
          <w:tcPr>
            <w:tcW w:w="6170" w:type="dxa"/>
          </w:tcPr>
          <w:p w14:paraId="0783101A" w14:textId="77777777" w:rsidR="0009268C" w:rsidRPr="003B74ED" w:rsidRDefault="0009268C" w:rsidP="00C227BA">
            <w:pPr>
              <w:rPr>
                <w:sz w:val="24"/>
                <w:szCs w:val="24"/>
              </w:rPr>
            </w:pPr>
            <w:r w:rsidRPr="003B74ED">
              <w:rPr>
                <w:sz w:val="24"/>
                <w:szCs w:val="24"/>
              </w:rPr>
              <w:t>Doctorate of Philosophy</w:t>
            </w:r>
          </w:p>
        </w:tc>
      </w:tr>
      <w:tr w:rsidR="0009268C" w:rsidRPr="003B74ED" w14:paraId="677A6291" w14:textId="77777777" w:rsidTr="00DD3998">
        <w:tc>
          <w:tcPr>
            <w:tcW w:w="2346" w:type="dxa"/>
          </w:tcPr>
          <w:p w14:paraId="7D684F75" w14:textId="77777777" w:rsidR="0009268C" w:rsidRPr="003B74ED" w:rsidRDefault="0009268C" w:rsidP="00C227BA">
            <w:pPr>
              <w:rPr>
                <w:sz w:val="24"/>
                <w:szCs w:val="24"/>
              </w:rPr>
            </w:pPr>
            <w:r w:rsidRPr="003B74ED">
              <w:rPr>
                <w:sz w:val="24"/>
                <w:szCs w:val="24"/>
              </w:rPr>
              <w:t>PWD</w:t>
            </w:r>
          </w:p>
        </w:tc>
        <w:tc>
          <w:tcPr>
            <w:tcW w:w="6170" w:type="dxa"/>
          </w:tcPr>
          <w:p w14:paraId="25BD3A82" w14:textId="77777777" w:rsidR="0009268C" w:rsidRPr="003B74ED" w:rsidRDefault="0009268C" w:rsidP="00C227BA">
            <w:pPr>
              <w:rPr>
                <w:sz w:val="24"/>
                <w:szCs w:val="24"/>
              </w:rPr>
            </w:pPr>
            <w:r w:rsidRPr="003B74ED">
              <w:rPr>
                <w:sz w:val="24"/>
                <w:szCs w:val="24"/>
              </w:rPr>
              <w:t>Persons with disabilities</w:t>
            </w:r>
          </w:p>
        </w:tc>
      </w:tr>
      <w:tr w:rsidR="0009268C" w:rsidRPr="003B74ED" w14:paraId="7536BAC3" w14:textId="77777777" w:rsidTr="00DD3998">
        <w:tc>
          <w:tcPr>
            <w:tcW w:w="2346" w:type="dxa"/>
          </w:tcPr>
          <w:p w14:paraId="5D24509B" w14:textId="77777777" w:rsidR="0009268C" w:rsidRPr="003B74ED" w:rsidRDefault="0009268C" w:rsidP="00C227BA">
            <w:pPr>
              <w:rPr>
                <w:sz w:val="24"/>
                <w:szCs w:val="24"/>
              </w:rPr>
            </w:pPr>
            <w:r w:rsidRPr="003B74ED">
              <w:rPr>
                <w:sz w:val="24"/>
                <w:szCs w:val="24"/>
              </w:rPr>
              <w:t>RMIT</w:t>
            </w:r>
          </w:p>
        </w:tc>
        <w:tc>
          <w:tcPr>
            <w:tcW w:w="6170" w:type="dxa"/>
          </w:tcPr>
          <w:p w14:paraId="553534C8" w14:textId="3ED36CBE" w:rsidR="0009268C" w:rsidRPr="003B74ED" w:rsidRDefault="0009268C" w:rsidP="00C227BA">
            <w:pPr>
              <w:rPr>
                <w:sz w:val="24"/>
                <w:szCs w:val="24"/>
              </w:rPr>
            </w:pPr>
            <w:r w:rsidRPr="003B74ED">
              <w:rPr>
                <w:sz w:val="24"/>
                <w:szCs w:val="24"/>
              </w:rPr>
              <w:t xml:space="preserve">Royal Melbourne Institute </w:t>
            </w:r>
            <w:r w:rsidR="007F127D">
              <w:rPr>
                <w:sz w:val="24"/>
                <w:szCs w:val="24"/>
              </w:rPr>
              <w:t xml:space="preserve">of </w:t>
            </w:r>
            <w:r w:rsidRPr="003B74ED">
              <w:rPr>
                <w:sz w:val="24"/>
                <w:szCs w:val="24"/>
              </w:rPr>
              <w:t>Technology</w:t>
            </w:r>
          </w:p>
        </w:tc>
      </w:tr>
      <w:tr w:rsidR="0068673A" w:rsidRPr="003B74ED" w14:paraId="5F944205" w14:textId="77777777" w:rsidTr="00DD3998">
        <w:tc>
          <w:tcPr>
            <w:tcW w:w="2346" w:type="dxa"/>
          </w:tcPr>
          <w:p w14:paraId="3AB062FA" w14:textId="2C1A1DE2" w:rsidR="0068673A" w:rsidRPr="003B74ED" w:rsidRDefault="0068673A" w:rsidP="00C227BA">
            <w:pPr>
              <w:rPr>
                <w:bCs/>
                <w:sz w:val="24"/>
                <w:szCs w:val="24"/>
              </w:rPr>
            </w:pPr>
            <w:r w:rsidRPr="003B74ED">
              <w:rPr>
                <w:bCs/>
                <w:sz w:val="24"/>
                <w:szCs w:val="24"/>
              </w:rPr>
              <w:t>RTO</w:t>
            </w:r>
          </w:p>
        </w:tc>
        <w:tc>
          <w:tcPr>
            <w:tcW w:w="6170" w:type="dxa"/>
          </w:tcPr>
          <w:p w14:paraId="1BD1ED96" w14:textId="4D62FA8F" w:rsidR="0068673A" w:rsidRPr="003B74ED" w:rsidRDefault="0068673A" w:rsidP="00C227BA">
            <w:pPr>
              <w:rPr>
                <w:sz w:val="24"/>
                <w:szCs w:val="24"/>
              </w:rPr>
            </w:pPr>
            <w:r w:rsidRPr="003B74ED">
              <w:rPr>
                <w:sz w:val="24"/>
                <w:szCs w:val="24"/>
              </w:rPr>
              <w:t>Registered Training Organisation</w:t>
            </w:r>
          </w:p>
        </w:tc>
      </w:tr>
      <w:tr w:rsidR="0009268C" w:rsidRPr="003B74ED" w14:paraId="797FBF81" w14:textId="77777777" w:rsidTr="00DD3998">
        <w:tc>
          <w:tcPr>
            <w:tcW w:w="2346" w:type="dxa"/>
          </w:tcPr>
          <w:p w14:paraId="4FA7D070" w14:textId="77777777" w:rsidR="0009268C" w:rsidRPr="003B74ED" w:rsidRDefault="0009268C" w:rsidP="00C227BA">
            <w:pPr>
              <w:rPr>
                <w:sz w:val="24"/>
                <w:szCs w:val="24"/>
              </w:rPr>
            </w:pPr>
            <w:r w:rsidRPr="003B74ED">
              <w:rPr>
                <w:bCs/>
                <w:sz w:val="24"/>
                <w:szCs w:val="24"/>
              </w:rPr>
              <w:t>SBV</w:t>
            </w:r>
          </w:p>
        </w:tc>
        <w:tc>
          <w:tcPr>
            <w:tcW w:w="6170" w:type="dxa"/>
          </w:tcPr>
          <w:p w14:paraId="73F42D6E" w14:textId="77777777" w:rsidR="0009268C" w:rsidRPr="003B74ED" w:rsidRDefault="0009268C" w:rsidP="00C227BA">
            <w:pPr>
              <w:rPr>
                <w:sz w:val="24"/>
                <w:szCs w:val="24"/>
              </w:rPr>
            </w:pPr>
            <w:r w:rsidRPr="003B74ED">
              <w:rPr>
                <w:sz w:val="24"/>
                <w:szCs w:val="24"/>
              </w:rPr>
              <w:t>State Bank of Vietnam</w:t>
            </w:r>
          </w:p>
        </w:tc>
      </w:tr>
      <w:tr w:rsidR="006D2FBE" w:rsidRPr="003B74ED" w14:paraId="3DC06EEC" w14:textId="77777777" w:rsidTr="00DD3998">
        <w:tc>
          <w:tcPr>
            <w:tcW w:w="2346" w:type="dxa"/>
          </w:tcPr>
          <w:p w14:paraId="2AD1FCA7" w14:textId="1A6C1D17" w:rsidR="006D2FBE" w:rsidRPr="002C0A83" w:rsidRDefault="006D2FBE" w:rsidP="00C227BA">
            <w:pPr>
              <w:rPr>
                <w:bCs/>
                <w:sz w:val="24"/>
                <w:szCs w:val="24"/>
              </w:rPr>
            </w:pPr>
            <w:r w:rsidRPr="002C0A83">
              <w:rPr>
                <w:bCs/>
                <w:sz w:val="24"/>
                <w:szCs w:val="24"/>
              </w:rPr>
              <w:t>SCB</w:t>
            </w:r>
          </w:p>
        </w:tc>
        <w:tc>
          <w:tcPr>
            <w:tcW w:w="6170" w:type="dxa"/>
          </w:tcPr>
          <w:p w14:paraId="54D6567A" w14:textId="4AA29388" w:rsidR="006D2FBE" w:rsidRPr="002C0A83" w:rsidRDefault="006D2FBE" w:rsidP="00C227BA">
            <w:pPr>
              <w:rPr>
                <w:bCs/>
                <w:sz w:val="24"/>
                <w:szCs w:val="24"/>
              </w:rPr>
            </w:pPr>
            <w:r w:rsidRPr="002C0A83">
              <w:rPr>
                <w:bCs/>
                <w:sz w:val="24"/>
                <w:szCs w:val="24"/>
              </w:rPr>
              <w:t>Scholarships and Alumni Branch</w:t>
            </w:r>
          </w:p>
        </w:tc>
      </w:tr>
      <w:tr w:rsidR="0009268C" w:rsidRPr="003B74ED" w14:paraId="613C5E79" w14:textId="77777777" w:rsidTr="00DD3998">
        <w:tc>
          <w:tcPr>
            <w:tcW w:w="2346" w:type="dxa"/>
          </w:tcPr>
          <w:p w14:paraId="34E2C375" w14:textId="77777777" w:rsidR="0009268C" w:rsidRPr="003B74ED" w:rsidRDefault="0009268C" w:rsidP="00C227BA">
            <w:pPr>
              <w:rPr>
                <w:sz w:val="24"/>
                <w:szCs w:val="24"/>
              </w:rPr>
            </w:pPr>
            <w:r w:rsidRPr="003B74ED">
              <w:rPr>
                <w:sz w:val="24"/>
                <w:szCs w:val="24"/>
              </w:rPr>
              <w:t>SEDP</w:t>
            </w:r>
          </w:p>
        </w:tc>
        <w:tc>
          <w:tcPr>
            <w:tcW w:w="6170" w:type="dxa"/>
          </w:tcPr>
          <w:p w14:paraId="7A712243" w14:textId="77777777" w:rsidR="0009268C" w:rsidRPr="003B74ED" w:rsidRDefault="0009268C" w:rsidP="00C227BA">
            <w:pPr>
              <w:rPr>
                <w:sz w:val="24"/>
                <w:szCs w:val="24"/>
              </w:rPr>
            </w:pPr>
            <w:r w:rsidRPr="003B74ED">
              <w:rPr>
                <w:sz w:val="24"/>
                <w:szCs w:val="24"/>
              </w:rPr>
              <w:t>Social-Economic Development Plan</w:t>
            </w:r>
          </w:p>
        </w:tc>
      </w:tr>
      <w:tr w:rsidR="0009268C" w:rsidRPr="003B74ED" w14:paraId="1EE03DAD" w14:textId="77777777" w:rsidTr="00DD3998">
        <w:tc>
          <w:tcPr>
            <w:tcW w:w="2346" w:type="dxa"/>
          </w:tcPr>
          <w:p w14:paraId="640124CB" w14:textId="77777777" w:rsidR="0009268C" w:rsidRPr="003B74ED" w:rsidRDefault="0009268C" w:rsidP="00C227BA">
            <w:pPr>
              <w:rPr>
                <w:sz w:val="24"/>
                <w:szCs w:val="24"/>
              </w:rPr>
            </w:pPr>
            <w:r w:rsidRPr="003B74ED">
              <w:rPr>
                <w:sz w:val="24"/>
                <w:szCs w:val="24"/>
              </w:rPr>
              <w:t>SEDS</w:t>
            </w:r>
          </w:p>
        </w:tc>
        <w:tc>
          <w:tcPr>
            <w:tcW w:w="6170" w:type="dxa"/>
          </w:tcPr>
          <w:p w14:paraId="1AED5B9C" w14:textId="77777777" w:rsidR="0009268C" w:rsidRPr="003B74ED" w:rsidRDefault="0009268C" w:rsidP="00C227BA">
            <w:pPr>
              <w:rPr>
                <w:sz w:val="24"/>
                <w:szCs w:val="24"/>
              </w:rPr>
            </w:pPr>
            <w:r w:rsidRPr="003B74ED">
              <w:rPr>
                <w:sz w:val="24"/>
                <w:szCs w:val="24"/>
              </w:rPr>
              <w:t>Social-Economic Development Strategy</w:t>
            </w:r>
          </w:p>
        </w:tc>
      </w:tr>
      <w:tr w:rsidR="0009268C" w:rsidRPr="003B74ED" w14:paraId="5BDC831F" w14:textId="77777777" w:rsidTr="00DD3998">
        <w:tc>
          <w:tcPr>
            <w:tcW w:w="2346" w:type="dxa"/>
          </w:tcPr>
          <w:p w14:paraId="1BAACCB3" w14:textId="77777777" w:rsidR="0009268C" w:rsidRPr="003B74ED" w:rsidRDefault="0009268C" w:rsidP="00C227BA">
            <w:pPr>
              <w:rPr>
                <w:sz w:val="24"/>
                <w:szCs w:val="24"/>
              </w:rPr>
            </w:pPr>
            <w:r w:rsidRPr="003B74ED">
              <w:rPr>
                <w:sz w:val="24"/>
                <w:szCs w:val="24"/>
              </w:rPr>
              <w:t>STT</w:t>
            </w:r>
          </w:p>
        </w:tc>
        <w:tc>
          <w:tcPr>
            <w:tcW w:w="6170" w:type="dxa"/>
          </w:tcPr>
          <w:p w14:paraId="027BA102" w14:textId="77777777" w:rsidR="0009268C" w:rsidRPr="003B74ED" w:rsidRDefault="0009268C" w:rsidP="00C227BA">
            <w:pPr>
              <w:rPr>
                <w:sz w:val="24"/>
                <w:szCs w:val="24"/>
              </w:rPr>
            </w:pPr>
            <w:r w:rsidRPr="003B74ED">
              <w:rPr>
                <w:sz w:val="24"/>
                <w:szCs w:val="24"/>
              </w:rPr>
              <w:t>Short-term training</w:t>
            </w:r>
          </w:p>
        </w:tc>
      </w:tr>
      <w:tr w:rsidR="0009268C" w:rsidRPr="003B74ED" w14:paraId="0D2785EF" w14:textId="77777777" w:rsidTr="00DD3998">
        <w:tc>
          <w:tcPr>
            <w:tcW w:w="2346" w:type="dxa"/>
          </w:tcPr>
          <w:p w14:paraId="359F1B59" w14:textId="77777777" w:rsidR="0009268C" w:rsidRPr="003B74ED" w:rsidRDefault="0009268C" w:rsidP="00C227BA">
            <w:pPr>
              <w:rPr>
                <w:sz w:val="24"/>
                <w:szCs w:val="24"/>
              </w:rPr>
            </w:pPr>
            <w:r w:rsidRPr="003B74ED">
              <w:rPr>
                <w:sz w:val="24"/>
                <w:szCs w:val="24"/>
              </w:rPr>
              <w:t>TVET</w:t>
            </w:r>
          </w:p>
        </w:tc>
        <w:tc>
          <w:tcPr>
            <w:tcW w:w="6170" w:type="dxa"/>
          </w:tcPr>
          <w:p w14:paraId="33E90312" w14:textId="77777777" w:rsidR="0009268C" w:rsidRPr="003B74ED" w:rsidRDefault="0009268C" w:rsidP="00C227BA">
            <w:pPr>
              <w:rPr>
                <w:sz w:val="24"/>
                <w:szCs w:val="24"/>
              </w:rPr>
            </w:pPr>
            <w:r w:rsidRPr="003B74ED">
              <w:rPr>
                <w:sz w:val="24"/>
                <w:szCs w:val="24"/>
              </w:rPr>
              <w:t>Technical Vocational Education and Training</w:t>
            </w:r>
          </w:p>
        </w:tc>
      </w:tr>
      <w:tr w:rsidR="0009268C" w:rsidRPr="003B74ED" w14:paraId="346314CF" w14:textId="77777777" w:rsidTr="00DD3998">
        <w:tc>
          <w:tcPr>
            <w:tcW w:w="2346" w:type="dxa"/>
          </w:tcPr>
          <w:p w14:paraId="4049E4BC" w14:textId="77777777" w:rsidR="0009268C" w:rsidRPr="003B74ED" w:rsidRDefault="0009268C" w:rsidP="00C227BA">
            <w:pPr>
              <w:rPr>
                <w:sz w:val="24"/>
                <w:szCs w:val="24"/>
              </w:rPr>
            </w:pPr>
            <w:r w:rsidRPr="003B74ED">
              <w:rPr>
                <w:sz w:val="24"/>
                <w:szCs w:val="24"/>
              </w:rPr>
              <w:t>UNDP</w:t>
            </w:r>
          </w:p>
        </w:tc>
        <w:tc>
          <w:tcPr>
            <w:tcW w:w="6170" w:type="dxa"/>
          </w:tcPr>
          <w:p w14:paraId="6DD8E200" w14:textId="77777777" w:rsidR="0009268C" w:rsidRPr="003B74ED" w:rsidRDefault="0009268C" w:rsidP="00C227BA">
            <w:pPr>
              <w:rPr>
                <w:sz w:val="24"/>
                <w:szCs w:val="24"/>
              </w:rPr>
            </w:pPr>
            <w:r w:rsidRPr="003B74ED">
              <w:rPr>
                <w:sz w:val="24"/>
                <w:szCs w:val="24"/>
              </w:rPr>
              <w:t>United Nations Development Program</w:t>
            </w:r>
          </w:p>
        </w:tc>
      </w:tr>
      <w:tr w:rsidR="0009268C" w:rsidRPr="003B74ED" w14:paraId="524139E8" w14:textId="77777777" w:rsidTr="00DD3998">
        <w:tc>
          <w:tcPr>
            <w:tcW w:w="2346" w:type="dxa"/>
          </w:tcPr>
          <w:p w14:paraId="582217F3" w14:textId="77777777" w:rsidR="0009268C" w:rsidRPr="003B74ED" w:rsidRDefault="0009268C" w:rsidP="00C227BA">
            <w:pPr>
              <w:rPr>
                <w:sz w:val="24"/>
                <w:szCs w:val="24"/>
              </w:rPr>
            </w:pPr>
            <w:r w:rsidRPr="003B74ED">
              <w:rPr>
                <w:sz w:val="24"/>
                <w:szCs w:val="24"/>
              </w:rPr>
              <w:t>VDIC</w:t>
            </w:r>
          </w:p>
        </w:tc>
        <w:tc>
          <w:tcPr>
            <w:tcW w:w="6170" w:type="dxa"/>
          </w:tcPr>
          <w:p w14:paraId="2EFD9B72" w14:textId="041D6BE4" w:rsidR="0009268C" w:rsidRPr="003B74ED" w:rsidRDefault="0009268C" w:rsidP="00C227BA">
            <w:pPr>
              <w:rPr>
                <w:sz w:val="24"/>
                <w:szCs w:val="24"/>
              </w:rPr>
            </w:pPr>
            <w:r w:rsidRPr="003B74ED">
              <w:rPr>
                <w:sz w:val="24"/>
                <w:szCs w:val="24"/>
              </w:rPr>
              <w:t>Vietnam Development Information Cent</w:t>
            </w:r>
            <w:r w:rsidR="00F00B65" w:rsidRPr="003B74ED">
              <w:rPr>
                <w:sz w:val="24"/>
                <w:szCs w:val="24"/>
              </w:rPr>
              <w:t>re</w:t>
            </w:r>
          </w:p>
        </w:tc>
      </w:tr>
      <w:tr w:rsidR="0009268C" w:rsidRPr="003B74ED" w14:paraId="065F0F1D" w14:textId="77777777" w:rsidTr="00DD3998">
        <w:tc>
          <w:tcPr>
            <w:tcW w:w="2346" w:type="dxa"/>
          </w:tcPr>
          <w:p w14:paraId="2B575CCA" w14:textId="77777777" w:rsidR="0009268C" w:rsidRPr="003B74ED" w:rsidRDefault="0009268C" w:rsidP="00C227BA">
            <w:pPr>
              <w:rPr>
                <w:sz w:val="24"/>
                <w:szCs w:val="24"/>
              </w:rPr>
            </w:pPr>
            <w:r w:rsidRPr="003B74ED">
              <w:rPr>
                <w:sz w:val="24"/>
                <w:szCs w:val="24"/>
              </w:rPr>
              <w:t>WB</w:t>
            </w:r>
          </w:p>
        </w:tc>
        <w:tc>
          <w:tcPr>
            <w:tcW w:w="6170" w:type="dxa"/>
          </w:tcPr>
          <w:p w14:paraId="518F6D40" w14:textId="77777777" w:rsidR="0009268C" w:rsidRPr="003B74ED" w:rsidRDefault="0009268C" w:rsidP="00C227BA">
            <w:pPr>
              <w:rPr>
                <w:sz w:val="24"/>
                <w:szCs w:val="24"/>
              </w:rPr>
            </w:pPr>
            <w:r w:rsidRPr="003B74ED">
              <w:rPr>
                <w:sz w:val="24"/>
                <w:szCs w:val="24"/>
              </w:rPr>
              <w:t>World Bank</w:t>
            </w:r>
          </w:p>
        </w:tc>
      </w:tr>
      <w:tr w:rsidR="0009268C" w:rsidRPr="003B74ED" w14:paraId="77D863A2" w14:textId="77777777" w:rsidTr="00DD3998">
        <w:tc>
          <w:tcPr>
            <w:tcW w:w="2346" w:type="dxa"/>
          </w:tcPr>
          <w:p w14:paraId="07D37D5E" w14:textId="093F2B0C" w:rsidR="0009268C" w:rsidRPr="003B74ED" w:rsidRDefault="00A35C40" w:rsidP="00C227BA">
            <w:pPr>
              <w:rPr>
                <w:sz w:val="24"/>
                <w:szCs w:val="24"/>
              </w:rPr>
            </w:pPr>
            <w:r>
              <w:rPr>
                <w:sz w:val="24"/>
                <w:szCs w:val="24"/>
              </w:rPr>
              <w:t>WOG</w:t>
            </w:r>
          </w:p>
        </w:tc>
        <w:tc>
          <w:tcPr>
            <w:tcW w:w="6170" w:type="dxa"/>
          </w:tcPr>
          <w:p w14:paraId="577D2A9B" w14:textId="0F80767B" w:rsidR="0009268C" w:rsidRPr="003B74ED" w:rsidRDefault="00A35C40" w:rsidP="00C227BA">
            <w:pPr>
              <w:rPr>
                <w:sz w:val="24"/>
                <w:szCs w:val="24"/>
              </w:rPr>
            </w:pPr>
            <w:r>
              <w:rPr>
                <w:sz w:val="24"/>
                <w:szCs w:val="24"/>
              </w:rPr>
              <w:t>Whole-of-government</w:t>
            </w:r>
          </w:p>
        </w:tc>
      </w:tr>
    </w:tbl>
    <w:p w14:paraId="43732A33" w14:textId="77777777" w:rsidR="0009268C" w:rsidRPr="003B74ED" w:rsidRDefault="0009268C" w:rsidP="00C227BA"/>
    <w:p w14:paraId="67FA146B" w14:textId="26806114" w:rsidR="00A72342" w:rsidRPr="003B74ED" w:rsidRDefault="00A72342" w:rsidP="00C227BA">
      <w:pPr>
        <w:rPr>
          <w:b/>
          <w:color w:val="548DD4" w:themeColor="text2" w:themeTint="99"/>
        </w:rPr>
      </w:pPr>
    </w:p>
    <w:p w14:paraId="421FC2EA" w14:textId="77777777" w:rsidR="00A72342" w:rsidRPr="003B74ED" w:rsidRDefault="00A72342" w:rsidP="00C227BA">
      <w:pPr>
        <w:spacing w:before="120" w:after="120"/>
        <w:rPr>
          <w:b/>
          <w:color w:val="548DD4" w:themeColor="text2" w:themeTint="99"/>
        </w:rPr>
        <w:sectPr w:rsidR="00A72342" w:rsidRPr="003B74ED" w:rsidSect="006133A2">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pgNumType w:start="1"/>
          <w:cols w:space="708"/>
          <w:docGrid w:linePitch="360"/>
        </w:sectPr>
      </w:pPr>
    </w:p>
    <w:p w14:paraId="4C3573C3" w14:textId="77777777" w:rsidR="00857678" w:rsidRPr="003B74ED" w:rsidRDefault="00857678" w:rsidP="00C227BA">
      <w:pPr>
        <w:spacing w:before="120" w:after="120"/>
        <w:jc w:val="center"/>
        <w:rPr>
          <w:b/>
          <w:color w:val="548DD4" w:themeColor="text2" w:themeTint="99"/>
        </w:rPr>
      </w:pPr>
      <w:r w:rsidRPr="003B74ED">
        <w:rPr>
          <w:b/>
          <w:color w:val="548DD4" w:themeColor="text2" w:themeTint="99"/>
        </w:rPr>
        <w:t xml:space="preserve">AUSTRALIA-VIETNAM </w:t>
      </w:r>
    </w:p>
    <w:p w14:paraId="2BC24916" w14:textId="11F7075E" w:rsidR="00BB5262" w:rsidRDefault="00D65AD4" w:rsidP="00C227BA">
      <w:pPr>
        <w:spacing w:before="120" w:after="120"/>
        <w:jc w:val="center"/>
        <w:rPr>
          <w:b/>
          <w:color w:val="548DD4" w:themeColor="text2" w:themeTint="99"/>
        </w:rPr>
      </w:pPr>
      <w:r>
        <w:rPr>
          <w:b/>
          <w:color w:val="548DD4" w:themeColor="text2" w:themeTint="99"/>
        </w:rPr>
        <w:t xml:space="preserve">AUSTRALIA AWARDS HRD </w:t>
      </w:r>
      <w:r w:rsidR="001129B6">
        <w:rPr>
          <w:b/>
          <w:color w:val="548DD4" w:themeColor="text2" w:themeTint="99"/>
        </w:rPr>
        <w:t>PROGRAM</w:t>
      </w:r>
      <w:r>
        <w:rPr>
          <w:b/>
          <w:color w:val="548DD4" w:themeColor="text2" w:themeTint="99"/>
        </w:rPr>
        <w:t xml:space="preserve"> </w:t>
      </w:r>
      <w:r w:rsidRPr="003B74ED">
        <w:rPr>
          <w:b/>
          <w:color w:val="548DD4" w:themeColor="text2" w:themeTint="99"/>
        </w:rPr>
        <w:t>2016-20</w:t>
      </w:r>
    </w:p>
    <w:p w14:paraId="3388951B" w14:textId="77777777" w:rsidR="00AB175B" w:rsidRPr="003B74ED" w:rsidRDefault="00AB175B" w:rsidP="00C227BA">
      <w:pPr>
        <w:spacing w:before="120" w:after="120"/>
        <w:jc w:val="center"/>
        <w:rPr>
          <w:b/>
          <w:color w:val="548DD4" w:themeColor="text2" w:themeTint="99"/>
        </w:rPr>
      </w:pPr>
    </w:p>
    <w:p w14:paraId="2016F9E4" w14:textId="77777777" w:rsidR="002E33C6" w:rsidRDefault="002E33C6" w:rsidP="00C227BA">
      <w:pPr>
        <w:pStyle w:val="Heading1"/>
        <w:keepNext/>
        <w:keepLines/>
        <w:spacing w:before="120" w:after="120"/>
        <w:contextualSpacing w:val="0"/>
        <w:rPr>
          <w:rFonts w:asciiTheme="minorHAnsi" w:hAnsiTheme="minorHAnsi"/>
          <w:color w:val="548DD4" w:themeColor="text2" w:themeTint="99"/>
          <w:sz w:val="24"/>
          <w:szCs w:val="24"/>
        </w:rPr>
      </w:pPr>
      <w:bookmarkStart w:id="1" w:name="_Toc230674914"/>
      <w:bookmarkStart w:id="2" w:name="_Toc394478491"/>
      <w:r w:rsidRPr="003B74ED">
        <w:rPr>
          <w:rFonts w:asciiTheme="minorHAnsi" w:hAnsiTheme="minorHAnsi"/>
          <w:color w:val="548DD4" w:themeColor="text2" w:themeTint="99"/>
          <w:sz w:val="24"/>
          <w:szCs w:val="24"/>
        </w:rPr>
        <w:t>ANALYSIS AND STRATEGIC CONTEXT</w:t>
      </w:r>
      <w:bookmarkEnd w:id="1"/>
      <w:bookmarkEnd w:id="2"/>
    </w:p>
    <w:p w14:paraId="19CCF9B0" w14:textId="77777777" w:rsidR="00AB175B" w:rsidRPr="00AB175B" w:rsidRDefault="00AB175B" w:rsidP="00AB175B">
      <w:pPr>
        <w:rPr>
          <w:lang w:eastAsia="en-AU"/>
        </w:rPr>
      </w:pPr>
    </w:p>
    <w:p w14:paraId="2C7D575B" w14:textId="77777777" w:rsidR="002E33C6" w:rsidRPr="003B74ED" w:rsidRDefault="002E33C6" w:rsidP="00C227BA">
      <w:pPr>
        <w:pStyle w:val="Heading2"/>
        <w:keepNext/>
        <w:keepLines/>
        <w:tabs>
          <w:tab w:val="num" w:pos="1144"/>
        </w:tabs>
        <w:spacing w:before="120"/>
        <w:ind w:left="578" w:hanging="578"/>
        <w:jc w:val="both"/>
        <w:rPr>
          <w:rFonts w:asciiTheme="minorHAnsi" w:hAnsiTheme="minorHAnsi"/>
          <w:i w:val="0"/>
          <w:color w:val="548DD4" w:themeColor="text2" w:themeTint="99"/>
        </w:rPr>
      </w:pPr>
      <w:bookmarkStart w:id="3" w:name="_Toc230674915"/>
      <w:bookmarkStart w:id="4" w:name="_Toc394478492"/>
      <w:r w:rsidRPr="003B74ED">
        <w:rPr>
          <w:rFonts w:asciiTheme="minorHAnsi" w:hAnsiTheme="minorHAnsi"/>
          <w:i w:val="0"/>
          <w:color w:val="548DD4" w:themeColor="text2" w:themeTint="99"/>
        </w:rPr>
        <w:t>Country and Sector Issues</w:t>
      </w:r>
      <w:bookmarkEnd w:id="3"/>
      <w:bookmarkEnd w:id="4"/>
    </w:p>
    <w:p w14:paraId="5F8CF907" w14:textId="77777777" w:rsidR="002E33C6" w:rsidRPr="003B74ED" w:rsidRDefault="002E33C6" w:rsidP="00C227BA">
      <w:pPr>
        <w:widowControl w:val="0"/>
        <w:autoSpaceDE w:val="0"/>
        <w:autoSpaceDN w:val="0"/>
        <w:adjustRightInd w:val="0"/>
        <w:spacing w:before="120" w:after="120"/>
        <w:rPr>
          <w:color w:val="262626"/>
        </w:rPr>
      </w:pPr>
      <w:r w:rsidRPr="003B74ED">
        <w:rPr>
          <w:color w:val="262626"/>
        </w:rPr>
        <w:t xml:space="preserve">In barely more than two decades, political and economic reforms have transformed Vietnam from one of the poorest countries in the world, with a per capita income below $US100 in the early 1980’s, to a lower middle income country with per capita income in 2014 approaching $US2000, leading the World Bank to acclaim Vietnam as a development success story. </w:t>
      </w:r>
    </w:p>
    <w:p w14:paraId="5F88B381" w14:textId="191E7136" w:rsidR="002E33C6" w:rsidRPr="003B74ED" w:rsidRDefault="002E33C6" w:rsidP="00C227BA">
      <w:pPr>
        <w:widowControl w:val="0"/>
        <w:autoSpaceDE w:val="0"/>
        <w:autoSpaceDN w:val="0"/>
        <w:adjustRightInd w:val="0"/>
        <w:spacing w:before="120" w:after="120"/>
        <w:rPr>
          <w:color w:val="262626"/>
        </w:rPr>
      </w:pPr>
      <w:r w:rsidRPr="003B74ED">
        <w:rPr>
          <w:color w:val="262626"/>
        </w:rPr>
        <w:t>While there has been remarkable progress in addressing the Millennium Development Goals and reducing poverty - the World Bank estimates the national poverty rate has fallen below 10</w:t>
      </w:r>
      <w:r w:rsidR="007F127D">
        <w:rPr>
          <w:color w:val="262626"/>
        </w:rPr>
        <w:t xml:space="preserve"> per cent</w:t>
      </w:r>
      <w:r w:rsidRPr="003B74ED">
        <w:rPr>
          <w:color w:val="262626"/>
        </w:rPr>
        <w:t xml:space="preserve"> - clearly the reduction in poverty is not equal among regions and population groups. </w:t>
      </w:r>
    </w:p>
    <w:p w14:paraId="3C07BF72" w14:textId="74F19723" w:rsidR="002E33C6" w:rsidRPr="003B74ED" w:rsidRDefault="002E33C6" w:rsidP="00C227BA">
      <w:pPr>
        <w:widowControl w:val="0"/>
        <w:autoSpaceDE w:val="0"/>
        <w:autoSpaceDN w:val="0"/>
        <w:adjustRightInd w:val="0"/>
        <w:spacing w:before="120" w:after="120"/>
        <w:rPr>
          <w:color w:val="262626"/>
        </w:rPr>
      </w:pPr>
      <w:r w:rsidRPr="003B74ED">
        <w:rPr>
          <w:color w:val="262626"/>
        </w:rPr>
        <w:t>Vietnam has a population of around 90 million, across 54 different ethnic groups, with the majority Kinh accounting for around 85</w:t>
      </w:r>
      <w:r w:rsidR="007F127D">
        <w:rPr>
          <w:color w:val="262626"/>
        </w:rPr>
        <w:t xml:space="preserve"> per cent</w:t>
      </w:r>
      <w:r w:rsidRPr="003B74ED">
        <w:rPr>
          <w:color w:val="262626"/>
        </w:rPr>
        <w:t xml:space="preserve"> of the population. Over 70</w:t>
      </w:r>
      <w:r w:rsidR="007F127D">
        <w:rPr>
          <w:color w:val="262626"/>
        </w:rPr>
        <w:t xml:space="preserve"> per cent</w:t>
      </w:r>
      <w:r w:rsidRPr="003B74ED">
        <w:rPr>
          <w:color w:val="262626"/>
        </w:rPr>
        <w:t xml:space="preserve"> of the population live</w:t>
      </w:r>
      <w:r w:rsidR="00646595" w:rsidRPr="003B74ED">
        <w:rPr>
          <w:color w:val="262626"/>
        </w:rPr>
        <w:t>s</w:t>
      </w:r>
      <w:r w:rsidRPr="003B74ED">
        <w:rPr>
          <w:color w:val="262626"/>
        </w:rPr>
        <w:t xml:space="preserve"> in the rural sector. Chronic poverty persists in disadvantaged areas, particularly in the rural Northwest region, in many ethnic minority groups and among people living with disability. In terms of inequality across the country, whether income, poverty, literacy, or most other social measures, </w:t>
      </w:r>
      <w:r w:rsidRPr="0017541C">
        <w:rPr>
          <w:color w:val="262626"/>
        </w:rPr>
        <w:t xml:space="preserve">ethnicity is </w:t>
      </w:r>
      <w:r w:rsidR="00AE63D2" w:rsidRPr="0017541C">
        <w:rPr>
          <w:color w:val="262626"/>
        </w:rPr>
        <w:t>a</w:t>
      </w:r>
      <w:r w:rsidRPr="0017541C">
        <w:rPr>
          <w:color w:val="262626"/>
        </w:rPr>
        <w:t xml:space="preserve"> common </w:t>
      </w:r>
      <w:proofErr w:type="gramStart"/>
      <w:r w:rsidRPr="0017541C">
        <w:rPr>
          <w:color w:val="262626"/>
        </w:rPr>
        <w:t>denominator</w:t>
      </w:r>
      <w:r w:rsidR="00AE63D2" w:rsidRPr="0017541C">
        <w:rPr>
          <w:color w:val="262626"/>
        </w:rPr>
        <w:t>,</w:t>
      </w:r>
      <w:proofErr w:type="gramEnd"/>
      <w:r w:rsidR="00AE63D2" w:rsidRPr="0017541C">
        <w:rPr>
          <w:color w:val="262626"/>
        </w:rPr>
        <w:t xml:space="preserve"> and disadvantage is compounded for women and girls</w:t>
      </w:r>
      <w:r w:rsidRPr="0017541C">
        <w:rPr>
          <w:color w:val="262626"/>
        </w:rPr>
        <w:t>.</w:t>
      </w:r>
      <w:r w:rsidRPr="003B74ED">
        <w:rPr>
          <w:color w:val="262626"/>
        </w:rPr>
        <w:t xml:space="preserve"> </w:t>
      </w:r>
    </w:p>
    <w:p w14:paraId="411DFE12" w14:textId="24EFFCAE" w:rsidR="002E33C6" w:rsidRPr="003B74ED" w:rsidRDefault="002E33C6" w:rsidP="00C227BA">
      <w:pPr>
        <w:widowControl w:val="0"/>
        <w:autoSpaceDE w:val="0"/>
        <w:autoSpaceDN w:val="0"/>
        <w:adjustRightInd w:val="0"/>
        <w:spacing w:before="120" w:after="120"/>
        <w:rPr>
          <w:color w:val="262626"/>
        </w:rPr>
      </w:pPr>
      <w:r w:rsidRPr="003B74ED">
        <w:rPr>
          <w:color w:val="262626"/>
        </w:rPr>
        <w:t xml:space="preserve">Vietnam has ambitious plans to become an industrialised country by 2020 and economic integration, internationally and regionally, is a central element of Vietnam’s economic development strategy. The external sector is an important engine of growth. Driven by improvements in basic literacy and numeracy over the past two decades and employment and income generation opportunities in Vietnam’s traditional labour-intensive manufacturing exports and more recently higher-value products, increasing numbers of </w:t>
      </w:r>
      <w:r w:rsidRPr="0017541C">
        <w:rPr>
          <w:color w:val="262626"/>
        </w:rPr>
        <w:t xml:space="preserve">rural </w:t>
      </w:r>
      <w:r w:rsidR="00AE63D2" w:rsidRPr="0017541C">
        <w:rPr>
          <w:color w:val="262626"/>
        </w:rPr>
        <w:t xml:space="preserve">men and women </w:t>
      </w:r>
      <w:r w:rsidRPr="0017541C">
        <w:rPr>
          <w:color w:val="262626"/>
        </w:rPr>
        <w:t>workers</w:t>
      </w:r>
      <w:r w:rsidRPr="003B74ED">
        <w:rPr>
          <w:color w:val="262626"/>
        </w:rPr>
        <w:t xml:space="preserve"> are moving from lower productivity agriculture into higher productivity non-farm jobs. </w:t>
      </w:r>
    </w:p>
    <w:p w14:paraId="0565075F" w14:textId="7C424FDA" w:rsidR="002E33C6" w:rsidRPr="003B74ED" w:rsidRDefault="002E33C6" w:rsidP="00C227BA">
      <w:pPr>
        <w:widowControl w:val="0"/>
        <w:autoSpaceDE w:val="0"/>
        <w:autoSpaceDN w:val="0"/>
        <w:adjustRightInd w:val="0"/>
        <w:spacing w:before="120" w:after="120"/>
        <w:rPr>
          <w:color w:val="262626"/>
        </w:rPr>
      </w:pPr>
      <w:r w:rsidRPr="003B74ED">
        <w:rPr>
          <w:color w:val="262626"/>
        </w:rPr>
        <w:t xml:space="preserve">Promoting human resources and skills development (particularly skills for modern industry and innovation), is one of three breakthrough areas highlighted in </w:t>
      </w:r>
      <w:r w:rsidR="001F2FF2" w:rsidRPr="003B74ED">
        <w:rPr>
          <w:color w:val="262626"/>
        </w:rPr>
        <w:t>Vietnam’s</w:t>
      </w:r>
      <w:r w:rsidRPr="003B74ED">
        <w:rPr>
          <w:color w:val="262626"/>
        </w:rPr>
        <w:t xml:space="preserve"> Socio-Economic Development Strategy (SEDS) 2011-2020. </w:t>
      </w:r>
    </w:p>
    <w:p w14:paraId="7F1E2BA3" w14:textId="2220AB51" w:rsidR="002E33C6" w:rsidRPr="003B74ED" w:rsidRDefault="002E33C6" w:rsidP="00C227BA">
      <w:pPr>
        <w:widowControl w:val="0"/>
        <w:autoSpaceDE w:val="0"/>
        <w:autoSpaceDN w:val="0"/>
        <w:adjustRightInd w:val="0"/>
        <w:spacing w:before="120" w:after="120"/>
        <w:rPr>
          <w:color w:val="262626"/>
        </w:rPr>
      </w:pPr>
      <w:r w:rsidRPr="003B74ED">
        <w:rPr>
          <w:color w:val="262626"/>
        </w:rPr>
        <w:t>With more than 50 per cent of the population under the age of 30, a skilled workforce is crucial to support Vietnam’s economic moderni</w:t>
      </w:r>
      <w:r w:rsidR="00E87ABE" w:rsidRPr="003B74ED">
        <w:rPr>
          <w:color w:val="262626"/>
        </w:rPr>
        <w:t>s</w:t>
      </w:r>
      <w:r w:rsidRPr="003B74ED">
        <w:rPr>
          <w:color w:val="262626"/>
        </w:rPr>
        <w:t>ation. Continued strong economic growth will require increased labour productivity and a workforce with the skills to match t</w:t>
      </w:r>
      <w:r w:rsidR="00B05FD3" w:rsidRPr="003B74ED">
        <w:rPr>
          <w:color w:val="262626"/>
        </w:rPr>
        <w:t xml:space="preserve">he job market. The scale of </w:t>
      </w:r>
      <w:r w:rsidRPr="003B74ED">
        <w:rPr>
          <w:color w:val="262626"/>
        </w:rPr>
        <w:t xml:space="preserve">education and training required to meet growth targets is substantial. </w:t>
      </w:r>
    </w:p>
    <w:p w14:paraId="317CFD96" w14:textId="45C85299" w:rsidR="002E33C6" w:rsidRPr="003B74ED" w:rsidRDefault="002E33C6" w:rsidP="00C227BA">
      <w:pPr>
        <w:widowControl w:val="0"/>
        <w:autoSpaceDE w:val="0"/>
        <w:autoSpaceDN w:val="0"/>
        <w:adjustRightInd w:val="0"/>
        <w:spacing w:before="120" w:after="120"/>
        <w:rPr>
          <w:color w:val="262626"/>
        </w:rPr>
      </w:pPr>
      <w:r w:rsidRPr="003B74ED">
        <w:rPr>
          <w:color w:val="262626"/>
        </w:rPr>
        <w:t xml:space="preserve">While job-specific technical skills are most highly valued, employers also identify </w:t>
      </w:r>
      <w:r w:rsidR="00B4420B" w:rsidRPr="003B74ED">
        <w:rPr>
          <w:color w:val="262626"/>
        </w:rPr>
        <w:t xml:space="preserve">a </w:t>
      </w:r>
      <w:r w:rsidRPr="003B74ED">
        <w:rPr>
          <w:color w:val="262626"/>
        </w:rPr>
        <w:t>lack of ‘soft’ skills such as problem solving, critical thinking</w:t>
      </w:r>
      <w:r w:rsidR="00BA6ED4">
        <w:rPr>
          <w:color w:val="262626"/>
        </w:rPr>
        <w:t>,</w:t>
      </w:r>
      <w:r w:rsidRPr="003B74ED">
        <w:rPr>
          <w:color w:val="262626"/>
        </w:rPr>
        <w:t xml:space="preserve"> teamwork and communication.</w:t>
      </w:r>
    </w:p>
    <w:p w14:paraId="231920C9" w14:textId="77777777" w:rsidR="002E33C6" w:rsidRPr="003B74ED" w:rsidRDefault="002E33C6" w:rsidP="00C227BA">
      <w:pPr>
        <w:widowControl w:val="0"/>
        <w:autoSpaceDE w:val="0"/>
        <w:autoSpaceDN w:val="0"/>
        <w:adjustRightInd w:val="0"/>
        <w:spacing w:before="120" w:after="120"/>
        <w:rPr>
          <w:color w:val="262626"/>
        </w:rPr>
      </w:pPr>
    </w:p>
    <w:p w14:paraId="160B88D4" w14:textId="42405790" w:rsidR="002E33C6" w:rsidRDefault="002E33C6" w:rsidP="00C227BA">
      <w:pPr>
        <w:widowControl w:val="0"/>
        <w:autoSpaceDE w:val="0"/>
        <w:autoSpaceDN w:val="0"/>
        <w:adjustRightInd w:val="0"/>
        <w:spacing w:before="120" w:after="120"/>
        <w:rPr>
          <w:rFonts w:ascii="Times New Roman" w:hAnsi="Times New Roman" w:cs="Times New Roman"/>
        </w:rPr>
      </w:pPr>
      <w:r w:rsidRPr="003B74ED">
        <w:rPr>
          <w:color w:val="262626"/>
        </w:rPr>
        <w:t xml:space="preserve">In Vietnam now, the higher education sector, including technical and vocational education, is characterised by a growing unmet demand, and there is </w:t>
      </w:r>
      <w:proofErr w:type="gramStart"/>
      <w:r w:rsidRPr="003B74ED">
        <w:rPr>
          <w:color w:val="262626"/>
        </w:rPr>
        <w:t>a</w:t>
      </w:r>
      <w:r w:rsidR="00F041CE" w:rsidRPr="003B74ED">
        <w:rPr>
          <w:color w:val="262626"/>
        </w:rPr>
        <w:t xml:space="preserve"> </w:t>
      </w:r>
      <w:r w:rsidRPr="003B74ED">
        <w:rPr>
          <w:color w:val="262626"/>
        </w:rPr>
        <w:t>disconnect</w:t>
      </w:r>
      <w:proofErr w:type="gramEnd"/>
      <w:r w:rsidRPr="003B74ED">
        <w:rPr>
          <w:color w:val="262626"/>
        </w:rPr>
        <w:t xml:space="preserve"> between the demands of the labour market and the quality of delivered courses. Access to higher education, and particularly to the higher quality in</w:t>
      </w:r>
      <w:r w:rsidR="00A3677F" w:rsidRPr="003B74ED">
        <w:rPr>
          <w:color w:val="262626"/>
        </w:rPr>
        <w:t>stitutions, is also inequitable, particularly for people with disability and those based in rural areas.</w:t>
      </w:r>
      <w:r w:rsidR="00AE63D2">
        <w:rPr>
          <w:color w:val="262626"/>
        </w:rPr>
        <w:t xml:space="preserve"> </w:t>
      </w:r>
      <w:r w:rsidR="00AE63D2" w:rsidRPr="0017541C">
        <w:rPr>
          <w:rFonts w:ascii="Times New Roman" w:hAnsi="Times New Roman" w:cs="Times New Roman"/>
        </w:rPr>
        <w:t>In 2007, 30.5 per cent of Master degrees and a mere 17.1 per cent of PhDs were awarded to women.</w:t>
      </w:r>
      <w:r w:rsidR="00AE63D2" w:rsidRPr="0017541C">
        <w:rPr>
          <w:rStyle w:val="FootnoteReference"/>
          <w:rFonts w:ascii="Times New Roman" w:hAnsi="Times New Roman" w:cs="Times New Roman"/>
        </w:rPr>
        <w:footnoteReference w:id="2"/>
      </w:r>
    </w:p>
    <w:p w14:paraId="1AA635C6" w14:textId="77777777" w:rsidR="00632783" w:rsidRPr="003B74ED" w:rsidRDefault="00632783" w:rsidP="00C227BA">
      <w:pPr>
        <w:widowControl w:val="0"/>
        <w:autoSpaceDE w:val="0"/>
        <w:autoSpaceDN w:val="0"/>
        <w:adjustRightInd w:val="0"/>
        <w:spacing w:before="120" w:after="120"/>
        <w:rPr>
          <w:color w:val="262626"/>
        </w:rPr>
      </w:pPr>
    </w:p>
    <w:p w14:paraId="538CDD45" w14:textId="746605FC" w:rsidR="002E33C6" w:rsidRPr="003B74ED" w:rsidRDefault="002E33C6" w:rsidP="00C227BA">
      <w:pPr>
        <w:pStyle w:val="Heading2"/>
        <w:keepNext/>
        <w:keepLines/>
        <w:spacing w:before="120"/>
        <w:ind w:left="578" w:hanging="578"/>
        <w:jc w:val="both"/>
        <w:rPr>
          <w:rFonts w:asciiTheme="minorHAnsi" w:hAnsiTheme="minorHAnsi"/>
          <w:i w:val="0"/>
          <w:color w:val="548DD4" w:themeColor="text2" w:themeTint="99"/>
        </w:rPr>
      </w:pPr>
      <w:bookmarkStart w:id="5" w:name="_Toc371517503"/>
      <w:bookmarkStart w:id="6" w:name="_Toc372973732"/>
      <w:r w:rsidRPr="003B74ED">
        <w:rPr>
          <w:rFonts w:asciiTheme="minorHAnsi" w:hAnsiTheme="minorHAnsi"/>
          <w:i w:val="0"/>
          <w:color w:val="548DD4" w:themeColor="text2" w:themeTint="99"/>
        </w:rPr>
        <w:t xml:space="preserve">Strategic Setting </w:t>
      </w:r>
      <w:r w:rsidR="00734490" w:rsidRPr="003B74ED">
        <w:rPr>
          <w:rFonts w:asciiTheme="minorHAnsi" w:hAnsiTheme="minorHAnsi"/>
          <w:i w:val="0"/>
          <w:color w:val="548DD4" w:themeColor="text2" w:themeTint="99"/>
        </w:rPr>
        <w:t>a</w:t>
      </w:r>
      <w:r w:rsidRPr="003B74ED">
        <w:rPr>
          <w:rFonts w:asciiTheme="minorHAnsi" w:hAnsiTheme="minorHAnsi"/>
          <w:i w:val="0"/>
          <w:color w:val="548DD4" w:themeColor="text2" w:themeTint="99"/>
        </w:rPr>
        <w:t>nd Rationale</w:t>
      </w:r>
      <w:bookmarkEnd w:id="5"/>
      <w:bookmarkEnd w:id="6"/>
      <w:r w:rsidRPr="003B74ED">
        <w:rPr>
          <w:rFonts w:asciiTheme="minorHAnsi" w:hAnsiTheme="minorHAnsi"/>
          <w:i w:val="0"/>
          <w:color w:val="548DD4" w:themeColor="text2" w:themeTint="99"/>
        </w:rPr>
        <w:t xml:space="preserve"> for Australian Engagement</w:t>
      </w:r>
    </w:p>
    <w:p w14:paraId="5E117901" w14:textId="488B8702" w:rsidR="002E33C6" w:rsidRPr="003B74ED" w:rsidRDefault="002E33C6" w:rsidP="00C227BA">
      <w:pPr>
        <w:widowControl w:val="0"/>
        <w:autoSpaceDE w:val="0"/>
        <w:autoSpaceDN w:val="0"/>
        <w:adjustRightInd w:val="0"/>
        <w:spacing w:before="120" w:after="120"/>
        <w:rPr>
          <w:color w:val="262626"/>
        </w:rPr>
      </w:pPr>
      <w:r w:rsidRPr="003B74ED">
        <w:rPr>
          <w:color w:val="262626"/>
        </w:rPr>
        <w:t>The Vietnam Manpower Development Master Plan 2011-20 indicates a need to more than double the trained/skilled workforce to 44 million by 2020, representing 70</w:t>
      </w:r>
      <w:r w:rsidR="00BA6ED4">
        <w:rPr>
          <w:color w:val="262626"/>
        </w:rPr>
        <w:t xml:space="preserve"> per cent</w:t>
      </w:r>
      <w:r w:rsidRPr="003B74ED">
        <w:rPr>
          <w:color w:val="262626"/>
        </w:rPr>
        <w:t xml:space="preserve"> of the total workforce. The Master Plan focuses primarily on setting HRD targets for increased formal university/college education and training, although in reality addressing skills development will require investment and reform at all levels from basic education to higher education</w:t>
      </w:r>
      <w:r w:rsidRPr="00B5326E">
        <w:rPr>
          <w:rStyle w:val="FootnoteReference"/>
          <w:color w:val="262626"/>
        </w:rPr>
        <w:footnoteReference w:id="3"/>
      </w:r>
      <w:r w:rsidRPr="00B5326E">
        <w:rPr>
          <w:color w:val="262626"/>
        </w:rPr>
        <w:t>.</w:t>
      </w:r>
    </w:p>
    <w:p w14:paraId="69589557" w14:textId="4DE7A4DD" w:rsidR="002E33C6" w:rsidRPr="003B74ED" w:rsidRDefault="002E33C6" w:rsidP="00C227BA">
      <w:pPr>
        <w:widowControl w:val="0"/>
        <w:autoSpaceDE w:val="0"/>
        <w:autoSpaceDN w:val="0"/>
        <w:adjustRightInd w:val="0"/>
        <w:spacing w:before="120" w:after="120"/>
        <w:rPr>
          <w:color w:val="262626"/>
        </w:rPr>
      </w:pPr>
      <w:r w:rsidRPr="003B74ED">
        <w:rPr>
          <w:color w:val="262626"/>
        </w:rPr>
        <w:t>In addressing HRD, Vietnam’s development partners have to some extent concentrated their activities on specific education and training sub-sectors. The World Bank, ADB and UNESCO are lead donors in primary and secondary education; the World Bank, ADB and bilateral donors (through schol</w:t>
      </w:r>
      <w:r w:rsidR="00BA6ED4">
        <w:rPr>
          <w:color w:val="262626"/>
        </w:rPr>
        <w:t>arships) including Australia (15</w:t>
      </w:r>
      <w:r w:rsidRPr="003B74ED">
        <w:rPr>
          <w:color w:val="262626"/>
        </w:rPr>
        <w:t xml:space="preserve">0 in 2015), Japan (30) Belgium (30), New Zealand (30) and USA (Fulbright program) are lead donors in higher education; and ADB, Germany, Japan, and Korea are lead donors in TVET. </w:t>
      </w:r>
      <w:r w:rsidR="00AE63D2">
        <w:rPr>
          <w:rStyle w:val="FootnoteReference"/>
          <w:color w:val="262626"/>
        </w:rPr>
        <w:footnoteReference w:id="4"/>
      </w:r>
      <w:r w:rsidR="00AE63D2" w:rsidRPr="003B74ED">
        <w:rPr>
          <w:color w:val="262626"/>
        </w:rPr>
        <w:t xml:space="preserve">  </w:t>
      </w:r>
      <w:r w:rsidRPr="003B74ED">
        <w:rPr>
          <w:color w:val="262626"/>
        </w:rPr>
        <w:t xml:space="preserve"> </w:t>
      </w:r>
    </w:p>
    <w:p w14:paraId="161B14AE" w14:textId="7CB46A11" w:rsidR="002E33C6" w:rsidRPr="003B74ED" w:rsidRDefault="002E33C6" w:rsidP="00C227BA">
      <w:pPr>
        <w:spacing w:before="120" w:after="120"/>
      </w:pPr>
      <w:r w:rsidRPr="003B74ED">
        <w:rPr>
          <w:rFonts w:eastAsia="Calibri"/>
        </w:rPr>
        <w:t xml:space="preserve">With multiple stakeholders, there is considerable potential for duplication of activities in the education sector. DFAT meets regularly (formally and informally) with key </w:t>
      </w:r>
      <w:r w:rsidR="00F041CE" w:rsidRPr="003B74ED">
        <w:rPr>
          <w:rFonts w:eastAsia="Calibri"/>
        </w:rPr>
        <w:t xml:space="preserve">donors and </w:t>
      </w:r>
      <w:r w:rsidRPr="003B74ED">
        <w:rPr>
          <w:rFonts w:eastAsia="Calibri"/>
        </w:rPr>
        <w:t xml:space="preserve">development partners in Vietnam to discuss coordination/harmonisation and emerging education and training issues; and MOET leads/coordinates </w:t>
      </w:r>
      <w:r w:rsidRPr="003B74ED">
        <w:t>the Education Sector Group.</w:t>
      </w:r>
    </w:p>
    <w:p w14:paraId="7F236E0B" w14:textId="39ADDEA1" w:rsidR="002E33C6" w:rsidRPr="003B74ED" w:rsidRDefault="002E33C6" w:rsidP="00C227BA">
      <w:pPr>
        <w:widowControl w:val="0"/>
        <w:autoSpaceDE w:val="0"/>
        <w:autoSpaceDN w:val="0"/>
        <w:adjustRightInd w:val="0"/>
        <w:spacing w:before="120" w:after="120"/>
        <w:rPr>
          <w:bCs/>
          <w:color w:val="262626"/>
        </w:rPr>
      </w:pPr>
      <w:r w:rsidRPr="003B74ED">
        <w:rPr>
          <w:bCs/>
          <w:color w:val="262626"/>
        </w:rPr>
        <w:t>In terms of higher education (undergraduate and postgraduate) the Government of Vietnam (Project 911</w:t>
      </w:r>
      <w:r w:rsidRPr="00B5326E">
        <w:rPr>
          <w:rStyle w:val="FootnoteReference"/>
          <w:bCs/>
          <w:color w:val="262626"/>
        </w:rPr>
        <w:footnoteReference w:id="5"/>
      </w:r>
      <w:r w:rsidRPr="00B5326E">
        <w:rPr>
          <w:bCs/>
          <w:color w:val="262626"/>
        </w:rPr>
        <w:t>) is the largest provider of scholarship</w:t>
      </w:r>
      <w:r w:rsidR="00C27681" w:rsidRPr="003B74ED">
        <w:rPr>
          <w:bCs/>
          <w:color w:val="262626"/>
        </w:rPr>
        <w:t xml:space="preserve">s </w:t>
      </w:r>
      <w:r w:rsidR="00C27681" w:rsidRPr="003B74ED">
        <w:rPr>
          <w:color w:val="262626"/>
        </w:rPr>
        <w:t>(Annex 1).</w:t>
      </w:r>
      <w:r w:rsidR="00C27681" w:rsidRPr="003B74ED">
        <w:rPr>
          <w:bCs/>
          <w:color w:val="262626"/>
        </w:rPr>
        <w:t xml:space="preserve"> </w:t>
      </w:r>
      <w:r w:rsidRPr="003B74ED">
        <w:rPr>
          <w:bCs/>
          <w:color w:val="262626"/>
        </w:rPr>
        <w:t>Since 2010 around 20,000 awards have been granted, about half for overseas study</w:t>
      </w:r>
      <w:r w:rsidRPr="00B5326E">
        <w:rPr>
          <w:rStyle w:val="FootnoteReference"/>
          <w:bCs/>
          <w:color w:val="262626"/>
        </w:rPr>
        <w:footnoteReference w:id="6"/>
      </w:r>
      <w:r w:rsidRPr="00B5326E">
        <w:rPr>
          <w:bCs/>
          <w:color w:val="262626"/>
        </w:rPr>
        <w:t xml:space="preserve">, including some 100 annually for postgraduate study in Australia. </w:t>
      </w:r>
      <w:r w:rsidRPr="003B74ED">
        <w:rPr>
          <w:color w:val="262626"/>
        </w:rPr>
        <w:t xml:space="preserve"> At any time, around 100,000 Vietnamese students are undertaking tertiary study abroad</w:t>
      </w:r>
      <w:r w:rsidR="004D6DBE" w:rsidRPr="003B74ED">
        <w:rPr>
          <w:color w:val="262626"/>
        </w:rPr>
        <w:t>.</w:t>
      </w:r>
      <w:r w:rsidR="0095627B" w:rsidRPr="003B74ED">
        <w:rPr>
          <w:color w:val="262626"/>
        </w:rPr>
        <w:t xml:space="preserve"> Almost 29,000 Vietnamese students are currently enrolled in an Australian education institution</w:t>
      </w:r>
      <w:r w:rsidR="00AF5D8A" w:rsidRPr="003B74ED">
        <w:rPr>
          <w:color w:val="262626"/>
        </w:rPr>
        <w:t>s</w:t>
      </w:r>
      <w:r w:rsidR="0095627B" w:rsidRPr="003B74ED">
        <w:rPr>
          <w:color w:val="262626"/>
        </w:rPr>
        <w:t xml:space="preserve"> (including around 12,000 participating in higher education</w:t>
      </w:r>
      <w:r w:rsidR="0095627B" w:rsidRPr="00B5326E">
        <w:rPr>
          <w:rStyle w:val="FootnoteReference"/>
          <w:color w:val="262626"/>
        </w:rPr>
        <w:footnoteReference w:id="7"/>
      </w:r>
      <w:r w:rsidR="0095627B" w:rsidRPr="00B5326E">
        <w:rPr>
          <w:color w:val="262626"/>
        </w:rPr>
        <w:t xml:space="preserve"> (excludes TAFE and ELICOS)</w:t>
      </w:r>
      <w:r w:rsidRPr="003B74ED">
        <w:rPr>
          <w:color w:val="262626"/>
        </w:rPr>
        <w:t>, mostly self-funded.</w:t>
      </w:r>
    </w:p>
    <w:p w14:paraId="2B3169C2" w14:textId="77777777" w:rsidR="002E33C6" w:rsidRPr="003B74ED" w:rsidRDefault="002E33C6" w:rsidP="00C227BA">
      <w:pPr>
        <w:widowControl w:val="0"/>
        <w:autoSpaceDE w:val="0"/>
        <w:autoSpaceDN w:val="0"/>
        <w:adjustRightInd w:val="0"/>
        <w:spacing w:before="120" w:after="120"/>
        <w:rPr>
          <w:color w:val="262626"/>
        </w:rPr>
      </w:pPr>
      <w:r w:rsidRPr="003B74ED">
        <w:rPr>
          <w:color w:val="262626"/>
        </w:rPr>
        <w:t>Vietnam currently has over 200 colleges and over 100 universities. The Master Plan target is to increase the number of colleges by about one-third and more than double the number of universities by 2020; and to have more than four universities and more than ten vocational training schools meeting international standards and 30 per cent of university lecturers with doctorate degrees by 2020.</w:t>
      </w:r>
    </w:p>
    <w:p w14:paraId="6BDD56EB" w14:textId="444301CC" w:rsidR="002E33C6" w:rsidRPr="003B74ED" w:rsidRDefault="002E33C6" w:rsidP="00C227BA">
      <w:pPr>
        <w:widowControl w:val="0"/>
        <w:autoSpaceDE w:val="0"/>
        <w:autoSpaceDN w:val="0"/>
        <w:adjustRightInd w:val="0"/>
        <w:spacing w:before="120" w:after="120"/>
        <w:rPr>
          <w:color w:val="262626"/>
        </w:rPr>
      </w:pPr>
      <w:r w:rsidRPr="003B74ED">
        <w:rPr>
          <w:color w:val="262626"/>
        </w:rPr>
        <w:t xml:space="preserve">The Government of Vietnam has also allowed a growing openness of the Vietnam tertiary education system. There are now over 400 joint-training programs in Vietnam (mainly at Masters </w:t>
      </w:r>
      <w:proofErr w:type="gramStart"/>
      <w:r w:rsidRPr="003B74ED">
        <w:rPr>
          <w:color w:val="262626"/>
        </w:rPr>
        <w:t>level</w:t>
      </w:r>
      <w:proofErr w:type="gramEnd"/>
      <w:r w:rsidRPr="003B74ED">
        <w:rPr>
          <w:color w:val="262626"/>
        </w:rPr>
        <w:t xml:space="preserve">, but including 12 at PhD level). Australia (with </w:t>
      </w:r>
      <w:r w:rsidR="004C6C58" w:rsidRPr="003B74ED">
        <w:rPr>
          <w:color w:val="262626"/>
        </w:rPr>
        <w:t xml:space="preserve">around </w:t>
      </w:r>
      <w:r w:rsidRPr="003B74ED">
        <w:rPr>
          <w:color w:val="262626"/>
        </w:rPr>
        <w:t xml:space="preserve">20 institutional linkages) trails the USA, France and the UK. </w:t>
      </w:r>
    </w:p>
    <w:p w14:paraId="62F86989" w14:textId="2ED88120" w:rsidR="002E33C6" w:rsidRPr="003B74ED" w:rsidRDefault="002E33C6" w:rsidP="00C227BA">
      <w:pPr>
        <w:widowControl w:val="0"/>
        <w:autoSpaceDE w:val="0"/>
        <w:autoSpaceDN w:val="0"/>
        <w:adjustRightInd w:val="0"/>
        <w:spacing w:before="120" w:after="120"/>
        <w:rPr>
          <w:color w:val="262626"/>
        </w:rPr>
      </w:pPr>
      <w:r w:rsidRPr="003B74ED">
        <w:rPr>
          <w:color w:val="262626"/>
        </w:rPr>
        <w:t>In addition to Masters/PhD training, there is also renewed emphasis on developing quality TVET in Vietnam. The Vocational Training Development Strategy 2011-2020 seeks to develop vocational training that will satisfy labour market needs; deliver skilled employees to improve national competitiveness; and attain parity in some occupations with developed countries in ASEAN to promote regional (and further) workforce mobility</w:t>
      </w:r>
      <w:r w:rsidRPr="008C35AD">
        <w:rPr>
          <w:color w:val="262626"/>
        </w:rPr>
        <w:t xml:space="preserve">. </w:t>
      </w:r>
      <w:r w:rsidR="00AE63D2" w:rsidRPr="008C35AD">
        <w:rPr>
          <w:color w:val="262626"/>
        </w:rPr>
        <w:t>It is notable that the Strategy and recent TVET Law does not give attention to different occupational pathways for men and women, and access to TVET for people with disability and remote area residents does not feature.</w:t>
      </w:r>
    </w:p>
    <w:p w14:paraId="5E98650E" w14:textId="0FC37D37" w:rsidR="002E33C6" w:rsidRPr="003B74ED" w:rsidRDefault="002E33C6" w:rsidP="00C227BA">
      <w:pPr>
        <w:spacing w:before="120" w:after="120"/>
        <w:rPr>
          <w:bCs/>
          <w:color w:val="262626"/>
        </w:rPr>
      </w:pPr>
      <w:r w:rsidRPr="003B74ED">
        <w:rPr>
          <w:bCs/>
          <w:color w:val="262626"/>
        </w:rPr>
        <w:t xml:space="preserve">Vietnam has sought to strengthen its international cooperation in TVET working with multilateral agencies and key donors including Japan, Korea and Germany. GIZ has promoted centres of excellence to pilot and demonstrate TVET initiatives and Japan tends to provide and locate support in areas that have potential benefits to Japanese industry in Vietnam. The Australian model of TVET (including its demand-driven, competency-based and industry </w:t>
      </w:r>
      <w:r w:rsidR="004C6C58" w:rsidRPr="003B74ED">
        <w:rPr>
          <w:bCs/>
          <w:color w:val="262626"/>
        </w:rPr>
        <w:t xml:space="preserve">skills councils </w:t>
      </w:r>
      <w:r w:rsidRPr="003B74ED">
        <w:rPr>
          <w:bCs/>
          <w:color w:val="262626"/>
        </w:rPr>
        <w:t>approach) is well regarded by MOLISA as a relevant model for Vietnam.</w:t>
      </w:r>
    </w:p>
    <w:p w14:paraId="4C9FB74D" w14:textId="77777777" w:rsidR="002E33C6" w:rsidRPr="003B74ED" w:rsidRDefault="002E33C6" w:rsidP="00C227BA">
      <w:pPr>
        <w:widowControl w:val="0"/>
        <w:autoSpaceDE w:val="0"/>
        <w:autoSpaceDN w:val="0"/>
        <w:adjustRightInd w:val="0"/>
        <w:spacing w:before="120" w:after="120"/>
        <w:rPr>
          <w:bCs/>
          <w:color w:val="262626"/>
        </w:rPr>
      </w:pPr>
      <w:r w:rsidRPr="003B74ED">
        <w:rPr>
          <w:bCs/>
          <w:color w:val="262626"/>
        </w:rPr>
        <w:t xml:space="preserve">Despite Government of Vietnam achievements in basic education there remains a shortage of workers with the right skills. The World Bank (2012) reported two-thirds of international firms surveyed indicated the TVET and general education systems do not meet the skill needs of their workplace. </w:t>
      </w:r>
    </w:p>
    <w:p w14:paraId="2F2198E4" w14:textId="300D5EE2" w:rsidR="002E33C6" w:rsidRPr="003B74ED" w:rsidRDefault="002E33C6" w:rsidP="00C227BA">
      <w:pPr>
        <w:spacing w:before="120" w:after="120"/>
      </w:pPr>
      <w:r w:rsidRPr="003B74ED">
        <w:t xml:space="preserve">Many young </w:t>
      </w:r>
      <w:r w:rsidR="00A80107" w:rsidRPr="003B74ED">
        <w:t>men and women</w:t>
      </w:r>
      <w:r w:rsidRPr="003B74ED">
        <w:t xml:space="preserve"> lack the basic “employability” skills and are not ready for work or apprenticeships; there is limited capacity, especially among small and medium-sized enterprises (SMEs), to offer high quality apprenticeships; and employers are often reluctant to invest in in-house training or collaborate with other businesses to develop skills given the risk that competitors will “poach” trained employees.</w:t>
      </w:r>
      <w:r w:rsidRPr="003B74ED">
        <w:rPr>
          <w:color w:val="262626"/>
        </w:rPr>
        <w:t xml:space="preserve"> </w:t>
      </w:r>
    </w:p>
    <w:p w14:paraId="19F0768E" w14:textId="2A9D0F6C" w:rsidR="00A80107" w:rsidRPr="003B74ED" w:rsidRDefault="00F04EAA" w:rsidP="00C227BA">
      <w:pPr>
        <w:spacing w:before="120" w:after="120"/>
        <w:rPr>
          <w:color w:val="262626"/>
        </w:rPr>
      </w:pPr>
      <w:r w:rsidRPr="003B74ED">
        <w:rPr>
          <w:rFonts w:eastAsia="Calibri"/>
        </w:rPr>
        <w:t>Within the formal education system in Vietnam, both in higher education and TVET, policy and curriculum development and implementation procedures remain highly centrali</w:t>
      </w:r>
      <w:r w:rsidR="0046500F" w:rsidRPr="003B74ED">
        <w:rPr>
          <w:rFonts w:eastAsia="Calibri"/>
        </w:rPr>
        <w:t>s</w:t>
      </w:r>
      <w:r w:rsidRPr="003B74ED">
        <w:rPr>
          <w:rFonts w:eastAsia="Calibri"/>
        </w:rPr>
        <w:t>ed</w:t>
      </w:r>
      <w:r w:rsidRPr="00B5326E">
        <w:rPr>
          <w:rStyle w:val="FootnoteReference"/>
          <w:rFonts w:eastAsia="Calibri"/>
        </w:rPr>
        <w:footnoteReference w:id="8"/>
      </w:r>
      <w:r w:rsidR="00DA106C" w:rsidRPr="00B5326E">
        <w:rPr>
          <w:rFonts w:eastAsia="Calibri"/>
        </w:rPr>
        <w:t>. B</w:t>
      </w:r>
      <w:r w:rsidRPr="00B5326E">
        <w:rPr>
          <w:rFonts w:eastAsia="Calibri"/>
        </w:rPr>
        <w:t>ut</w:t>
      </w:r>
      <w:r w:rsidR="00DA106C" w:rsidRPr="003B74ED">
        <w:rPr>
          <w:rFonts w:eastAsia="Calibri"/>
        </w:rPr>
        <w:t>,</w:t>
      </w:r>
      <w:r w:rsidRPr="003B74ED">
        <w:rPr>
          <w:rFonts w:eastAsia="Calibri"/>
        </w:rPr>
        <w:t xml:space="preserve"> q</w:t>
      </w:r>
      <w:r w:rsidRPr="003B74ED">
        <w:rPr>
          <w:color w:val="262626"/>
        </w:rPr>
        <w:t>uite simply, the current education system is unable to meet demand in terms of quantity or quality.</w:t>
      </w:r>
    </w:p>
    <w:p w14:paraId="353D7915" w14:textId="5EFE4659" w:rsidR="00F04EAA" w:rsidRPr="003B74ED" w:rsidRDefault="002E33C6" w:rsidP="00C227BA">
      <w:pPr>
        <w:spacing w:before="120" w:after="120"/>
        <w:rPr>
          <w:color w:val="262626"/>
        </w:rPr>
      </w:pPr>
      <w:r w:rsidRPr="003B74ED">
        <w:rPr>
          <w:color w:val="262626"/>
        </w:rPr>
        <w:t>Many higher education institutions suffer from poor quality of teaching and resear</w:t>
      </w:r>
      <w:r w:rsidR="00467417" w:rsidRPr="003B74ED">
        <w:rPr>
          <w:color w:val="262626"/>
        </w:rPr>
        <w:t>ch, a deficient curriculum, out</w:t>
      </w:r>
      <w:r w:rsidR="00DA106C" w:rsidRPr="003B74ED">
        <w:rPr>
          <w:color w:val="262626"/>
        </w:rPr>
        <w:t>-</w:t>
      </w:r>
      <w:r w:rsidRPr="003B74ED">
        <w:rPr>
          <w:color w:val="262626"/>
        </w:rPr>
        <w:t xml:space="preserve">dated training and assessment techniques for Masters and PhDs, and lack of funding for infrastructure, salaries and research. </w:t>
      </w:r>
    </w:p>
    <w:p w14:paraId="466CD6EA" w14:textId="646A0FFE" w:rsidR="002E33C6" w:rsidRPr="003B74ED" w:rsidRDefault="002E33C6" w:rsidP="00C227BA">
      <w:pPr>
        <w:spacing w:before="120" w:after="120"/>
        <w:rPr>
          <w:color w:val="262626"/>
        </w:rPr>
      </w:pPr>
    </w:p>
    <w:p w14:paraId="4714A48E" w14:textId="18073E99" w:rsidR="00B63954" w:rsidRPr="003B74ED" w:rsidRDefault="00B63954" w:rsidP="00C227BA">
      <w:pPr>
        <w:spacing w:before="120" w:after="120"/>
        <w:rPr>
          <w:color w:val="262626"/>
        </w:rPr>
      </w:pPr>
      <w:r w:rsidRPr="003B74ED">
        <w:rPr>
          <w:color w:val="262626"/>
        </w:rPr>
        <w:t xml:space="preserve">The TVET sector is a major challenge. </w:t>
      </w:r>
      <w:r w:rsidRPr="003B74ED">
        <w:t xml:space="preserve">There is a need for stronger leadership and commitment. </w:t>
      </w:r>
      <w:r w:rsidRPr="003B74ED">
        <w:rPr>
          <w:color w:val="262626"/>
        </w:rPr>
        <w:t>Academic education is still more highly valued in Vietnamese society than technical and vocational training. Typically, TVET programs are not industry driven; teaching quality is inadequate and few teachers are equipped with practical experience; there is no national qualifications framework; the sector is fragmented; and there is variance in the quality of training and graduates.</w:t>
      </w:r>
      <w:r w:rsidRPr="003B74ED">
        <w:t xml:space="preserve"> </w:t>
      </w:r>
      <w:r w:rsidRPr="003B74ED">
        <w:rPr>
          <w:color w:val="262626"/>
        </w:rPr>
        <w:t>Many ministries operate their own training institutes and set their own ‘qualification’ standards.</w:t>
      </w:r>
    </w:p>
    <w:p w14:paraId="191142FA" w14:textId="6C47BA97" w:rsidR="00A80107" w:rsidRPr="003B74ED" w:rsidRDefault="00A80107" w:rsidP="00C227BA">
      <w:pPr>
        <w:spacing w:before="120" w:after="120"/>
        <w:rPr>
          <w:color w:val="262626"/>
        </w:rPr>
      </w:pPr>
      <w:r w:rsidRPr="003B74ED">
        <w:rPr>
          <w:color w:val="262626"/>
        </w:rPr>
        <w:t xml:space="preserve">Although sex-disaggregated data is fragmentary, it does suggest women have much lower levels of enrolment in both higher and TVET sectors. </w:t>
      </w:r>
      <w:r w:rsidRPr="003B74ED">
        <w:t>Additionally, there is a marked sex-segregation in fields of study</w:t>
      </w:r>
      <w:r w:rsidR="004415E6" w:rsidRPr="003B74ED">
        <w:t xml:space="preserve"> that </w:t>
      </w:r>
      <w:r w:rsidRPr="003B74ED">
        <w:t xml:space="preserve">results in limiting the range of occupational options. Men are more likely to enrol in engineering, manufacturing and services-related courses, and women are more typically students of education, accounting and social sectors. </w:t>
      </w:r>
      <w:r w:rsidRPr="003B74ED">
        <w:rPr>
          <w:rFonts w:eastAsia="Times New Roman" w:cs="Arial"/>
          <w:iCs/>
          <w:color w:val="000000"/>
          <w:lang w:eastAsia="en-AU"/>
        </w:rPr>
        <w:t xml:space="preserve">Effort is needed to promote </w:t>
      </w:r>
      <w:r w:rsidRPr="003B74ED">
        <w:rPr>
          <w:color w:val="000000"/>
        </w:rPr>
        <w:t>women’s access to more skilled, remunerated and influential roles</w:t>
      </w:r>
      <w:r w:rsidRPr="003B74ED">
        <w:rPr>
          <w:rFonts w:eastAsia="Times New Roman" w:cs="Arial"/>
          <w:iCs/>
          <w:color w:val="000000"/>
          <w:lang w:eastAsia="en-AU"/>
        </w:rPr>
        <w:t xml:space="preserve"> in the modernising economy.</w:t>
      </w:r>
    </w:p>
    <w:p w14:paraId="00219E07" w14:textId="5A36961D" w:rsidR="00AE63D2" w:rsidRDefault="00AE63D2" w:rsidP="00C227BA">
      <w:pPr>
        <w:spacing w:before="120" w:after="120"/>
        <w:jc w:val="both"/>
      </w:pPr>
      <w:r w:rsidRPr="008C35AD">
        <w:t>Mirroring the experience of a portion of female Australia Awards alumni, women in Vietnam are less likely than men to be promoted to senior levels in the public and private sector. In spite of the Law on Gender Equality (2006) stipulating that men and women should have equal access to promotion, women account for only 7</w:t>
      </w:r>
      <w:r w:rsidR="008C35AD" w:rsidRPr="008C35AD">
        <w:t xml:space="preserve"> per cent</w:t>
      </w:r>
      <w:r w:rsidRPr="008C35AD">
        <w:t xml:space="preserve"> of all government department directors and 12</w:t>
      </w:r>
      <w:r w:rsidR="008C35AD" w:rsidRPr="008C35AD">
        <w:t xml:space="preserve"> per cent</w:t>
      </w:r>
      <w:r w:rsidRPr="008C35AD">
        <w:t xml:space="preserve"> of vice-directors.</w:t>
      </w:r>
      <w:r w:rsidRPr="008C35AD">
        <w:rPr>
          <w:rStyle w:val="FootnoteReference"/>
        </w:rPr>
        <w:footnoteReference w:id="9"/>
      </w:r>
      <w:r w:rsidRPr="008C35AD">
        <w:t xml:space="preserve"> Furthermore, Vietnam </w:t>
      </w:r>
      <w:r w:rsidR="008C35AD" w:rsidRPr="008C35AD">
        <w:t>wa</w:t>
      </w:r>
      <w:r w:rsidRPr="008C35AD">
        <w:t>s ranked 76</w:t>
      </w:r>
      <w:r w:rsidRPr="008C35AD">
        <w:rPr>
          <w:vertAlign w:val="superscript"/>
        </w:rPr>
        <w:t>th</w:t>
      </w:r>
      <w:r w:rsidRPr="008C35AD">
        <w:t xml:space="preserve"> out of 108 countries in a 2015 study on women in business and management by the International Labour Organisation.</w:t>
      </w:r>
      <w:r w:rsidRPr="008C35AD">
        <w:rPr>
          <w:rStyle w:val="FootnoteReference"/>
        </w:rPr>
        <w:footnoteReference w:id="10"/>
      </w:r>
    </w:p>
    <w:p w14:paraId="30299AC8" w14:textId="45C03779" w:rsidR="00234EB5" w:rsidRPr="003B74ED" w:rsidRDefault="002E33C6" w:rsidP="00C227BA">
      <w:pPr>
        <w:spacing w:before="120" w:after="120"/>
        <w:rPr>
          <w:rFonts w:cs="Calibri"/>
          <w:color w:val="000000"/>
        </w:rPr>
      </w:pPr>
      <w:r w:rsidRPr="003B74ED">
        <w:rPr>
          <w:rFonts w:cs="Calibri"/>
          <w:color w:val="000000"/>
        </w:rPr>
        <w:t xml:space="preserve">To address development challenges there is a need for a well-educated, skilled workforce in the public sector, the private sector and among civil society leaders, educators, and researchers. Support for study opportunities overseas can make an important contribution. Australian education institutions are well placed to provide the educational outcomes demanded by the Vietnamese workforce.  </w:t>
      </w:r>
    </w:p>
    <w:p w14:paraId="6A68697E" w14:textId="0856D489" w:rsidR="004415E6" w:rsidRDefault="002E33C6" w:rsidP="00C227BA">
      <w:pPr>
        <w:spacing w:before="120" w:after="120"/>
        <w:rPr>
          <w:rFonts w:cs="Calibri"/>
          <w:color w:val="000000"/>
        </w:rPr>
      </w:pPr>
      <w:r w:rsidRPr="003B74ED">
        <w:rPr>
          <w:rFonts w:cs="Calibri"/>
          <w:color w:val="000000"/>
        </w:rPr>
        <w:t>The opportunity to study in Australia not only provides Vietnamese scholars with increased experience and understanding of Australia, but also exposure to world-class education, research and training institutions. For many Vietnamese alumni, the experience has been life changing in both technical and personal development.</w:t>
      </w:r>
      <w:r w:rsidR="00E82349">
        <w:rPr>
          <w:rFonts w:cs="Calibri"/>
          <w:color w:val="000000"/>
        </w:rPr>
        <w:t xml:space="preserve"> </w:t>
      </w:r>
    </w:p>
    <w:p w14:paraId="480FC5B2" w14:textId="35FA9D92" w:rsidR="00E82349" w:rsidRDefault="00E82349" w:rsidP="00C227BA">
      <w:pPr>
        <w:spacing w:before="120" w:after="120"/>
        <w:rPr>
          <w:rFonts w:cs="Calibri"/>
          <w:color w:val="000000"/>
        </w:rPr>
      </w:pPr>
      <w:r>
        <w:rPr>
          <w:rFonts w:cs="Calibri"/>
          <w:color w:val="000000"/>
        </w:rPr>
        <w:t xml:space="preserve">Alumni also represent a significant resource in </w:t>
      </w:r>
      <w:r w:rsidR="0040796F">
        <w:rPr>
          <w:rFonts w:cs="Calibri"/>
          <w:color w:val="000000"/>
        </w:rPr>
        <w:t xml:space="preserve">promoting Australia’s economic and public diplomacy objectives in Vietnam through the opportunity the scholarship program offers to strengthen people-to-people and institutional linkages in both the public and private sectors. </w:t>
      </w:r>
    </w:p>
    <w:p w14:paraId="1F943B93" w14:textId="01378D3B" w:rsidR="00632783" w:rsidRDefault="00632783">
      <w:pPr>
        <w:rPr>
          <w:color w:val="262626"/>
        </w:rPr>
      </w:pPr>
      <w:r>
        <w:rPr>
          <w:color w:val="262626"/>
        </w:rPr>
        <w:br w:type="page"/>
      </w:r>
    </w:p>
    <w:p w14:paraId="689814EE" w14:textId="77777777" w:rsidR="002E33C6" w:rsidRPr="003B74ED" w:rsidRDefault="002E33C6" w:rsidP="00C227BA">
      <w:pPr>
        <w:pStyle w:val="Heading2"/>
        <w:keepNext/>
        <w:keepLines/>
        <w:spacing w:before="120"/>
        <w:ind w:left="578" w:hanging="578"/>
        <w:jc w:val="both"/>
        <w:rPr>
          <w:rFonts w:asciiTheme="minorHAnsi" w:hAnsiTheme="minorHAnsi"/>
          <w:i w:val="0"/>
          <w:color w:val="548DD4" w:themeColor="text2" w:themeTint="99"/>
        </w:rPr>
      </w:pPr>
      <w:r w:rsidRPr="003B74ED">
        <w:rPr>
          <w:rFonts w:asciiTheme="minorHAnsi" w:hAnsiTheme="minorHAnsi"/>
          <w:i w:val="0"/>
          <w:color w:val="548DD4" w:themeColor="text2" w:themeTint="99"/>
        </w:rPr>
        <w:t>Current HRD Program</w:t>
      </w:r>
    </w:p>
    <w:p w14:paraId="2D67F02A" w14:textId="1A8E6AEF" w:rsidR="002E33C6" w:rsidRPr="00AF245E" w:rsidRDefault="009C4742" w:rsidP="00C227BA">
      <w:pPr>
        <w:widowControl w:val="0"/>
        <w:autoSpaceDE w:val="0"/>
        <w:autoSpaceDN w:val="0"/>
        <w:adjustRightInd w:val="0"/>
        <w:spacing w:before="120" w:after="120"/>
        <w:rPr>
          <w:color w:val="262626"/>
        </w:rPr>
      </w:pPr>
      <w:r w:rsidRPr="00EA76FF">
        <w:rPr>
          <w:color w:val="262626"/>
        </w:rPr>
        <w:t>The Australian Government</w:t>
      </w:r>
      <w:r w:rsidR="002E33C6" w:rsidRPr="00314297">
        <w:rPr>
          <w:color w:val="262626"/>
        </w:rPr>
        <w:t xml:space="preserve"> del</w:t>
      </w:r>
      <w:r w:rsidR="002E33C6" w:rsidRPr="00B42B3E">
        <w:rPr>
          <w:color w:val="262626"/>
        </w:rPr>
        <w:t xml:space="preserve">ivers HRD in Vietnam through a </w:t>
      </w:r>
      <w:r w:rsidR="00234EB5" w:rsidRPr="008C2305">
        <w:rPr>
          <w:color w:val="262626"/>
        </w:rPr>
        <w:t>number</w:t>
      </w:r>
      <w:r w:rsidR="002E33C6" w:rsidRPr="001A0CDA">
        <w:rPr>
          <w:color w:val="262626"/>
        </w:rPr>
        <w:t xml:space="preserve"> of </w:t>
      </w:r>
      <w:r w:rsidR="00234EB5" w:rsidRPr="004E1408">
        <w:rPr>
          <w:color w:val="262626"/>
        </w:rPr>
        <w:t>programs</w:t>
      </w:r>
      <w:r w:rsidR="002E33C6" w:rsidRPr="007A6D7C">
        <w:rPr>
          <w:color w:val="262626"/>
        </w:rPr>
        <w:t xml:space="preserve"> and funding</w:t>
      </w:r>
      <w:r w:rsidR="00234EB5" w:rsidRPr="00D9325F">
        <w:rPr>
          <w:color w:val="262626"/>
        </w:rPr>
        <w:t xml:space="preserve"> arrangements.</w:t>
      </w:r>
      <w:r w:rsidR="002E33C6" w:rsidRPr="00E27B90">
        <w:rPr>
          <w:color w:val="262626"/>
        </w:rPr>
        <w:t xml:space="preserve"> These include </w:t>
      </w:r>
      <w:r w:rsidR="00E26914" w:rsidRPr="00B379A4">
        <w:rPr>
          <w:color w:val="262626"/>
        </w:rPr>
        <w:t xml:space="preserve">initiatives </w:t>
      </w:r>
      <w:r w:rsidR="002E33C6" w:rsidRPr="00602A77">
        <w:rPr>
          <w:color w:val="262626"/>
        </w:rPr>
        <w:t xml:space="preserve">funded through the bilateral program, notably </w:t>
      </w:r>
      <w:r w:rsidR="00F14DBC" w:rsidRPr="00FA40AE">
        <w:rPr>
          <w:color w:val="262626"/>
        </w:rPr>
        <w:t>Australia A</w:t>
      </w:r>
      <w:r w:rsidR="002E33C6" w:rsidRPr="00F4554A">
        <w:rPr>
          <w:color w:val="262626"/>
        </w:rPr>
        <w:t xml:space="preserve">wards </w:t>
      </w:r>
      <w:r w:rsidR="00F14DBC" w:rsidRPr="00B31B3E">
        <w:rPr>
          <w:color w:val="262626"/>
        </w:rPr>
        <w:t xml:space="preserve">Scholarships </w:t>
      </w:r>
      <w:r w:rsidR="002E33C6" w:rsidRPr="00274EF2">
        <w:rPr>
          <w:color w:val="262626"/>
        </w:rPr>
        <w:t xml:space="preserve">managed by DFAT in Vietnam, and </w:t>
      </w:r>
      <w:r w:rsidR="00E26914" w:rsidRPr="00F233A7">
        <w:rPr>
          <w:color w:val="262626"/>
        </w:rPr>
        <w:t>initiatives</w:t>
      </w:r>
      <w:r w:rsidR="002E33C6" w:rsidRPr="004744D3">
        <w:rPr>
          <w:color w:val="262626"/>
        </w:rPr>
        <w:t xml:space="preserve"> funded from global b</w:t>
      </w:r>
      <w:r w:rsidR="002E33C6" w:rsidRPr="00AF245E">
        <w:rPr>
          <w:color w:val="262626"/>
        </w:rPr>
        <w:t xml:space="preserve">udgets and managed from Canberra. </w:t>
      </w:r>
    </w:p>
    <w:p w14:paraId="37F8B82A" w14:textId="415B3B3C" w:rsidR="002E33C6" w:rsidRPr="009D099A" w:rsidRDefault="002E33C6" w:rsidP="00C227BA">
      <w:pPr>
        <w:pStyle w:val="Heading3"/>
        <w:spacing w:before="120"/>
        <w:rPr>
          <w:rFonts w:asciiTheme="minorHAnsi" w:hAnsiTheme="minorHAnsi"/>
          <w:i/>
          <w:color w:val="4F81BD" w:themeColor="accent1"/>
          <w:sz w:val="24"/>
          <w:szCs w:val="24"/>
        </w:rPr>
      </w:pPr>
      <w:r w:rsidRPr="009D099A">
        <w:rPr>
          <w:rFonts w:asciiTheme="minorHAnsi" w:hAnsiTheme="minorHAnsi"/>
          <w:i/>
          <w:color w:val="4F81BD" w:themeColor="accent1"/>
          <w:sz w:val="24"/>
          <w:szCs w:val="24"/>
        </w:rPr>
        <w:t>Australia Awards – Scholarships (AAS)</w:t>
      </w:r>
    </w:p>
    <w:p w14:paraId="604695DB" w14:textId="35C69AA4" w:rsidR="005C63DB" w:rsidRPr="00B5326E" w:rsidRDefault="002E33C6" w:rsidP="00C227BA">
      <w:pPr>
        <w:widowControl w:val="0"/>
        <w:autoSpaceDE w:val="0"/>
        <w:autoSpaceDN w:val="0"/>
        <w:adjustRightInd w:val="0"/>
        <w:spacing w:before="120" w:after="120"/>
        <w:rPr>
          <w:color w:val="262626"/>
        </w:rPr>
      </w:pPr>
      <w:r w:rsidRPr="00FA5F0F">
        <w:rPr>
          <w:color w:val="262626"/>
        </w:rPr>
        <w:t xml:space="preserve">Australia Awards provide the opportunity for scholars to </w:t>
      </w:r>
      <w:r w:rsidR="005C63DB" w:rsidRPr="00B5326E">
        <w:t xml:space="preserve">develop critical skills and knowledge; </w:t>
      </w:r>
      <w:r w:rsidRPr="00B5326E">
        <w:rPr>
          <w:color w:val="262626"/>
        </w:rPr>
        <w:t>attain internationally recognised tertiary qualifications</w:t>
      </w:r>
      <w:r w:rsidR="005C63DB" w:rsidRPr="00B5326E">
        <w:rPr>
          <w:color w:val="262626"/>
        </w:rPr>
        <w:t>;</w:t>
      </w:r>
      <w:r w:rsidRPr="00B5326E">
        <w:rPr>
          <w:color w:val="262626"/>
        </w:rPr>
        <w:t xml:space="preserve"> help address the skills gap in Vietnam</w:t>
      </w:r>
      <w:r w:rsidR="005C63DB" w:rsidRPr="00B5326E">
        <w:rPr>
          <w:color w:val="262626"/>
        </w:rPr>
        <w:t>;</w:t>
      </w:r>
      <w:r w:rsidRPr="00B5326E">
        <w:rPr>
          <w:color w:val="262626"/>
        </w:rPr>
        <w:t xml:space="preserve"> and provide an academic and social experience that strengthens bonds with Australia. </w:t>
      </w:r>
      <w:r w:rsidR="005C63DB" w:rsidRPr="00B5326E">
        <w:t xml:space="preserve">Scholarships have also facilitated establishment of an influential network of leaders, reformers and advocates across Vietnam; and are viewed as an important economic diplomacy tool for Australia’s engagement with Vietnam. </w:t>
      </w:r>
      <w:r w:rsidR="00BA6ED4">
        <w:t>With an on</w:t>
      </w:r>
      <w:r w:rsidR="006B76C7">
        <w:t>going interest in Australia, these alumni are a significant resource, potentially able to offer important perspectives</w:t>
      </w:r>
      <w:r w:rsidR="00835D4A">
        <w:t>, insights</w:t>
      </w:r>
      <w:r w:rsidR="006B76C7">
        <w:t xml:space="preserve"> and opportunities for </w:t>
      </w:r>
      <w:r w:rsidR="00D64C21">
        <w:t xml:space="preserve">strengthening </w:t>
      </w:r>
      <w:r w:rsidR="006B76C7">
        <w:t xml:space="preserve">Australia’s public and </w:t>
      </w:r>
      <w:r w:rsidR="00D44ABC">
        <w:t>private</w:t>
      </w:r>
      <w:r w:rsidR="006B76C7">
        <w:t xml:space="preserve"> sector </w:t>
      </w:r>
      <w:r w:rsidR="00D64C21">
        <w:t>engagement to</w:t>
      </w:r>
      <w:r w:rsidR="006B76C7">
        <w:t xml:space="preserve"> </w:t>
      </w:r>
      <w:r w:rsidR="00D64C21">
        <w:t xml:space="preserve">promote growth and development in </w:t>
      </w:r>
      <w:r w:rsidR="006B76C7">
        <w:t>Vietnam.</w:t>
      </w:r>
    </w:p>
    <w:p w14:paraId="5BBDF8F9" w14:textId="7592B474" w:rsidR="002E33C6" w:rsidRPr="00B5326E" w:rsidRDefault="002E33C6" w:rsidP="00C227BA">
      <w:pPr>
        <w:widowControl w:val="0"/>
        <w:autoSpaceDE w:val="0"/>
        <w:autoSpaceDN w:val="0"/>
        <w:adjustRightInd w:val="0"/>
        <w:spacing w:before="120" w:after="120"/>
        <w:rPr>
          <w:color w:val="262626"/>
        </w:rPr>
      </w:pPr>
      <w:r w:rsidRPr="00B5326E">
        <w:rPr>
          <w:color w:val="262626"/>
        </w:rPr>
        <w:t xml:space="preserve">The number of annual awards peaked in 2011 (266) and has since steadily declined to an expected </w:t>
      </w:r>
      <w:r w:rsidR="00632783">
        <w:rPr>
          <w:color w:val="262626"/>
        </w:rPr>
        <w:t>up to</w:t>
      </w:r>
      <w:r w:rsidRPr="00B5326E">
        <w:rPr>
          <w:color w:val="262626"/>
        </w:rPr>
        <w:t xml:space="preserve"> 1</w:t>
      </w:r>
      <w:r w:rsidR="00207221">
        <w:rPr>
          <w:color w:val="262626"/>
        </w:rPr>
        <w:t>0</w:t>
      </w:r>
      <w:r w:rsidRPr="00B5326E">
        <w:rPr>
          <w:color w:val="262626"/>
        </w:rPr>
        <w:t xml:space="preserve">0 </w:t>
      </w:r>
      <w:r w:rsidR="0043281C" w:rsidRPr="00B5326E">
        <w:rPr>
          <w:color w:val="262626"/>
        </w:rPr>
        <w:t xml:space="preserve">proposed </w:t>
      </w:r>
      <w:r w:rsidRPr="00B5326E">
        <w:rPr>
          <w:color w:val="262626"/>
        </w:rPr>
        <w:t xml:space="preserve">at </w:t>
      </w:r>
      <w:r w:rsidR="00234EB5" w:rsidRPr="00B5326E">
        <w:rPr>
          <w:color w:val="262626"/>
        </w:rPr>
        <w:t>commencement of the next 5-year phase of assistance.</w:t>
      </w:r>
    </w:p>
    <w:p w14:paraId="0D68275C" w14:textId="25F42602" w:rsidR="00277A46" w:rsidRPr="00EA76FF" w:rsidRDefault="002E33C6" w:rsidP="00C227BA">
      <w:pPr>
        <w:widowControl w:val="0"/>
        <w:autoSpaceDE w:val="0"/>
        <w:autoSpaceDN w:val="0"/>
        <w:adjustRightInd w:val="0"/>
        <w:spacing w:before="120" w:after="120"/>
        <w:rPr>
          <w:color w:val="262626"/>
        </w:rPr>
      </w:pPr>
      <w:r w:rsidRPr="00EA76FF">
        <w:rPr>
          <w:color w:val="262626"/>
        </w:rPr>
        <w:t>Australia Award</w:t>
      </w:r>
      <w:r w:rsidR="00E26914" w:rsidRPr="00EA76FF">
        <w:rPr>
          <w:color w:val="262626"/>
        </w:rPr>
        <w:t>s</w:t>
      </w:r>
      <w:r w:rsidRPr="00EA76FF">
        <w:rPr>
          <w:color w:val="262626"/>
        </w:rPr>
        <w:t xml:space="preserve"> </w:t>
      </w:r>
      <w:r w:rsidR="00E26914" w:rsidRPr="00EA76FF">
        <w:rPr>
          <w:color w:val="262626"/>
        </w:rPr>
        <w:t xml:space="preserve">are </w:t>
      </w:r>
      <w:r w:rsidR="009E0195" w:rsidRPr="00EA76FF">
        <w:rPr>
          <w:color w:val="262626"/>
        </w:rPr>
        <w:t xml:space="preserve">greatly </w:t>
      </w:r>
      <w:r w:rsidRPr="00EA76FF">
        <w:rPr>
          <w:color w:val="262626"/>
        </w:rPr>
        <w:t>valued by the Government of Vietnam, particularly in regard</w:t>
      </w:r>
      <w:r w:rsidR="001C3DC2" w:rsidRPr="00EA76FF">
        <w:rPr>
          <w:color w:val="262626"/>
        </w:rPr>
        <w:t>s</w:t>
      </w:r>
      <w:r w:rsidRPr="00EA76FF">
        <w:rPr>
          <w:color w:val="262626"/>
        </w:rPr>
        <w:t xml:space="preserve"> to quality</w:t>
      </w:r>
      <w:r w:rsidR="009E0195" w:rsidRPr="00EA76FF">
        <w:rPr>
          <w:color w:val="262626"/>
        </w:rPr>
        <w:t>,</w:t>
      </w:r>
      <w:r w:rsidRPr="00EA76FF">
        <w:rPr>
          <w:color w:val="262626"/>
        </w:rPr>
        <w:t xml:space="preserve"> responsiveness and relevance to Vietnam’s HRD training priorities (both Masters and PhD). </w:t>
      </w:r>
      <w:r w:rsidR="006527E6" w:rsidRPr="00EA76FF">
        <w:rPr>
          <w:color w:val="262626"/>
        </w:rPr>
        <w:t>Currently (201</w:t>
      </w:r>
      <w:r w:rsidR="00A45050" w:rsidRPr="00EA76FF">
        <w:rPr>
          <w:color w:val="262626"/>
        </w:rPr>
        <w:t>5</w:t>
      </w:r>
      <w:r w:rsidR="006527E6" w:rsidRPr="00EA76FF">
        <w:rPr>
          <w:color w:val="262626"/>
        </w:rPr>
        <w:t>)</w:t>
      </w:r>
      <w:r w:rsidR="00277A46" w:rsidRPr="00EA76FF">
        <w:rPr>
          <w:color w:val="262626"/>
        </w:rPr>
        <w:t>,</w:t>
      </w:r>
      <w:r w:rsidR="006527E6" w:rsidRPr="00EA76FF">
        <w:rPr>
          <w:color w:val="262626"/>
        </w:rPr>
        <w:t xml:space="preserve"> eligibility is</w:t>
      </w:r>
      <w:r w:rsidRPr="00EA76FF">
        <w:rPr>
          <w:color w:val="262626"/>
        </w:rPr>
        <w:t xml:space="preserve"> broad</w:t>
      </w:r>
      <w:r w:rsidRPr="00EA76FF">
        <w:t>, with a large number of client groups</w:t>
      </w:r>
      <w:r w:rsidR="006527E6" w:rsidRPr="00EA76FF">
        <w:t>. Over 30 central government agencies are targeted</w:t>
      </w:r>
      <w:r w:rsidR="00753F9D" w:rsidRPr="00B5326E">
        <w:rPr>
          <w:rStyle w:val="FootnoteReference"/>
        </w:rPr>
        <w:footnoteReference w:id="11"/>
      </w:r>
      <w:r w:rsidR="00277A46" w:rsidRPr="00B5326E">
        <w:t xml:space="preserve">; </w:t>
      </w:r>
      <w:r w:rsidR="006527E6" w:rsidRPr="00B5326E">
        <w:t xml:space="preserve">along with local government </w:t>
      </w:r>
      <w:r w:rsidR="00A45050" w:rsidRPr="003B74ED">
        <w:t>agencies,</w:t>
      </w:r>
      <w:r w:rsidR="006527E6" w:rsidRPr="00EA76FF">
        <w:t xml:space="preserve"> local NGOs and provincial enterprises from all </w:t>
      </w:r>
      <w:r w:rsidRPr="00EA76FF">
        <w:rPr>
          <w:color w:val="262626"/>
        </w:rPr>
        <w:t>provinces</w:t>
      </w:r>
      <w:r w:rsidR="006527E6" w:rsidRPr="00EA76FF">
        <w:rPr>
          <w:color w:val="262626"/>
        </w:rPr>
        <w:t xml:space="preserve">; and lecturers </w:t>
      </w:r>
      <w:r w:rsidR="00277A46" w:rsidRPr="00EA76FF">
        <w:rPr>
          <w:color w:val="262626"/>
        </w:rPr>
        <w:t>and</w:t>
      </w:r>
      <w:r w:rsidR="006527E6" w:rsidRPr="00EA76FF">
        <w:rPr>
          <w:color w:val="262626"/>
        </w:rPr>
        <w:t xml:space="preserve"> researchers from all tertiary </w:t>
      </w:r>
      <w:r w:rsidR="00A07EB7" w:rsidRPr="00EA76FF">
        <w:rPr>
          <w:color w:val="262626"/>
        </w:rPr>
        <w:t xml:space="preserve">education </w:t>
      </w:r>
      <w:r w:rsidR="006527E6" w:rsidRPr="00EA76FF">
        <w:rPr>
          <w:color w:val="262626"/>
        </w:rPr>
        <w:t xml:space="preserve">institutions. </w:t>
      </w:r>
    </w:p>
    <w:p w14:paraId="54D55E08" w14:textId="77777777" w:rsidR="003565C7" w:rsidRPr="00EA76FF" w:rsidRDefault="003565C7" w:rsidP="00C227BA">
      <w:pPr>
        <w:widowControl w:val="0"/>
        <w:autoSpaceDE w:val="0"/>
        <w:autoSpaceDN w:val="0"/>
        <w:adjustRightInd w:val="0"/>
        <w:spacing w:before="120" w:after="120"/>
        <w:rPr>
          <w:color w:val="262626"/>
        </w:rPr>
      </w:pPr>
      <w:r w:rsidRPr="00EA76FF">
        <w:rPr>
          <w:color w:val="262626"/>
        </w:rPr>
        <w:t xml:space="preserve">English Language Training (ELT) is provided to those conditional awardees needing additional assistance to gain the required IELTS score to be admitted to their chosen course of study. </w:t>
      </w:r>
    </w:p>
    <w:p w14:paraId="35ECB6D3" w14:textId="3F84C188" w:rsidR="00AE63D2" w:rsidRPr="008C35AD" w:rsidRDefault="00AE63D2" w:rsidP="00C227BA">
      <w:pPr>
        <w:widowControl w:val="0"/>
        <w:autoSpaceDE w:val="0"/>
        <w:autoSpaceDN w:val="0"/>
        <w:adjustRightInd w:val="0"/>
        <w:spacing w:before="120" w:after="120"/>
        <w:rPr>
          <w:color w:val="262626"/>
        </w:rPr>
      </w:pPr>
      <w:r w:rsidRPr="008C35AD">
        <w:rPr>
          <w:color w:val="262626"/>
        </w:rPr>
        <w:t>The current program has been very successful in achieving gender equality. As compared with the early intakes of the Australia Awards Scholarships program, when the balance of awards favoured men, women have consistently outnumbered men in scholarship awards annually since 2003.  In 2014, women in fact outnumbered men in both applications and awards, across all scholarship categories. The ratio of applications has hovered at 60:40 favouring women for the past three years; however the balance of awards has also steadily increased for women over the same period - from 55</w:t>
      </w:r>
      <w:r w:rsidR="008C35AD" w:rsidRPr="008C35AD">
        <w:rPr>
          <w:color w:val="262626"/>
        </w:rPr>
        <w:t xml:space="preserve"> per cent</w:t>
      </w:r>
      <w:r w:rsidRPr="008C35AD">
        <w:rPr>
          <w:color w:val="262626"/>
        </w:rPr>
        <w:t xml:space="preserve"> (2012), to 56</w:t>
      </w:r>
      <w:r w:rsidR="008C35AD" w:rsidRPr="008C35AD">
        <w:rPr>
          <w:color w:val="262626"/>
        </w:rPr>
        <w:t xml:space="preserve"> per cent</w:t>
      </w:r>
      <w:r w:rsidRPr="008C35AD">
        <w:rPr>
          <w:color w:val="262626"/>
        </w:rPr>
        <w:t xml:space="preserve"> (2013) and finally to 62</w:t>
      </w:r>
      <w:r w:rsidR="008C35AD" w:rsidRPr="008C35AD">
        <w:rPr>
          <w:color w:val="262626"/>
        </w:rPr>
        <w:t xml:space="preserve"> per cent</w:t>
      </w:r>
      <w:r w:rsidRPr="008C35AD">
        <w:rPr>
          <w:color w:val="262626"/>
        </w:rPr>
        <w:t xml:space="preserve"> (2014). </w:t>
      </w:r>
    </w:p>
    <w:p w14:paraId="536DA9B7" w14:textId="1BD4768C" w:rsidR="00C23974" w:rsidRPr="00EA76FF" w:rsidRDefault="00AE63D2" w:rsidP="00C227BA">
      <w:pPr>
        <w:widowControl w:val="0"/>
        <w:autoSpaceDE w:val="0"/>
        <w:autoSpaceDN w:val="0"/>
        <w:adjustRightInd w:val="0"/>
        <w:spacing w:before="120" w:after="120"/>
        <w:rPr>
          <w:color w:val="262626"/>
        </w:rPr>
      </w:pPr>
      <w:r w:rsidRPr="008C35AD">
        <w:rPr>
          <w:color w:val="262626"/>
        </w:rPr>
        <w:t>Social inclusion and</w:t>
      </w:r>
      <w:r w:rsidR="00C23974" w:rsidRPr="008C35AD">
        <w:rPr>
          <w:color w:val="262626"/>
        </w:rPr>
        <w:t xml:space="preserve"> e</w:t>
      </w:r>
      <w:r w:rsidR="00D9477D" w:rsidRPr="008C35AD">
        <w:rPr>
          <w:color w:val="262626"/>
        </w:rPr>
        <w:t xml:space="preserve">quity </w:t>
      </w:r>
      <w:r w:rsidR="00A12153" w:rsidRPr="008C35AD">
        <w:rPr>
          <w:color w:val="262626"/>
        </w:rPr>
        <w:t>objectives</w:t>
      </w:r>
      <w:r w:rsidR="00D9477D" w:rsidRPr="008C35AD">
        <w:rPr>
          <w:color w:val="262626"/>
        </w:rPr>
        <w:t xml:space="preserve"> </w:t>
      </w:r>
      <w:r w:rsidRPr="008C35AD">
        <w:rPr>
          <w:color w:val="262626"/>
        </w:rPr>
        <w:t xml:space="preserve">have also been achieved with </w:t>
      </w:r>
      <w:r w:rsidR="00BA6ED4" w:rsidRPr="008C35AD">
        <w:rPr>
          <w:color w:val="262626"/>
        </w:rPr>
        <w:t xml:space="preserve">priority </w:t>
      </w:r>
      <w:r w:rsidR="00B64C03" w:rsidRPr="008C35AD">
        <w:rPr>
          <w:color w:val="262626"/>
        </w:rPr>
        <w:t xml:space="preserve">provision </w:t>
      </w:r>
      <w:r w:rsidR="00BA6ED4" w:rsidRPr="008C35AD">
        <w:rPr>
          <w:color w:val="262626"/>
        </w:rPr>
        <w:t xml:space="preserve">of </w:t>
      </w:r>
      <w:r w:rsidR="00A07EB7" w:rsidRPr="008C35AD">
        <w:rPr>
          <w:color w:val="262626"/>
        </w:rPr>
        <w:t>Australia A</w:t>
      </w:r>
      <w:r w:rsidR="00D9477D" w:rsidRPr="008C35AD">
        <w:rPr>
          <w:color w:val="262626"/>
        </w:rPr>
        <w:t>wards</w:t>
      </w:r>
      <w:r w:rsidR="00753F9D" w:rsidRPr="008C35AD">
        <w:rPr>
          <w:color w:val="262626"/>
        </w:rPr>
        <w:t xml:space="preserve"> </w:t>
      </w:r>
      <w:r w:rsidR="00A07EB7" w:rsidRPr="008C35AD">
        <w:rPr>
          <w:color w:val="262626"/>
        </w:rPr>
        <w:t xml:space="preserve">Scholarships </w:t>
      </w:r>
      <w:r w:rsidR="00BA6ED4" w:rsidRPr="008C35AD">
        <w:rPr>
          <w:color w:val="262626"/>
        </w:rPr>
        <w:t>to</w:t>
      </w:r>
      <w:r w:rsidR="00D9477D" w:rsidRPr="008C35AD">
        <w:rPr>
          <w:color w:val="262626"/>
        </w:rPr>
        <w:t xml:space="preserve"> </w:t>
      </w:r>
      <w:r w:rsidR="00EC33CB" w:rsidRPr="008C35AD">
        <w:rPr>
          <w:color w:val="262626"/>
        </w:rPr>
        <w:t>‘</w:t>
      </w:r>
      <w:r w:rsidR="00D9477D" w:rsidRPr="008C35AD">
        <w:rPr>
          <w:color w:val="262626"/>
        </w:rPr>
        <w:t>disadvantaged groups</w:t>
      </w:r>
      <w:r w:rsidR="00EC33CB" w:rsidRPr="008C35AD">
        <w:rPr>
          <w:color w:val="262626"/>
        </w:rPr>
        <w:t>’</w:t>
      </w:r>
      <w:r w:rsidR="00D573EF" w:rsidRPr="008C35AD">
        <w:rPr>
          <w:rStyle w:val="FootnoteReference"/>
          <w:color w:val="262626"/>
        </w:rPr>
        <w:footnoteReference w:id="12"/>
      </w:r>
      <w:r w:rsidR="00D9477D" w:rsidRPr="008C35AD">
        <w:rPr>
          <w:color w:val="262626"/>
        </w:rPr>
        <w:t xml:space="preserve"> (rural</w:t>
      </w:r>
      <w:r w:rsidR="00B64C03" w:rsidRPr="008C35AD">
        <w:rPr>
          <w:color w:val="262626"/>
        </w:rPr>
        <w:t xml:space="preserve"> residents</w:t>
      </w:r>
      <w:r w:rsidR="00EA03F4" w:rsidRPr="008C35AD">
        <w:rPr>
          <w:rStyle w:val="FootnoteReference"/>
          <w:color w:val="262626"/>
        </w:rPr>
        <w:footnoteReference w:id="13"/>
      </w:r>
      <w:r w:rsidR="00D9477D" w:rsidRPr="008C35AD">
        <w:rPr>
          <w:color w:val="262626"/>
        </w:rPr>
        <w:t xml:space="preserve">, </w:t>
      </w:r>
      <w:r w:rsidR="00B64C03" w:rsidRPr="008C35AD">
        <w:rPr>
          <w:color w:val="262626"/>
        </w:rPr>
        <w:t xml:space="preserve">people from </w:t>
      </w:r>
      <w:r w:rsidR="00D9477D" w:rsidRPr="008C35AD">
        <w:rPr>
          <w:color w:val="262626"/>
        </w:rPr>
        <w:t>ethnic minorit</w:t>
      </w:r>
      <w:r w:rsidR="00B64C03" w:rsidRPr="008C35AD">
        <w:rPr>
          <w:color w:val="262626"/>
        </w:rPr>
        <w:t>y backgrounds</w:t>
      </w:r>
      <w:r w:rsidR="00D9477D" w:rsidRPr="008C35AD">
        <w:rPr>
          <w:color w:val="262626"/>
        </w:rPr>
        <w:t>,</w:t>
      </w:r>
      <w:r w:rsidR="00B64C03" w:rsidRPr="008C35AD">
        <w:rPr>
          <w:color w:val="262626"/>
        </w:rPr>
        <w:t xml:space="preserve"> and</w:t>
      </w:r>
      <w:r w:rsidR="00D9477D" w:rsidRPr="008C35AD">
        <w:rPr>
          <w:color w:val="262626"/>
        </w:rPr>
        <w:t xml:space="preserve"> people with disability). </w:t>
      </w:r>
      <w:r w:rsidR="00EC33CB" w:rsidRPr="008C35AD">
        <w:rPr>
          <w:color w:val="262626"/>
        </w:rPr>
        <w:t>P</w:t>
      </w:r>
      <w:r w:rsidR="00C23974" w:rsidRPr="008C35AD">
        <w:rPr>
          <w:color w:val="262626"/>
        </w:rPr>
        <w:t>roactive initiatives</w:t>
      </w:r>
      <w:r w:rsidR="00EC33CB" w:rsidRPr="008C35AD">
        <w:rPr>
          <w:color w:val="262626"/>
        </w:rPr>
        <w:t xml:space="preserve"> include</w:t>
      </w:r>
      <w:r w:rsidR="00C23974" w:rsidRPr="008C35AD">
        <w:rPr>
          <w:color w:val="262626"/>
        </w:rPr>
        <w:t xml:space="preserve"> establishment of a</w:t>
      </w:r>
      <w:r w:rsidR="00BA6ED4" w:rsidRPr="008C35AD">
        <w:rPr>
          <w:color w:val="262626"/>
        </w:rPr>
        <w:t>n</w:t>
      </w:r>
      <w:r w:rsidR="00C23974" w:rsidRPr="008C35AD">
        <w:rPr>
          <w:color w:val="262626"/>
        </w:rPr>
        <w:t xml:space="preserve"> Equity of Access</w:t>
      </w:r>
      <w:r w:rsidR="00C23974" w:rsidRPr="00EA76FF">
        <w:rPr>
          <w:color w:val="262626"/>
        </w:rPr>
        <w:t xml:space="preserve"> Fund, </w:t>
      </w:r>
      <w:r w:rsidR="00EC33CB" w:rsidRPr="00EA76FF">
        <w:rPr>
          <w:color w:val="262626"/>
        </w:rPr>
        <w:t xml:space="preserve">to provide support to </w:t>
      </w:r>
      <w:r w:rsidR="00C23974" w:rsidRPr="00EA76FF">
        <w:rPr>
          <w:color w:val="262626"/>
        </w:rPr>
        <w:t xml:space="preserve">people with disability </w:t>
      </w:r>
      <w:r w:rsidR="003565C7" w:rsidRPr="00EA76FF">
        <w:rPr>
          <w:color w:val="262626"/>
        </w:rPr>
        <w:t>involving</w:t>
      </w:r>
      <w:r w:rsidR="00C23974" w:rsidRPr="00EA76FF">
        <w:rPr>
          <w:color w:val="262626"/>
        </w:rPr>
        <w:t>:</w:t>
      </w:r>
      <w:r w:rsidR="00BA6ED4">
        <w:rPr>
          <w:color w:val="262626"/>
        </w:rPr>
        <w:t xml:space="preserve"> </w:t>
      </w:r>
      <w:r w:rsidR="00C23974" w:rsidRPr="00EA76FF">
        <w:rPr>
          <w:color w:val="262626"/>
        </w:rPr>
        <w:t xml:space="preserve">access to assistive technologies; additional access to ELT; provision of extra tutorial support; funding for carers, and accessible travel and accommodation within Australia. </w:t>
      </w:r>
    </w:p>
    <w:p w14:paraId="5B0DAFE7" w14:textId="66F00CE9" w:rsidR="00017F4E" w:rsidRDefault="008C35AD" w:rsidP="00C227BA">
      <w:pPr>
        <w:widowControl w:val="0"/>
        <w:autoSpaceDE w:val="0"/>
        <w:autoSpaceDN w:val="0"/>
        <w:adjustRightInd w:val="0"/>
        <w:spacing w:before="120" w:after="120"/>
        <w:rPr>
          <w:rFonts w:eastAsiaTheme="minorHAnsi"/>
          <w:color w:val="000000"/>
        </w:rPr>
      </w:pPr>
      <w:r>
        <w:t>An</w:t>
      </w:r>
      <w:r w:rsidR="00C23974" w:rsidRPr="00EA76FF">
        <w:t xml:space="preserve"> Equity of Access </w:t>
      </w:r>
      <w:r>
        <w:t>initiative</w:t>
      </w:r>
      <w:r w:rsidR="00C23974" w:rsidRPr="00EA76FF">
        <w:t xml:space="preserve"> is providing </w:t>
      </w:r>
      <w:r w:rsidR="00A35C40">
        <w:t>greater access for people with disability and rural disadvantaged to scholarship and alumni opportunities. It has produced effective</w:t>
      </w:r>
      <w:r w:rsidR="00C23974" w:rsidRPr="00EA76FF">
        <w:t xml:space="preserve"> outcomes, as evidenced by the gradual increase/ stability in the number of applicants and awardees who have identified as having a disability: from two applicants/two awardees in 2012, sixteen applicants/eight awardees in 2013, and nineteen applicants/seven awardees in 2014</w:t>
      </w:r>
      <w:r w:rsidR="00C23974" w:rsidRPr="00B5326E">
        <w:t>.</w:t>
      </w:r>
      <w:r w:rsidR="00C23974" w:rsidRPr="00B5326E">
        <w:rPr>
          <w:rFonts w:eastAsiaTheme="minorHAnsi"/>
          <w:color w:val="000000"/>
        </w:rPr>
        <w:t xml:space="preserve"> </w:t>
      </w:r>
    </w:p>
    <w:p w14:paraId="450B51D5" w14:textId="4CE24F87" w:rsidR="00120B36" w:rsidRPr="00EA76FF" w:rsidRDefault="006D2FBE" w:rsidP="00AB175B">
      <w:pPr>
        <w:widowControl w:val="0"/>
        <w:autoSpaceDE w:val="0"/>
        <w:autoSpaceDN w:val="0"/>
        <w:adjustRightInd w:val="0"/>
        <w:spacing w:before="120" w:after="120"/>
        <w:rPr>
          <w:color w:val="262626"/>
        </w:rPr>
      </w:pPr>
      <w:r>
        <w:rPr>
          <w:color w:val="262626"/>
        </w:rPr>
        <w:t xml:space="preserve">DFAT Scholarships Branch (SCB) </w:t>
      </w:r>
      <w:r w:rsidR="00C71FCE">
        <w:rPr>
          <w:color w:val="262626"/>
        </w:rPr>
        <w:t>is responsible for</w:t>
      </w:r>
      <w:r w:rsidRPr="006D2FBE">
        <w:rPr>
          <w:color w:val="262626"/>
        </w:rPr>
        <w:t xml:space="preserve"> overarching p</w:t>
      </w:r>
      <w:r>
        <w:rPr>
          <w:color w:val="262626"/>
        </w:rPr>
        <w:t xml:space="preserve">olicy guidance for delivery of Australia Awards </w:t>
      </w:r>
      <w:r w:rsidRPr="006D2FBE">
        <w:rPr>
          <w:color w:val="262626"/>
        </w:rPr>
        <w:t>program</w:t>
      </w:r>
      <w:r>
        <w:rPr>
          <w:color w:val="262626"/>
        </w:rPr>
        <w:t xml:space="preserve">s globally; the </w:t>
      </w:r>
      <w:r w:rsidR="001129B6">
        <w:rPr>
          <w:color w:val="262626"/>
        </w:rPr>
        <w:t>Program</w:t>
      </w:r>
      <w:r w:rsidR="00B12B9E">
        <w:rPr>
          <w:color w:val="262626"/>
        </w:rPr>
        <w:t xml:space="preserve"> </w:t>
      </w:r>
      <w:r>
        <w:rPr>
          <w:color w:val="262626"/>
        </w:rPr>
        <w:t>Contractor</w:t>
      </w:r>
      <w:r w:rsidR="0077298B">
        <w:rPr>
          <w:color w:val="262626"/>
        </w:rPr>
        <w:t xml:space="preserve"> </w:t>
      </w:r>
      <w:r w:rsidRPr="006D2FBE">
        <w:rPr>
          <w:color w:val="262626"/>
        </w:rPr>
        <w:t xml:space="preserve">will need to comply with </w:t>
      </w:r>
      <w:r w:rsidR="00B12B9E">
        <w:rPr>
          <w:color w:val="262626"/>
        </w:rPr>
        <w:t>all</w:t>
      </w:r>
      <w:r>
        <w:rPr>
          <w:color w:val="262626"/>
        </w:rPr>
        <w:t xml:space="preserve"> policies</w:t>
      </w:r>
      <w:r w:rsidR="00B12B9E">
        <w:rPr>
          <w:color w:val="262626"/>
        </w:rPr>
        <w:t xml:space="preserve"> current at the time</w:t>
      </w:r>
      <w:r>
        <w:rPr>
          <w:color w:val="262626"/>
        </w:rPr>
        <w:t xml:space="preserve"> </w:t>
      </w:r>
      <w:r w:rsidRPr="006D2FBE">
        <w:rPr>
          <w:color w:val="262626"/>
        </w:rPr>
        <w:t>(e.g. Program Logic, Scholarships Handbook</w:t>
      </w:r>
      <w:r>
        <w:rPr>
          <w:color w:val="262626"/>
        </w:rPr>
        <w:t>, Global M&amp;E Framework</w:t>
      </w:r>
      <w:r w:rsidRPr="006D2FBE">
        <w:rPr>
          <w:color w:val="262626"/>
        </w:rPr>
        <w:t>)</w:t>
      </w:r>
      <w:r w:rsidR="00550509">
        <w:rPr>
          <w:color w:val="262626"/>
        </w:rPr>
        <w:t xml:space="preserve"> and respond </w:t>
      </w:r>
      <w:r w:rsidR="0077298B">
        <w:rPr>
          <w:color w:val="262626"/>
        </w:rPr>
        <w:t xml:space="preserve">in a timely and appropriate way </w:t>
      </w:r>
      <w:r w:rsidR="00550509">
        <w:rPr>
          <w:color w:val="262626"/>
        </w:rPr>
        <w:t>to any policy changes.</w:t>
      </w:r>
      <w:r w:rsidR="0077298B">
        <w:rPr>
          <w:color w:val="262626"/>
        </w:rPr>
        <w:t xml:space="preserve"> </w:t>
      </w:r>
    </w:p>
    <w:p w14:paraId="6B42349B" w14:textId="0E9BCEE4" w:rsidR="002E33C6" w:rsidRPr="009D099A" w:rsidRDefault="002E33C6" w:rsidP="00C227BA">
      <w:pPr>
        <w:pStyle w:val="Heading3"/>
        <w:spacing w:before="120"/>
        <w:rPr>
          <w:rFonts w:asciiTheme="minorHAnsi" w:hAnsiTheme="minorHAnsi"/>
          <w:i/>
          <w:color w:val="4F81BD" w:themeColor="accent1"/>
          <w:sz w:val="24"/>
          <w:szCs w:val="24"/>
        </w:rPr>
      </w:pPr>
      <w:r w:rsidRPr="009D099A">
        <w:rPr>
          <w:rFonts w:asciiTheme="minorHAnsi" w:hAnsiTheme="minorHAnsi"/>
          <w:i/>
          <w:color w:val="4F81BD" w:themeColor="accent1"/>
          <w:sz w:val="24"/>
          <w:szCs w:val="24"/>
        </w:rPr>
        <w:t>Global and Other Programs</w:t>
      </w:r>
    </w:p>
    <w:p w14:paraId="65E90D6D" w14:textId="7B53A124" w:rsidR="002E33C6" w:rsidRPr="00EA76FF" w:rsidRDefault="002E33C6" w:rsidP="00C227BA">
      <w:pPr>
        <w:widowControl w:val="0"/>
        <w:autoSpaceDE w:val="0"/>
        <w:autoSpaceDN w:val="0"/>
        <w:adjustRightInd w:val="0"/>
        <w:spacing w:before="120" w:after="120"/>
        <w:rPr>
          <w:color w:val="262626"/>
        </w:rPr>
      </w:pPr>
      <w:r w:rsidRPr="00EA76FF">
        <w:rPr>
          <w:color w:val="262626"/>
        </w:rPr>
        <w:t>Australia Awards Fellowships (AAF), Australia Awards provided through the Department of Education</w:t>
      </w:r>
      <w:r w:rsidR="00A35C40">
        <w:rPr>
          <w:color w:val="262626"/>
        </w:rPr>
        <w:t xml:space="preserve"> and Training</w:t>
      </w:r>
      <w:r w:rsidRPr="00EA76FF">
        <w:rPr>
          <w:color w:val="262626"/>
        </w:rPr>
        <w:t xml:space="preserve"> (Endeavour Awards) and ACIAR </w:t>
      </w:r>
      <w:r w:rsidR="00234EB5" w:rsidRPr="00EA76FF">
        <w:rPr>
          <w:color w:val="262626"/>
        </w:rPr>
        <w:t>are globally competitive. AAF are funded and managed centrally by DFAT, as are</w:t>
      </w:r>
      <w:r w:rsidRPr="00EA76FF">
        <w:rPr>
          <w:color w:val="262626"/>
        </w:rPr>
        <w:t xml:space="preserve"> other HRD programs including Australian Volunteers </w:t>
      </w:r>
      <w:r w:rsidR="001C3DC2" w:rsidRPr="00EA76FF">
        <w:rPr>
          <w:color w:val="262626"/>
        </w:rPr>
        <w:t xml:space="preserve">for </w:t>
      </w:r>
      <w:r w:rsidRPr="00EA76FF">
        <w:rPr>
          <w:color w:val="262626"/>
        </w:rPr>
        <w:t xml:space="preserve">International Development (AVID), and </w:t>
      </w:r>
      <w:r w:rsidR="0077298B">
        <w:rPr>
          <w:color w:val="262626"/>
        </w:rPr>
        <w:t xml:space="preserve">the </w:t>
      </w:r>
      <w:r w:rsidRPr="00EA76FF">
        <w:rPr>
          <w:color w:val="262626"/>
        </w:rPr>
        <w:t xml:space="preserve">New Colombo Plan. </w:t>
      </w:r>
    </w:p>
    <w:p w14:paraId="14D96CB9" w14:textId="752629B3" w:rsidR="002E33C6" w:rsidRPr="0077298B" w:rsidRDefault="002E33C6" w:rsidP="00C227BA">
      <w:pPr>
        <w:widowControl w:val="0"/>
        <w:autoSpaceDE w:val="0"/>
        <w:autoSpaceDN w:val="0"/>
        <w:adjustRightInd w:val="0"/>
        <w:spacing w:before="120" w:after="120"/>
        <w:rPr>
          <w:color w:val="262626"/>
        </w:rPr>
      </w:pPr>
      <w:r w:rsidRPr="00EA76FF">
        <w:rPr>
          <w:color w:val="262626"/>
        </w:rPr>
        <w:t xml:space="preserve">Vietnam has </w:t>
      </w:r>
      <w:r w:rsidR="008C2133" w:rsidRPr="00EA76FF">
        <w:rPr>
          <w:color w:val="262626"/>
        </w:rPr>
        <w:t xml:space="preserve">also </w:t>
      </w:r>
      <w:r w:rsidRPr="00EA76FF">
        <w:rPr>
          <w:color w:val="262626"/>
        </w:rPr>
        <w:t xml:space="preserve">been successful in accessing an average of more than 70 </w:t>
      </w:r>
      <w:r w:rsidR="00234EB5" w:rsidRPr="00EA76FF">
        <w:rPr>
          <w:color w:val="262626"/>
        </w:rPr>
        <w:t>Australia Award</w:t>
      </w:r>
      <w:r w:rsidR="009A69D5">
        <w:rPr>
          <w:color w:val="262626"/>
        </w:rPr>
        <w:t>s</w:t>
      </w:r>
      <w:r w:rsidR="00234EB5" w:rsidRPr="00EA76FF">
        <w:rPr>
          <w:color w:val="262626"/>
        </w:rPr>
        <w:t xml:space="preserve"> Fellowships (AAF)</w:t>
      </w:r>
      <w:r w:rsidRPr="00EA76FF">
        <w:rPr>
          <w:color w:val="262626"/>
        </w:rPr>
        <w:t xml:space="preserve"> in each </w:t>
      </w:r>
      <w:r w:rsidR="004132CF">
        <w:rPr>
          <w:color w:val="262626"/>
        </w:rPr>
        <w:t>round from June 2007 (Annex 6</w:t>
      </w:r>
      <w:r w:rsidR="00CC1D99" w:rsidRPr="00EA76FF">
        <w:rPr>
          <w:color w:val="262626"/>
        </w:rPr>
        <w:t xml:space="preserve">). </w:t>
      </w:r>
      <w:r w:rsidRPr="00EA76FF">
        <w:rPr>
          <w:color w:val="262626"/>
        </w:rPr>
        <w:t xml:space="preserve">In the most recent round (#14), Vietnam was awarded a total of 160 AAFs. </w:t>
      </w:r>
      <w:r w:rsidR="003373D5" w:rsidRPr="00EA76FF">
        <w:rPr>
          <w:color w:val="262626"/>
        </w:rPr>
        <w:t xml:space="preserve">Australian institutions initiate the </w:t>
      </w:r>
      <w:r w:rsidR="001C1712" w:rsidRPr="00EA76FF">
        <w:rPr>
          <w:color w:val="262626"/>
        </w:rPr>
        <w:t>Fellowships, which</w:t>
      </w:r>
      <w:r w:rsidR="003373D5" w:rsidRPr="00EA76FF">
        <w:rPr>
          <w:color w:val="262626"/>
        </w:rPr>
        <w:t xml:space="preserve"> </w:t>
      </w:r>
      <w:r w:rsidRPr="00EA76FF">
        <w:rPr>
          <w:color w:val="262626"/>
        </w:rPr>
        <w:t xml:space="preserve">provide flexible short-term opportunities for in-Australia study, research and professional development with an Australian partner, but do not </w:t>
      </w:r>
      <w:r w:rsidR="00153271" w:rsidRPr="00EA76FF">
        <w:rPr>
          <w:color w:val="262626"/>
        </w:rPr>
        <w:t xml:space="preserve">necessarily </w:t>
      </w:r>
      <w:r w:rsidRPr="00EA76FF">
        <w:rPr>
          <w:color w:val="262626"/>
        </w:rPr>
        <w:t xml:space="preserve">lead to </w:t>
      </w:r>
      <w:r w:rsidR="00153271" w:rsidRPr="00EA76FF">
        <w:rPr>
          <w:color w:val="262626"/>
        </w:rPr>
        <w:t xml:space="preserve">formal </w:t>
      </w:r>
      <w:r w:rsidRPr="00EA76FF">
        <w:rPr>
          <w:color w:val="262626"/>
        </w:rPr>
        <w:t xml:space="preserve">academic qualifications. </w:t>
      </w:r>
      <w:r w:rsidR="003373D5" w:rsidRPr="00EA76FF">
        <w:rPr>
          <w:color w:val="262626"/>
        </w:rPr>
        <w:t>Since inception of the scheme in mid-2007, more than 1000 Vietnamese have received Australia Awards Fellowships (involving equal numbers of male and female participants). G</w:t>
      </w:r>
      <w:r w:rsidRPr="00EA76FF">
        <w:rPr>
          <w:color w:val="262626"/>
        </w:rPr>
        <w:t xml:space="preserve">raduates are considered Australia Awards alumni. </w:t>
      </w:r>
      <w:r w:rsidR="001C1712" w:rsidRPr="00EA76FF">
        <w:rPr>
          <w:color w:val="262626"/>
        </w:rPr>
        <w:t>AAF participants have come from</w:t>
      </w:r>
      <w:r w:rsidRPr="00EA76FF">
        <w:rPr>
          <w:color w:val="262626"/>
        </w:rPr>
        <w:t xml:space="preserve"> over 150 </w:t>
      </w:r>
      <w:r w:rsidR="001C1712" w:rsidRPr="00EA76FF">
        <w:rPr>
          <w:color w:val="262626"/>
        </w:rPr>
        <w:t xml:space="preserve">Vietnamese </w:t>
      </w:r>
      <w:r w:rsidRPr="00EA76FF">
        <w:rPr>
          <w:color w:val="262626"/>
        </w:rPr>
        <w:t xml:space="preserve">organisations, </w:t>
      </w:r>
      <w:r w:rsidR="001C1712" w:rsidRPr="00EA76FF">
        <w:rPr>
          <w:color w:val="262626"/>
        </w:rPr>
        <w:t>with the majority from</w:t>
      </w:r>
      <w:r w:rsidR="00D028B2" w:rsidRPr="00EA76FF">
        <w:rPr>
          <w:color w:val="262626"/>
        </w:rPr>
        <w:t xml:space="preserve"> </w:t>
      </w:r>
      <w:r w:rsidRPr="00EA76FF">
        <w:rPr>
          <w:color w:val="262626"/>
        </w:rPr>
        <w:t>university/ research institutions</w:t>
      </w:r>
      <w:r w:rsidRPr="00EA76FF">
        <w:t xml:space="preserve"> (around 40 per cent), government (around 30 per cent), and hospitals (around 20 per cent). However, to date, Fellowship awards have not always been aligned with the Vietnam country program priorities. </w:t>
      </w:r>
    </w:p>
    <w:p w14:paraId="48493FA5" w14:textId="5807FE08" w:rsidR="002E33C6" w:rsidRPr="009D099A" w:rsidRDefault="002E33C6" w:rsidP="00C227BA">
      <w:pPr>
        <w:pStyle w:val="Heading3"/>
        <w:spacing w:before="120"/>
        <w:rPr>
          <w:rFonts w:asciiTheme="minorHAnsi" w:hAnsiTheme="minorHAnsi"/>
          <w:i/>
          <w:color w:val="4F81BD" w:themeColor="accent1"/>
          <w:sz w:val="24"/>
          <w:szCs w:val="24"/>
        </w:rPr>
      </w:pPr>
      <w:r w:rsidRPr="009D099A">
        <w:rPr>
          <w:rFonts w:asciiTheme="minorHAnsi" w:hAnsiTheme="minorHAnsi"/>
          <w:i/>
          <w:color w:val="4F81BD" w:themeColor="accent1"/>
          <w:sz w:val="24"/>
          <w:szCs w:val="24"/>
        </w:rPr>
        <w:t>Alumni</w:t>
      </w:r>
    </w:p>
    <w:p w14:paraId="3D1B7FB3" w14:textId="68A77DBA" w:rsidR="002E33C6" w:rsidRPr="00EA76FF" w:rsidRDefault="002E33C6" w:rsidP="00C227BA">
      <w:pPr>
        <w:widowControl w:val="0"/>
        <w:autoSpaceDE w:val="0"/>
        <w:autoSpaceDN w:val="0"/>
        <w:adjustRightInd w:val="0"/>
        <w:spacing w:before="120" w:after="120"/>
        <w:rPr>
          <w:color w:val="262626"/>
        </w:rPr>
      </w:pPr>
      <w:r w:rsidRPr="00EA76FF">
        <w:rPr>
          <w:color w:val="262626"/>
        </w:rPr>
        <w:t xml:space="preserve">Since </w:t>
      </w:r>
      <w:r w:rsidR="00B92A99" w:rsidRPr="00EA76FF">
        <w:rPr>
          <w:color w:val="262626"/>
        </w:rPr>
        <w:t>1975</w:t>
      </w:r>
      <w:r w:rsidR="005B143A" w:rsidRPr="00EA76FF">
        <w:rPr>
          <w:color w:val="262626"/>
        </w:rPr>
        <w:t>,</w:t>
      </w:r>
      <w:r w:rsidRPr="00EA76FF">
        <w:rPr>
          <w:color w:val="262626"/>
        </w:rPr>
        <w:t xml:space="preserve"> approximately 4000 Australian scholarship awardees have returned to Vietnam after successfully completing their tertiary studies in Australia. Perhaps another 40,000 alumni have been privately funded</w:t>
      </w:r>
      <w:r w:rsidR="0040796F">
        <w:rPr>
          <w:rStyle w:val="FootnoteReference"/>
          <w:color w:val="262626"/>
        </w:rPr>
        <w:footnoteReference w:id="14"/>
      </w:r>
      <w:r w:rsidRPr="00EA76FF">
        <w:rPr>
          <w:color w:val="262626"/>
        </w:rPr>
        <w:t>.</w:t>
      </w:r>
    </w:p>
    <w:p w14:paraId="541AA7E5" w14:textId="2111D898" w:rsidR="004132CF" w:rsidRDefault="00A45050" w:rsidP="00C227BA">
      <w:pPr>
        <w:widowControl w:val="0"/>
        <w:autoSpaceDE w:val="0"/>
        <w:autoSpaceDN w:val="0"/>
        <w:adjustRightInd w:val="0"/>
        <w:spacing w:before="120" w:after="120"/>
        <w:rPr>
          <w:color w:val="262626"/>
        </w:rPr>
      </w:pPr>
      <w:r w:rsidRPr="00EA76FF">
        <w:rPr>
          <w:color w:val="262626"/>
        </w:rPr>
        <w:t>A</w:t>
      </w:r>
      <w:r w:rsidR="002E33C6" w:rsidRPr="00EA76FF">
        <w:rPr>
          <w:color w:val="262626"/>
        </w:rPr>
        <w:t xml:space="preserve">ll current alumni-support activities managed by the Australia Awards </w:t>
      </w:r>
      <w:r w:rsidR="00B373D8" w:rsidRPr="00EA76FF">
        <w:rPr>
          <w:color w:val="262626"/>
        </w:rPr>
        <w:t xml:space="preserve">Scholarship </w:t>
      </w:r>
      <w:r w:rsidR="002E33C6" w:rsidRPr="00EA76FF">
        <w:rPr>
          <w:color w:val="262626"/>
        </w:rPr>
        <w:t>Vietnam program align with one or more of the 16 “Tools to support engagement with alumni”</w:t>
      </w:r>
      <w:r w:rsidRPr="00B5326E">
        <w:rPr>
          <w:color w:val="262626"/>
        </w:rPr>
        <w:t xml:space="preserve">. </w:t>
      </w:r>
    </w:p>
    <w:p w14:paraId="6109B0E4" w14:textId="168C0A71" w:rsidR="002E33C6" w:rsidRPr="00B5326E" w:rsidRDefault="00A35C40" w:rsidP="00C227BA">
      <w:pPr>
        <w:widowControl w:val="0"/>
        <w:autoSpaceDE w:val="0"/>
        <w:autoSpaceDN w:val="0"/>
        <w:adjustRightInd w:val="0"/>
        <w:spacing w:before="120" w:after="120"/>
        <w:rPr>
          <w:color w:val="262626"/>
        </w:rPr>
      </w:pPr>
      <w:r>
        <w:rPr>
          <w:color w:val="262626"/>
        </w:rPr>
        <w:t xml:space="preserve">The challenge in Vietnam is to </w:t>
      </w:r>
      <w:r w:rsidR="005832C6">
        <w:rPr>
          <w:color w:val="262626"/>
        </w:rPr>
        <w:t xml:space="preserve">transition to enhanced alumni demand and ownership to improve efficiency and sustainability of Australia’s support and engagement. </w:t>
      </w:r>
    </w:p>
    <w:p w14:paraId="5F400A25" w14:textId="77777777" w:rsidR="002E33C6" w:rsidRPr="00F05667" w:rsidRDefault="002E33C6" w:rsidP="00C227BA">
      <w:pPr>
        <w:widowControl w:val="0"/>
        <w:autoSpaceDE w:val="0"/>
        <w:autoSpaceDN w:val="0"/>
        <w:adjustRightInd w:val="0"/>
        <w:spacing w:before="120" w:after="120"/>
        <w:rPr>
          <w:b/>
          <w:i/>
          <w:color w:val="4F81BD" w:themeColor="accent1"/>
        </w:rPr>
      </w:pPr>
      <w:r w:rsidRPr="00F05667">
        <w:rPr>
          <w:b/>
          <w:i/>
          <w:color w:val="4F81BD" w:themeColor="accent1"/>
        </w:rPr>
        <w:t>Alumni Tracer Studies</w:t>
      </w:r>
    </w:p>
    <w:p w14:paraId="18E5E304" w14:textId="15795DA1" w:rsidR="002E33C6" w:rsidRPr="00EA76FF" w:rsidRDefault="002E33C6" w:rsidP="00C227BA">
      <w:pPr>
        <w:widowControl w:val="0"/>
        <w:autoSpaceDE w:val="0"/>
        <w:autoSpaceDN w:val="0"/>
        <w:adjustRightInd w:val="0"/>
        <w:spacing w:before="120" w:after="120"/>
        <w:rPr>
          <w:color w:val="262626"/>
        </w:rPr>
      </w:pPr>
      <w:r w:rsidRPr="00EA76FF">
        <w:rPr>
          <w:color w:val="262626"/>
        </w:rPr>
        <w:t xml:space="preserve">The </w:t>
      </w:r>
      <w:r w:rsidRPr="00EA76FF">
        <w:rPr>
          <w:i/>
          <w:color w:val="262626"/>
        </w:rPr>
        <w:t>2011 Tracer Study</w:t>
      </w:r>
      <w:r w:rsidRPr="00EA76FF">
        <w:rPr>
          <w:color w:val="262626"/>
        </w:rPr>
        <w:t xml:space="preserve"> of Australia Awards</w:t>
      </w:r>
      <w:r w:rsidRPr="00B5326E">
        <w:rPr>
          <w:rStyle w:val="FootnoteReference"/>
          <w:color w:val="262626"/>
        </w:rPr>
        <w:footnoteReference w:id="15"/>
      </w:r>
      <w:r w:rsidRPr="00B5326E">
        <w:rPr>
          <w:color w:val="262626"/>
        </w:rPr>
        <w:t xml:space="preserve"> found that in aggregate terms, almost all scholarship awardees were p</w:t>
      </w:r>
      <w:r w:rsidRPr="003B74ED">
        <w:rPr>
          <w:color w:val="262626"/>
        </w:rPr>
        <w:t>laced in study programs in Australia relevant to their areas of work; about 97 per cent of them were successful in their studies. After graduating, almost 90 per cent of alumni returned to live and work in Vietnam after completing the</w:t>
      </w:r>
      <w:r w:rsidR="004132CF">
        <w:rPr>
          <w:color w:val="262626"/>
        </w:rPr>
        <w:t>ir</w:t>
      </w:r>
      <w:r w:rsidRPr="003B74ED">
        <w:rPr>
          <w:color w:val="262626"/>
        </w:rPr>
        <w:t xml:space="preserve"> degrees. More than 90</w:t>
      </w:r>
      <w:r w:rsidRPr="00EA76FF">
        <w:rPr>
          <w:color w:val="262626"/>
        </w:rPr>
        <w:t xml:space="preserve"> per cent of returning alumni worked in areas relevant to their studies, and almost two-thirds returned to their previous employer. </w:t>
      </w:r>
    </w:p>
    <w:p w14:paraId="0A99F0AE" w14:textId="27D85B71" w:rsidR="002E33C6" w:rsidRPr="00EA76FF" w:rsidRDefault="002E33C6" w:rsidP="00C227BA">
      <w:pPr>
        <w:widowControl w:val="0"/>
        <w:autoSpaceDE w:val="0"/>
        <w:autoSpaceDN w:val="0"/>
        <w:adjustRightInd w:val="0"/>
        <w:spacing w:before="120" w:after="120"/>
      </w:pPr>
      <w:r w:rsidRPr="00EA76FF">
        <w:t xml:space="preserve">About 80 per cent of returning alumni reported they were able to use their new skills in the workplace; 62 per cent transferred some of what they learnt to their colleagues; and 72 per cent reported having helped to improve their organisation. </w:t>
      </w:r>
      <w:r w:rsidR="00B64C03" w:rsidRPr="009A69D5">
        <w:t>No significant differences were reported between men and women.</w:t>
      </w:r>
    </w:p>
    <w:p w14:paraId="7990AAE7" w14:textId="7C3D4C33" w:rsidR="00E81FF4" w:rsidRPr="00EA76FF" w:rsidRDefault="00F14DBC" w:rsidP="00C227BA">
      <w:pPr>
        <w:widowControl w:val="0"/>
        <w:autoSpaceDE w:val="0"/>
        <w:autoSpaceDN w:val="0"/>
        <w:adjustRightInd w:val="0"/>
        <w:spacing w:before="120" w:after="120"/>
        <w:rPr>
          <w:color w:val="262626"/>
        </w:rPr>
      </w:pPr>
      <w:r w:rsidRPr="00EA76FF">
        <w:rPr>
          <w:color w:val="262626"/>
        </w:rPr>
        <w:t>Overall, t</w:t>
      </w:r>
      <w:r w:rsidR="002E33C6" w:rsidRPr="00EA76FF">
        <w:rPr>
          <w:color w:val="262626"/>
        </w:rPr>
        <w:t xml:space="preserve">he 2011 Tracer Study </w:t>
      </w:r>
      <w:r w:rsidRPr="00EA76FF">
        <w:rPr>
          <w:color w:val="262626"/>
        </w:rPr>
        <w:t>confirmed</w:t>
      </w:r>
      <w:r w:rsidR="002E33C6" w:rsidRPr="00EA76FF">
        <w:rPr>
          <w:color w:val="262626"/>
        </w:rPr>
        <w:t xml:space="preserve"> the results of the 2011 Mid-Term Review of the (then ASDIV) program, </w:t>
      </w:r>
      <w:r w:rsidRPr="00EA76FF">
        <w:rPr>
          <w:color w:val="262626"/>
        </w:rPr>
        <w:t xml:space="preserve">that </w:t>
      </w:r>
      <w:r w:rsidR="002E33C6" w:rsidRPr="00EA76FF">
        <w:rPr>
          <w:color w:val="262626"/>
        </w:rPr>
        <w:t xml:space="preserve">the </w:t>
      </w:r>
      <w:r w:rsidRPr="00EA76FF">
        <w:rPr>
          <w:color w:val="262626"/>
        </w:rPr>
        <w:t xml:space="preserve">Australia </w:t>
      </w:r>
      <w:r w:rsidR="002E33C6" w:rsidRPr="00EA76FF">
        <w:rPr>
          <w:color w:val="262626"/>
        </w:rPr>
        <w:t xml:space="preserve">Awards </w:t>
      </w:r>
      <w:r w:rsidRPr="00EA76FF">
        <w:rPr>
          <w:color w:val="262626"/>
        </w:rPr>
        <w:t>Scholarship</w:t>
      </w:r>
      <w:r w:rsidR="009A69D5">
        <w:rPr>
          <w:color w:val="262626"/>
        </w:rPr>
        <w:t>s</w:t>
      </w:r>
      <w:r w:rsidRPr="00EA76FF">
        <w:rPr>
          <w:color w:val="262626"/>
        </w:rPr>
        <w:t xml:space="preserve"> </w:t>
      </w:r>
      <w:r w:rsidR="00BB7898" w:rsidRPr="00EA76FF">
        <w:rPr>
          <w:color w:val="262626"/>
        </w:rPr>
        <w:t xml:space="preserve">(AAS) </w:t>
      </w:r>
      <w:r w:rsidR="002E33C6" w:rsidRPr="00EA76FF">
        <w:rPr>
          <w:color w:val="262626"/>
        </w:rPr>
        <w:t>program</w:t>
      </w:r>
      <w:r w:rsidR="00BB7898" w:rsidRPr="00EA76FF">
        <w:rPr>
          <w:color w:val="262626"/>
        </w:rPr>
        <w:t xml:space="preserve">, </w:t>
      </w:r>
      <w:r w:rsidRPr="00EA76FF">
        <w:rPr>
          <w:color w:val="262626"/>
        </w:rPr>
        <w:t>and Australia Award</w:t>
      </w:r>
      <w:r w:rsidR="006653F0">
        <w:rPr>
          <w:color w:val="262626"/>
        </w:rPr>
        <w:t>s</w:t>
      </w:r>
      <w:r w:rsidRPr="00EA76FF">
        <w:rPr>
          <w:color w:val="262626"/>
        </w:rPr>
        <w:t xml:space="preserve"> Fellowships (AAF)</w:t>
      </w:r>
      <w:r w:rsidR="00BB7898" w:rsidRPr="00EA76FF">
        <w:rPr>
          <w:color w:val="262626"/>
        </w:rPr>
        <w:t xml:space="preserve"> program</w:t>
      </w:r>
      <w:r w:rsidRPr="00EA76FF">
        <w:rPr>
          <w:color w:val="262626"/>
        </w:rPr>
        <w:t xml:space="preserve"> were </w:t>
      </w:r>
      <w:r w:rsidR="00BB7898" w:rsidRPr="00EA76FF">
        <w:rPr>
          <w:color w:val="262626"/>
        </w:rPr>
        <w:t>on track to produce an expanded group of Vietnamese graduates with relevant professional and technical skills.</w:t>
      </w:r>
    </w:p>
    <w:p w14:paraId="6A691790" w14:textId="77777777" w:rsidR="002E33C6" w:rsidRPr="00EA76FF" w:rsidRDefault="002E33C6" w:rsidP="00C227BA">
      <w:pPr>
        <w:widowControl w:val="0"/>
        <w:autoSpaceDE w:val="0"/>
        <w:autoSpaceDN w:val="0"/>
        <w:adjustRightInd w:val="0"/>
        <w:spacing w:before="120" w:after="120"/>
        <w:rPr>
          <w:color w:val="262626"/>
        </w:rPr>
      </w:pPr>
      <w:r w:rsidRPr="00EA76FF">
        <w:rPr>
          <w:color w:val="262626"/>
        </w:rPr>
        <w:t>In 2011, about 80 per cent of alumni had maintained linkages with Australians and other alumni since returning to Vietnam. Some alumni filled prominent government positions in Vietnam, with expected benefits to bilateral relations with Australia.</w:t>
      </w:r>
    </w:p>
    <w:p w14:paraId="07AB47CB" w14:textId="77777777" w:rsidR="00B64C03" w:rsidRPr="009A69D5" w:rsidRDefault="002E33C6" w:rsidP="00C227BA">
      <w:pPr>
        <w:widowControl w:val="0"/>
        <w:autoSpaceDE w:val="0"/>
        <w:autoSpaceDN w:val="0"/>
        <w:adjustRightInd w:val="0"/>
        <w:spacing w:before="120" w:after="120"/>
        <w:rPr>
          <w:color w:val="262626"/>
        </w:rPr>
      </w:pPr>
      <w:r w:rsidRPr="00EA76FF">
        <w:rPr>
          <w:color w:val="262626"/>
        </w:rPr>
        <w:t xml:space="preserve">The </w:t>
      </w:r>
      <w:r w:rsidRPr="00EA76FF">
        <w:rPr>
          <w:i/>
          <w:color w:val="262626"/>
        </w:rPr>
        <w:t>2014 Tracer Study</w:t>
      </w:r>
      <w:r w:rsidRPr="00B5326E">
        <w:rPr>
          <w:rStyle w:val="FootnoteReference"/>
          <w:color w:val="262626"/>
        </w:rPr>
        <w:footnoteReference w:id="16"/>
      </w:r>
      <w:r w:rsidRPr="00B5326E">
        <w:rPr>
          <w:color w:val="262626"/>
        </w:rPr>
        <w:t xml:space="preserve"> involved an electronic survey distributed to almost 2,400 alumni who returned from 1998 to 2012. About one-third of recipients completed the survey. Most respondents reported making important contributions to HRD, management systems, work procedures, prog</w:t>
      </w:r>
      <w:r w:rsidRPr="003B74ED">
        <w:rPr>
          <w:color w:val="262626"/>
        </w:rPr>
        <w:t>rams or policies in their organisations; receiving support from supervisors; and significant career progress – which was reflected in promotions, higher salaries, greater responsibility or increased staff supervision responsibilities. However, in most inst</w:t>
      </w:r>
      <w:r w:rsidRPr="00EA76FF">
        <w:rPr>
          <w:color w:val="262626"/>
        </w:rPr>
        <w:t xml:space="preserve">ances men fared better than women. </w:t>
      </w:r>
      <w:r w:rsidR="00B64C03" w:rsidRPr="009A69D5">
        <w:rPr>
          <w:color w:val="262626"/>
        </w:rPr>
        <w:t xml:space="preserve">The following gender gaps were noted: </w:t>
      </w:r>
    </w:p>
    <w:p w14:paraId="50EDD9A9" w14:textId="77777777" w:rsidR="00B64C03" w:rsidRPr="009A69D5" w:rsidRDefault="00B64C03" w:rsidP="00C227BA">
      <w:pPr>
        <w:pStyle w:val="ListParagraph"/>
        <w:widowControl w:val="0"/>
        <w:numPr>
          <w:ilvl w:val="0"/>
          <w:numId w:val="34"/>
        </w:numPr>
        <w:autoSpaceDE w:val="0"/>
        <w:autoSpaceDN w:val="0"/>
        <w:adjustRightInd w:val="0"/>
        <w:spacing w:line="240" w:lineRule="auto"/>
        <w:ind w:left="851" w:hanging="284"/>
        <w:contextualSpacing w:val="0"/>
        <w:jc w:val="both"/>
        <w:rPr>
          <w:rFonts w:asciiTheme="minorHAnsi" w:hAnsiTheme="minorHAnsi"/>
          <w:color w:val="262626"/>
          <w:sz w:val="24"/>
          <w:szCs w:val="24"/>
        </w:rPr>
      </w:pPr>
      <w:r w:rsidRPr="009A69D5">
        <w:rPr>
          <w:rFonts w:asciiTheme="minorHAnsi" w:hAnsiTheme="minorHAnsi"/>
          <w:color w:val="262626"/>
          <w:sz w:val="24"/>
          <w:szCs w:val="24"/>
        </w:rPr>
        <w:t xml:space="preserve">Among recently returned alumni (2010-2012), men were almost 50% more likely than women to be in a management position and it was consistently higher in all of the 5 cohorts; </w:t>
      </w:r>
    </w:p>
    <w:p w14:paraId="4FC41AF6" w14:textId="77777777" w:rsidR="00B64C03" w:rsidRPr="009A69D5" w:rsidRDefault="00B64C03" w:rsidP="00C227BA">
      <w:pPr>
        <w:pStyle w:val="ListParagraph"/>
        <w:widowControl w:val="0"/>
        <w:numPr>
          <w:ilvl w:val="0"/>
          <w:numId w:val="34"/>
        </w:numPr>
        <w:autoSpaceDE w:val="0"/>
        <w:autoSpaceDN w:val="0"/>
        <w:adjustRightInd w:val="0"/>
        <w:spacing w:line="240" w:lineRule="auto"/>
        <w:ind w:left="851" w:hanging="284"/>
        <w:contextualSpacing w:val="0"/>
        <w:jc w:val="both"/>
        <w:rPr>
          <w:rFonts w:asciiTheme="minorHAnsi" w:hAnsiTheme="minorHAnsi"/>
          <w:color w:val="262626"/>
          <w:sz w:val="24"/>
          <w:szCs w:val="24"/>
        </w:rPr>
      </w:pPr>
      <w:r w:rsidRPr="009A69D5">
        <w:rPr>
          <w:rFonts w:asciiTheme="minorHAnsi" w:hAnsiTheme="minorHAnsi"/>
          <w:color w:val="262626"/>
          <w:sz w:val="24"/>
          <w:szCs w:val="24"/>
        </w:rPr>
        <w:t>Men were more likely to be promoted at work (51.7% of men, 40.9% of women);</w:t>
      </w:r>
    </w:p>
    <w:p w14:paraId="314B1ECB" w14:textId="77777777" w:rsidR="00B64C03" w:rsidRPr="009A69D5" w:rsidRDefault="00B64C03" w:rsidP="00C227BA">
      <w:pPr>
        <w:pStyle w:val="ListParagraph"/>
        <w:widowControl w:val="0"/>
        <w:numPr>
          <w:ilvl w:val="0"/>
          <w:numId w:val="34"/>
        </w:numPr>
        <w:autoSpaceDE w:val="0"/>
        <w:autoSpaceDN w:val="0"/>
        <w:adjustRightInd w:val="0"/>
        <w:spacing w:line="240" w:lineRule="auto"/>
        <w:ind w:left="851" w:hanging="284"/>
        <w:contextualSpacing w:val="0"/>
        <w:jc w:val="both"/>
        <w:rPr>
          <w:rFonts w:asciiTheme="minorHAnsi" w:hAnsiTheme="minorHAnsi"/>
          <w:color w:val="262626"/>
          <w:sz w:val="24"/>
          <w:szCs w:val="24"/>
        </w:rPr>
      </w:pPr>
      <w:r w:rsidRPr="009A69D5">
        <w:rPr>
          <w:rFonts w:asciiTheme="minorHAnsi" w:hAnsiTheme="minorHAnsi"/>
          <w:color w:val="262626"/>
          <w:sz w:val="24"/>
          <w:szCs w:val="24"/>
        </w:rPr>
        <w:t>A greater percentage of male alumni returned to a higher position than women (28.6% of men as compared with 20.4% of women); and</w:t>
      </w:r>
    </w:p>
    <w:p w14:paraId="31FBDB44" w14:textId="79A0C745" w:rsidR="002E33C6" w:rsidRPr="009A69D5" w:rsidRDefault="00B64C03" w:rsidP="00C227BA">
      <w:pPr>
        <w:pStyle w:val="ListParagraph"/>
        <w:widowControl w:val="0"/>
        <w:numPr>
          <w:ilvl w:val="0"/>
          <w:numId w:val="34"/>
        </w:numPr>
        <w:autoSpaceDE w:val="0"/>
        <w:autoSpaceDN w:val="0"/>
        <w:adjustRightInd w:val="0"/>
        <w:spacing w:line="240" w:lineRule="auto"/>
        <w:ind w:left="851" w:hanging="284"/>
        <w:contextualSpacing w:val="0"/>
        <w:jc w:val="both"/>
        <w:rPr>
          <w:rFonts w:asciiTheme="minorHAnsi" w:hAnsiTheme="minorHAnsi"/>
          <w:color w:val="262626"/>
          <w:sz w:val="24"/>
          <w:szCs w:val="24"/>
        </w:rPr>
      </w:pPr>
      <w:r w:rsidRPr="009A69D5">
        <w:rPr>
          <w:rFonts w:asciiTheme="minorHAnsi" w:hAnsiTheme="minorHAnsi"/>
          <w:color w:val="262626"/>
          <w:sz w:val="24"/>
          <w:szCs w:val="24"/>
        </w:rPr>
        <w:t>For academics, men were more likely than women to report that their supervisors had supported them to a great extent.</w:t>
      </w:r>
    </w:p>
    <w:p w14:paraId="26177CEC" w14:textId="74B802DF" w:rsidR="002E33C6" w:rsidRPr="00EA76FF" w:rsidRDefault="002E33C6" w:rsidP="00C227BA">
      <w:pPr>
        <w:widowControl w:val="0"/>
        <w:autoSpaceDE w:val="0"/>
        <w:autoSpaceDN w:val="0"/>
        <w:adjustRightInd w:val="0"/>
        <w:spacing w:before="120" w:after="120"/>
        <w:rPr>
          <w:color w:val="262626"/>
        </w:rPr>
      </w:pPr>
      <w:r w:rsidRPr="00EA76FF">
        <w:rPr>
          <w:color w:val="262626"/>
        </w:rPr>
        <w:t>Over 60</w:t>
      </w:r>
      <w:r w:rsidR="006653F0">
        <w:rPr>
          <w:color w:val="262626"/>
        </w:rPr>
        <w:t xml:space="preserve"> per cent</w:t>
      </w:r>
      <w:r w:rsidRPr="00EA76FF">
        <w:rPr>
          <w:color w:val="262626"/>
        </w:rPr>
        <w:t xml:space="preserve"> of respondents said they had strengthened HRD in their organisation by transferring their skills to colleagues – both technical and broader employment skills. </w:t>
      </w:r>
    </w:p>
    <w:p w14:paraId="635AB7C7" w14:textId="77777777" w:rsidR="002E33C6" w:rsidRPr="00EA76FF" w:rsidRDefault="002E33C6" w:rsidP="00C227BA">
      <w:pPr>
        <w:widowControl w:val="0"/>
        <w:autoSpaceDE w:val="0"/>
        <w:autoSpaceDN w:val="0"/>
        <w:adjustRightInd w:val="0"/>
        <w:spacing w:before="120" w:after="120"/>
        <w:rPr>
          <w:color w:val="262626"/>
        </w:rPr>
      </w:pPr>
      <w:r w:rsidRPr="00EA76FF">
        <w:rPr>
          <w:color w:val="262626"/>
        </w:rPr>
        <w:t xml:space="preserve">While around two-thirds of survey respondents reported that they had a reintegration plan in place upon their return from Australia, such a plan could range from a formal Reintegration Action Plan (REAP) to a “vision for their future”. </w:t>
      </w:r>
    </w:p>
    <w:p w14:paraId="53411717" w14:textId="4D7BB5DE" w:rsidR="002E33C6" w:rsidRPr="00EA76FF" w:rsidRDefault="002E33C6" w:rsidP="00C227BA">
      <w:pPr>
        <w:widowControl w:val="0"/>
        <w:autoSpaceDE w:val="0"/>
        <w:autoSpaceDN w:val="0"/>
        <w:adjustRightInd w:val="0"/>
        <w:spacing w:before="120" w:after="120"/>
        <w:rPr>
          <w:color w:val="262626"/>
        </w:rPr>
      </w:pPr>
      <w:r w:rsidRPr="00EA76FF">
        <w:rPr>
          <w:color w:val="262626"/>
        </w:rPr>
        <w:t xml:space="preserve">In summary, there is evidence from the tracer studies, </w:t>
      </w:r>
      <w:r w:rsidR="006653F0">
        <w:rPr>
          <w:color w:val="262626"/>
        </w:rPr>
        <w:t xml:space="preserve">that </w:t>
      </w:r>
      <w:r w:rsidRPr="00EA76FF">
        <w:rPr>
          <w:color w:val="262626"/>
        </w:rPr>
        <w:t>individuals have benefited from Australia Awards (for example, through promotion, higher salaries); their acquired skills are valued by the</w:t>
      </w:r>
      <w:r w:rsidR="006653F0">
        <w:rPr>
          <w:color w:val="262626"/>
        </w:rPr>
        <w:t>ir</w:t>
      </w:r>
      <w:r w:rsidRPr="00EA76FF">
        <w:rPr>
          <w:color w:val="262626"/>
        </w:rPr>
        <w:t xml:space="preserve"> organi</w:t>
      </w:r>
      <w:r w:rsidR="00C6712A" w:rsidRPr="00314297">
        <w:rPr>
          <w:color w:val="262626"/>
        </w:rPr>
        <w:t>s</w:t>
      </w:r>
      <w:r w:rsidRPr="00EA76FF">
        <w:rPr>
          <w:color w:val="262626"/>
        </w:rPr>
        <w:t>ation (for example, they have been promoted, given greater responsibility); and individuals believe they have contributed to their workplace (for example, using technical knowledge, transferring skills to colleagues).</w:t>
      </w:r>
    </w:p>
    <w:p w14:paraId="746E8C04" w14:textId="3A2476BC" w:rsidR="002E33C6" w:rsidRPr="00EA76FF" w:rsidRDefault="002E33C6" w:rsidP="00C227BA">
      <w:pPr>
        <w:widowControl w:val="0"/>
        <w:autoSpaceDE w:val="0"/>
        <w:autoSpaceDN w:val="0"/>
        <w:adjustRightInd w:val="0"/>
        <w:spacing w:before="120" w:after="120"/>
        <w:rPr>
          <w:color w:val="262626"/>
        </w:rPr>
      </w:pPr>
      <w:r w:rsidRPr="00EA76FF">
        <w:rPr>
          <w:color w:val="262626"/>
        </w:rPr>
        <w:t xml:space="preserve">There is less evidence </w:t>
      </w:r>
      <w:r w:rsidR="006653F0">
        <w:rPr>
          <w:color w:val="262626"/>
        </w:rPr>
        <w:t>(</w:t>
      </w:r>
      <w:r w:rsidR="006653F0" w:rsidRPr="00EA76FF">
        <w:rPr>
          <w:color w:val="262626"/>
        </w:rPr>
        <w:t>the State Bank of Vietnam (SBV) and Ministry of Planning and Investment (MPI)</w:t>
      </w:r>
      <w:r w:rsidR="006653F0">
        <w:rPr>
          <w:color w:val="262626"/>
        </w:rPr>
        <w:t xml:space="preserve"> </w:t>
      </w:r>
      <w:proofErr w:type="gramStart"/>
      <w:r w:rsidR="006653F0">
        <w:rPr>
          <w:color w:val="262626"/>
        </w:rPr>
        <w:t>excepted</w:t>
      </w:r>
      <w:proofErr w:type="gramEnd"/>
      <w:r w:rsidR="006653F0">
        <w:rPr>
          <w:rStyle w:val="FootnoteReference"/>
          <w:color w:val="262626"/>
        </w:rPr>
        <w:footnoteReference w:id="17"/>
      </w:r>
      <w:r w:rsidR="006653F0">
        <w:rPr>
          <w:color w:val="262626"/>
        </w:rPr>
        <w:t xml:space="preserve">) </w:t>
      </w:r>
      <w:r w:rsidR="006653F0" w:rsidRPr="00B5326E">
        <w:rPr>
          <w:color w:val="262626"/>
        </w:rPr>
        <w:t>where some individuals have been sup</w:t>
      </w:r>
      <w:r w:rsidR="006653F0" w:rsidRPr="003B74ED">
        <w:rPr>
          <w:color w:val="262626"/>
        </w:rPr>
        <w:t xml:space="preserve">ported as part of a strategic HRD plan for developing the ministry. </w:t>
      </w:r>
      <w:r w:rsidRPr="003B74ED">
        <w:rPr>
          <w:color w:val="262626"/>
        </w:rPr>
        <w:t>While HRD departments are targeted in the promotion of awards, it remains a</w:t>
      </w:r>
      <w:r w:rsidR="005B143A" w:rsidRPr="00EA76FF">
        <w:rPr>
          <w:color w:val="262626"/>
        </w:rPr>
        <w:t>n individual decision to apply.</w:t>
      </w:r>
    </w:p>
    <w:p w14:paraId="7B93F063" w14:textId="00619367" w:rsidR="002E33C6" w:rsidRDefault="002E33C6" w:rsidP="00C227BA">
      <w:pPr>
        <w:widowControl w:val="0"/>
        <w:autoSpaceDE w:val="0"/>
        <w:autoSpaceDN w:val="0"/>
        <w:adjustRightInd w:val="0"/>
        <w:spacing w:before="120" w:after="120"/>
        <w:rPr>
          <w:color w:val="262626"/>
        </w:rPr>
      </w:pPr>
      <w:r w:rsidRPr="00EA76FF">
        <w:rPr>
          <w:color w:val="262626"/>
        </w:rPr>
        <w:t xml:space="preserve">Whether part of a ministry HRD strategic plan or not, the impact of alumni on ministry outcomes is difficult (if not impossible) to measure accurately. There are many factors at play and success and contribution is not based on merit alone. </w:t>
      </w:r>
    </w:p>
    <w:p w14:paraId="6C39F732" w14:textId="77777777" w:rsidR="00AB175B" w:rsidRPr="00EA76FF" w:rsidRDefault="00AB175B" w:rsidP="00C227BA">
      <w:pPr>
        <w:widowControl w:val="0"/>
        <w:autoSpaceDE w:val="0"/>
        <w:autoSpaceDN w:val="0"/>
        <w:adjustRightInd w:val="0"/>
        <w:spacing w:before="120" w:after="120"/>
        <w:rPr>
          <w:color w:val="262626"/>
        </w:rPr>
      </w:pPr>
    </w:p>
    <w:p w14:paraId="770639E8" w14:textId="77777777" w:rsidR="002E33C6" w:rsidRPr="00EA76FF" w:rsidRDefault="002E33C6" w:rsidP="00C227BA">
      <w:pPr>
        <w:pStyle w:val="Heading2"/>
        <w:keepNext/>
        <w:keepLines/>
        <w:spacing w:before="120"/>
        <w:ind w:left="578" w:hanging="578"/>
        <w:jc w:val="both"/>
        <w:rPr>
          <w:rFonts w:asciiTheme="minorHAnsi" w:hAnsiTheme="minorHAnsi"/>
          <w:i w:val="0"/>
          <w:color w:val="548DD4" w:themeColor="text2" w:themeTint="99"/>
        </w:rPr>
      </w:pPr>
      <w:r w:rsidRPr="00EA76FF">
        <w:rPr>
          <w:rFonts w:asciiTheme="minorHAnsi" w:hAnsiTheme="minorHAnsi"/>
          <w:i w:val="0"/>
          <w:color w:val="548DD4" w:themeColor="text2" w:themeTint="99"/>
        </w:rPr>
        <w:t>Lessons Learned</w:t>
      </w:r>
    </w:p>
    <w:p w14:paraId="44E882C6" w14:textId="2AEF6C26" w:rsidR="002E33C6" w:rsidRPr="00EA76FF" w:rsidRDefault="002E33C6" w:rsidP="00C227BA">
      <w:pPr>
        <w:autoSpaceDE w:val="0"/>
        <w:autoSpaceDN w:val="0"/>
        <w:adjustRightInd w:val="0"/>
        <w:spacing w:before="120" w:after="120"/>
      </w:pPr>
      <w:r w:rsidRPr="00EA76FF">
        <w:t>Australia</w:t>
      </w:r>
      <w:r w:rsidR="004F4681" w:rsidRPr="00EA76FF">
        <w:t xml:space="preserve"> Awards S</w:t>
      </w:r>
      <w:r w:rsidRPr="00EA76FF">
        <w:t>cholarships have enjoyed a long-term</w:t>
      </w:r>
      <w:r w:rsidR="005C4751" w:rsidRPr="00EA76FF">
        <w:t>,</w:t>
      </w:r>
      <w:r w:rsidR="006653F0">
        <w:t xml:space="preserve"> on</w:t>
      </w:r>
      <w:r w:rsidRPr="00EA76FF">
        <w:t xml:space="preserve">going history in the Australian aid program, with many lessons learned along the way about effective scholarships management and implementation. </w:t>
      </w:r>
    </w:p>
    <w:p w14:paraId="26EDCBC2" w14:textId="77777777" w:rsidR="002E33C6" w:rsidRPr="00EA76FF" w:rsidRDefault="002E33C6" w:rsidP="00C227BA">
      <w:pPr>
        <w:autoSpaceDE w:val="0"/>
        <w:autoSpaceDN w:val="0"/>
        <w:adjustRightInd w:val="0"/>
        <w:spacing w:before="120" w:after="120"/>
      </w:pPr>
      <w:r w:rsidRPr="00EA76FF">
        <w:t>The design team reviewed the evidence from recent Vietnam program reviews, “lessons learned” documents, discussions with stakeholders including alumni, Government of Vietnam ministries and DFAT; as well as the experience of a number of similar programs in the region.</w:t>
      </w:r>
    </w:p>
    <w:p w14:paraId="3E5D766A" w14:textId="31703D8B" w:rsidR="0089105A" w:rsidRPr="00EA76FF" w:rsidRDefault="002E33C6" w:rsidP="00C227BA">
      <w:pPr>
        <w:pStyle w:val="Heading3"/>
        <w:spacing w:before="120"/>
        <w:rPr>
          <w:rFonts w:asciiTheme="minorHAnsi" w:hAnsiTheme="minorHAnsi"/>
          <w:i/>
          <w:color w:val="548DD4" w:themeColor="text2" w:themeTint="99"/>
          <w:sz w:val="24"/>
          <w:szCs w:val="24"/>
        </w:rPr>
      </w:pPr>
      <w:r w:rsidRPr="00EA76FF">
        <w:rPr>
          <w:rFonts w:asciiTheme="minorHAnsi" w:hAnsiTheme="minorHAnsi"/>
          <w:i/>
          <w:color w:val="548DD4" w:themeColor="text2" w:themeTint="99"/>
          <w:sz w:val="24"/>
          <w:szCs w:val="24"/>
        </w:rPr>
        <w:t>Outsourcing administration/roles and responsibilities</w:t>
      </w:r>
    </w:p>
    <w:p w14:paraId="59B692F2" w14:textId="77777777" w:rsidR="00B64C03" w:rsidRPr="00EA76FF" w:rsidRDefault="002E33C6" w:rsidP="00C227BA">
      <w:pPr>
        <w:autoSpaceDE w:val="0"/>
        <w:autoSpaceDN w:val="0"/>
        <w:adjustRightInd w:val="0"/>
        <w:spacing w:before="120" w:after="120"/>
        <w:jc w:val="both"/>
      </w:pPr>
      <w:r w:rsidRPr="00EA76FF">
        <w:t xml:space="preserve">The rationale for outsourcing management of Australia Awards </w:t>
      </w:r>
      <w:r w:rsidR="00105F92" w:rsidRPr="00EA76FF">
        <w:t xml:space="preserve">Scholarships </w:t>
      </w:r>
      <w:r w:rsidRPr="00EA76FF">
        <w:t xml:space="preserve">since 2002 remains valid. Outsourcing the administrative workload required to manage a large number of awards (peaking at 266 in 2011) frees up Post resources to focus on more strategic activities to improve program effectiveness. </w:t>
      </w:r>
      <w:r w:rsidR="00B64C03" w:rsidRPr="009A69D5">
        <w:t>With a complement of full time staff, a contractor also has the resources and time to take initiative or pursue objectives in a comprehensive manner, such as the current contractor’s engagement of a Gender Equity and Social Inclusion Advisor and the development of the Equity of Access Fund to deliver on the social inclusion objectives of the program.</w:t>
      </w:r>
    </w:p>
    <w:p w14:paraId="2CE12A22" w14:textId="140EF677" w:rsidR="009B665A" w:rsidRPr="004E1408" w:rsidRDefault="002E33C6" w:rsidP="00C227BA">
      <w:pPr>
        <w:autoSpaceDE w:val="0"/>
        <w:autoSpaceDN w:val="0"/>
        <w:adjustRightInd w:val="0"/>
        <w:spacing w:before="120" w:after="120"/>
      </w:pPr>
      <w:r w:rsidRPr="00EA76FF">
        <w:t xml:space="preserve">This </w:t>
      </w:r>
      <w:r w:rsidR="00C31A7B" w:rsidRPr="00EA76FF">
        <w:t>is</w:t>
      </w:r>
      <w:r w:rsidRPr="00EA76FF">
        <w:t xml:space="preserve"> particularly important in the design of the new 2016-20 HRD program</w:t>
      </w:r>
      <w:r w:rsidR="00C31A7B" w:rsidRPr="00EA76FF">
        <w:t>,</w:t>
      </w:r>
      <w:r w:rsidRPr="00EA76FF">
        <w:t xml:space="preserve"> given the restructuring/merging of roles within DFAT. </w:t>
      </w:r>
      <w:r w:rsidR="00C31A7B" w:rsidRPr="00EA76FF">
        <w:t xml:space="preserve">There is some scope for further </w:t>
      </w:r>
      <w:r w:rsidR="009F02D6" w:rsidRPr="00EA76FF">
        <w:t xml:space="preserve">adjustments to </w:t>
      </w:r>
      <w:r w:rsidR="00752827" w:rsidRPr="00EA76FF">
        <w:t xml:space="preserve">existing </w:t>
      </w:r>
      <w:r w:rsidR="009F02D6" w:rsidRPr="00EA76FF">
        <w:t xml:space="preserve">management arrangements and </w:t>
      </w:r>
      <w:r w:rsidR="00C31A7B" w:rsidRPr="00EA76FF">
        <w:t>outsourcing of tasks to the Contractor.</w:t>
      </w:r>
      <w:r w:rsidR="009B665A" w:rsidRPr="00314297">
        <w:t xml:space="preserve"> In particular, it is proposed that the Contractor provide </w:t>
      </w:r>
      <w:r w:rsidR="006653F0">
        <w:t xml:space="preserve">some </w:t>
      </w:r>
      <w:r w:rsidR="009B665A" w:rsidRPr="00314297">
        <w:t>in-country administrative support</w:t>
      </w:r>
      <w:r w:rsidR="009B665A" w:rsidRPr="00B42B3E">
        <w:t xml:space="preserve"> </w:t>
      </w:r>
      <w:r w:rsidR="009B665A" w:rsidRPr="008C2305">
        <w:t>for the Volunteer and New Colombo Plan programs</w:t>
      </w:r>
      <w:r w:rsidR="00632783">
        <w:t>, and potentially support to other aid small grants programs</w:t>
      </w:r>
      <w:r w:rsidR="009B665A" w:rsidRPr="001A0CDA">
        <w:t>.</w:t>
      </w:r>
    </w:p>
    <w:p w14:paraId="313E929F" w14:textId="77777777" w:rsidR="002E33C6" w:rsidRPr="00314297" w:rsidRDefault="002E33C6" w:rsidP="00C227BA">
      <w:pPr>
        <w:pStyle w:val="Heading3"/>
        <w:spacing w:before="120"/>
        <w:ind w:left="851" w:hanging="851"/>
        <w:rPr>
          <w:rFonts w:asciiTheme="minorHAnsi" w:hAnsiTheme="minorHAnsi"/>
          <w:i/>
          <w:color w:val="548DD4" w:themeColor="text2" w:themeTint="99"/>
          <w:sz w:val="24"/>
          <w:szCs w:val="24"/>
        </w:rPr>
      </w:pPr>
      <w:r w:rsidRPr="00314297">
        <w:rPr>
          <w:rFonts w:asciiTheme="minorHAnsi" w:hAnsiTheme="minorHAnsi"/>
          <w:i/>
          <w:color w:val="548DD4" w:themeColor="text2" w:themeTint="99"/>
          <w:sz w:val="24"/>
          <w:szCs w:val="24"/>
        </w:rPr>
        <w:t>Alignment with the Aid Investment Plan</w:t>
      </w:r>
    </w:p>
    <w:p w14:paraId="3168D3A1" w14:textId="6D13A882" w:rsidR="002E33C6" w:rsidRPr="00314297" w:rsidRDefault="002E33C6" w:rsidP="00C227BA">
      <w:pPr>
        <w:spacing w:before="120" w:after="120"/>
      </w:pPr>
      <w:r w:rsidRPr="00314297">
        <w:t>The Vietnam HRD program to date has delivered a fairly standard scholarships program with a focus on long-ter</w:t>
      </w:r>
      <w:r w:rsidR="00D9477D" w:rsidRPr="00314297">
        <w:t>m awards predominantly at M</w:t>
      </w:r>
      <w:r w:rsidRPr="00314297">
        <w:t xml:space="preserve">aster level, </w:t>
      </w:r>
      <w:r w:rsidR="002D0F75" w:rsidRPr="00314297">
        <w:t>with fairly broad eligibility</w:t>
      </w:r>
      <w:r w:rsidRPr="00314297">
        <w:t xml:space="preserve">. </w:t>
      </w:r>
    </w:p>
    <w:p w14:paraId="3EE00326" w14:textId="77777777" w:rsidR="00393E75" w:rsidRPr="00314297" w:rsidRDefault="002E33C6" w:rsidP="00C227BA">
      <w:pPr>
        <w:autoSpaceDE w:val="0"/>
        <w:autoSpaceDN w:val="0"/>
        <w:adjustRightInd w:val="0"/>
        <w:spacing w:before="120" w:after="120"/>
      </w:pPr>
      <w:r w:rsidRPr="00314297">
        <w:t xml:space="preserve">At the time of design of the HRD Program 2016-20, the </w:t>
      </w:r>
      <w:r w:rsidR="002D0F75" w:rsidRPr="00314297">
        <w:t xml:space="preserve">new </w:t>
      </w:r>
      <w:r w:rsidR="00E02E03" w:rsidRPr="00314297">
        <w:t>A</w:t>
      </w:r>
      <w:r w:rsidRPr="00314297">
        <w:t xml:space="preserve">id </w:t>
      </w:r>
      <w:r w:rsidR="00E02E03" w:rsidRPr="00314297">
        <w:t>I</w:t>
      </w:r>
      <w:r w:rsidRPr="00314297">
        <w:t xml:space="preserve">nvestment </w:t>
      </w:r>
      <w:r w:rsidR="00E02E03" w:rsidRPr="00314297">
        <w:t>P</w:t>
      </w:r>
      <w:r w:rsidRPr="00314297">
        <w:t xml:space="preserve">lan (AIP) is still under preparation and there is some uncertainty around the level of financial and staffing resources available to support delivery. </w:t>
      </w:r>
    </w:p>
    <w:p w14:paraId="1D8B98DD" w14:textId="32E59BFA" w:rsidR="002E33C6" w:rsidRPr="00314297" w:rsidRDefault="002E33C6" w:rsidP="00C227BA">
      <w:pPr>
        <w:autoSpaceDE w:val="0"/>
        <w:autoSpaceDN w:val="0"/>
        <w:adjustRightInd w:val="0"/>
        <w:spacing w:before="120" w:after="120"/>
      </w:pPr>
      <w:r w:rsidRPr="00314297">
        <w:t xml:space="preserve">However, given the planned reduction in the number of long-term Australia </w:t>
      </w:r>
      <w:r w:rsidR="00DE213F" w:rsidRPr="00314297">
        <w:t>A</w:t>
      </w:r>
      <w:r w:rsidRPr="00314297">
        <w:t xml:space="preserve">wards </w:t>
      </w:r>
      <w:r w:rsidR="000368CC" w:rsidRPr="00314297">
        <w:t xml:space="preserve">Scholarships </w:t>
      </w:r>
      <w:r w:rsidRPr="00314297">
        <w:t>available to Vietnamese applicants, it is timely for Australia Award</w:t>
      </w:r>
      <w:r w:rsidR="00E02E03" w:rsidRPr="00314297">
        <w:t>s</w:t>
      </w:r>
      <w:r w:rsidRPr="00314297">
        <w:t xml:space="preserve"> </w:t>
      </w:r>
      <w:r w:rsidR="00E02E03" w:rsidRPr="00314297">
        <w:t>S</w:t>
      </w:r>
      <w:r w:rsidRPr="00314297">
        <w:t xml:space="preserve">cholarships to pilot targeting a smaller number of </w:t>
      </w:r>
      <w:r w:rsidR="001A1DCF" w:rsidRPr="00314297">
        <w:t xml:space="preserve">priority </w:t>
      </w:r>
      <w:r w:rsidRPr="00314297">
        <w:t>sectors</w:t>
      </w:r>
      <w:r w:rsidR="000368CC" w:rsidRPr="00314297">
        <w:t xml:space="preserve"> and</w:t>
      </w:r>
      <w:r w:rsidRPr="00314297">
        <w:t xml:space="preserve"> </w:t>
      </w:r>
      <w:r w:rsidR="000368CC" w:rsidRPr="00314297">
        <w:t>make greater use of more focused</w:t>
      </w:r>
      <w:r w:rsidR="006C4B12" w:rsidRPr="00314297">
        <w:t>, integrated</w:t>
      </w:r>
      <w:r w:rsidR="000368CC" w:rsidRPr="00314297">
        <w:t xml:space="preserve"> assistance and different delivery modalities in seeking to enhance HRD program outcomes in selected target institutions.</w:t>
      </w:r>
      <w:r w:rsidRPr="00314297">
        <w:t xml:space="preserve"> </w:t>
      </w:r>
      <w:r w:rsidR="006C4B12" w:rsidRPr="00314297">
        <w:t>DFAT management and sector teams, in consultation with stakeholders, will determine priority sectors through the AIP preparation process.</w:t>
      </w:r>
    </w:p>
    <w:p w14:paraId="7B4A5503" w14:textId="2809A4E5" w:rsidR="00FD436B" w:rsidRPr="00314297" w:rsidRDefault="00FD436B" w:rsidP="00C227BA">
      <w:pPr>
        <w:autoSpaceDE w:val="0"/>
        <w:autoSpaceDN w:val="0"/>
        <w:adjustRightInd w:val="0"/>
        <w:spacing w:before="120" w:after="120"/>
      </w:pPr>
      <w:r w:rsidRPr="00314297">
        <w:t>The new HRD program will also seek to leverage other Australian global programs (AAF, Endeavour Awards, ACIAR awards, New Colombo Plan, and Volunteers) as part of the strategies to enhance workplace productivity and skills utilisation.</w:t>
      </w:r>
    </w:p>
    <w:p w14:paraId="34BCBFA8" w14:textId="77777777" w:rsidR="002E33C6" w:rsidRPr="00314297" w:rsidRDefault="002E33C6" w:rsidP="00C227BA">
      <w:pPr>
        <w:pStyle w:val="Heading3"/>
        <w:spacing w:before="120"/>
        <w:ind w:left="851" w:hanging="851"/>
        <w:rPr>
          <w:rFonts w:asciiTheme="minorHAnsi" w:hAnsiTheme="minorHAnsi"/>
          <w:i/>
          <w:color w:val="548DD4" w:themeColor="text2" w:themeTint="99"/>
          <w:sz w:val="24"/>
          <w:szCs w:val="24"/>
        </w:rPr>
      </w:pPr>
      <w:r w:rsidRPr="00314297">
        <w:rPr>
          <w:rFonts w:asciiTheme="minorHAnsi" w:hAnsiTheme="minorHAnsi"/>
          <w:i/>
          <w:color w:val="548DD4" w:themeColor="text2" w:themeTint="99"/>
          <w:sz w:val="24"/>
          <w:szCs w:val="24"/>
        </w:rPr>
        <w:t xml:space="preserve">Enhancing HRD </w:t>
      </w:r>
    </w:p>
    <w:p w14:paraId="6CBB2F9E" w14:textId="449B3CF8" w:rsidR="006527E6" w:rsidRPr="003B74ED" w:rsidRDefault="00306372" w:rsidP="00C227BA">
      <w:pPr>
        <w:widowControl w:val="0"/>
        <w:autoSpaceDE w:val="0"/>
        <w:autoSpaceDN w:val="0"/>
        <w:adjustRightInd w:val="0"/>
        <w:spacing w:before="120" w:after="120"/>
      </w:pPr>
      <w:r w:rsidRPr="00314297">
        <w:t>Scholarships help develop speciali</w:t>
      </w:r>
      <w:r w:rsidR="00B42B3E">
        <w:t>s</w:t>
      </w:r>
      <w:r w:rsidRPr="00314297">
        <w:t>ed skills, and tracer studies show alumni are able to contribute to their organi</w:t>
      </w:r>
      <w:r w:rsidR="00B42B3E">
        <w:t>s</w:t>
      </w:r>
      <w:r w:rsidRPr="00314297">
        <w:t>ations, but a</w:t>
      </w:r>
      <w:r w:rsidR="006527E6" w:rsidRPr="00314297">
        <w:rPr>
          <w:color w:val="262626"/>
        </w:rPr>
        <w:t xml:space="preserve"> review of the AAS program in 2013</w:t>
      </w:r>
      <w:r w:rsidR="006527E6" w:rsidRPr="00B5326E">
        <w:rPr>
          <w:rStyle w:val="FootnoteReference"/>
        </w:rPr>
        <w:footnoteReference w:id="18"/>
      </w:r>
      <w:r w:rsidR="006527E6" w:rsidRPr="00B5326E">
        <w:t xml:space="preserve"> noted the need to clarify the degree of expected development impacts and change in central government organisations attributable to alumni; </w:t>
      </w:r>
      <w:r w:rsidR="000368CC" w:rsidRPr="003B74ED">
        <w:t>s</w:t>
      </w:r>
      <w:r w:rsidR="006527E6" w:rsidRPr="00EA76FF">
        <w:t xml:space="preserve">imilarly, to date, there is little </w:t>
      </w:r>
      <w:r w:rsidRPr="00314297">
        <w:t xml:space="preserve">data </w:t>
      </w:r>
      <w:r w:rsidR="006527E6" w:rsidRPr="00314297">
        <w:t xml:space="preserve">on the extent to which alumni from provincial locations are contributing to development in their </w:t>
      </w:r>
      <w:proofErr w:type="gramStart"/>
      <w:r w:rsidR="006527E6" w:rsidRPr="00314297">
        <w:t xml:space="preserve">province </w:t>
      </w:r>
      <w:proofErr w:type="gramEnd"/>
      <w:r w:rsidR="006527E6" w:rsidRPr="00B5326E">
        <w:rPr>
          <w:rStyle w:val="FootnoteReference"/>
        </w:rPr>
        <w:footnoteReference w:id="19"/>
      </w:r>
      <w:r w:rsidR="006527E6" w:rsidRPr="00B5326E">
        <w:t>.</w:t>
      </w:r>
    </w:p>
    <w:p w14:paraId="4D5F8C3C" w14:textId="77777777" w:rsidR="00BC6623" w:rsidRPr="00314297" w:rsidRDefault="00BC6623" w:rsidP="00C227BA">
      <w:pPr>
        <w:autoSpaceDE w:val="0"/>
        <w:autoSpaceDN w:val="0"/>
        <w:adjustRightInd w:val="0"/>
        <w:spacing w:before="120" w:after="120"/>
      </w:pPr>
      <w:r w:rsidRPr="00EA76FF">
        <w:t xml:space="preserve">While </w:t>
      </w:r>
      <w:r w:rsidRPr="00314297">
        <w:t xml:space="preserve">Australia Awards Scholarships are highly regarded in Vietnamese organisations, they are directed at individuals and awarded according to individual merit; and may not be strategically linked to organisational HRD priorities (assuming they exist), or higher-level involvement. </w:t>
      </w:r>
    </w:p>
    <w:p w14:paraId="45EACC53" w14:textId="6593B2A9" w:rsidR="00BC6623" w:rsidRPr="00314297" w:rsidRDefault="00BC6623" w:rsidP="00C227BA">
      <w:pPr>
        <w:autoSpaceDE w:val="0"/>
        <w:autoSpaceDN w:val="0"/>
        <w:adjustRightInd w:val="0"/>
        <w:spacing w:before="120" w:after="120"/>
      </w:pPr>
      <w:r w:rsidRPr="00314297">
        <w:t>Agencies may be requested to provide a letter of support for applicants, but supervisors may also seek to discourage potentially ‘good’ applicants from applying, not wishing to lose a talented worker for several years. There have been instances of successful applicants either resigning from an agency to accept an award or withdrawing from the award following pressure from a superior.</w:t>
      </w:r>
    </w:p>
    <w:p w14:paraId="4BB4351D" w14:textId="7F8BA1C2" w:rsidR="007B7734" w:rsidRPr="00314297" w:rsidRDefault="00C1032A" w:rsidP="00C227BA">
      <w:pPr>
        <w:autoSpaceDE w:val="0"/>
        <w:autoSpaceDN w:val="0"/>
        <w:adjustRightInd w:val="0"/>
        <w:spacing w:before="120" w:after="120"/>
      </w:pPr>
      <w:r w:rsidRPr="00314297">
        <w:t xml:space="preserve">Creating the 'right' conditions for alumni to improve their organisations is a challenge. Other HRD modalities (and favourable institutional conditions) </w:t>
      </w:r>
      <w:r w:rsidR="005C5E85" w:rsidRPr="00314297">
        <w:t>m</w:t>
      </w:r>
      <w:r w:rsidRPr="00314297">
        <w:t>a</w:t>
      </w:r>
      <w:r w:rsidR="005C5E85" w:rsidRPr="00314297">
        <w:t>y</w:t>
      </w:r>
      <w:r w:rsidRPr="00314297">
        <w:t xml:space="preserve"> </w:t>
      </w:r>
      <w:r w:rsidR="007941C7" w:rsidRPr="00314297">
        <w:t xml:space="preserve">be able to </w:t>
      </w:r>
      <w:r w:rsidRPr="00314297">
        <w:t xml:space="preserve">complement the provision of scholarships and help improve the utilisation of skills and workplace performance. </w:t>
      </w:r>
    </w:p>
    <w:p w14:paraId="238CFE7C" w14:textId="5B679CDF" w:rsidR="00AF5E0B" w:rsidRPr="00314297" w:rsidRDefault="002E33C6" w:rsidP="00C227BA">
      <w:pPr>
        <w:autoSpaceDE w:val="0"/>
        <w:autoSpaceDN w:val="0"/>
        <w:adjustRightInd w:val="0"/>
        <w:spacing w:before="120" w:after="120"/>
      </w:pPr>
      <w:r w:rsidRPr="00314297">
        <w:t>Evidence from other programs suggests simply building a critical mass of scholarship recipients within a targeted organisation</w:t>
      </w:r>
      <w:r w:rsidR="000864BB" w:rsidRPr="00314297">
        <w:t xml:space="preserve"> is not necessarily a </w:t>
      </w:r>
      <w:r w:rsidRPr="00314297">
        <w:t xml:space="preserve">sufficient catalyst for change or effective utilisation of alumni’s knowledge and skills. </w:t>
      </w:r>
      <w:r w:rsidR="001B2576" w:rsidRPr="00314297">
        <w:t xml:space="preserve">In this sense, the value of scholarships as a capacity building tool across the aid portfolio has </w:t>
      </w:r>
      <w:r w:rsidR="00AE59F6" w:rsidRPr="00314297">
        <w:t xml:space="preserve">perhaps </w:t>
      </w:r>
      <w:r w:rsidR="001B2576" w:rsidRPr="00314297">
        <w:t>been under-utilised.</w:t>
      </w:r>
    </w:p>
    <w:p w14:paraId="21827AEC" w14:textId="1473051C" w:rsidR="0019760A" w:rsidRPr="00314297" w:rsidRDefault="007D3FBE" w:rsidP="00C227BA">
      <w:pPr>
        <w:autoSpaceDE w:val="0"/>
        <w:autoSpaceDN w:val="0"/>
        <w:adjustRightInd w:val="0"/>
        <w:spacing w:before="120" w:after="120"/>
      </w:pPr>
      <w:r w:rsidRPr="009A69D5">
        <w:t>Consequently, t</w:t>
      </w:r>
      <w:r w:rsidR="002E33C6" w:rsidRPr="009A69D5">
        <w:t xml:space="preserve">his design builds on recognised strengths in the provision of </w:t>
      </w:r>
      <w:r w:rsidR="008F6A8E" w:rsidRPr="009A69D5">
        <w:t>Australia Awards Scholarships</w:t>
      </w:r>
      <w:r w:rsidR="002E33C6" w:rsidRPr="009A69D5">
        <w:rPr>
          <w:rStyle w:val="FootnoteReference"/>
          <w:sz w:val="26"/>
          <w:szCs w:val="26"/>
        </w:rPr>
        <w:footnoteReference w:id="20"/>
      </w:r>
      <w:r w:rsidR="002E33C6" w:rsidRPr="009A69D5">
        <w:t>,</w:t>
      </w:r>
      <w:r w:rsidR="002E33C6" w:rsidRPr="009A69D5">
        <w:rPr>
          <w:sz w:val="26"/>
          <w:szCs w:val="26"/>
        </w:rPr>
        <w:t xml:space="preserve"> </w:t>
      </w:r>
      <w:r w:rsidR="002E33C6" w:rsidRPr="009A69D5">
        <w:t xml:space="preserve">but also draws on the experience of other country programs in proposing a range of integrated activities or ‘toolbox’ of delivery options, supported by expanded Contractor resources, to assist Posts in making decisions about the mix of awards and HRD interventions that </w:t>
      </w:r>
      <w:r w:rsidR="000864BB" w:rsidRPr="009A69D5">
        <w:t>may more effectively contribute towards intended program outcomes</w:t>
      </w:r>
      <w:r w:rsidR="002E33C6" w:rsidRPr="009A69D5">
        <w:t>.</w:t>
      </w:r>
      <w:r w:rsidR="002E33C6" w:rsidRPr="00314297">
        <w:t xml:space="preserve"> </w:t>
      </w:r>
    </w:p>
    <w:p w14:paraId="1E954EC6" w14:textId="5B26932C" w:rsidR="00AF5E0B" w:rsidRPr="00314297" w:rsidRDefault="002E33C6" w:rsidP="00C227BA">
      <w:pPr>
        <w:widowControl w:val="0"/>
        <w:autoSpaceDE w:val="0"/>
        <w:autoSpaceDN w:val="0"/>
        <w:adjustRightInd w:val="0"/>
        <w:spacing w:before="120" w:after="120"/>
      </w:pPr>
      <w:r w:rsidRPr="00314297">
        <w:t xml:space="preserve">This </w:t>
      </w:r>
      <w:r w:rsidR="00326E30" w:rsidRPr="00314297">
        <w:t xml:space="preserve">will </w:t>
      </w:r>
      <w:r w:rsidRPr="00314297">
        <w:t>involve</w:t>
      </w:r>
      <w:r w:rsidR="00326E30" w:rsidRPr="00314297">
        <w:t xml:space="preserve"> </w:t>
      </w:r>
      <w:r w:rsidR="00226623" w:rsidRPr="00314297">
        <w:t xml:space="preserve">piloting new approaches in the </w:t>
      </w:r>
      <w:r w:rsidR="00632783">
        <w:t>Program</w:t>
      </w:r>
      <w:r w:rsidR="0023255A">
        <w:t xml:space="preserve"> </w:t>
      </w:r>
      <w:r w:rsidR="00326E30" w:rsidRPr="00314297">
        <w:t>(initially on a small scale)</w:t>
      </w:r>
      <w:r w:rsidR="00A97F19" w:rsidRPr="00314297">
        <w:t xml:space="preserve"> providing </w:t>
      </w:r>
      <w:r w:rsidRPr="00314297">
        <w:t xml:space="preserve">greater flexibility in HRD delivery modalities to more effectively meet </w:t>
      </w:r>
      <w:r w:rsidR="00A97F19" w:rsidRPr="00314297">
        <w:t xml:space="preserve">the </w:t>
      </w:r>
      <w:r w:rsidRPr="00314297">
        <w:t>demand</w:t>
      </w:r>
      <w:r w:rsidR="00A97F19" w:rsidRPr="00314297">
        <w:t xml:space="preserve"> for training and improved workplace productivity in selected target institutions.</w:t>
      </w:r>
      <w:r w:rsidR="006D622B">
        <w:t xml:space="preserve"> Additionally, this would provide the </w:t>
      </w:r>
      <w:r w:rsidR="00B17A7C">
        <w:t>potential</w:t>
      </w:r>
      <w:r w:rsidR="006D622B">
        <w:t xml:space="preserve"> to identify “lessons learned” which could guide future HRD designs as well as provide immediate scope for dialogue with GOV partners about practical “non-threatening” </w:t>
      </w:r>
      <w:r w:rsidR="000C71F6">
        <w:t>approaches to</w:t>
      </w:r>
      <w:r w:rsidR="00B17A7C">
        <w:t xml:space="preserve"> </w:t>
      </w:r>
      <w:r w:rsidR="006D622B">
        <w:t xml:space="preserve">workplace reform. </w:t>
      </w:r>
    </w:p>
    <w:p w14:paraId="243B4A06" w14:textId="4FE84FFF" w:rsidR="0019760A" w:rsidRPr="00314297" w:rsidRDefault="007D3FBE" w:rsidP="00C227BA">
      <w:pPr>
        <w:widowControl w:val="0"/>
        <w:autoSpaceDE w:val="0"/>
        <w:autoSpaceDN w:val="0"/>
        <w:adjustRightInd w:val="0"/>
        <w:spacing w:before="120" w:after="120"/>
      </w:pPr>
      <w:r w:rsidRPr="009A69D5">
        <w:t xml:space="preserve">In delivering flexible HRD assistance, </w:t>
      </w:r>
      <w:r w:rsidR="00F82E34" w:rsidRPr="009A69D5">
        <w:t xml:space="preserve">it is proposed </w:t>
      </w:r>
      <w:r w:rsidRPr="009A69D5">
        <w:t>priority be given to</w:t>
      </w:r>
      <w:r w:rsidR="00F82E34" w:rsidRPr="009A69D5">
        <w:t xml:space="preserve"> a package of </w:t>
      </w:r>
      <w:r w:rsidR="00274501" w:rsidRPr="009A69D5">
        <w:t xml:space="preserve">integrated activities </w:t>
      </w:r>
      <w:r w:rsidR="00F82E34" w:rsidRPr="009A69D5">
        <w:t xml:space="preserve">(to be designed by the Contractor) </w:t>
      </w:r>
      <w:r w:rsidR="00274501" w:rsidRPr="009A69D5">
        <w:t xml:space="preserve">in </w:t>
      </w:r>
      <w:r w:rsidRPr="009A69D5">
        <w:t>selected target institutions</w:t>
      </w:r>
      <w:r w:rsidR="00F82E34" w:rsidRPr="009A69D5">
        <w:t xml:space="preserve"> (to be identified by DFAT Hanoi/Contractor)</w:t>
      </w:r>
      <w:r w:rsidRPr="009A69D5">
        <w:t xml:space="preserve">, but would also be available to support </w:t>
      </w:r>
      <w:r w:rsidR="00226623" w:rsidRPr="009A69D5">
        <w:t xml:space="preserve">ad hoc </w:t>
      </w:r>
      <w:r w:rsidRPr="009A69D5">
        <w:t xml:space="preserve">HRD </w:t>
      </w:r>
      <w:r w:rsidR="00274501" w:rsidRPr="009A69D5">
        <w:t xml:space="preserve">needs </w:t>
      </w:r>
      <w:r w:rsidRPr="009A69D5">
        <w:t>identified in other organisations within the new AIP p</w:t>
      </w:r>
      <w:r w:rsidR="00AC54D5" w:rsidRPr="009A69D5">
        <w:t>riority sectors</w:t>
      </w:r>
      <w:r w:rsidR="00F82E34" w:rsidRPr="009A69D5">
        <w:t>, in a timely and responsive manner.</w:t>
      </w:r>
      <w:r w:rsidR="0019760A" w:rsidRPr="00314297">
        <w:t xml:space="preserve"> </w:t>
      </w:r>
    </w:p>
    <w:p w14:paraId="26F6277B" w14:textId="4A94F81C" w:rsidR="00541470" w:rsidRPr="00314297" w:rsidRDefault="002E33C6" w:rsidP="00C227BA">
      <w:pPr>
        <w:spacing w:before="120" w:after="120"/>
      </w:pPr>
      <w:r w:rsidRPr="00314297">
        <w:t xml:space="preserve">There are strengths, but also challenges associated with the </w:t>
      </w:r>
      <w:r w:rsidR="0007738A">
        <w:t xml:space="preserve">design and </w:t>
      </w:r>
      <w:r w:rsidRPr="00314297">
        <w:t xml:space="preserve">delivery of </w:t>
      </w:r>
      <w:r w:rsidR="00B17A7C" w:rsidRPr="00314297">
        <w:t xml:space="preserve">targeted strategies </w:t>
      </w:r>
      <w:r w:rsidR="00B17A7C">
        <w:t xml:space="preserve">and </w:t>
      </w:r>
      <w:r w:rsidRPr="00314297">
        <w:t xml:space="preserve">flexible </w:t>
      </w:r>
      <w:r w:rsidR="00B17A7C">
        <w:t>modalities</w:t>
      </w:r>
      <w:r w:rsidR="00B17A7C" w:rsidRPr="00314297">
        <w:t xml:space="preserve"> </w:t>
      </w:r>
      <w:r w:rsidRPr="00314297">
        <w:t xml:space="preserve">to promote better HRD outcomes. </w:t>
      </w:r>
      <w:r w:rsidR="0007738A">
        <w:t>D</w:t>
      </w:r>
      <w:r w:rsidR="0007738A" w:rsidRPr="00314297">
        <w:t xml:space="preserve">emand </w:t>
      </w:r>
      <w:r w:rsidR="00AF293E">
        <w:t xml:space="preserve">and feasibility </w:t>
      </w:r>
      <w:r w:rsidR="0007738A" w:rsidRPr="00314297">
        <w:t xml:space="preserve">still needs to be determined in consultation with potential target institutions; </w:t>
      </w:r>
      <w:r w:rsidRPr="00314297">
        <w:t>and following implementation, time</w:t>
      </w:r>
      <w:r w:rsidR="00F465BD">
        <w:t xml:space="preserve"> to evaluate and measure the on</w:t>
      </w:r>
      <w:r w:rsidRPr="00314297">
        <w:t xml:space="preserve">going appropriateness for delivery in Vietnam as a permanent feature of the program.  </w:t>
      </w:r>
    </w:p>
    <w:p w14:paraId="0681B7FC" w14:textId="77777777" w:rsidR="00830DA4" w:rsidRPr="00AB175B" w:rsidRDefault="00830DA4" w:rsidP="00C227BA">
      <w:pPr>
        <w:pStyle w:val="Heading3"/>
        <w:spacing w:before="120"/>
        <w:ind w:left="851" w:hanging="851"/>
        <w:rPr>
          <w:rFonts w:asciiTheme="minorHAnsi" w:hAnsiTheme="minorHAnsi"/>
          <w:i/>
          <w:color w:val="548DD4" w:themeColor="text2" w:themeTint="99"/>
          <w:sz w:val="24"/>
          <w:szCs w:val="24"/>
        </w:rPr>
      </w:pPr>
      <w:r w:rsidRPr="00AB175B">
        <w:rPr>
          <w:rFonts w:asciiTheme="minorHAnsi" w:hAnsiTheme="minorHAnsi"/>
          <w:i/>
          <w:color w:val="548DD4" w:themeColor="text2" w:themeTint="99"/>
          <w:sz w:val="24"/>
          <w:szCs w:val="24"/>
        </w:rPr>
        <w:t xml:space="preserve">Gender Equality and Social inclusion </w:t>
      </w:r>
    </w:p>
    <w:p w14:paraId="14DABB19" w14:textId="7B98FDF1" w:rsidR="004169FC" w:rsidRPr="00314297" w:rsidRDefault="00830DA4" w:rsidP="00C227BA">
      <w:pPr>
        <w:widowControl w:val="0"/>
        <w:autoSpaceDE w:val="0"/>
        <w:autoSpaceDN w:val="0"/>
        <w:adjustRightInd w:val="0"/>
        <w:spacing w:before="120" w:after="120"/>
        <w:rPr>
          <w:color w:val="262626"/>
        </w:rPr>
      </w:pPr>
      <w:r w:rsidRPr="00314297">
        <w:rPr>
          <w:color w:val="262626"/>
        </w:rPr>
        <w:t xml:space="preserve">Since 2003 to date, women </w:t>
      </w:r>
      <w:r w:rsidRPr="009A69D5">
        <w:rPr>
          <w:color w:val="262626"/>
        </w:rPr>
        <w:t xml:space="preserve">have </w:t>
      </w:r>
      <w:r w:rsidR="00B64C03" w:rsidRPr="009A69D5">
        <w:rPr>
          <w:color w:val="262626"/>
        </w:rPr>
        <w:t>outnumbered men</w:t>
      </w:r>
      <w:r w:rsidRPr="00314297">
        <w:rPr>
          <w:color w:val="262626"/>
        </w:rPr>
        <w:t xml:space="preserve"> in the Australia Awards Scholarship</w:t>
      </w:r>
      <w:r w:rsidR="009A69D5">
        <w:rPr>
          <w:color w:val="262626"/>
        </w:rPr>
        <w:t>s</w:t>
      </w:r>
      <w:r w:rsidRPr="00314297">
        <w:rPr>
          <w:color w:val="262626"/>
        </w:rPr>
        <w:t xml:space="preserve"> program. The higher number of women awardees is regarded positively in light of the lower proportion of women holding Master and PhD-level qualifications in Vietnam.</w:t>
      </w:r>
      <w:r w:rsidR="001A576C" w:rsidRPr="00314297">
        <w:rPr>
          <w:color w:val="262626"/>
        </w:rPr>
        <w:t xml:space="preserve"> </w:t>
      </w:r>
    </w:p>
    <w:p w14:paraId="0D171E32" w14:textId="5354F7FA" w:rsidR="006022E7" w:rsidRPr="00314297" w:rsidRDefault="00830DA4" w:rsidP="00C227BA">
      <w:pPr>
        <w:widowControl w:val="0"/>
        <w:autoSpaceDE w:val="0"/>
        <w:autoSpaceDN w:val="0"/>
        <w:adjustRightInd w:val="0"/>
        <w:spacing w:before="120" w:after="120"/>
        <w:rPr>
          <w:color w:val="262626"/>
        </w:rPr>
      </w:pPr>
      <w:r w:rsidRPr="00314297">
        <w:rPr>
          <w:color w:val="262626"/>
        </w:rPr>
        <w:t xml:space="preserve">However, gender balance in awardee numbers is not a sufficient gender equality indicator on its own. It is necessary also to consider gender differences at the post-award stage, for example, in career development, promotion and remuneration. </w:t>
      </w:r>
      <w:r w:rsidR="006022E7" w:rsidRPr="00314297">
        <w:t>The preparatory study</w:t>
      </w:r>
      <w:r w:rsidR="002C2281" w:rsidRPr="00B5326E">
        <w:rPr>
          <w:rStyle w:val="FootnoteReference"/>
        </w:rPr>
        <w:footnoteReference w:id="21"/>
      </w:r>
      <w:r w:rsidR="006022E7" w:rsidRPr="00B5326E">
        <w:t xml:space="preserve"> for this design on </w:t>
      </w:r>
      <w:r w:rsidR="00A4174D" w:rsidRPr="003B74ED">
        <w:t>S</w:t>
      </w:r>
      <w:r w:rsidR="006022E7" w:rsidRPr="00EA76FF">
        <w:t xml:space="preserve">trategies for </w:t>
      </w:r>
      <w:r w:rsidR="00A4174D" w:rsidRPr="00314297">
        <w:t>P</w:t>
      </w:r>
      <w:r w:rsidR="006022E7" w:rsidRPr="00314297">
        <w:t xml:space="preserve">romoting </w:t>
      </w:r>
      <w:r w:rsidR="00A4174D" w:rsidRPr="00314297">
        <w:t>L</w:t>
      </w:r>
      <w:r w:rsidR="006022E7" w:rsidRPr="00314297">
        <w:t xml:space="preserve">eadership </w:t>
      </w:r>
      <w:r w:rsidR="00A4174D" w:rsidRPr="00314297">
        <w:t>P</w:t>
      </w:r>
      <w:r w:rsidR="006022E7" w:rsidRPr="00314297">
        <w:t xml:space="preserve">athways for </w:t>
      </w:r>
      <w:r w:rsidR="00A4174D" w:rsidRPr="00314297">
        <w:t>F</w:t>
      </w:r>
      <w:r w:rsidR="006022E7" w:rsidRPr="00314297">
        <w:t xml:space="preserve">emale Australia Awards </w:t>
      </w:r>
      <w:r w:rsidR="00A4174D" w:rsidRPr="00314297">
        <w:t>A</w:t>
      </w:r>
      <w:r w:rsidR="006022E7" w:rsidRPr="00314297">
        <w:t xml:space="preserve">lumni in Vietnam also highlighted the predominance of men at senior levels, and HR practices favouring male promotion. </w:t>
      </w:r>
    </w:p>
    <w:p w14:paraId="4CEF5BFD" w14:textId="6274ACBB" w:rsidR="00CB0751" w:rsidRPr="00314297" w:rsidRDefault="00C964EF" w:rsidP="00C227BA">
      <w:pPr>
        <w:spacing w:before="120" w:after="120"/>
        <w:rPr>
          <w:color w:val="262626"/>
        </w:rPr>
      </w:pPr>
      <w:r w:rsidRPr="00314297">
        <w:t>Further, while the preliminary findings of a regional review of disability policy</w:t>
      </w:r>
      <w:r w:rsidRPr="00B5326E">
        <w:rPr>
          <w:rStyle w:val="FootnoteReference"/>
        </w:rPr>
        <w:footnoteReference w:id="22"/>
      </w:r>
      <w:r w:rsidRPr="00B5326E">
        <w:t xml:space="preserve"> indicated the Vietnam program was an example of best practice across the global Australia Awards Scholarships program, noting the proactive and committed personnel at Post and within the Contractor team and growing government and social attention t</w:t>
      </w:r>
      <w:r w:rsidRPr="003B74ED">
        <w:t>o disability inclusion across Vietnam</w:t>
      </w:r>
      <w:r w:rsidRPr="00EA76FF">
        <w:t xml:space="preserve">, </w:t>
      </w:r>
      <w:r w:rsidRPr="00314297">
        <w:rPr>
          <w:color w:val="262626"/>
        </w:rPr>
        <w:t>disadvantaged groups still face challenges in accessing awards, due mainly to limited opportunities in secondary school to progress to undergraduate studies and because of limited English language ability.</w:t>
      </w:r>
    </w:p>
    <w:p w14:paraId="5790597F" w14:textId="44AEFDEF" w:rsidR="007F268B" w:rsidRPr="00D9325F" w:rsidRDefault="007F268B" w:rsidP="00C227BA">
      <w:pPr>
        <w:autoSpaceDE w:val="0"/>
        <w:autoSpaceDN w:val="0"/>
        <w:adjustRightInd w:val="0"/>
        <w:spacing w:before="120" w:after="120"/>
      </w:pPr>
      <w:r w:rsidRPr="00314297">
        <w:t xml:space="preserve">The </w:t>
      </w:r>
      <w:r w:rsidR="0023255A">
        <w:t xml:space="preserve">Australia Awards </w:t>
      </w:r>
      <w:r w:rsidRPr="00314297">
        <w:t xml:space="preserve">HRD </w:t>
      </w:r>
      <w:r w:rsidR="001129B6">
        <w:t>Program</w:t>
      </w:r>
      <w:r w:rsidR="0023255A">
        <w:t xml:space="preserve"> </w:t>
      </w:r>
      <w:r w:rsidRPr="00314297">
        <w:t xml:space="preserve">2016-20 </w:t>
      </w:r>
      <w:r w:rsidR="00AF0ABD" w:rsidRPr="00314297">
        <w:t xml:space="preserve">will need to </w:t>
      </w:r>
      <w:r w:rsidRPr="00314297">
        <w:t>continue the momentum created to date</w:t>
      </w:r>
      <w:r w:rsidR="002C2281" w:rsidRPr="00314297">
        <w:t>; t</w:t>
      </w:r>
      <w:r w:rsidRPr="00314297">
        <w:t xml:space="preserve">his </w:t>
      </w:r>
      <w:r w:rsidR="007C58F4" w:rsidRPr="00314297">
        <w:t>will</w:t>
      </w:r>
      <w:r w:rsidRPr="00314297">
        <w:t xml:space="preserve"> require specific programs to maintain progress on gender equality and address disability and social inclusion.</w:t>
      </w:r>
      <w:r w:rsidR="002C2281" w:rsidRPr="00314297">
        <w:t xml:space="preserve"> </w:t>
      </w:r>
      <w:r w:rsidR="009B665A" w:rsidRPr="00B42B3E">
        <w:t>To this end it is proposed the Contractor include a dedicated Gender</w:t>
      </w:r>
      <w:r w:rsidR="009B665A" w:rsidRPr="008C2305">
        <w:t xml:space="preserve"> Equality and Social Inclusion </w:t>
      </w:r>
      <w:r w:rsidR="009B665A" w:rsidRPr="00CA4E5C">
        <w:t xml:space="preserve">Advisor </w:t>
      </w:r>
      <w:r w:rsidR="00B64C03" w:rsidRPr="00CA4E5C">
        <w:t>(or advisor team, if pairing a national and international consultant)</w:t>
      </w:r>
      <w:r w:rsidR="00B64C03">
        <w:t xml:space="preserve"> </w:t>
      </w:r>
      <w:r w:rsidR="009B665A" w:rsidRPr="008C2305">
        <w:t xml:space="preserve">in the implementation team. </w:t>
      </w:r>
      <w:r w:rsidR="002C2281" w:rsidRPr="001A0CDA">
        <w:t xml:space="preserve">Care will </w:t>
      </w:r>
      <w:r w:rsidR="002C2281" w:rsidRPr="004E1408">
        <w:t>also be needed to ensure any change in alignment of awards does not result in a reduction in the ratio of female awardees, given potential male dominance in a number of AIP secto</w:t>
      </w:r>
      <w:r w:rsidR="002C2281" w:rsidRPr="007A6D7C">
        <w:t>rs, particularly infrastructure.</w:t>
      </w:r>
    </w:p>
    <w:p w14:paraId="63361C11" w14:textId="77777777" w:rsidR="002E33C6" w:rsidRPr="00E27B90" w:rsidRDefault="002E33C6" w:rsidP="00C227BA">
      <w:pPr>
        <w:pStyle w:val="Heading3"/>
        <w:spacing w:before="120"/>
        <w:ind w:left="851" w:hanging="851"/>
        <w:rPr>
          <w:rFonts w:asciiTheme="minorHAnsi" w:hAnsiTheme="minorHAnsi"/>
          <w:i/>
          <w:color w:val="548DD4" w:themeColor="text2" w:themeTint="99"/>
          <w:sz w:val="24"/>
          <w:szCs w:val="24"/>
        </w:rPr>
      </w:pPr>
      <w:r w:rsidRPr="00E27B90">
        <w:rPr>
          <w:rFonts w:asciiTheme="minorHAnsi" w:hAnsiTheme="minorHAnsi"/>
          <w:i/>
          <w:color w:val="548DD4" w:themeColor="text2" w:themeTint="99"/>
          <w:sz w:val="24"/>
          <w:szCs w:val="24"/>
        </w:rPr>
        <w:t xml:space="preserve">Productive alumni engagement </w:t>
      </w:r>
    </w:p>
    <w:p w14:paraId="783E8F1A" w14:textId="691C9CE1" w:rsidR="002E33C6" w:rsidRPr="003B74ED" w:rsidRDefault="002E33C6" w:rsidP="00C227BA">
      <w:pPr>
        <w:spacing w:before="120" w:after="120"/>
      </w:pPr>
      <w:r w:rsidRPr="00B379A4">
        <w:t xml:space="preserve">There is increasing interest from the Australian Government in building alumni networks, both from a relationship and an evaluation perspective. There is a preference for local alumni networks </w:t>
      </w:r>
      <w:r w:rsidRPr="00602A77">
        <w:t>to become self-sustaining</w:t>
      </w:r>
      <w:r w:rsidRPr="00B5326E">
        <w:rPr>
          <w:rStyle w:val="FootnoteReference"/>
        </w:rPr>
        <w:footnoteReference w:id="23"/>
      </w:r>
      <w:r w:rsidRPr="00B5326E">
        <w:t xml:space="preserve">, but productive alumni engagement is likely to require at least some ongoing investment and support. </w:t>
      </w:r>
    </w:p>
    <w:p w14:paraId="6C108213" w14:textId="5AF526D3" w:rsidR="00BB5262" w:rsidRPr="00B379A4" w:rsidRDefault="002E33C6" w:rsidP="00C227BA">
      <w:pPr>
        <w:spacing w:before="120" w:after="120"/>
        <w:rPr>
          <w:sz w:val="20"/>
        </w:rPr>
      </w:pPr>
      <w:r w:rsidRPr="00EA76FF">
        <w:t>The 2013 Australia Awards Alumni Network Strategy</w:t>
      </w:r>
      <w:r w:rsidR="005C4751" w:rsidRPr="00314297">
        <w:t>,</w:t>
      </w:r>
      <w:r w:rsidRPr="00314297">
        <w:t xml:space="preserve"> and </w:t>
      </w:r>
      <w:r w:rsidR="005C4751" w:rsidRPr="00314297">
        <w:t xml:space="preserve">the </w:t>
      </w:r>
      <w:r w:rsidRPr="00B42B3E">
        <w:t xml:space="preserve">Alumni Scoping Discussion Paper 2014, </w:t>
      </w:r>
      <w:r w:rsidR="005C4751" w:rsidRPr="008C2305">
        <w:t>provide</w:t>
      </w:r>
      <w:r w:rsidR="00C5010F" w:rsidRPr="008C2305">
        <w:t>s</w:t>
      </w:r>
      <w:r w:rsidRPr="008C2305">
        <w:t xml:space="preserve"> the framework for alumni engagement under this design.</w:t>
      </w:r>
      <w:r w:rsidRPr="001A0CDA">
        <w:rPr>
          <w:b/>
          <w:i/>
          <w:sz w:val="26"/>
          <w:szCs w:val="26"/>
        </w:rPr>
        <w:t xml:space="preserve"> </w:t>
      </w:r>
      <w:r w:rsidRPr="004E1408">
        <w:t xml:space="preserve">The Contractor </w:t>
      </w:r>
      <w:r w:rsidR="00572A13" w:rsidRPr="007A6D7C">
        <w:t xml:space="preserve">will be required </w:t>
      </w:r>
      <w:r w:rsidRPr="00D9325F">
        <w:t>to support DFAT in alumni engagement to ensure objectives of the Alumni Strategy can be met.</w:t>
      </w:r>
      <w:r w:rsidRPr="00E27B90">
        <w:rPr>
          <w:sz w:val="20"/>
        </w:rPr>
        <w:t xml:space="preserve"> </w:t>
      </w:r>
    </w:p>
    <w:p w14:paraId="525EA832" w14:textId="5F538328" w:rsidR="00F465BD" w:rsidRDefault="00185068" w:rsidP="00C227BA">
      <w:pPr>
        <w:spacing w:before="120" w:after="120"/>
        <w:rPr>
          <w:color w:val="262626"/>
        </w:rPr>
      </w:pPr>
      <w:r w:rsidRPr="00602A77">
        <w:t>Where there is an evidence-based need (from reintegration workshops, M&amp;E, tracer studies) additi</w:t>
      </w:r>
      <w:r w:rsidRPr="00FA40AE">
        <w:t>onal pre-departure and on-return support to alumni will be provided, including professional development activities, designed to enhance skills utili</w:t>
      </w:r>
      <w:r w:rsidR="008C2305">
        <w:t>s</w:t>
      </w:r>
      <w:r w:rsidRPr="008C2305">
        <w:t xml:space="preserve">ation and productivity in the workplace. </w:t>
      </w:r>
      <w:r w:rsidRPr="008C2305">
        <w:rPr>
          <w:color w:val="262626"/>
        </w:rPr>
        <w:t xml:space="preserve">Since 2010, the AAS program has piloted a Small Grants </w:t>
      </w:r>
      <w:r w:rsidR="00F465BD">
        <w:rPr>
          <w:color w:val="262626"/>
        </w:rPr>
        <w:t>S</w:t>
      </w:r>
      <w:r w:rsidRPr="008C2305">
        <w:rPr>
          <w:color w:val="262626"/>
        </w:rPr>
        <w:t>cheme to impr</w:t>
      </w:r>
      <w:r w:rsidRPr="001A0CDA">
        <w:rPr>
          <w:color w:val="262626"/>
        </w:rPr>
        <w:t xml:space="preserve">ove alumni participation in the post-award phase. The Scheme, intended to increase alumni knowledge and skills, ownership, and linkages with Australia, provides funding to alumni for small research projects, training workshops, </w:t>
      </w:r>
      <w:proofErr w:type="gramStart"/>
      <w:r w:rsidRPr="001A0CDA">
        <w:rPr>
          <w:color w:val="262626"/>
        </w:rPr>
        <w:t>preparation</w:t>
      </w:r>
      <w:proofErr w:type="gramEnd"/>
      <w:r w:rsidRPr="001A0CDA">
        <w:rPr>
          <w:color w:val="262626"/>
        </w:rPr>
        <w:t xml:space="preserve"> of peer reviewed</w:t>
      </w:r>
      <w:r w:rsidRPr="004E1408">
        <w:rPr>
          <w:color w:val="262626"/>
        </w:rPr>
        <w:t xml:space="preserve"> journal articles and presentations at conferences. </w:t>
      </w:r>
    </w:p>
    <w:p w14:paraId="21DB8806" w14:textId="77777777" w:rsidR="0055083A" w:rsidRDefault="0055083A" w:rsidP="00C227BA">
      <w:pPr>
        <w:spacing w:before="120" w:after="120"/>
        <w:rPr>
          <w:color w:val="262626"/>
        </w:rPr>
      </w:pPr>
    </w:p>
    <w:p w14:paraId="315B4EE5" w14:textId="77777777" w:rsidR="00534CE6" w:rsidRDefault="00534CE6" w:rsidP="00C227BA">
      <w:pPr>
        <w:pStyle w:val="Heading1"/>
        <w:keepNext/>
        <w:keepLines/>
        <w:spacing w:before="120" w:after="120"/>
        <w:contextualSpacing w:val="0"/>
        <w:rPr>
          <w:rFonts w:asciiTheme="minorHAnsi" w:hAnsiTheme="minorHAnsi"/>
          <w:color w:val="548DD4" w:themeColor="text2" w:themeTint="99"/>
          <w:sz w:val="24"/>
          <w:szCs w:val="24"/>
        </w:rPr>
      </w:pPr>
      <w:r w:rsidRPr="007A6D7C">
        <w:rPr>
          <w:rFonts w:asciiTheme="minorHAnsi" w:hAnsiTheme="minorHAnsi"/>
          <w:color w:val="548DD4" w:themeColor="text2" w:themeTint="99"/>
          <w:sz w:val="24"/>
          <w:szCs w:val="24"/>
        </w:rPr>
        <w:t>INVESTMENT DESCRIPTION</w:t>
      </w:r>
    </w:p>
    <w:p w14:paraId="069245C4" w14:textId="77777777" w:rsidR="00AB175B" w:rsidRPr="00AB175B" w:rsidRDefault="00AB175B" w:rsidP="00AB175B">
      <w:pPr>
        <w:rPr>
          <w:lang w:eastAsia="en-AU"/>
        </w:rPr>
      </w:pPr>
    </w:p>
    <w:p w14:paraId="16EE6A08" w14:textId="5AD1B2D4" w:rsidR="00534CE6" w:rsidRPr="00D9325F" w:rsidRDefault="00534CE6" w:rsidP="00C227BA">
      <w:pPr>
        <w:pStyle w:val="Heading2"/>
        <w:spacing w:before="120"/>
        <w:rPr>
          <w:rFonts w:asciiTheme="minorHAnsi" w:hAnsiTheme="minorHAnsi"/>
          <w:i w:val="0"/>
          <w:color w:val="548DD4" w:themeColor="text2" w:themeTint="99"/>
        </w:rPr>
      </w:pPr>
      <w:r w:rsidRPr="00D9325F">
        <w:rPr>
          <w:rFonts w:asciiTheme="minorHAnsi" w:hAnsiTheme="minorHAnsi"/>
          <w:i w:val="0"/>
          <w:color w:val="548DD4" w:themeColor="text2" w:themeTint="99"/>
        </w:rPr>
        <w:t>Logic and Expected Outcomes</w:t>
      </w:r>
    </w:p>
    <w:p w14:paraId="5E14777A" w14:textId="6ED38281" w:rsidR="006D5903" w:rsidRDefault="006D5903" w:rsidP="00C227BA">
      <w:pPr>
        <w:autoSpaceDE w:val="0"/>
        <w:autoSpaceDN w:val="0"/>
        <w:adjustRightInd w:val="0"/>
        <w:spacing w:before="120" w:after="120"/>
      </w:pPr>
      <w:r w:rsidRPr="003B74ED">
        <w:t xml:space="preserve">The </w:t>
      </w:r>
      <w:r>
        <w:t xml:space="preserve">“Above-the-Line” Goal </w:t>
      </w:r>
      <w:r w:rsidRPr="00D65AD4">
        <w:t xml:space="preserve">for the </w:t>
      </w:r>
      <w:r w:rsidR="00632783">
        <w:t>Vietnam-Australia Partnership on Human Resource Development</w:t>
      </w:r>
      <w:r w:rsidRPr="00F4554A">
        <w:t xml:space="preserve"> </w:t>
      </w:r>
      <w:r w:rsidRPr="00D65AD4">
        <w:t>is</w:t>
      </w:r>
      <w:r>
        <w:t xml:space="preserve"> that </w:t>
      </w:r>
      <w:r w:rsidRPr="007006EB">
        <w:rPr>
          <w:i/>
        </w:rPr>
        <w:t>Vietnam accesses and uses high level professional and technical kno</w:t>
      </w:r>
      <w:r>
        <w:rPr>
          <w:i/>
        </w:rPr>
        <w:t>wledge, skills and competencies.</w:t>
      </w:r>
      <w:r>
        <w:t xml:space="preserve"> </w:t>
      </w:r>
    </w:p>
    <w:p w14:paraId="102AC44B" w14:textId="085094F1" w:rsidR="002652FE" w:rsidRPr="00274EF2" w:rsidRDefault="006D5903" w:rsidP="00C227BA">
      <w:pPr>
        <w:spacing w:before="120" w:after="120"/>
        <w:rPr>
          <w:i/>
        </w:rPr>
      </w:pPr>
      <w:r w:rsidRPr="00D65AD4">
        <w:t xml:space="preserve">The </w:t>
      </w:r>
      <w:r w:rsidR="001129B6">
        <w:t>Program</w:t>
      </w:r>
      <w:r w:rsidRPr="00D65AD4">
        <w:t xml:space="preserve"> seeks to</w:t>
      </w:r>
      <w:r w:rsidRPr="003610EF">
        <w:t xml:space="preserve"> achieve </w:t>
      </w:r>
      <w:r w:rsidRPr="00D17759">
        <w:t xml:space="preserve">three End-of-Program Outcomes (EOPOs): </w:t>
      </w:r>
    </w:p>
    <w:p w14:paraId="5A9D48F9" w14:textId="731B971D" w:rsidR="000B4A30" w:rsidRDefault="00CA4E5C" w:rsidP="00C227BA">
      <w:pPr>
        <w:pStyle w:val="ListParagraph"/>
        <w:numPr>
          <w:ilvl w:val="0"/>
          <w:numId w:val="11"/>
        </w:numPr>
        <w:spacing w:line="240" w:lineRule="auto"/>
        <w:contextualSpacing w:val="0"/>
        <w:rPr>
          <w:rFonts w:asciiTheme="minorHAnsi" w:hAnsiTheme="minorHAnsi"/>
          <w:i/>
          <w:sz w:val="24"/>
          <w:szCs w:val="24"/>
          <w:lang w:val="en-AU"/>
        </w:rPr>
      </w:pPr>
      <w:r>
        <w:rPr>
          <w:rFonts w:asciiTheme="minorHAnsi" w:hAnsiTheme="minorHAnsi"/>
          <w:i/>
          <w:sz w:val="24"/>
          <w:szCs w:val="24"/>
          <w:lang w:val="en-AU"/>
        </w:rPr>
        <w:t>Male and female alumni</w:t>
      </w:r>
      <w:r w:rsidR="000B4A30" w:rsidRPr="000B4A30">
        <w:rPr>
          <w:rFonts w:asciiTheme="minorHAnsi" w:hAnsiTheme="minorHAnsi"/>
          <w:i/>
          <w:sz w:val="24"/>
          <w:szCs w:val="24"/>
          <w:lang w:val="en-AU"/>
        </w:rPr>
        <w:t xml:space="preserve"> use new skills and knowledge to make positive contribution</w:t>
      </w:r>
      <w:r w:rsidR="00182469">
        <w:rPr>
          <w:rFonts w:asciiTheme="minorHAnsi" w:hAnsiTheme="minorHAnsi"/>
          <w:i/>
          <w:sz w:val="24"/>
          <w:szCs w:val="24"/>
          <w:lang w:val="en-AU"/>
        </w:rPr>
        <w:t>s</w:t>
      </w:r>
      <w:r w:rsidR="000B4A30" w:rsidRPr="000B4A30">
        <w:rPr>
          <w:rFonts w:asciiTheme="minorHAnsi" w:hAnsiTheme="minorHAnsi"/>
          <w:i/>
          <w:sz w:val="24"/>
          <w:szCs w:val="24"/>
          <w:lang w:val="en-AU"/>
        </w:rPr>
        <w:t xml:space="preserve"> to selected priority areas</w:t>
      </w:r>
    </w:p>
    <w:p w14:paraId="27B90D23" w14:textId="77777777" w:rsidR="00534CE6" w:rsidRPr="00B5326E" w:rsidRDefault="00534CE6" w:rsidP="00C227BA">
      <w:pPr>
        <w:pStyle w:val="ListParagraph"/>
        <w:numPr>
          <w:ilvl w:val="0"/>
          <w:numId w:val="11"/>
        </w:numPr>
        <w:spacing w:line="240" w:lineRule="auto"/>
        <w:contextualSpacing w:val="0"/>
        <w:rPr>
          <w:rFonts w:asciiTheme="minorHAnsi" w:hAnsiTheme="minorHAnsi"/>
          <w:i/>
          <w:sz w:val="24"/>
          <w:szCs w:val="24"/>
          <w:lang w:val="en-AU"/>
        </w:rPr>
      </w:pPr>
      <w:r w:rsidRPr="00B5326E">
        <w:rPr>
          <w:rFonts w:asciiTheme="minorHAnsi" w:hAnsiTheme="minorHAnsi"/>
          <w:i/>
          <w:sz w:val="24"/>
          <w:szCs w:val="24"/>
          <w:lang w:val="en-AU"/>
        </w:rPr>
        <w:t>Stronger workplace enabling environments for skills utilisation in selected priority areas</w:t>
      </w:r>
    </w:p>
    <w:p w14:paraId="0139B29D" w14:textId="77777777" w:rsidR="00534CE6" w:rsidRPr="00B5326E" w:rsidRDefault="00534CE6" w:rsidP="00C227BA">
      <w:pPr>
        <w:pStyle w:val="ListParagraph"/>
        <w:numPr>
          <w:ilvl w:val="0"/>
          <w:numId w:val="11"/>
        </w:numPr>
        <w:spacing w:line="240" w:lineRule="auto"/>
        <w:contextualSpacing w:val="0"/>
        <w:rPr>
          <w:rFonts w:asciiTheme="minorHAnsi" w:hAnsiTheme="minorHAnsi"/>
          <w:i/>
          <w:sz w:val="24"/>
          <w:szCs w:val="24"/>
          <w:lang w:val="en-AU"/>
        </w:rPr>
      </w:pPr>
      <w:r w:rsidRPr="00B5326E">
        <w:rPr>
          <w:rFonts w:asciiTheme="minorHAnsi" w:hAnsiTheme="minorHAnsi"/>
          <w:i/>
          <w:sz w:val="24"/>
          <w:szCs w:val="24"/>
          <w:lang w:val="en-AU"/>
        </w:rPr>
        <w:t xml:space="preserve">Australia </w:t>
      </w:r>
      <w:r w:rsidRPr="00B5326E">
        <w:rPr>
          <w:rFonts w:asciiTheme="minorHAnsi" w:hAnsiTheme="minorHAnsi"/>
          <w:i/>
          <w:color w:val="000000"/>
          <w:sz w:val="24"/>
          <w:szCs w:val="24"/>
          <w:lang w:val="en-AU"/>
        </w:rPr>
        <w:t>and Vietnam have stronger, sustainable links in selected sectors/agencies</w:t>
      </w:r>
    </w:p>
    <w:p w14:paraId="5D5D4880" w14:textId="166E903C" w:rsidR="0014611A" w:rsidRPr="00B5326E" w:rsidRDefault="00534CE6" w:rsidP="00C227BA">
      <w:pPr>
        <w:spacing w:before="120" w:after="120"/>
      </w:pPr>
      <w:r w:rsidRPr="003C75F6">
        <w:t xml:space="preserve">The </w:t>
      </w:r>
      <w:r w:rsidR="001129B6">
        <w:t>Program</w:t>
      </w:r>
      <w:r w:rsidR="00CA4E5C">
        <w:t>’s Theory of Change is</w:t>
      </w:r>
      <w:r w:rsidRPr="003C75F6">
        <w:t xml:space="preserve"> shown in Figure 2.1 below. </w:t>
      </w:r>
    </w:p>
    <w:p w14:paraId="5D1847A7" w14:textId="39E033D2" w:rsidR="00402440" w:rsidRPr="00FA40AE" w:rsidRDefault="00534CE6" w:rsidP="00C227BA">
      <w:pPr>
        <w:spacing w:before="120" w:after="120"/>
      </w:pPr>
      <w:r w:rsidRPr="00EA76FF">
        <w:t>Expect</w:t>
      </w:r>
      <w:r w:rsidRPr="00314297">
        <w:t>ed outcomes were tested in a theory of change analysis</w:t>
      </w:r>
      <w:r w:rsidR="00884A1B" w:rsidRPr="00B42B3E">
        <w:t xml:space="preserve"> workshop</w:t>
      </w:r>
      <w:r w:rsidRPr="008C2305">
        <w:t xml:space="preserve"> involving all key program stakeholders</w:t>
      </w:r>
      <w:r w:rsidR="00D50E8C" w:rsidRPr="008C2305">
        <w:t>.</w:t>
      </w:r>
      <w:r w:rsidR="009E3D47" w:rsidRPr="001A0CDA">
        <w:t xml:space="preserve"> </w:t>
      </w:r>
      <w:r w:rsidR="00884A1B" w:rsidRPr="001A0CDA">
        <w:t xml:space="preserve">The purpose of the analysis was to </w:t>
      </w:r>
      <w:r w:rsidR="007A59B7" w:rsidRPr="004E1408">
        <w:t xml:space="preserve">identify practical and sustainable strategies for adding value to the provision of long-term postgraduate scholarships; and </w:t>
      </w:r>
      <w:r w:rsidR="003E729E" w:rsidRPr="007A6D7C">
        <w:t xml:space="preserve">to </w:t>
      </w:r>
      <w:r w:rsidR="00884A1B" w:rsidRPr="00D9325F">
        <w:t>seek to stren</w:t>
      </w:r>
      <w:r w:rsidR="00884A1B" w:rsidRPr="00E27B90">
        <w:t>gthen the synergy between HRD interventions and sector pillars under the AIP</w:t>
      </w:r>
      <w:r w:rsidR="007A59B7" w:rsidRPr="00B379A4">
        <w:t>.</w:t>
      </w:r>
      <w:r w:rsidR="00884A1B" w:rsidRPr="00602A77">
        <w:t xml:space="preserve"> </w:t>
      </w:r>
    </w:p>
    <w:p w14:paraId="1BE759E1" w14:textId="1B9632BA" w:rsidR="00402440" w:rsidRPr="00B5326E" w:rsidRDefault="00402440" w:rsidP="00C227BA">
      <w:pPr>
        <w:spacing w:before="120" w:after="120"/>
      </w:pPr>
      <w:r w:rsidRPr="00B31B3E">
        <w:t xml:space="preserve">The theory of change demonstrates that if the range of available HRD </w:t>
      </w:r>
      <w:r w:rsidR="008069AF" w:rsidRPr="00274EF2">
        <w:t>modalities</w:t>
      </w:r>
      <w:r w:rsidRPr="00F233A7">
        <w:t xml:space="preserve"> outlined in the design </w:t>
      </w:r>
      <w:r w:rsidR="008069AF" w:rsidRPr="004744D3">
        <w:t>is</w:t>
      </w:r>
      <w:r w:rsidRPr="00AF245E">
        <w:t xml:space="preserve"> delivered in an effective way</w:t>
      </w:r>
      <w:r w:rsidR="006A220F" w:rsidRPr="00FE136A">
        <w:t>,</w:t>
      </w:r>
      <w:r w:rsidR="008069AF" w:rsidRPr="005C0E3B">
        <w:t xml:space="preserve"> then, subject to </w:t>
      </w:r>
      <w:r w:rsidR="006A220F" w:rsidRPr="00FA5F0F">
        <w:t xml:space="preserve">certain </w:t>
      </w:r>
      <w:r w:rsidR="008069AF" w:rsidRPr="00B5326E">
        <w:t xml:space="preserve">assumptions and </w:t>
      </w:r>
      <w:r w:rsidR="006A220F" w:rsidRPr="00B5326E">
        <w:t xml:space="preserve">appropriate </w:t>
      </w:r>
      <w:r w:rsidR="008069AF" w:rsidRPr="00B5326E">
        <w:t xml:space="preserve">risk management, </w:t>
      </w:r>
      <w:r w:rsidR="0003585A" w:rsidRPr="00B5326E">
        <w:t>the</w:t>
      </w:r>
      <w:r w:rsidR="008069AF" w:rsidRPr="00B5326E">
        <w:t xml:space="preserve"> </w:t>
      </w:r>
      <w:r w:rsidR="006A220F" w:rsidRPr="00B5326E">
        <w:t xml:space="preserve">design </w:t>
      </w:r>
      <w:r w:rsidR="008069AF" w:rsidRPr="00B5326E">
        <w:t xml:space="preserve">outputs can be achieved.  </w:t>
      </w:r>
      <w:r w:rsidR="006A220F" w:rsidRPr="00B5326E">
        <w:t xml:space="preserve">If design outputs are achieved </w:t>
      </w:r>
      <w:r w:rsidR="0003585A" w:rsidRPr="00B5326E">
        <w:t xml:space="preserve">and leveraged with other GOA programs then together they provide a pathway to realising </w:t>
      </w:r>
      <w:r w:rsidR="006A220F" w:rsidRPr="00B5326E">
        <w:t>inte</w:t>
      </w:r>
      <w:r w:rsidR="0003585A" w:rsidRPr="00B5326E">
        <w:t>rmediate outcomes</w:t>
      </w:r>
      <w:r w:rsidR="006A220F" w:rsidRPr="00B5326E">
        <w:t>.</w:t>
      </w:r>
      <w:r w:rsidR="0003585A" w:rsidRPr="00B5326E">
        <w:t xml:space="preserve"> The end of program outcome follows logically from the successful achievement of the three intermediate outcomes; and in turn is one of a number of pillars contributing to the overall AIP goal.</w:t>
      </w:r>
    </w:p>
    <w:p w14:paraId="3709DDFB" w14:textId="77777777" w:rsidR="00186B37" w:rsidRPr="00B5326E" w:rsidRDefault="009E58AF" w:rsidP="00C227BA">
      <w:pPr>
        <w:spacing w:before="120" w:after="120"/>
      </w:pPr>
      <w:r w:rsidRPr="00B5326E">
        <w:t>The approach to effective delivery of available HRD modalities is outlined below.</w:t>
      </w:r>
    </w:p>
    <w:p w14:paraId="4CDE6643" w14:textId="59B3AB0B" w:rsidR="008529EA" w:rsidRPr="00B5326E" w:rsidRDefault="00CD4178" w:rsidP="00C227BA">
      <w:pPr>
        <w:spacing w:before="120" w:after="120"/>
      </w:pPr>
      <w:r w:rsidRPr="00B5326E">
        <w:t>The approach to the measurement of outcomes is described in Section 3.3 Monitoring and Evaluation.</w:t>
      </w:r>
    </w:p>
    <w:p w14:paraId="08E20988" w14:textId="77777777" w:rsidR="00BD77BE" w:rsidRPr="00B5326E" w:rsidRDefault="00BD77BE" w:rsidP="00C227BA">
      <w:pPr>
        <w:spacing w:before="120" w:after="120"/>
        <w:rPr>
          <w:b/>
        </w:rPr>
      </w:pPr>
    </w:p>
    <w:p w14:paraId="5FB21750" w14:textId="77777777" w:rsidR="00F465BD" w:rsidRDefault="00F465BD" w:rsidP="00C227BA">
      <w:pPr>
        <w:spacing w:before="120" w:after="120"/>
        <w:rPr>
          <w:b/>
        </w:rPr>
      </w:pPr>
      <w:r>
        <w:rPr>
          <w:b/>
        </w:rPr>
        <w:br w:type="page"/>
      </w:r>
    </w:p>
    <w:p w14:paraId="52C72444" w14:textId="22AD0301" w:rsidR="00CA4E5C" w:rsidRPr="007D2C6C" w:rsidRDefault="008529EA" w:rsidP="00C227BA">
      <w:pPr>
        <w:spacing w:before="120" w:after="120"/>
        <w:rPr>
          <w:b/>
        </w:rPr>
      </w:pPr>
      <w:r w:rsidRPr="00B5326E">
        <w:rPr>
          <w:b/>
        </w:rPr>
        <w:t xml:space="preserve">Figure 2.1: </w:t>
      </w:r>
      <w:r w:rsidR="00CA4E5C">
        <w:rPr>
          <w:b/>
        </w:rPr>
        <w:t>Theory of Change</w:t>
      </w:r>
    </w:p>
    <w:p w14:paraId="5F662FC3" w14:textId="6258FC87" w:rsidR="007D2C6C" w:rsidRDefault="007D2C6C">
      <w:pPr>
        <w:rPr>
          <w:rFonts w:eastAsia="Times New Roman" w:cs="Arial"/>
          <w:b/>
          <w:bCs/>
          <w:color w:val="548DD4" w:themeColor="text2" w:themeTint="99"/>
          <w:szCs w:val="26"/>
          <w:lang w:eastAsia="en-AU"/>
        </w:rPr>
      </w:pPr>
      <w:r>
        <w:rPr>
          <w:noProof/>
          <w:lang w:eastAsia="en-AU"/>
        </w:rPr>
        <w:drawing>
          <wp:anchor distT="0" distB="0" distL="114300" distR="114300" simplePos="0" relativeHeight="251660288" behindDoc="1" locked="0" layoutInCell="1" allowOverlap="1" wp14:anchorId="348B281A" wp14:editId="35F92FE5">
            <wp:simplePos x="0" y="0"/>
            <wp:positionH relativeFrom="column">
              <wp:posOffset>-609600</wp:posOffset>
            </wp:positionH>
            <wp:positionV relativeFrom="paragraph">
              <wp:posOffset>200660</wp:posOffset>
            </wp:positionV>
            <wp:extent cx="6576060" cy="7607300"/>
            <wp:effectExtent l="0" t="0" r="0" b="0"/>
            <wp:wrapTight wrapText="bothSides">
              <wp:wrapPolygon edited="0">
                <wp:start x="2628" y="0"/>
                <wp:lineTo x="313" y="108"/>
                <wp:lineTo x="313" y="757"/>
                <wp:lineTo x="2628" y="865"/>
                <wp:lineTo x="0" y="1190"/>
                <wp:lineTo x="0" y="1406"/>
                <wp:lineTo x="5569" y="1731"/>
                <wp:lineTo x="188" y="2380"/>
                <wp:lineTo x="188" y="2867"/>
                <wp:lineTo x="1940" y="3462"/>
                <wp:lineTo x="2691" y="3462"/>
                <wp:lineTo x="375" y="4273"/>
                <wp:lineTo x="375" y="4814"/>
                <wp:lineTo x="1439" y="5193"/>
                <wp:lineTo x="375" y="5247"/>
                <wp:lineTo x="63" y="5355"/>
                <wp:lineTo x="63" y="7140"/>
                <wp:lineTo x="2753" y="7789"/>
                <wp:lineTo x="751" y="8384"/>
                <wp:lineTo x="688" y="8654"/>
                <wp:lineTo x="1251" y="8654"/>
                <wp:lineTo x="2691" y="9520"/>
                <wp:lineTo x="2753" y="11143"/>
                <wp:lineTo x="11951" y="11251"/>
                <wp:lineTo x="11951" y="12116"/>
                <wp:lineTo x="10825" y="12982"/>
                <wp:lineTo x="10762" y="13847"/>
                <wp:lineTo x="0" y="13901"/>
                <wp:lineTo x="0" y="14009"/>
                <wp:lineTo x="563" y="14713"/>
                <wp:lineTo x="626" y="15957"/>
                <wp:lineTo x="8447" y="16443"/>
                <wp:lineTo x="2628" y="16552"/>
                <wp:lineTo x="2628" y="17850"/>
                <wp:lineTo x="5882" y="18174"/>
                <wp:lineTo x="0" y="18174"/>
                <wp:lineTo x="0" y="18391"/>
                <wp:lineTo x="2878" y="19040"/>
                <wp:lineTo x="250" y="19148"/>
                <wp:lineTo x="250" y="19905"/>
                <wp:lineTo x="2878" y="19905"/>
                <wp:lineTo x="2878" y="20500"/>
                <wp:lineTo x="3942" y="20771"/>
                <wp:lineTo x="6007" y="20771"/>
                <wp:lineTo x="6007" y="21528"/>
                <wp:lineTo x="9323" y="21528"/>
                <wp:lineTo x="21525" y="20825"/>
                <wp:lineTo x="21525" y="18174"/>
                <wp:lineTo x="12640" y="18174"/>
                <wp:lineTo x="18146" y="17525"/>
                <wp:lineTo x="18083" y="17309"/>
                <wp:lineTo x="21525" y="17201"/>
                <wp:lineTo x="21525" y="13901"/>
                <wp:lineTo x="10700" y="13847"/>
                <wp:lineTo x="10762" y="12982"/>
                <wp:lineTo x="15017" y="12982"/>
                <wp:lineTo x="21024" y="12495"/>
                <wp:lineTo x="20899" y="5193"/>
                <wp:lineTo x="21149" y="2434"/>
                <wp:lineTo x="20649" y="2272"/>
                <wp:lineTo x="18209" y="1731"/>
                <wp:lineTo x="21400" y="1406"/>
                <wp:lineTo x="21525" y="1352"/>
                <wp:lineTo x="21149" y="865"/>
                <wp:lineTo x="21149" y="0"/>
                <wp:lineTo x="262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76060" cy="7607300"/>
                    </a:xfrm>
                    <a:prstGeom prst="rect">
                      <a:avLst/>
                    </a:prstGeom>
                    <a:noFill/>
                  </pic:spPr>
                </pic:pic>
              </a:graphicData>
            </a:graphic>
            <wp14:sizeRelH relativeFrom="margin">
              <wp14:pctWidth>0</wp14:pctWidth>
            </wp14:sizeRelH>
            <wp14:sizeRelV relativeFrom="margin">
              <wp14:pctHeight>0</wp14:pctHeight>
            </wp14:sizeRelV>
          </wp:anchor>
        </w:drawing>
      </w:r>
      <w:r>
        <w:rPr>
          <w:i/>
          <w:color w:val="548DD4" w:themeColor="text2" w:themeTint="99"/>
        </w:rPr>
        <w:br w:type="page"/>
      </w:r>
    </w:p>
    <w:p w14:paraId="6D24534E" w14:textId="74B503F8" w:rsidR="008529EA" w:rsidRPr="00EA76FF" w:rsidRDefault="008529EA" w:rsidP="00C227BA">
      <w:pPr>
        <w:pStyle w:val="Heading2"/>
        <w:spacing w:before="120"/>
        <w:rPr>
          <w:rFonts w:asciiTheme="minorHAnsi" w:hAnsiTheme="minorHAnsi"/>
          <w:i w:val="0"/>
          <w:color w:val="548DD4" w:themeColor="text2" w:themeTint="99"/>
        </w:rPr>
      </w:pPr>
      <w:r w:rsidRPr="003B74ED">
        <w:rPr>
          <w:rFonts w:asciiTheme="minorHAnsi" w:hAnsiTheme="minorHAnsi"/>
          <w:i w:val="0"/>
          <w:color w:val="548DD4" w:themeColor="text2" w:themeTint="99"/>
        </w:rPr>
        <w:t>Delivery Approach</w:t>
      </w:r>
    </w:p>
    <w:p w14:paraId="5EB64110" w14:textId="77777777" w:rsidR="002E4F56" w:rsidRPr="007A6D7C" w:rsidRDefault="003F1442" w:rsidP="00C227BA">
      <w:pPr>
        <w:pStyle w:val="BulletPoints"/>
        <w:numPr>
          <w:ilvl w:val="0"/>
          <w:numId w:val="0"/>
        </w:numPr>
        <w:contextualSpacing w:val="0"/>
        <w:rPr>
          <w:rFonts w:asciiTheme="minorHAnsi" w:eastAsiaTheme="minorHAnsi" w:hAnsiTheme="minorHAnsi"/>
          <w:sz w:val="24"/>
          <w:szCs w:val="24"/>
          <w:lang w:eastAsia="en-US"/>
        </w:rPr>
      </w:pPr>
      <w:r w:rsidRPr="00314297">
        <w:rPr>
          <w:rFonts w:asciiTheme="minorHAnsi" w:eastAsiaTheme="minorHAnsi" w:hAnsiTheme="minorHAnsi"/>
          <w:sz w:val="24"/>
          <w:szCs w:val="24"/>
          <w:lang w:eastAsia="en-US"/>
        </w:rPr>
        <w:t>A number of strategies guide the delivery approach</w:t>
      </w:r>
      <w:r w:rsidR="00002D35" w:rsidRPr="00B42B3E">
        <w:rPr>
          <w:rFonts w:asciiTheme="minorHAnsi" w:eastAsiaTheme="minorHAnsi" w:hAnsiTheme="minorHAnsi"/>
          <w:sz w:val="24"/>
          <w:szCs w:val="24"/>
          <w:lang w:eastAsia="en-US"/>
        </w:rPr>
        <w:t xml:space="preserve">, shown diagrammatically in </w:t>
      </w:r>
      <w:r w:rsidR="00647F38" w:rsidRPr="008C2305">
        <w:rPr>
          <w:rFonts w:asciiTheme="minorHAnsi" w:eastAsiaTheme="minorHAnsi" w:hAnsiTheme="minorHAnsi"/>
          <w:sz w:val="24"/>
          <w:szCs w:val="24"/>
          <w:lang w:eastAsia="en-US"/>
        </w:rPr>
        <w:t>Figure 2.2</w:t>
      </w:r>
      <w:r w:rsidRPr="008C2305">
        <w:rPr>
          <w:rFonts w:asciiTheme="minorHAnsi" w:eastAsiaTheme="minorHAnsi" w:hAnsiTheme="minorHAnsi"/>
          <w:sz w:val="24"/>
          <w:szCs w:val="24"/>
          <w:lang w:eastAsia="en-US"/>
        </w:rPr>
        <w:t xml:space="preserve">. </w:t>
      </w:r>
      <w:r w:rsidR="00002D35" w:rsidRPr="008C2305">
        <w:rPr>
          <w:rFonts w:asciiTheme="minorHAnsi" w:eastAsiaTheme="minorHAnsi" w:hAnsiTheme="minorHAnsi"/>
          <w:sz w:val="24"/>
          <w:szCs w:val="24"/>
          <w:lang w:eastAsia="en-US"/>
        </w:rPr>
        <w:t xml:space="preserve">The approach assumes a more strategic role for DFAT Hanoi in </w:t>
      </w:r>
      <w:r w:rsidR="00BD2BB0" w:rsidRPr="001A0CDA">
        <w:rPr>
          <w:rFonts w:asciiTheme="minorHAnsi" w:eastAsiaTheme="minorHAnsi" w:hAnsiTheme="minorHAnsi"/>
          <w:sz w:val="24"/>
          <w:szCs w:val="24"/>
          <w:lang w:eastAsia="en-US"/>
        </w:rPr>
        <w:t xml:space="preserve">policy </w:t>
      </w:r>
      <w:r w:rsidR="00002D35" w:rsidRPr="001A0CDA">
        <w:rPr>
          <w:rFonts w:asciiTheme="minorHAnsi" w:eastAsiaTheme="minorHAnsi" w:hAnsiTheme="minorHAnsi"/>
          <w:sz w:val="24"/>
          <w:szCs w:val="24"/>
          <w:lang w:eastAsia="en-US"/>
        </w:rPr>
        <w:t xml:space="preserve">analysis and </w:t>
      </w:r>
      <w:r w:rsidR="00BD2BB0" w:rsidRPr="004E1408">
        <w:rPr>
          <w:rFonts w:asciiTheme="minorHAnsi" w:eastAsiaTheme="minorHAnsi" w:hAnsiTheme="minorHAnsi"/>
          <w:sz w:val="24"/>
          <w:szCs w:val="24"/>
          <w:lang w:eastAsia="en-US"/>
        </w:rPr>
        <w:t xml:space="preserve">dialogue </w:t>
      </w:r>
      <w:r w:rsidR="002E4F56" w:rsidRPr="007A6D7C">
        <w:rPr>
          <w:rFonts w:asciiTheme="minorHAnsi" w:eastAsiaTheme="minorHAnsi" w:hAnsiTheme="minorHAnsi"/>
          <w:sz w:val="24"/>
          <w:szCs w:val="24"/>
          <w:lang w:eastAsia="en-US"/>
        </w:rPr>
        <w:t>working cooperatively with the Contractor to identify priority areas for sector and institution engagement to advance Australian aid objectives.</w:t>
      </w:r>
    </w:p>
    <w:p w14:paraId="0FE8FC57" w14:textId="69C93124" w:rsidR="00456A29" w:rsidRPr="00E27B90" w:rsidRDefault="003F1442" w:rsidP="00C227BA">
      <w:pPr>
        <w:pStyle w:val="BulletPoints"/>
        <w:numPr>
          <w:ilvl w:val="0"/>
          <w:numId w:val="0"/>
        </w:numPr>
        <w:contextualSpacing w:val="0"/>
        <w:rPr>
          <w:rFonts w:asciiTheme="minorHAnsi" w:eastAsiaTheme="minorHAnsi" w:hAnsiTheme="minorHAnsi"/>
          <w:sz w:val="24"/>
          <w:szCs w:val="24"/>
          <w:lang w:eastAsia="en-US"/>
        </w:rPr>
      </w:pPr>
      <w:r w:rsidRPr="00E27B90">
        <w:rPr>
          <w:rFonts w:asciiTheme="minorHAnsi" w:eastAsiaTheme="minorHAnsi" w:hAnsiTheme="minorHAnsi"/>
          <w:sz w:val="24"/>
          <w:szCs w:val="24"/>
          <w:lang w:eastAsia="en-US"/>
        </w:rPr>
        <w:t xml:space="preserve">Firstly, Australia Awards Scholarships continue as the core of the </w:t>
      </w:r>
      <w:r w:rsidR="0000238C">
        <w:rPr>
          <w:rFonts w:asciiTheme="minorHAnsi" w:eastAsiaTheme="minorHAnsi" w:hAnsiTheme="minorHAnsi"/>
          <w:sz w:val="24"/>
          <w:szCs w:val="24"/>
          <w:lang w:eastAsia="en-US"/>
        </w:rPr>
        <w:t>P</w:t>
      </w:r>
      <w:r w:rsidRPr="00E27B90">
        <w:rPr>
          <w:rFonts w:asciiTheme="minorHAnsi" w:eastAsiaTheme="minorHAnsi" w:hAnsiTheme="minorHAnsi"/>
          <w:sz w:val="24"/>
          <w:szCs w:val="24"/>
          <w:lang w:eastAsia="en-US"/>
        </w:rPr>
        <w:t xml:space="preserve">rogram, </w:t>
      </w:r>
      <w:r w:rsidR="00A4589A" w:rsidRPr="00E27B90">
        <w:rPr>
          <w:rFonts w:asciiTheme="minorHAnsi" w:eastAsiaTheme="minorHAnsi" w:hAnsiTheme="minorHAnsi"/>
          <w:sz w:val="24"/>
          <w:szCs w:val="24"/>
          <w:lang w:eastAsia="en-US"/>
        </w:rPr>
        <w:t xml:space="preserve">to be </w:t>
      </w:r>
      <w:r w:rsidRPr="00E27B90">
        <w:rPr>
          <w:rFonts w:asciiTheme="minorHAnsi" w:eastAsiaTheme="minorHAnsi" w:hAnsiTheme="minorHAnsi"/>
          <w:sz w:val="24"/>
          <w:szCs w:val="24"/>
          <w:lang w:eastAsia="en-US"/>
        </w:rPr>
        <w:t xml:space="preserve">aligned closely with sector </w:t>
      </w:r>
      <w:r w:rsidR="00C60DC8" w:rsidRPr="00E27B90">
        <w:rPr>
          <w:rFonts w:asciiTheme="minorHAnsi" w:eastAsiaTheme="minorHAnsi" w:hAnsiTheme="minorHAnsi"/>
          <w:sz w:val="24"/>
          <w:szCs w:val="24"/>
          <w:lang w:eastAsia="en-US"/>
        </w:rPr>
        <w:t xml:space="preserve">and geographical </w:t>
      </w:r>
      <w:r w:rsidRPr="00E27B90">
        <w:rPr>
          <w:rFonts w:asciiTheme="minorHAnsi" w:eastAsiaTheme="minorHAnsi" w:hAnsiTheme="minorHAnsi"/>
          <w:sz w:val="24"/>
          <w:szCs w:val="24"/>
          <w:lang w:eastAsia="en-US"/>
        </w:rPr>
        <w:t xml:space="preserve">priorities in the </w:t>
      </w:r>
      <w:r w:rsidR="00456A29" w:rsidRPr="00E27B90">
        <w:rPr>
          <w:rFonts w:asciiTheme="minorHAnsi" w:eastAsiaTheme="minorHAnsi" w:hAnsiTheme="minorHAnsi"/>
          <w:sz w:val="24"/>
          <w:szCs w:val="24"/>
          <w:lang w:eastAsia="en-US"/>
        </w:rPr>
        <w:t xml:space="preserve">new </w:t>
      </w:r>
      <w:r w:rsidRPr="00E27B90">
        <w:rPr>
          <w:rFonts w:asciiTheme="minorHAnsi" w:eastAsiaTheme="minorHAnsi" w:hAnsiTheme="minorHAnsi"/>
          <w:sz w:val="24"/>
          <w:szCs w:val="24"/>
          <w:lang w:eastAsia="en-US"/>
        </w:rPr>
        <w:t xml:space="preserve">Aid Investment Plan. </w:t>
      </w:r>
      <w:r w:rsidR="00456A29" w:rsidRPr="00E27B90">
        <w:rPr>
          <w:rFonts w:asciiTheme="minorHAnsi" w:eastAsiaTheme="minorHAnsi" w:hAnsiTheme="minorHAnsi"/>
          <w:sz w:val="24"/>
          <w:szCs w:val="24"/>
          <w:lang w:eastAsia="en-US"/>
        </w:rPr>
        <w:t xml:space="preserve">The </w:t>
      </w:r>
      <w:r w:rsidR="0000238C">
        <w:rPr>
          <w:rFonts w:asciiTheme="minorHAnsi" w:eastAsiaTheme="minorHAnsi" w:hAnsiTheme="minorHAnsi"/>
          <w:sz w:val="24"/>
          <w:szCs w:val="24"/>
          <w:lang w:eastAsia="en-US"/>
        </w:rPr>
        <w:t>Program</w:t>
      </w:r>
      <w:r w:rsidR="001A1FB5" w:rsidRPr="00E27B90">
        <w:rPr>
          <w:rFonts w:asciiTheme="minorHAnsi" w:eastAsiaTheme="minorHAnsi" w:hAnsiTheme="minorHAnsi"/>
          <w:sz w:val="24"/>
          <w:szCs w:val="24"/>
          <w:lang w:eastAsia="en-US"/>
        </w:rPr>
        <w:t xml:space="preserve"> </w:t>
      </w:r>
      <w:r w:rsidR="00106459" w:rsidRPr="00E27B90">
        <w:rPr>
          <w:rFonts w:asciiTheme="minorHAnsi" w:eastAsiaTheme="minorHAnsi" w:hAnsiTheme="minorHAnsi"/>
          <w:sz w:val="24"/>
          <w:szCs w:val="24"/>
          <w:lang w:eastAsia="en-US"/>
        </w:rPr>
        <w:t>proposes a</w:t>
      </w:r>
      <w:r w:rsidR="00456A29" w:rsidRPr="00E27B90">
        <w:rPr>
          <w:rFonts w:asciiTheme="minorHAnsi" w:eastAsiaTheme="minorHAnsi" w:hAnsiTheme="minorHAnsi"/>
          <w:sz w:val="24"/>
          <w:szCs w:val="24"/>
          <w:lang w:eastAsia="en-US"/>
        </w:rPr>
        <w:t xml:space="preserve"> more tightly focused </w:t>
      </w:r>
      <w:r w:rsidR="00106459" w:rsidRPr="00E27B90">
        <w:rPr>
          <w:rFonts w:asciiTheme="minorHAnsi" w:eastAsiaTheme="minorHAnsi" w:hAnsiTheme="minorHAnsi"/>
          <w:sz w:val="24"/>
          <w:szCs w:val="24"/>
          <w:lang w:eastAsia="en-US"/>
        </w:rPr>
        <w:t xml:space="preserve">approach </w:t>
      </w:r>
      <w:r w:rsidR="00456A29" w:rsidRPr="00E27B90">
        <w:rPr>
          <w:rFonts w:asciiTheme="minorHAnsi" w:eastAsiaTheme="minorHAnsi" w:hAnsiTheme="minorHAnsi"/>
          <w:sz w:val="24"/>
          <w:szCs w:val="24"/>
          <w:lang w:eastAsia="en-US"/>
        </w:rPr>
        <w:t xml:space="preserve">and aims to enhance the targeting and competitiveness of Australia Awards Scholarships.  </w:t>
      </w:r>
    </w:p>
    <w:p w14:paraId="3D8099A1" w14:textId="3EE57139" w:rsidR="007B7ECA" w:rsidRPr="00E27B90" w:rsidRDefault="00456A29" w:rsidP="00C227BA">
      <w:pPr>
        <w:pStyle w:val="BulletPoints"/>
        <w:numPr>
          <w:ilvl w:val="0"/>
          <w:numId w:val="0"/>
        </w:numPr>
        <w:contextualSpacing w:val="0"/>
        <w:rPr>
          <w:rFonts w:asciiTheme="minorHAnsi" w:eastAsiaTheme="minorHAnsi" w:hAnsiTheme="minorHAnsi"/>
          <w:sz w:val="24"/>
          <w:szCs w:val="24"/>
          <w:lang w:eastAsia="en-US"/>
        </w:rPr>
      </w:pPr>
      <w:r w:rsidRPr="00E27B90">
        <w:rPr>
          <w:rFonts w:asciiTheme="minorHAnsi" w:eastAsiaTheme="minorHAnsi" w:hAnsiTheme="minorHAnsi"/>
          <w:sz w:val="24"/>
          <w:szCs w:val="24"/>
          <w:lang w:eastAsia="en-US"/>
        </w:rPr>
        <w:t xml:space="preserve">It is proposed there be two categories of Australia Awards Scholarships: one </w:t>
      </w:r>
      <w:r w:rsidR="004029A3" w:rsidRPr="00E27B90">
        <w:rPr>
          <w:rFonts w:asciiTheme="minorHAnsi" w:eastAsiaTheme="minorHAnsi" w:hAnsiTheme="minorHAnsi"/>
          <w:sz w:val="24"/>
          <w:szCs w:val="24"/>
          <w:lang w:eastAsia="en-US"/>
        </w:rPr>
        <w:t xml:space="preserve">an open </w:t>
      </w:r>
      <w:r w:rsidR="001616F8">
        <w:rPr>
          <w:rFonts w:asciiTheme="minorHAnsi" w:eastAsiaTheme="minorHAnsi" w:hAnsiTheme="minorHAnsi"/>
          <w:sz w:val="24"/>
          <w:szCs w:val="24"/>
          <w:lang w:eastAsia="en-US"/>
        </w:rPr>
        <w:t xml:space="preserve">untied </w:t>
      </w:r>
      <w:r w:rsidR="004029A3" w:rsidRPr="00E27B90">
        <w:rPr>
          <w:rFonts w:asciiTheme="minorHAnsi" w:eastAsiaTheme="minorHAnsi" w:hAnsiTheme="minorHAnsi"/>
          <w:sz w:val="24"/>
          <w:szCs w:val="24"/>
          <w:lang w:eastAsia="en-US"/>
        </w:rPr>
        <w:t xml:space="preserve">category (70% of awards), eligible on a competitive basis to applicants from central/provincial government agencies, universities, the private sector, NGOs and INGOs within specified (AIP) priority sectors; and the other </w:t>
      </w:r>
      <w:r w:rsidRPr="00E27B90">
        <w:rPr>
          <w:rFonts w:asciiTheme="minorHAnsi" w:eastAsiaTheme="minorHAnsi" w:hAnsiTheme="minorHAnsi"/>
          <w:sz w:val="24"/>
          <w:szCs w:val="24"/>
          <w:lang w:eastAsia="en-US"/>
        </w:rPr>
        <w:t>tied (initially 30% of awards, to be reviewed annually) to specific target institutions</w:t>
      </w:r>
      <w:r w:rsidR="009E71AF" w:rsidRPr="00E27B90">
        <w:rPr>
          <w:rStyle w:val="FootnoteReference"/>
          <w:rFonts w:asciiTheme="minorHAnsi" w:eastAsiaTheme="minorHAnsi" w:hAnsiTheme="minorHAnsi"/>
          <w:sz w:val="24"/>
          <w:szCs w:val="24"/>
          <w:lang w:eastAsia="en-US"/>
        </w:rPr>
        <w:footnoteReference w:id="24"/>
      </w:r>
      <w:r w:rsidR="004F653F">
        <w:rPr>
          <w:rFonts w:asciiTheme="minorHAnsi" w:eastAsiaTheme="minorHAnsi" w:hAnsiTheme="minorHAnsi"/>
          <w:sz w:val="24"/>
          <w:szCs w:val="24"/>
          <w:lang w:eastAsia="en-US"/>
        </w:rPr>
        <w:t xml:space="preserve"> (to be identified)</w:t>
      </w:r>
      <w:r w:rsidR="004029A3" w:rsidRPr="00E27B90">
        <w:rPr>
          <w:rFonts w:asciiTheme="minorHAnsi" w:eastAsiaTheme="minorHAnsi" w:hAnsiTheme="minorHAnsi"/>
          <w:sz w:val="24"/>
          <w:szCs w:val="24"/>
          <w:lang w:eastAsia="en-US"/>
        </w:rPr>
        <w:t>.</w:t>
      </w:r>
      <w:r w:rsidRPr="00E27B90">
        <w:rPr>
          <w:rFonts w:asciiTheme="minorHAnsi" w:eastAsiaTheme="minorHAnsi" w:hAnsiTheme="minorHAnsi"/>
          <w:sz w:val="24"/>
          <w:szCs w:val="24"/>
          <w:lang w:eastAsia="en-US"/>
        </w:rPr>
        <w:t xml:space="preserve"> </w:t>
      </w:r>
    </w:p>
    <w:p w14:paraId="5B9E22C6" w14:textId="059614AE" w:rsidR="0001459C" w:rsidRPr="00D9325F" w:rsidRDefault="0001459C" w:rsidP="00C227BA">
      <w:pPr>
        <w:pStyle w:val="BulletPoints"/>
        <w:numPr>
          <w:ilvl w:val="0"/>
          <w:numId w:val="0"/>
        </w:numPr>
        <w:contextualSpacing w:val="0"/>
        <w:rPr>
          <w:rFonts w:asciiTheme="minorHAnsi" w:eastAsiaTheme="minorHAnsi" w:hAnsiTheme="minorHAnsi"/>
          <w:sz w:val="24"/>
          <w:szCs w:val="24"/>
          <w:lang w:eastAsia="en-US"/>
        </w:rPr>
      </w:pPr>
      <w:r w:rsidRPr="00E27B90">
        <w:rPr>
          <w:rFonts w:asciiTheme="minorHAnsi" w:eastAsiaTheme="minorHAnsi" w:hAnsiTheme="minorHAnsi"/>
          <w:sz w:val="24"/>
          <w:szCs w:val="24"/>
          <w:lang w:eastAsia="en-US"/>
        </w:rPr>
        <w:t xml:space="preserve">Australia Awards Alumni would be supported to strengthen their contribution to the workplace through </w:t>
      </w:r>
      <w:r w:rsidR="001C00B3" w:rsidRPr="00E27B90">
        <w:rPr>
          <w:rFonts w:asciiTheme="minorHAnsi" w:eastAsiaTheme="minorHAnsi" w:hAnsiTheme="minorHAnsi"/>
          <w:sz w:val="24"/>
          <w:szCs w:val="24"/>
          <w:lang w:eastAsia="en-US"/>
        </w:rPr>
        <w:t>pre-and pos</w:t>
      </w:r>
      <w:r w:rsidR="001C00B3" w:rsidRPr="00D9325F">
        <w:rPr>
          <w:rFonts w:asciiTheme="minorHAnsi" w:eastAsiaTheme="minorHAnsi" w:hAnsiTheme="minorHAnsi"/>
          <w:sz w:val="24"/>
          <w:szCs w:val="24"/>
          <w:lang w:eastAsia="en-US"/>
        </w:rPr>
        <w:t>t</w:t>
      </w:r>
      <w:r w:rsidR="007A6D7C">
        <w:rPr>
          <w:rFonts w:asciiTheme="minorHAnsi" w:eastAsiaTheme="minorHAnsi" w:hAnsiTheme="minorHAnsi"/>
          <w:sz w:val="24"/>
          <w:szCs w:val="24"/>
          <w:lang w:eastAsia="en-US"/>
        </w:rPr>
        <w:t>-</w:t>
      </w:r>
      <w:r w:rsidR="001C00B3" w:rsidRPr="007A6D7C">
        <w:rPr>
          <w:rFonts w:asciiTheme="minorHAnsi" w:eastAsiaTheme="minorHAnsi" w:hAnsiTheme="minorHAnsi"/>
          <w:sz w:val="24"/>
          <w:szCs w:val="24"/>
          <w:lang w:eastAsia="en-US"/>
        </w:rPr>
        <w:t>reintegration support including, ‘soft’ skills training, small grants scheme, seminars and workshops.</w:t>
      </w:r>
    </w:p>
    <w:p w14:paraId="385F4371" w14:textId="454AF013" w:rsidR="00335407" w:rsidRPr="00D9325F" w:rsidRDefault="003F1442" w:rsidP="00C227BA">
      <w:pPr>
        <w:pStyle w:val="BulletPoints"/>
        <w:numPr>
          <w:ilvl w:val="0"/>
          <w:numId w:val="0"/>
        </w:numPr>
        <w:contextualSpacing w:val="0"/>
        <w:rPr>
          <w:rFonts w:asciiTheme="minorHAnsi" w:eastAsiaTheme="minorHAnsi" w:hAnsiTheme="minorHAnsi"/>
          <w:sz w:val="24"/>
          <w:szCs w:val="24"/>
          <w:lang w:eastAsia="en-US"/>
        </w:rPr>
      </w:pPr>
      <w:r w:rsidRPr="00D9325F">
        <w:rPr>
          <w:rFonts w:asciiTheme="minorHAnsi" w:eastAsiaTheme="minorHAnsi" w:hAnsiTheme="minorHAnsi"/>
          <w:sz w:val="24"/>
          <w:szCs w:val="24"/>
          <w:lang w:eastAsia="en-US"/>
        </w:rPr>
        <w:t xml:space="preserve">Secondly, it is proposed to develop </w:t>
      </w:r>
      <w:r w:rsidR="001F669B" w:rsidRPr="00D9325F">
        <w:rPr>
          <w:rFonts w:asciiTheme="minorHAnsi" w:eastAsiaTheme="minorHAnsi" w:hAnsiTheme="minorHAnsi"/>
          <w:sz w:val="24"/>
          <w:szCs w:val="24"/>
          <w:lang w:eastAsia="en-US"/>
        </w:rPr>
        <w:t xml:space="preserve">and pilot </w:t>
      </w:r>
      <w:r w:rsidR="00463882">
        <w:rPr>
          <w:rFonts w:asciiTheme="minorHAnsi" w:eastAsiaTheme="minorHAnsi" w:hAnsiTheme="minorHAnsi"/>
          <w:sz w:val="24"/>
          <w:szCs w:val="24"/>
          <w:lang w:eastAsia="en-US"/>
        </w:rPr>
        <w:t xml:space="preserve">one or </w:t>
      </w:r>
      <w:r w:rsidRPr="00D9325F">
        <w:rPr>
          <w:rFonts w:asciiTheme="minorHAnsi" w:eastAsiaTheme="minorHAnsi" w:hAnsiTheme="minorHAnsi"/>
          <w:sz w:val="24"/>
          <w:szCs w:val="24"/>
          <w:lang w:eastAsia="en-US"/>
        </w:rPr>
        <w:t>two sub programs</w:t>
      </w:r>
      <w:r w:rsidR="004029A3" w:rsidRPr="00D9325F">
        <w:rPr>
          <w:rFonts w:asciiTheme="minorHAnsi" w:eastAsiaTheme="minorHAnsi" w:hAnsiTheme="minorHAnsi"/>
          <w:sz w:val="24"/>
          <w:szCs w:val="24"/>
          <w:lang w:eastAsia="en-US"/>
        </w:rPr>
        <w:t xml:space="preserve"> encompassing more intensive </w:t>
      </w:r>
      <w:r w:rsidR="00BA2C03" w:rsidRPr="00D9325F">
        <w:rPr>
          <w:rFonts w:asciiTheme="minorHAnsi" w:eastAsiaTheme="minorHAnsi" w:hAnsiTheme="minorHAnsi"/>
          <w:sz w:val="24"/>
          <w:szCs w:val="24"/>
          <w:lang w:eastAsia="en-US"/>
        </w:rPr>
        <w:t xml:space="preserve">integrated </w:t>
      </w:r>
      <w:r w:rsidR="004029A3" w:rsidRPr="00D9325F">
        <w:rPr>
          <w:rFonts w:asciiTheme="minorHAnsi" w:eastAsiaTheme="minorHAnsi" w:hAnsiTheme="minorHAnsi"/>
          <w:sz w:val="24"/>
          <w:szCs w:val="24"/>
          <w:lang w:eastAsia="en-US"/>
        </w:rPr>
        <w:t>HRD support</w:t>
      </w:r>
      <w:r w:rsidR="00BA2C03" w:rsidRPr="00D9325F">
        <w:rPr>
          <w:rFonts w:asciiTheme="minorHAnsi" w:eastAsiaTheme="minorHAnsi" w:hAnsiTheme="minorHAnsi"/>
          <w:sz w:val="24"/>
          <w:szCs w:val="24"/>
          <w:lang w:eastAsia="en-US"/>
        </w:rPr>
        <w:t xml:space="preserve"> </w:t>
      </w:r>
      <w:r w:rsidR="001F669B" w:rsidRPr="00D9325F">
        <w:rPr>
          <w:rFonts w:asciiTheme="minorHAnsi" w:eastAsiaTheme="minorHAnsi" w:hAnsiTheme="minorHAnsi"/>
          <w:sz w:val="24"/>
          <w:szCs w:val="24"/>
          <w:lang w:eastAsia="en-US"/>
        </w:rPr>
        <w:t xml:space="preserve">directed at </w:t>
      </w:r>
      <w:r w:rsidR="00BA2C03" w:rsidRPr="00D9325F">
        <w:rPr>
          <w:rFonts w:asciiTheme="minorHAnsi" w:eastAsiaTheme="minorHAnsi" w:hAnsiTheme="minorHAnsi"/>
          <w:sz w:val="24"/>
          <w:szCs w:val="24"/>
          <w:lang w:eastAsia="en-US"/>
        </w:rPr>
        <w:t>selected target institutions</w:t>
      </w:r>
      <w:r w:rsidR="004F653F">
        <w:rPr>
          <w:rFonts w:asciiTheme="minorHAnsi" w:eastAsiaTheme="minorHAnsi" w:hAnsiTheme="minorHAnsi"/>
          <w:sz w:val="24"/>
          <w:szCs w:val="24"/>
          <w:lang w:eastAsia="en-US"/>
        </w:rPr>
        <w:t xml:space="preserve"> identified in the early phase of commencement of the new HRD program</w:t>
      </w:r>
      <w:r w:rsidR="00BA2C03" w:rsidRPr="00D9325F">
        <w:rPr>
          <w:rFonts w:asciiTheme="minorHAnsi" w:eastAsiaTheme="minorHAnsi" w:hAnsiTheme="minorHAnsi"/>
          <w:sz w:val="24"/>
          <w:szCs w:val="24"/>
          <w:lang w:eastAsia="en-US"/>
        </w:rPr>
        <w:t xml:space="preserve">. </w:t>
      </w:r>
      <w:r w:rsidR="004029A3" w:rsidRPr="00CA4E5C">
        <w:rPr>
          <w:rFonts w:asciiTheme="minorHAnsi" w:eastAsiaTheme="minorHAnsi" w:hAnsiTheme="minorHAnsi"/>
          <w:sz w:val="24"/>
          <w:szCs w:val="24"/>
          <w:lang w:eastAsia="en-US"/>
        </w:rPr>
        <w:t xml:space="preserve">The sub programs would </w:t>
      </w:r>
      <w:r w:rsidR="009E08DB" w:rsidRPr="00CA4E5C">
        <w:rPr>
          <w:rFonts w:asciiTheme="minorHAnsi" w:eastAsiaTheme="minorHAnsi" w:hAnsiTheme="minorHAnsi"/>
          <w:sz w:val="24"/>
          <w:szCs w:val="24"/>
          <w:lang w:eastAsia="en-US"/>
        </w:rPr>
        <w:t>offer a balance between long-term scholarships (core assistance) and other HRD modalities</w:t>
      </w:r>
      <w:r w:rsidR="004029A3" w:rsidRPr="00CA4E5C">
        <w:rPr>
          <w:rFonts w:asciiTheme="minorHAnsi" w:eastAsiaTheme="minorHAnsi" w:hAnsiTheme="minorHAnsi"/>
          <w:sz w:val="24"/>
          <w:szCs w:val="24"/>
          <w:lang w:eastAsia="en-US"/>
        </w:rPr>
        <w:t xml:space="preserve">. </w:t>
      </w:r>
      <w:r w:rsidR="00C60DC8" w:rsidRPr="00CA4E5C">
        <w:rPr>
          <w:rFonts w:asciiTheme="minorHAnsi" w:eastAsiaTheme="minorHAnsi" w:hAnsiTheme="minorHAnsi"/>
          <w:sz w:val="24"/>
          <w:szCs w:val="24"/>
          <w:lang w:eastAsia="en-US"/>
        </w:rPr>
        <w:t xml:space="preserve">That is, </w:t>
      </w:r>
      <w:r w:rsidR="004029A3" w:rsidRPr="00CA4E5C">
        <w:rPr>
          <w:rFonts w:asciiTheme="minorHAnsi" w:eastAsiaTheme="minorHAnsi" w:hAnsiTheme="minorHAnsi"/>
          <w:sz w:val="24"/>
          <w:szCs w:val="24"/>
          <w:lang w:eastAsia="en-US"/>
        </w:rPr>
        <w:t>target institutions would</w:t>
      </w:r>
      <w:r w:rsidRPr="00CA4E5C">
        <w:rPr>
          <w:rFonts w:asciiTheme="minorHAnsi" w:eastAsiaTheme="minorHAnsi" w:hAnsiTheme="minorHAnsi"/>
          <w:sz w:val="24"/>
          <w:szCs w:val="24"/>
          <w:lang w:eastAsia="en-US"/>
        </w:rPr>
        <w:t xml:space="preserve"> receive priority support</w:t>
      </w:r>
      <w:r w:rsidR="00233F46" w:rsidRPr="00CA4E5C">
        <w:rPr>
          <w:rFonts w:asciiTheme="minorHAnsi" w:eastAsiaTheme="minorHAnsi" w:hAnsiTheme="minorHAnsi"/>
          <w:sz w:val="24"/>
          <w:szCs w:val="24"/>
          <w:lang w:eastAsia="en-US"/>
        </w:rPr>
        <w:t>, not only through</w:t>
      </w:r>
      <w:r w:rsidRPr="00CA4E5C">
        <w:rPr>
          <w:rFonts w:asciiTheme="minorHAnsi" w:eastAsiaTheme="minorHAnsi" w:hAnsiTheme="minorHAnsi"/>
          <w:sz w:val="24"/>
          <w:szCs w:val="24"/>
          <w:lang w:eastAsia="en-US"/>
        </w:rPr>
        <w:t xml:space="preserve"> access to tied Australia Award</w:t>
      </w:r>
      <w:r w:rsidR="00033249" w:rsidRPr="00CA4E5C">
        <w:rPr>
          <w:rFonts w:asciiTheme="minorHAnsi" w:eastAsiaTheme="minorHAnsi" w:hAnsiTheme="minorHAnsi"/>
          <w:sz w:val="24"/>
          <w:szCs w:val="24"/>
          <w:lang w:eastAsia="en-US"/>
        </w:rPr>
        <w:t>s</w:t>
      </w:r>
      <w:r w:rsidRPr="00CA4E5C">
        <w:rPr>
          <w:rFonts w:asciiTheme="minorHAnsi" w:eastAsiaTheme="minorHAnsi" w:hAnsiTheme="minorHAnsi"/>
          <w:sz w:val="24"/>
          <w:szCs w:val="24"/>
          <w:lang w:eastAsia="en-US"/>
        </w:rPr>
        <w:t xml:space="preserve"> Scholarships</w:t>
      </w:r>
      <w:r w:rsidR="00233F46" w:rsidRPr="00CA4E5C">
        <w:rPr>
          <w:rFonts w:asciiTheme="minorHAnsi" w:eastAsiaTheme="minorHAnsi" w:hAnsiTheme="minorHAnsi"/>
          <w:sz w:val="24"/>
          <w:szCs w:val="24"/>
          <w:lang w:eastAsia="en-US"/>
        </w:rPr>
        <w:t>,</w:t>
      </w:r>
      <w:r w:rsidRPr="00CA4E5C">
        <w:rPr>
          <w:rFonts w:asciiTheme="minorHAnsi" w:eastAsiaTheme="minorHAnsi" w:hAnsiTheme="minorHAnsi"/>
          <w:sz w:val="24"/>
          <w:szCs w:val="24"/>
          <w:lang w:eastAsia="en-US"/>
        </w:rPr>
        <w:t xml:space="preserve"> </w:t>
      </w:r>
      <w:r w:rsidR="00233F46" w:rsidRPr="00CA4E5C">
        <w:rPr>
          <w:rFonts w:asciiTheme="minorHAnsi" w:eastAsiaTheme="minorHAnsi" w:hAnsiTheme="minorHAnsi"/>
          <w:sz w:val="24"/>
          <w:szCs w:val="24"/>
          <w:lang w:eastAsia="en-US"/>
        </w:rPr>
        <w:t xml:space="preserve">but also </w:t>
      </w:r>
      <w:r w:rsidR="00C60DC8" w:rsidRPr="00CA4E5C">
        <w:rPr>
          <w:rFonts w:asciiTheme="minorHAnsi" w:eastAsiaTheme="minorHAnsi" w:hAnsiTheme="minorHAnsi"/>
          <w:sz w:val="24"/>
          <w:szCs w:val="24"/>
          <w:lang w:eastAsia="en-US"/>
        </w:rPr>
        <w:t xml:space="preserve">through </w:t>
      </w:r>
      <w:r w:rsidRPr="00CA4E5C">
        <w:rPr>
          <w:rFonts w:asciiTheme="minorHAnsi" w:eastAsiaTheme="minorHAnsi" w:hAnsiTheme="minorHAnsi"/>
          <w:sz w:val="24"/>
          <w:szCs w:val="24"/>
          <w:lang w:eastAsia="en-US"/>
        </w:rPr>
        <w:t xml:space="preserve">access to </w:t>
      </w:r>
      <w:r w:rsidR="004029A3" w:rsidRPr="00CA4E5C">
        <w:rPr>
          <w:rFonts w:asciiTheme="minorHAnsi" w:eastAsiaTheme="minorHAnsi" w:hAnsiTheme="minorHAnsi"/>
          <w:sz w:val="24"/>
          <w:szCs w:val="24"/>
          <w:lang w:eastAsia="en-US"/>
        </w:rPr>
        <w:t xml:space="preserve">a package of </w:t>
      </w:r>
      <w:r w:rsidR="002A04F1" w:rsidRPr="00CA4E5C">
        <w:rPr>
          <w:rFonts w:asciiTheme="minorHAnsi" w:eastAsiaTheme="minorHAnsi" w:hAnsiTheme="minorHAnsi"/>
          <w:sz w:val="24"/>
          <w:szCs w:val="24"/>
          <w:lang w:eastAsia="en-US"/>
        </w:rPr>
        <w:t xml:space="preserve">integrated </w:t>
      </w:r>
      <w:r w:rsidRPr="00CA4E5C">
        <w:rPr>
          <w:rFonts w:asciiTheme="minorHAnsi" w:eastAsiaTheme="minorHAnsi" w:hAnsiTheme="minorHAnsi"/>
          <w:sz w:val="24"/>
          <w:szCs w:val="24"/>
          <w:lang w:eastAsia="en-US"/>
        </w:rPr>
        <w:t>HRD assistance.</w:t>
      </w:r>
      <w:r w:rsidRPr="00D9325F">
        <w:rPr>
          <w:rFonts w:asciiTheme="minorHAnsi" w:eastAsiaTheme="minorHAnsi" w:hAnsiTheme="minorHAnsi"/>
          <w:sz w:val="24"/>
          <w:szCs w:val="24"/>
          <w:lang w:eastAsia="en-US"/>
        </w:rPr>
        <w:t xml:space="preserve"> </w:t>
      </w:r>
    </w:p>
    <w:p w14:paraId="70686EF9" w14:textId="7F3115C6" w:rsidR="00BA2C03" w:rsidRPr="00602A77" w:rsidRDefault="003F5941" w:rsidP="00C227BA">
      <w:pPr>
        <w:pStyle w:val="BulletPoints"/>
        <w:numPr>
          <w:ilvl w:val="0"/>
          <w:numId w:val="0"/>
        </w:numPr>
        <w:contextualSpacing w:val="0"/>
        <w:rPr>
          <w:rFonts w:asciiTheme="minorHAnsi" w:eastAsiaTheme="minorHAnsi" w:hAnsiTheme="minorHAnsi"/>
          <w:sz w:val="24"/>
          <w:szCs w:val="24"/>
          <w:lang w:eastAsia="en-US"/>
        </w:rPr>
      </w:pPr>
      <w:r w:rsidRPr="00D9325F">
        <w:rPr>
          <w:rFonts w:asciiTheme="minorHAnsi" w:eastAsiaTheme="minorHAnsi" w:hAnsiTheme="minorHAnsi"/>
          <w:sz w:val="24"/>
          <w:szCs w:val="24"/>
          <w:lang w:eastAsia="en-US"/>
        </w:rPr>
        <w:t>T</w:t>
      </w:r>
      <w:r w:rsidR="00534CE6" w:rsidRPr="00D9325F">
        <w:rPr>
          <w:rFonts w:asciiTheme="minorHAnsi" w:eastAsiaTheme="minorHAnsi" w:hAnsiTheme="minorHAnsi"/>
          <w:sz w:val="24"/>
          <w:szCs w:val="24"/>
          <w:lang w:eastAsia="en-US"/>
        </w:rPr>
        <w:t xml:space="preserve">he </w:t>
      </w:r>
      <w:r w:rsidR="0045340B" w:rsidRPr="00D9325F">
        <w:rPr>
          <w:rFonts w:asciiTheme="minorHAnsi" w:eastAsiaTheme="minorHAnsi" w:hAnsiTheme="minorHAnsi"/>
          <w:sz w:val="24"/>
          <w:szCs w:val="24"/>
          <w:lang w:eastAsia="en-US"/>
        </w:rPr>
        <w:t xml:space="preserve">provision of </w:t>
      </w:r>
      <w:r w:rsidR="007F3040">
        <w:rPr>
          <w:rFonts w:asciiTheme="minorHAnsi" w:eastAsiaTheme="minorHAnsi" w:hAnsiTheme="minorHAnsi"/>
          <w:sz w:val="24"/>
          <w:szCs w:val="24"/>
          <w:lang w:eastAsia="en-US"/>
        </w:rPr>
        <w:t xml:space="preserve">integrated </w:t>
      </w:r>
      <w:r w:rsidR="00534CE6" w:rsidRPr="00D9325F">
        <w:rPr>
          <w:rFonts w:asciiTheme="minorHAnsi" w:eastAsiaTheme="minorHAnsi" w:hAnsiTheme="minorHAnsi"/>
          <w:sz w:val="24"/>
          <w:szCs w:val="24"/>
          <w:lang w:eastAsia="en-US"/>
        </w:rPr>
        <w:t xml:space="preserve">HRD assistance would seek to go beyond the delivery of </w:t>
      </w:r>
      <w:r w:rsidR="00236F42" w:rsidRPr="00D9325F">
        <w:rPr>
          <w:rFonts w:asciiTheme="minorHAnsi" w:eastAsiaTheme="minorHAnsi" w:hAnsiTheme="minorHAnsi"/>
          <w:sz w:val="24"/>
          <w:szCs w:val="24"/>
          <w:lang w:eastAsia="en-US"/>
        </w:rPr>
        <w:t xml:space="preserve">tertiary </w:t>
      </w:r>
      <w:r w:rsidR="00534CE6" w:rsidRPr="00D9325F">
        <w:rPr>
          <w:rFonts w:asciiTheme="minorHAnsi" w:eastAsiaTheme="minorHAnsi" w:hAnsiTheme="minorHAnsi"/>
          <w:sz w:val="24"/>
          <w:szCs w:val="24"/>
          <w:lang w:eastAsia="en-US"/>
        </w:rPr>
        <w:t>qualifications to enhance workplace productivity</w:t>
      </w:r>
      <w:r w:rsidR="00BD61C3" w:rsidRPr="00D9325F">
        <w:rPr>
          <w:rFonts w:asciiTheme="minorHAnsi" w:eastAsiaTheme="minorHAnsi" w:hAnsiTheme="minorHAnsi"/>
          <w:sz w:val="24"/>
          <w:szCs w:val="24"/>
          <w:lang w:eastAsia="en-US"/>
        </w:rPr>
        <w:t xml:space="preserve">, build relationships and strengthen program outcomes </w:t>
      </w:r>
      <w:r w:rsidR="00BD61C3" w:rsidRPr="00F66DF2">
        <w:rPr>
          <w:rFonts w:asciiTheme="minorHAnsi" w:eastAsiaTheme="minorHAnsi" w:hAnsiTheme="minorHAnsi"/>
          <w:sz w:val="24"/>
          <w:szCs w:val="24"/>
          <w:lang w:eastAsia="en-US"/>
        </w:rPr>
        <w:t xml:space="preserve">(specifically, </w:t>
      </w:r>
      <w:r w:rsidR="00DA212A" w:rsidRPr="00F66DF2">
        <w:rPr>
          <w:rFonts w:asciiTheme="minorHAnsi" w:eastAsiaTheme="minorHAnsi" w:hAnsiTheme="minorHAnsi"/>
          <w:sz w:val="24"/>
          <w:szCs w:val="24"/>
          <w:lang w:eastAsia="en-US"/>
        </w:rPr>
        <w:t>EOPOs</w:t>
      </w:r>
      <w:r w:rsidR="00BD61C3" w:rsidRPr="00F66DF2">
        <w:rPr>
          <w:rFonts w:asciiTheme="minorHAnsi" w:eastAsiaTheme="minorHAnsi" w:hAnsiTheme="minorHAnsi"/>
          <w:sz w:val="24"/>
          <w:szCs w:val="24"/>
          <w:lang w:eastAsia="en-US"/>
        </w:rPr>
        <w:t xml:space="preserve"> 2 and 3)</w:t>
      </w:r>
      <w:r w:rsidR="00BD61C3" w:rsidRPr="00D9325F">
        <w:rPr>
          <w:rFonts w:asciiTheme="minorHAnsi" w:eastAsiaTheme="minorHAnsi" w:hAnsiTheme="minorHAnsi"/>
          <w:sz w:val="24"/>
          <w:szCs w:val="24"/>
          <w:lang w:eastAsia="en-US"/>
        </w:rPr>
        <w:t xml:space="preserve"> </w:t>
      </w:r>
      <w:r w:rsidR="005D35AC" w:rsidRPr="00D9325F">
        <w:rPr>
          <w:rFonts w:asciiTheme="minorHAnsi" w:eastAsiaTheme="minorHAnsi" w:hAnsiTheme="minorHAnsi"/>
          <w:sz w:val="24"/>
          <w:szCs w:val="24"/>
          <w:lang w:eastAsia="en-US"/>
        </w:rPr>
        <w:t>in priority sectors</w:t>
      </w:r>
      <w:r w:rsidR="00F410F7">
        <w:rPr>
          <w:rFonts w:asciiTheme="minorHAnsi" w:eastAsiaTheme="minorHAnsi" w:hAnsiTheme="minorHAnsi"/>
          <w:sz w:val="24"/>
          <w:szCs w:val="24"/>
          <w:lang w:eastAsia="en-US"/>
        </w:rPr>
        <w:t>. It will do this</w:t>
      </w:r>
      <w:r w:rsidR="005D35AC" w:rsidRPr="00D9325F">
        <w:rPr>
          <w:rFonts w:asciiTheme="minorHAnsi" w:eastAsiaTheme="minorHAnsi" w:hAnsiTheme="minorHAnsi"/>
          <w:sz w:val="24"/>
          <w:szCs w:val="24"/>
          <w:lang w:eastAsia="en-US"/>
        </w:rPr>
        <w:t xml:space="preserve"> </w:t>
      </w:r>
      <w:r w:rsidR="00534CE6" w:rsidRPr="00D9325F">
        <w:rPr>
          <w:rFonts w:asciiTheme="minorHAnsi" w:eastAsiaTheme="minorHAnsi" w:hAnsiTheme="minorHAnsi"/>
          <w:sz w:val="24"/>
          <w:szCs w:val="24"/>
          <w:lang w:eastAsia="en-US"/>
        </w:rPr>
        <w:t xml:space="preserve">through a </w:t>
      </w:r>
      <w:r w:rsidR="00236F42" w:rsidRPr="00D9325F">
        <w:rPr>
          <w:rFonts w:asciiTheme="minorHAnsi" w:eastAsiaTheme="minorHAnsi" w:hAnsiTheme="minorHAnsi"/>
          <w:sz w:val="24"/>
          <w:szCs w:val="24"/>
          <w:lang w:eastAsia="en-US"/>
        </w:rPr>
        <w:t xml:space="preserve">broader </w:t>
      </w:r>
      <w:r w:rsidR="00534CE6" w:rsidRPr="00D9325F">
        <w:rPr>
          <w:rFonts w:asciiTheme="minorHAnsi" w:eastAsiaTheme="minorHAnsi" w:hAnsiTheme="minorHAnsi"/>
          <w:sz w:val="24"/>
          <w:szCs w:val="24"/>
          <w:lang w:eastAsia="en-US"/>
        </w:rPr>
        <w:t xml:space="preserve">range of </w:t>
      </w:r>
      <w:r w:rsidR="00E25200" w:rsidRPr="00D9325F">
        <w:rPr>
          <w:rFonts w:asciiTheme="minorHAnsi" w:eastAsiaTheme="minorHAnsi" w:hAnsiTheme="minorHAnsi"/>
          <w:sz w:val="24"/>
          <w:szCs w:val="24"/>
          <w:lang w:eastAsia="en-US"/>
        </w:rPr>
        <w:t xml:space="preserve">flexible </w:t>
      </w:r>
      <w:r w:rsidR="00534CE6" w:rsidRPr="00D9325F">
        <w:rPr>
          <w:rFonts w:asciiTheme="minorHAnsi" w:eastAsiaTheme="minorHAnsi" w:hAnsiTheme="minorHAnsi"/>
          <w:sz w:val="24"/>
          <w:szCs w:val="24"/>
          <w:lang w:eastAsia="en-US"/>
        </w:rPr>
        <w:t>capacity building interventions and delivery modalities</w:t>
      </w:r>
      <w:r w:rsidR="00D05912" w:rsidRPr="00D9325F">
        <w:rPr>
          <w:rFonts w:asciiTheme="minorHAnsi" w:eastAsiaTheme="minorHAnsi" w:hAnsiTheme="minorHAnsi"/>
          <w:sz w:val="24"/>
          <w:szCs w:val="24"/>
          <w:lang w:eastAsia="en-US"/>
        </w:rPr>
        <w:t xml:space="preserve">, including </w:t>
      </w:r>
      <w:r w:rsidR="00E25200" w:rsidRPr="00D9325F">
        <w:rPr>
          <w:rFonts w:asciiTheme="minorHAnsi" w:eastAsiaTheme="minorHAnsi" w:hAnsiTheme="minorHAnsi"/>
          <w:sz w:val="24"/>
          <w:szCs w:val="24"/>
          <w:lang w:eastAsia="en-US"/>
        </w:rPr>
        <w:t xml:space="preserve">formal and ad hoc </w:t>
      </w:r>
      <w:r w:rsidR="00D05912" w:rsidRPr="00D9325F">
        <w:rPr>
          <w:rFonts w:asciiTheme="minorHAnsi" w:eastAsiaTheme="minorHAnsi" w:hAnsiTheme="minorHAnsi"/>
          <w:sz w:val="24"/>
          <w:szCs w:val="24"/>
          <w:lang w:eastAsia="en-US"/>
        </w:rPr>
        <w:t>short-term training</w:t>
      </w:r>
      <w:r w:rsidR="005D35AC" w:rsidRPr="00D9325F">
        <w:rPr>
          <w:rFonts w:asciiTheme="minorHAnsi" w:eastAsiaTheme="minorHAnsi" w:hAnsiTheme="minorHAnsi"/>
          <w:sz w:val="24"/>
          <w:szCs w:val="24"/>
          <w:lang w:eastAsia="en-US"/>
        </w:rPr>
        <w:t>;</w:t>
      </w:r>
      <w:r w:rsidR="00D05912" w:rsidRPr="00D9325F">
        <w:rPr>
          <w:rFonts w:asciiTheme="minorHAnsi" w:eastAsiaTheme="minorHAnsi" w:hAnsiTheme="minorHAnsi"/>
          <w:sz w:val="24"/>
          <w:szCs w:val="24"/>
          <w:lang w:eastAsia="en-US"/>
        </w:rPr>
        <w:t xml:space="preserve"> technical assistance </w:t>
      </w:r>
      <w:r w:rsidR="00E25200" w:rsidRPr="00D9325F">
        <w:rPr>
          <w:rFonts w:asciiTheme="minorHAnsi" w:eastAsiaTheme="minorHAnsi" w:hAnsiTheme="minorHAnsi"/>
          <w:sz w:val="24"/>
          <w:szCs w:val="24"/>
          <w:lang w:eastAsia="en-US"/>
        </w:rPr>
        <w:t>to access Australian ideas and expertise</w:t>
      </w:r>
      <w:r w:rsidR="005D35AC" w:rsidRPr="00D9325F">
        <w:rPr>
          <w:rFonts w:asciiTheme="minorHAnsi" w:eastAsiaTheme="minorHAnsi" w:hAnsiTheme="minorHAnsi"/>
          <w:sz w:val="24"/>
          <w:szCs w:val="24"/>
          <w:lang w:eastAsia="en-US"/>
        </w:rPr>
        <w:t xml:space="preserve">; </w:t>
      </w:r>
      <w:r w:rsidR="00D05912" w:rsidRPr="00D9325F">
        <w:rPr>
          <w:rFonts w:asciiTheme="minorHAnsi" w:eastAsiaTheme="minorHAnsi" w:hAnsiTheme="minorHAnsi"/>
          <w:sz w:val="24"/>
          <w:szCs w:val="24"/>
          <w:lang w:eastAsia="en-US"/>
        </w:rPr>
        <w:t>and informal learning</w:t>
      </w:r>
      <w:r w:rsidR="00E25200" w:rsidRPr="00D9325F">
        <w:rPr>
          <w:rFonts w:asciiTheme="minorHAnsi" w:eastAsiaTheme="minorHAnsi" w:hAnsiTheme="minorHAnsi"/>
          <w:sz w:val="24"/>
          <w:szCs w:val="24"/>
          <w:lang w:eastAsia="en-US"/>
        </w:rPr>
        <w:t xml:space="preserve"> opportunities</w:t>
      </w:r>
      <w:r w:rsidR="007F3040">
        <w:rPr>
          <w:rFonts w:asciiTheme="minorHAnsi" w:eastAsiaTheme="minorHAnsi" w:hAnsiTheme="minorHAnsi"/>
          <w:sz w:val="24"/>
          <w:szCs w:val="24"/>
          <w:lang w:eastAsia="en-US"/>
        </w:rPr>
        <w:t>,</w:t>
      </w:r>
      <w:r w:rsidR="00E25200" w:rsidRPr="00D9325F">
        <w:rPr>
          <w:rFonts w:asciiTheme="minorHAnsi" w:eastAsiaTheme="minorHAnsi" w:hAnsiTheme="minorHAnsi"/>
          <w:sz w:val="24"/>
          <w:szCs w:val="24"/>
          <w:lang w:eastAsia="en-US"/>
        </w:rPr>
        <w:t xml:space="preserve"> including workshops and seminars. </w:t>
      </w:r>
      <w:r w:rsidR="00002D35" w:rsidRPr="00D9325F">
        <w:rPr>
          <w:rFonts w:asciiTheme="minorHAnsi" w:eastAsiaTheme="minorHAnsi" w:hAnsiTheme="minorHAnsi"/>
          <w:sz w:val="24"/>
          <w:szCs w:val="24"/>
          <w:lang w:eastAsia="en-US"/>
        </w:rPr>
        <w:t>Target institutions would need to be identified and sub programs designed by the Contractor in close consultation with DFAT Hanoi</w:t>
      </w:r>
      <w:r w:rsidR="00CE3BE8" w:rsidRPr="00E27B90">
        <w:rPr>
          <w:rFonts w:asciiTheme="minorHAnsi" w:eastAsiaTheme="minorHAnsi" w:hAnsiTheme="minorHAnsi"/>
          <w:sz w:val="24"/>
          <w:szCs w:val="24"/>
          <w:lang w:eastAsia="en-US"/>
        </w:rPr>
        <w:t xml:space="preserve"> and endorsed by the PCC</w:t>
      </w:r>
      <w:r w:rsidR="00155EBB" w:rsidRPr="00B379A4">
        <w:rPr>
          <w:rFonts w:asciiTheme="minorHAnsi" w:eastAsiaTheme="minorHAnsi" w:hAnsiTheme="minorHAnsi"/>
          <w:sz w:val="24"/>
          <w:szCs w:val="24"/>
          <w:lang w:eastAsia="en-US"/>
        </w:rPr>
        <w:t>.</w:t>
      </w:r>
    </w:p>
    <w:p w14:paraId="5898D376" w14:textId="2815C15B" w:rsidR="003F5941" w:rsidRPr="00577434" w:rsidRDefault="00236F42" w:rsidP="00C227BA">
      <w:pPr>
        <w:pStyle w:val="BulletPoints"/>
        <w:numPr>
          <w:ilvl w:val="0"/>
          <w:numId w:val="0"/>
        </w:numPr>
        <w:contextualSpacing w:val="0"/>
        <w:rPr>
          <w:rFonts w:asciiTheme="minorHAnsi" w:eastAsiaTheme="minorHAnsi" w:hAnsiTheme="minorHAnsi"/>
          <w:sz w:val="24"/>
          <w:szCs w:val="24"/>
          <w:lang w:eastAsia="en-US"/>
        </w:rPr>
      </w:pPr>
      <w:r w:rsidRPr="00577434">
        <w:rPr>
          <w:rFonts w:asciiTheme="minorHAnsi" w:eastAsiaTheme="minorHAnsi" w:hAnsiTheme="minorHAnsi"/>
          <w:sz w:val="24"/>
          <w:szCs w:val="24"/>
          <w:lang w:eastAsia="en-US"/>
        </w:rPr>
        <w:t xml:space="preserve">Thirdly, while priority would be accorded to the selected target institutions, </w:t>
      </w:r>
      <w:r w:rsidR="00A91B31" w:rsidRPr="00577434">
        <w:rPr>
          <w:rFonts w:asciiTheme="minorHAnsi" w:eastAsiaTheme="minorHAnsi" w:hAnsiTheme="minorHAnsi"/>
          <w:sz w:val="24"/>
          <w:szCs w:val="24"/>
          <w:lang w:eastAsia="en-US"/>
        </w:rPr>
        <w:t xml:space="preserve">alternative </w:t>
      </w:r>
      <w:r w:rsidR="00534CE6" w:rsidRPr="00577434">
        <w:rPr>
          <w:rFonts w:asciiTheme="minorHAnsi" w:eastAsiaTheme="minorHAnsi" w:hAnsiTheme="minorHAnsi"/>
          <w:sz w:val="24"/>
          <w:szCs w:val="24"/>
          <w:lang w:eastAsia="en-US"/>
        </w:rPr>
        <w:t xml:space="preserve">HRD </w:t>
      </w:r>
      <w:r w:rsidR="00A91B31" w:rsidRPr="00577434">
        <w:rPr>
          <w:rFonts w:asciiTheme="minorHAnsi" w:eastAsiaTheme="minorHAnsi" w:hAnsiTheme="minorHAnsi"/>
          <w:sz w:val="24"/>
          <w:szCs w:val="24"/>
          <w:lang w:eastAsia="en-US"/>
        </w:rPr>
        <w:t xml:space="preserve">modalities </w:t>
      </w:r>
      <w:r w:rsidR="00534CE6" w:rsidRPr="00577434">
        <w:rPr>
          <w:rFonts w:asciiTheme="minorHAnsi" w:eastAsiaTheme="minorHAnsi" w:hAnsiTheme="minorHAnsi"/>
          <w:sz w:val="24"/>
          <w:szCs w:val="24"/>
          <w:lang w:eastAsia="en-US"/>
        </w:rPr>
        <w:t xml:space="preserve">would </w:t>
      </w:r>
      <w:r w:rsidR="00B66400" w:rsidRPr="00577434">
        <w:rPr>
          <w:rFonts w:asciiTheme="minorHAnsi" w:eastAsiaTheme="minorHAnsi" w:hAnsiTheme="minorHAnsi"/>
          <w:sz w:val="24"/>
          <w:szCs w:val="24"/>
          <w:lang w:eastAsia="en-US"/>
        </w:rPr>
        <w:t xml:space="preserve">also </w:t>
      </w:r>
      <w:r w:rsidR="00534CE6" w:rsidRPr="00577434">
        <w:rPr>
          <w:rFonts w:asciiTheme="minorHAnsi" w:eastAsiaTheme="minorHAnsi" w:hAnsiTheme="minorHAnsi"/>
          <w:sz w:val="24"/>
          <w:szCs w:val="24"/>
          <w:lang w:eastAsia="en-US"/>
        </w:rPr>
        <w:t xml:space="preserve">be available </w:t>
      </w:r>
      <w:r w:rsidR="001F669B" w:rsidRPr="00577434">
        <w:rPr>
          <w:rFonts w:asciiTheme="minorHAnsi" w:eastAsiaTheme="minorHAnsi" w:hAnsiTheme="minorHAnsi"/>
          <w:sz w:val="24"/>
          <w:szCs w:val="24"/>
          <w:lang w:eastAsia="en-US"/>
        </w:rPr>
        <w:t xml:space="preserve">in a timely and responsive way </w:t>
      </w:r>
      <w:r w:rsidR="00534CE6" w:rsidRPr="00577434">
        <w:rPr>
          <w:rFonts w:asciiTheme="minorHAnsi" w:eastAsiaTheme="minorHAnsi" w:hAnsiTheme="minorHAnsi"/>
          <w:sz w:val="24"/>
          <w:szCs w:val="24"/>
          <w:lang w:eastAsia="en-US"/>
        </w:rPr>
        <w:t>to support</w:t>
      </w:r>
      <w:r w:rsidR="00A91B31" w:rsidRPr="00577434">
        <w:rPr>
          <w:rFonts w:asciiTheme="minorHAnsi" w:eastAsiaTheme="minorHAnsi" w:hAnsiTheme="minorHAnsi"/>
          <w:sz w:val="24"/>
          <w:szCs w:val="24"/>
          <w:lang w:eastAsia="en-US"/>
        </w:rPr>
        <w:t xml:space="preserve"> </w:t>
      </w:r>
      <w:r w:rsidR="001F669B" w:rsidRPr="00577434">
        <w:rPr>
          <w:rFonts w:asciiTheme="minorHAnsi" w:eastAsiaTheme="minorHAnsi" w:hAnsiTheme="minorHAnsi"/>
          <w:sz w:val="24"/>
          <w:szCs w:val="24"/>
          <w:lang w:eastAsia="en-US"/>
        </w:rPr>
        <w:t xml:space="preserve">ad hoc, </w:t>
      </w:r>
      <w:r w:rsidR="00A91B31" w:rsidRPr="00577434">
        <w:rPr>
          <w:rFonts w:asciiTheme="minorHAnsi" w:eastAsiaTheme="minorHAnsi" w:hAnsiTheme="minorHAnsi"/>
          <w:sz w:val="24"/>
          <w:szCs w:val="24"/>
          <w:lang w:eastAsia="en-US"/>
        </w:rPr>
        <w:t xml:space="preserve">or one-off </w:t>
      </w:r>
      <w:r w:rsidR="001F669B" w:rsidRPr="00577434">
        <w:rPr>
          <w:rFonts w:asciiTheme="minorHAnsi" w:eastAsiaTheme="minorHAnsi" w:hAnsiTheme="minorHAnsi"/>
          <w:sz w:val="24"/>
          <w:szCs w:val="24"/>
          <w:lang w:eastAsia="en-US"/>
        </w:rPr>
        <w:t xml:space="preserve">demand driven thematic </w:t>
      </w:r>
      <w:r w:rsidR="00A91B31" w:rsidRPr="00577434">
        <w:rPr>
          <w:rFonts w:asciiTheme="minorHAnsi" w:eastAsiaTheme="minorHAnsi" w:hAnsiTheme="minorHAnsi"/>
          <w:sz w:val="24"/>
          <w:szCs w:val="24"/>
          <w:lang w:eastAsia="en-US"/>
        </w:rPr>
        <w:t xml:space="preserve">requests </w:t>
      </w:r>
      <w:r w:rsidR="001F669B" w:rsidRPr="00577434">
        <w:rPr>
          <w:rFonts w:asciiTheme="minorHAnsi" w:eastAsiaTheme="minorHAnsi" w:hAnsiTheme="minorHAnsi"/>
          <w:sz w:val="24"/>
          <w:szCs w:val="24"/>
          <w:lang w:eastAsia="en-US"/>
        </w:rPr>
        <w:t xml:space="preserve">relevant to </w:t>
      </w:r>
      <w:r w:rsidR="00534CE6" w:rsidRPr="00577434">
        <w:rPr>
          <w:rFonts w:asciiTheme="minorHAnsi" w:eastAsiaTheme="minorHAnsi" w:hAnsiTheme="minorHAnsi"/>
          <w:sz w:val="24"/>
          <w:szCs w:val="24"/>
          <w:lang w:eastAsia="en-US"/>
        </w:rPr>
        <w:t>a</w:t>
      </w:r>
      <w:r w:rsidR="00A91B31" w:rsidRPr="00577434">
        <w:rPr>
          <w:rFonts w:asciiTheme="minorHAnsi" w:eastAsiaTheme="minorHAnsi" w:hAnsiTheme="minorHAnsi"/>
          <w:sz w:val="24"/>
          <w:szCs w:val="24"/>
          <w:lang w:eastAsia="en-US"/>
        </w:rPr>
        <w:t>ny of the</w:t>
      </w:r>
      <w:r w:rsidR="00534CE6" w:rsidRPr="00577434">
        <w:rPr>
          <w:rFonts w:asciiTheme="minorHAnsi" w:eastAsiaTheme="minorHAnsi" w:hAnsiTheme="minorHAnsi"/>
          <w:sz w:val="24"/>
          <w:szCs w:val="24"/>
          <w:lang w:eastAsia="en-US"/>
        </w:rPr>
        <w:t xml:space="preserve"> pillars and sectors under the new AIP</w:t>
      </w:r>
      <w:r w:rsidRPr="00577434">
        <w:rPr>
          <w:rFonts w:asciiTheme="minorHAnsi" w:eastAsiaTheme="minorHAnsi" w:hAnsiTheme="minorHAnsi"/>
          <w:sz w:val="24"/>
          <w:szCs w:val="24"/>
          <w:lang w:eastAsia="en-US"/>
        </w:rPr>
        <w:t>.</w:t>
      </w:r>
      <w:r w:rsidR="00534CE6" w:rsidRPr="00577434">
        <w:rPr>
          <w:rFonts w:asciiTheme="minorHAnsi" w:eastAsiaTheme="minorHAnsi" w:hAnsiTheme="minorHAnsi"/>
          <w:sz w:val="24"/>
          <w:szCs w:val="24"/>
          <w:lang w:eastAsia="en-US"/>
        </w:rPr>
        <w:t xml:space="preserve"> </w:t>
      </w:r>
      <w:r w:rsidR="00644495" w:rsidRPr="00577434">
        <w:rPr>
          <w:rFonts w:asciiTheme="minorHAnsi" w:eastAsiaTheme="minorHAnsi" w:hAnsiTheme="minorHAnsi"/>
          <w:sz w:val="24"/>
          <w:szCs w:val="24"/>
          <w:lang w:eastAsia="en-US"/>
        </w:rPr>
        <w:t>Opportun</w:t>
      </w:r>
      <w:r w:rsidR="00905A4C">
        <w:rPr>
          <w:rFonts w:asciiTheme="minorHAnsi" w:eastAsiaTheme="minorHAnsi" w:hAnsiTheme="minorHAnsi"/>
          <w:sz w:val="24"/>
          <w:szCs w:val="24"/>
          <w:lang w:eastAsia="en-US"/>
        </w:rPr>
        <w:t>ities to enhance and support on</w:t>
      </w:r>
      <w:r w:rsidR="00644495" w:rsidRPr="00577434">
        <w:rPr>
          <w:rFonts w:asciiTheme="minorHAnsi" w:eastAsiaTheme="minorHAnsi" w:hAnsiTheme="minorHAnsi"/>
          <w:sz w:val="24"/>
          <w:szCs w:val="24"/>
          <w:lang w:eastAsia="en-US"/>
        </w:rPr>
        <w:t xml:space="preserve">going programs would typically be identified by </w:t>
      </w:r>
      <w:r w:rsidR="00BD2BB0" w:rsidRPr="00577434">
        <w:rPr>
          <w:rFonts w:asciiTheme="minorHAnsi" w:eastAsiaTheme="minorHAnsi" w:hAnsiTheme="minorHAnsi"/>
          <w:sz w:val="24"/>
          <w:szCs w:val="24"/>
          <w:lang w:eastAsia="en-US"/>
        </w:rPr>
        <w:t xml:space="preserve">DFAT </w:t>
      </w:r>
      <w:r w:rsidR="00543960">
        <w:rPr>
          <w:rFonts w:asciiTheme="minorHAnsi" w:eastAsiaTheme="minorHAnsi" w:hAnsiTheme="minorHAnsi"/>
          <w:sz w:val="24"/>
          <w:szCs w:val="24"/>
          <w:lang w:eastAsia="en-US"/>
        </w:rPr>
        <w:t xml:space="preserve">(and the Contractor) </w:t>
      </w:r>
      <w:r w:rsidR="00644495" w:rsidRPr="00577434">
        <w:rPr>
          <w:rFonts w:asciiTheme="minorHAnsi" w:eastAsiaTheme="minorHAnsi" w:hAnsiTheme="minorHAnsi"/>
          <w:sz w:val="24"/>
          <w:szCs w:val="24"/>
          <w:lang w:eastAsia="en-US"/>
        </w:rPr>
        <w:t>through their engagement with counterpart agencies</w:t>
      </w:r>
      <w:r w:rsidR="00543960">
        <w:rPr>
          <w:rFonts w:asciiTheme="minorHAnsi" w:eastAsiaTheme="minorHAnsi" w:hAnsiTheme="minorHAnsi"/>
          <w:sz w:val="24"/>
          <w:szCs w:val="24"/>
          <w:lang w:eastAsia="en-US"/>
        </w:rPr>
        <w:t>. T</w:t>
      </w:r>
      <w:r w:rsidR="00BD2BB0" w:rsidRPr="00577434">
        <w:rPr>
          <w:rFonts w:asciiTheme="minorHAnsi" w:eastAsiaTheme="minorHAnsi" w:hAnsiTheme="minorHAnsi"/>
          <w:sz w:val="24"/>
          <w:szCs w:val="24"/>
          <w:lang w:eastAsia="en-US"/>
        </w:rPr>
        <w:t>he Contractor would be responsible for activity implementation, including sub</w:t>
      </w:r>
      <w:r w:rsidR="007737C3" w:rsidRPr="00577434">
        <w:rPr>
          <w:rFonts w:asciiTheme="minorHAnsi" w:eastAsiaTheme="minorHAnsi" w:hAnsiTheme="minorHAnsi"/>
          <w:sz w:val="24"/>
          <w:szCs w:val="24"/>
          <w:lang w:eastAsia="en-US"/>
        </w:rPr>
        <w:t>-</w:t>
      </w:r>
      <w:r w:rsidR="00BD2BB0" w:rsidRPr="00577434">
        <w:rPr>
          <w:rFonts w:asciiTheme="minorHAnsi" w:eastAsiaTheme="minorHAnsi" w:hAnsiTheme="minorHAnsi"/>
          <w:sz w:val="24"/>
          <w:szCs w:val="24"/>
          <w:lang w:eastAsia="en-US"/>
        </w:rPr>
        <w:t>contracting where appropriate.</w:t>
      </w:r>
    </w:p>
    <w:p w14:paraId="0F3F6B3D" w14:textId="707F5F22" w:rsidR="007F762E" w:rsidRPr="00577434" w:rsidRDefault="007F762E" w:rsidP="00C227BA">
      <w:pPr>
        <w:pStyle w:val="BulletPoints"/>
        <w:numPr>
          <w:ilvl w:val="0"/>
          <w:numId w:val="0"/>
        </w:numPr>
        <w:contextualSpacing w:val="0"/>
        <w:rPr>
          <w:rFonts w:asciiTheme="minorHAnsi" w:eastAsiaTheme="minorHAnsi" w:hAnsiTheme="minorHAnsi"/>
          <w:sz w:val="24"/>
          <w:szCs w:val="24"/>
          <w:lang w:eastAsia="en-US"/>
        </w:rPr>
      </w:pPr>
      <w:r w:rsidRPr="00577434">
        <w:rPr>
          <w:rFonts w:asciiTheme="minorHAnsi" w:eastAsiaTheme="minorHAnsi" w:hAnsiTheme="minorHAnsi"/>
          <w:sz w:val="24"/>
          <w:szCs w:val="24"/>
          <w:lang w:eastAsia="en-US"/>
        </w:rPr>
        <w:t xml:space="preserve">Fourthly, to the extent possible, the </w:t>
      </w:r>
      <w:r w:rsidR="0000238C">
        <w:rPr>
          <w:rFonts w:asciiTheme="minorHAnsi" w:eastAsiaTheme="minorHAnsi" w:hAnsiTheme="minorHAnsi"/>
          <w:sz w:val="24"/>
          <w:szCs w:val="24"/>
          <w:lang w:eastAsia="en-US"/>
        </w:rPr>
        <w:t>Program</w:t>
      </w:r>
      <w:r w:rsidRPr="00577434">
        <w:rPr>
          <w:rFonts w:asciiTheme="minorHAnsi" w:eastAsiaTheme="minorHAnsi" w:hAnsiTheme="minorHAnsi"/>
          <w:sz w:val="24"/>
          <w:szCs w:val="24"/>
          <w:lang w:eastAsia="en-US"/>
        </w:rPr>
        <w:t xml:space="preserve"> would seek to leverage other DFAT global programs (AAF, AVID, NCP) and whole of government partners</w:t>
      </w:r>
      <w:r w:rsidR="00545C0D">
        <w:rPr>
          <w:rFonts w:asciiTheme="minorHAnsi" w:eastAsiaTheme="minorHAnsi" w:hAnsiTheme="minorHAnsi"/>
          <w:sz w:val="24"/>
          <w:szCs w:val="24"/>
          <w:lang w:eastAsia="en-US"/>
        </w:rPr>
        <w:t>, particularly ACIAR, Austrade and the Department of Education</w:t>
      </w:r>
      <w:r w:rsidR="00C7414A">
        <w:rPr>
          <w:rFonts w:asciiTheme="minorHAnsi" w:eastAsiaTheme="minorHAnsi" w:hAnsiTheme="minorHAnsi"/>
          <w:sz w:val="24"/>
          <w:szCs w:val="24"/>
          <w:lang w:eastAsia="en-US"/>
        </w:rPr>
        <w:t xml:space="preserve"> </w:t>
      </w:r>
      <w:r w:rsidR="00F410F7">
        <w:rPr>
          <w:rFonts w:asciiTheme="minorHAnsi" w:eastAsiaTheme="minorHAnsi" w:hAnsiTheme="minorHAnsi"/>
          <w:sz w:val="24"/>
          <w:szCs w:val="24"/>
          <w:lang w:eastAsia="en-US"/>
        </w:rPr>
        <w:t xml:space="preserve">and Training </w:t>
      </w:r>
      <w:r w:rsidRPr="00577434">
        <w:rPr>
          <w:rFonts w:asciiTheme="minorHAnsi" w:eastAsiaTheme="minorHAnsi" w:hAnsiTheme="minorHAnsi"/>
          <w:sz w:val="24"/>
          <w:szCs w:val="24"/>
          <w:lang w:eastAsia="en-US"/>
        </w:rPr>
        <w:t xml:space="preserve">in promoting program outcomes.  This would </w:t>
      </w:r>
      <w:r w:rsidR="005F1071">
        <w:rPr>
          <w:rFonts w:asciiTheme="minorHAnsi" w:eastAsiaTheme="minorHAnsi" w:hAnsiTheme="minorHAnsi"/>
          <w:sz w:val="24"/>
          <w:szCs w:val="24"/>
          <w:lang w:eastAsia="en-US"/>
        </w:rPr>
        <w:t>primarily</w:t>
      </w:r>
      <w:r w:rsidR="005F1071" w:rsidRPr="00577434">
        <w:rPr>
          <w:rFonts w:asciiTheme="minorHAnsi" w:eastAsiaTheme="minorHAnsi" w:hAnsiTheme="minorHAnsi"/>
          <w:sz w:val="24"/>
          <w:szCs w:val="24"/>
          <w:lang w:eastAsia="en-US"/>
        </w:rPr>
        <w:t xml:space="preserve"> </w:t>
      </w:r>
      <w:r w:rsidRPr="00577434">
        <w:rPr>
          <w:rFonts w:asciiTheme="minorHAnsi" w:eastAsiaTheme="minorHAnsi" w:hAnsiTheme="minorHAnsi"/>
          <w:sz w:val="24"/>
          <w:szCs w:val="24"/>
          <w:lang w:eastAsia="en-US"/>
        </w:rPr>
        <w:t xml:space="preserve">involve </w:t>
      </w:r>
      <w:r w:rsidR="00597C83">
        <w:rPr>
          <w:rFonts w:asciiTheme="minorHAnsi" w:eastAsiaTheme="minorHAnsi" w:hAnsiTheme="minorHAnsi"/>
          <w:sz w:val="24"/>
          <w:szCs w:val="24"/>
          <w:lang w:eastAsia="en-US"/>
        </w:rPr>
        <w:t xml:space="preserve">DFAT Hanoi and </w:t>
      </w:r>
      <w:r w:rsidR="000A08D6">
        <w:rPr>
          <w:rFonts w:asciiTheme="minorHAnsi" w:eastAsiaTheme="minorHAnsi" w:hAnsiTheme="minorHAnsi"/>
          <w:sz w:val="24"/>
          <w:szCs w:val="24"/>
          <w:lang w:eastAsia="en-US"/>
        </w:rPr>
        <w:t xml:space="preserve">the </w:t>
      </w:r>
      <w:r w:rsidR="00597C83">
        <w:rPr>
          <w:rFonts w:asciiTheme="minorHAnsi" w:eastAsiaTheme="minorHAnsi" w:hAnsiTheme="minorHAnsi"/>
          <w:sz w:val="24"/>
          <w:szCs w:val="24"/>
          <w:lang w:eastAsia="en-US"/>
        </w:rPr>
        <w:t xml:space="preserve">Contractor </w:t>
      </w:r>
      <w:r w:rsidRPr="00577434">
        <w:rPr>
          <w:rFonts w:asciiTheme="minorHAnsi" w:eastAsiaTheme="minorHAnsi" w:hAnsiTheme="minorHAnsi"/>
          <w:sz w:val="24"/>
          <w:szCs w:val="24"/>
          <w:lang w:eastAsia="en-US"/>
        </w:rPr>
        <w:t xml:space="preserve">being aware of and maximising opportunities to build upon </w:t>
      </w:r>
      <w:r w:rsidR="00186B37" w:rsidRPr="00577434">
        <w:rPr>
          <w:rFonts w:asciiTheme="minorHAnsi" w:eastAsiaTheme="minorHAnsi" w:hAnsiTheme="minorHAnsi"/>
          <w:sz w:val="24"/>
          <w:szCs w:val="24"/>
          <w:lang w:eastAsia="en-US"/>
        </w:rPr>
        <w:t>existing or planned initiatives to</w:t>
      </w:r>
      <w:r w:rsidR="00644495" w:rsidRPr="00577434">
        <w:rPr>
          <w:rFonts w:asciiTheme="minorHAnsi" w:eastAsiaTheme="minorHAnsi" w:hAnsiTheme="minorHAnsi"/>
          <w:sz w:val="24"/>
          <w:szCs w:val="24"/>
          <w:lang w:eastAsia="en-US"/>
        </w:rPr>
        <w:t xml:space="preserve"> </w:t>
      </w:r>
      <w:r w:rsidR="00F23679" w:rsidRPr="00577434">
        <w:rPr>
          <w:rFonts w:asciiTheme="minorHAnsi" w:eastAsiaTheme="minorHAnsi" w:hAnsiTheme="minorHAnsi"/>
          <w:sz w:val="24"/>
          <w:szCs w:val="24"/>
          <w:lang w:eastAsia="en-US"/>
        </w:rPr>
        <w:t xml:space="preserve">further </w:t>
      </w:r>
      <w:r w:rsidR="00186B37" w:rsidRPr="00577434">
        <w:rPr>
          <w:rFonts w:asciiTheme="minorHAnsi" w:eastAsiaTheme="minorHAnsi" w:hAnsiTheme="minorHAnsi"/>
          <w:sz w:val="24"/>
          <w:szCs w:val="24"/>
          <w:lang w:eastAsia="en-US"/>
        </w:rPr>
        <w:t>facilitate linkages/partnerships between Vietnamese and Australian organi</w:t>
      </w:r>
      <w:r w:rsidR="00577434">
        <w:rPr>
          <w:rFonts w:asciiTheme="minorHAnsi" w:eastAsiaTheme="minorHAnsi" w:hAnsiTheme="minorHAnsi"/>
          <w:sz w:val="24"/>
          <w:szCs w:val="24"/>
          <w:lang w:eastAsia="en-US"/>
        </w:rPr>
        <w:t>s</w:t>
      </w:r>
      <w:r w:rsidR="00186B37" w:rsidRPr="00577434">
        <w:rPr>
          <w:rFonts w:asciiTheme="minorHAnsi" w:eastAsiaTheme="minorHAnsi" w:hAnsiTheme="minorHAnsi"/>
          <w:sz w:val="24"/>
          <w:szCs w:val="24"/>
          <w:lang w:eastAsia="en-US"/>
        </w:rPr>
        <w:t xml:space="preserve">ations. </w:t>
      </w:r>
    </w:p>
    <w:p w14:paraId="1DAE9DAF" w14:textId="02F96468" w:rsidR="00186B37" w:rsidRPr="00577434" w:rsidRDefault="0001459C" w:rsidP="00C227BA">
      <w:pPr>
        <w:pStyle w:val="BulletPoints"/>
        <w:numPr>
          <w:ilvl w:val="0"/>
          <w:numId w:val="0"/>
        </w:numPr>
        <w:contextualSpacing w:val="0"/>
        <w:rPr>
          <w:rFonts w:asciiTheme="minorHAnsi" w:eastAsiaTheme="minorHAnsi" w:hAnsiTheme="minorHAnsi"/>
          <w:sz w:val="24"/>
          <w:szCs w:val="24"/>
          <w:lang w:eastAsia="en-US"/>
        </w:rPr>
      </w:pPr>
      <w:r w:rsidRPr="00577434">
        <w:rPr>
          <w:rFonts w:asciiTheme="minorHAnsi" w:eastAsiaTheme="minorHAnsi" w:hAnsiTheme="minorHAnsi"/>
          <w:sz w:val="24"/>
          <w:szCs w:val="24"/>
          <w:lang w:eastAsia="en-US"/>
        </w:rPr>
        <w:t xml:space="preserve">Fifthly, </w:t>
      </w:r>
      <w:r w:rsidR="00B64C03" w:rsidRPr="00CA4E5C">
        <w:rPr>
          <w:rFonts w:asciiTheme="minorHAnsi" w:eastAsiaTheme="minorHAnsi" w:hAnsiTheme="minorHAnsi"/>
          <w:sz w:val="24"/>
          <w:szCs w:val="24"/>
          <w:lang w:eastAsia="en-US"/>
        </w:rPr>
        <w:t>Australian aid policy objectives on gender equality and women’s empowerment and on social inclusion are</w:t>
      </w:r>
      <w:r w:rsidR="00B64C03" w:rsidRPr="00577434" w:rsidDel="00E03D82">
        <w:rPr>
          <w:rFonts w:asciiTheme="minorHAnsi" w:eastAsiaTheme="minorHAnsi" w:hAnsiTheme="minorHAnsi"/>
          <w:sz w:val="24"/>
          <w:szCs w:val="24"/>
          <w:lang w:eastAsia="en-US"/>
        </w:rPr>
        <w:t xml:space="preserve"> </w:t>
      </w:r>
      <w:r w:rsidR="00E44853" w:rsidRPr="00577434">
        <w:rPr>
          <w:rFonts w:asciiTheme="minorHAnsi" w:eastAsiaTheme="minorHAnsi" w:hAnsiTheme="minorHAnsi"/>
          <w:sz w:val="24"/>
          <w:szCs w:val="24"/>
          <w:lang w:eastAsia="en-US"/>
        </w:rPr>
        <w:t>addressed throughout the design</w:t>
      </w:r>
      <w:r w:rsidR="002147BF" w:rsidRPr="00577434">
        <w:rPr>
          <w:rFonts w:asciiTheme="minorHAnsi" w:eastAsiaTheme="minorHAnsi" w:hAnsiTheme="minorHAnsi"/>
          <w:sz w:val="24"/>
          <w:szCs w:val="24"/>
          <w:lang w:eastAsia="en-US"/>
        </w:rPr>
        <w:t>,</w:t>
      </w:r>
      <w:r w:rsidR="00E44853" w:rsidRPr="00577434">
        <w:rPr>
          <w:rFonts w:asciiTheme="minorHAnsi" w:eastAsiaTheme="minorHAnsi" w:hAnsiTheme="minorHAnsi"/>
          <w:sz w:val="24"/>
          <w:szCs w:val="24"/>
          <w:lang w:eastAsia="en-US"/>
        </w:rPr>
        <w:t xml:space="preserve"> including through </w:t>
      </w:r>
      <w:r w:rsidR="005C3E34" w:rsidRPr="00577434">
        <w:rPr>
          <w:rFonts w:asciiTheme="minorHAnsi" w:eastAsiaTheme="minorHAnsi" w:hAnsiTheme="minorHAnsi"/>
          <w:sz w:val="24"/>
          <w:szCs w:val="24"/>
          <w:lang w:eastAsia="en-US"/>
        </w:rPr>
        <w:t xml:space="preserve">specific </w:t>
      </w:r>
      <w:r w:rsidR="00D05912" w:rsidRPr="00577434">
        <w:rPr>
          <w:rFonts w:asciiTheme="minorHAnsi" w:eastAsiaTheme="minorHAnsi" w:hAnsiTheme="minorHAnsi"/>
          <w:sz w:val="24"/>
          <w:szCs w:val="24"/>
          <w:lang w:eastAsia="en-US"/>
        </w:rPr>
        <w:t xml:space="preserve">strategies to address disadvantage, </w:t>
      </w:r>
      <w:r w:rsidR="00E44853" w:rsidRPr="00577434">
        <w:rPr>
          <w:rFonts w:asciiTheme="minorHAnsi" w:eastAsiaTheme="minorHAnsi" w:hAnsiTheme="minorHAnsi"/>
          <w:sz w:val="24"/>
          <w:szCs w:val="24"/>
          <w:lang w:eastAsia="en-US"/>
        </w:rPr>
        <w:t xml:space="preserve">provision of </w:t>
      </w:r>
      <w:r w:rsidR="007737C3" w:rsidRPr="00577434">
        <w:rPr>
          <w:rFonts w:asciiTheme="minorHAnsi" w:eastAsiaTheme="minorHAnsi" w:hAnsiTheme="minorHAnsi"/>
          <w:sz w:val="24"/>
          <w:szCs w:val="24"/>
          <w:lang w:eastAsia="en-US"/>
        </w:rPr>
        <w:t xml:space="preserve">leadership </w:t>
      </w:r>
      <w:r w:rsidR="00E44853" w:rsidRPr="00577434">
        <w:rPr>
          <w:rFonts w:asciiTheme="minorHAnsi" w:eastAsiaTheme="minorHAnsi" w:hAnsiTheme="minorHAnsi"/>
          <w:sz w:val="24"/>
          <w:szCs w:val="24"/>
          <w:lang w:eastAsia="en-US"/>
        </w:rPr>
        <w:t>training programs</w:t>
      </w:r>
      <w:r w:rsidR="00DE3CAE" w:rsidRPr="00577434">
        <w:rPr>
          <w:rFonts w:asciiTheme="minorHAnsi" w:eastAsiaTheme="minorHAnsi" w:hAnsiTheme="minorHAnsi"/>
          <w:sz w:val="24"/>
          <w:szCs w:val="24"/>
          <w:lang w:eastAsia="en-US"/>
        </w:rPr>
        <w:t>,</w:t>
      </w:r>
      <w:r w:rsidR="007B6176" w:rsidRPr="00577434">
        <w:rPr>
          <w:rFonts w:asciiTheme="minorHAnsi" w:eastAsiaTheme="minorHAnsi" w:hAnsiTheme="minorHAnsi"/>
          <w:sz w:val="24"/>
          <w:szCs w:val="24"/>
          <w:lang w:eastAsia="en-US"/>
        </w:rPr>
        <w:t xml:space="preserve"> </w:t>
      </w:r>
      <w:r w:rsidR="00D05912" w:rsidRPr="00577434">
        <w:rPr>
          <w:rFonts w:asciiTheme="minorHAnsi" w:eastAsiaTheme="minorHAnsi" w:hAnsiTheme="minorHAnsi"/>
          <w:sz w:val="24"/>
          <w:szCs w:val="24"/>
          <w:lang w:eastAsia="en-US"/>
        </w:rPr>
        <w:t>gender appropriate</w:t>
      </w:r>
      <w:r w:rsidR="00DE3CAE" w:rsidRPr="00577434">
        <w:rPr>
          <w:rFonts w:asciiTheme="minorHAnsi" w:eastAsiaTheme="minorHAnsi" w:hAnsiTheme="minorHAnsi"/>
          <w:sz w:val="24"/>
          <w:szCs w:val="24"/>
          <w:lang w:eastAsia="en-US"/>
        </w:rPr>
        <w:t xml:space="preserve"> approaches to M&amp;E, </w:t>
      </w:r>
      <w:r w:rsidR="007B6176" w:rsidRPr="00577434">
        <w:rPr>
          <w:rFonts w:asciiTheme="minorHAnsi" w:eastAsiaTheme="minorHAnsi" w:hAnsiTheme="minorHAnsi"/>
          <w:sz w:val="24"/>
          <w:szCs w:val="24"/>
          <w:lang w:eastAsia="en-US"/>
        </w:rPr>
        <w:t>reintegration activities and Contractor personnel.</w:t>
      </w:r>
    </w:p>
    <w:p w14:paraId="3717B00F" w14:textId="1D5C09C9" w:rsidR="007A59B7" w:rsidRPr="00577434" w:rsidRDefault="007C2F61" w:rsidP="00C227BA">
      <w:pPr>
        <w:pStyle w:val="BulletPoints"/>
        <w:numPr>
          <w:ilvl w:val="0"/>
          <w:numId w:val="0"/>
        </w:numPr>
        <w:contextualSpacing w:val="0"/>
        <w:rPr>
          <w:rFonts w:asciiTheme="minorHAnsi" w:eastAsiaTheme="minorHAnsi" w:hAnsiTheme="minorHAnsi"/>
          <w:sz w:val="24"/>
          <w:szCs w:val="24"/>
          <w:lang w:eastAsia="en-US"/>
        </w:rPr>
      </w:pPr>
      <w:r w:rsidRPr="00577434">
        <w:rPr>
          <w:rFonts w:asciiTheme="minorHAnsi" w:eastAsiaTheme="minorHAnsi" w:hAnsiTheme="minorHAnsi"/>
          <w:sz w:val="24"/>
          <w:szCs w:val="24"/>
          <w:lang w:eastAsia="en-US"/>
        </w:rPr>
        <w:t xml:space="preserve">In summary, the proposed approach to implementation of the </w:t>
      </w:r>
      <w:r w:rsidR="00F05667">
        <w:rPr>
          <w:rFonts w:asciiTheme="minorHAnsi" w:eastAsiaTheme="minorHAnsi" w:hAnsiTheme="minorHAnsi"/>
          <w:sz w:val="24"/>
          <w:szCs w:val="24"/>
          <w:lang w:eastAsia="en-US"/>
        </w:rPr>
        <w:t>Program</w:t>
      </w:r>
      <w:r w:rsidRPr="00577434">
        <w:rPr>
          <w:rFonts w:asciiTheme="minorHAnsi" w:eastAsiaTheme="minorHAnsi" w:hAnsiTheme="minorHAnsi"/>
          <w:sz w:val="24"/>
          <w:szCs w:val="24"/>
          <w:lang w:eastAsia="en-US"/>
        </w:rPr>
        <w:t xml:space="preserve"> involves</w:t>
      </w:r>
      <w:r w:rsidR="00481411">
        <w:rPr>
          <w:rFonts w:asciiTheme="minorHAnsi" w:eastAsiaTheme="minorHAnsi" w:hAnsiTheme="minorHAnsi"/>
          <w:sz w:val="24"/>
          <w:szCs w:val="24"/>
          <w:lang w:eastAsia="en-US"/>
        </w:rPr>
        <w:t>,</w:t>
      </w:r>
      <w:r w:rsidRPr="00577434">
        <w:rPr>
          <w:rFonts w:asciiTheme="minorHAnsi" w:eastAsiaTheme="minorHAnsi" w:hAnsiTheme="minorHAnsi"/>
          <w:sz w:val="24"/>
          <w:szCs w:val="24"/>
          <w:lang w:eastAsia="en-US"/>
        </w:rPr>
        <w:t xml:space="preserve"> at its core</w:t>
      </w:r>
      <w:r w:rsidR="00481411">
        <w:rPr>
          <w:rFonts w:asciiTheme="minorHAnsi" w:eastAsiaTheme="minorHAnsi" w:hAnsiTheme="minorHAnsi"/>
          <w:sz w:val="24"/>
          <w:szCs w:val="24"/>
          <w:lang w:eastAsia="en-US"/>
        </w:rPr>
        <w:t>,</w:t>
      </w:r>
      <w:r w:rsidRPr="00577434">
        <w:rPr>
          <w:rFonts w:asciiTheme="minorHAnsi" w:eastAsiaTheme="minorHAnsi" w:hAnsiTheme="minorHAnsi"/>
          <w:sz w:val="24"/>
          <w:szCs w:val="24"/>
          <w:lang w:eastAsia="en-US"/>
        </w:rPr>
        <w:t xml:space="preserve"> delivery of the well</w:t>
      </w:r>
      <w:r w:rsidR="005B68FE">
        <w:rPr>
          <w:rFonts w:asciiTheme="minorHAnsi" w:eastAsiaTheme="minorHAnsi" w:hAnsiTheme="minorHAnsi"/>
          <w:sz w:val="24"/>
          <w:szCs w:val="24"/>
          <w:lang w:eastAsia="en-US"/>
        </w:rPr>
        <w:t>-</w:t>
      </w:r>
      <w:r w:rsidRPr="00577434">
        <w:rPr>
          <w:rFonts w:asciiTheme="minorHAnsi" w:eastAsiaTheme="minorHAnsi" w:hAnsiTheme="minorHAnsi"/>
          <w:sz w:val="24"/>
          <w:szCs w:val="24"/>
          <w:lang w:eastAsia="en-US"/>
        </w:rPr>
        <w:t>established AAS</w:t>
      </w:r>
      <w:r w:rsidR="002A04F1">
        <w:rPr>
          <w:rFonts w:asciiTheme="minorHAnsi" w:eastAsiaTheme="minorHAnsi" w:hAnsiTheme="minorHAnsi"/>
          <w:sz w:val="24"/>
          <w:szCs w:val="24"/>
          <w:lang w:eastAsia="en-US"/>
        </w:rPr>
        <w:t>;</w:t>
      </w:r>
      <w:r w:rsidRPr="00577434">
        <w:rPr>
          <w:rFonts w:asciiTheme="minorHAnsi" w:eastAsiaTheme="minorHAnsi" w:hAnsiTheme="minorHAnsi"/>
          <w:sz w:val="24"/>
          <w:szCs w:val="24"/>
          <w:lang w:eastAsia="en-US"/>
        </w:rPr>
        <w:t xml:space="preserve"> supplemented by a number of structured sub programs </w:t>
      </w:r>
      <w:r w:rsidR="00531740" w:rsidRPr="00577434">
        <w:rPr>
          <w:rFonts w:asciiTheme="minorHAnsi" w:eastAsiaTheme="minorHAnsi" w:hAnsiTheme="minorHAnsi"/>
          <w:sz w:val="24"/>
          <w:szCs w:val="24"/>
          <w:lang w:eastAsia="en-US"/>
        </w:rPr>
        <w:t xml:space="preserve">(to be identified); and </w:t>
      </w:r>
      <w:r w:rsidRPr="00577434">
        <w:rPr>
          <w:rFonts w:asciiTheme="minorHAnsi" w:eastAsiaTheme="minorHAnsi" w:hAnsiTheme="minorHAnsi"/>
          <w:sz w:val="24"/>
          <w:szCs w:val="24"/>
          <w:lang w:eastAsia="en-US"/>
        </w:rPr>
        <w:t>ad hoc</w:t>
      </w:r>
      <w:r w:rsidR="00531740" w:rsidRPr="00577434">
        <w:rPr>
          <w:rFonts w:asciiTheme="minorHAnsi" w:eastAsiaTheme="minorHAnsi" w:hAnsiTheme="minorHAnsi"/>
          <w:sz w:val="24"/>
          <w:szCs w:val="24"/>
          <w:lang w:eastAsia="en-US"/>
        </w:rPr>
        <w:t xml:space="preserve"> </w:t>
      </w:r>
      <w:r w:rsidRPr="00577434">
        <w:rPr>
          <w:rFonts w:asciiTheme="minorHAnsi" w:eastAsiaTheme="minorHAnsi" w:hAnsiTheme="minorHAnsi"/>
          <w:sz w:val="24"/>
          <w:szCs w:val="24"/>
          <w:lang w:eastAsia="en-US"/>
        </w:rPr>
        <w:t xml:space="preserve">interventions </w:t>
      </w:r>
      <w:r w:rsidR="00531740" w:rsidRPr="00577434">
        <w:rPr>
          <w:rFonts w:asciiTheme="minorHAnsi" w:eastAsiaTheme="minorHAnsi" w:hAnsiTheme="minorHAnsi"/>
          <w:sz w:val="24"/>
          <w:szCs w:val="24"/>
          <w:lang w:eastAsia="en-US"/>
        </w:rPr>
        <w:t>(</w:t>
      </w:r>
      <w:r w:rsidR="00905A4C">
        <w:rPr>
          <w:rFonts w:asciiTheme="minorHAnsi" w:eastAsiaTheme="minorHAnsi" w:hAnsiTheme="minorHAnsi"/>
          <w:sz w:val="24"/>
          <w:szCs w:val="24"/>
          <w:lang w:eastAsia="en-US"/>
        </w:rPr>
        <w:t>to be identified) to support on</w:t>
      </w:r>
      <w:r w:rsidR="00531740" w:rsidRPr="00577434">
        <w:rPr>
          <w:rFonts w:asciiTheme="minorHAnsi" w:eastAsiaTheme="minorHAnsi" w:hAnsiTheme="minorHAnsi"/>
          <w:sz w:val="24"/>
          <w:szCs w:val="24"/>
          <w:lang w:eastAsia="en-US"/>
        </w:rPr>
        <w:t>going sector programs.</w:t>
      </w:r>
      <w:r w:rsidR="00E25200" w:rsidRPr="00577434">
        <w:rPr>
          <w:rFonts w:asciiTheme="minorHAnsi" w:eastAsiaTheme="minorHAnsi" w:hAnsiTheme="minorHAnsi"/>
          <w:sz w:val="24"/>
          <w:szCs w:val="24"/>
          <w:lang w:eastAsia="en-US"/>
        </w:rPr>
        <w:t xml:space="preserve"> </w:t>
      </w:r>
    </w:p>
    <w:p w14:paraId="78687679" w14:textId="5D6C73B6" w:rsidR="001853B9" w:rsidRPr="008C2305" w:rsidRDefault="001853B9" w:rsidP="00C227BA">
      <w:pPr>
        <w:spacing w:before="120" w:after="120"/>
      </w:pPr>
      <w:r w:rsidRPr="00577434">
        <w:t xml:space="preserve">Identification of target institutions and sub programs will require further preparatory work by DFAT Hanoi and the Contractor to determine demand, commitment and the scope of interventions. The Contractor will be responsible for preparing a plan </w:t>
      </w:r>
      <w:r w:rsidR="00AB3282" w:rsidRPr="00577434">
        <w:t xml:space="preserve">within </w:t>
      </w:r>
      <w:r w:rsidR="0000238C">
        <w:t>six</w:t>
      </w:r>
      <w:r w:rsidR="00AB3282" w:rsidRPr="00577434">
        <w:t xml:space="preserve"> months of mobilisation</w:t>
      </w:r>
      <w:r w:rsidR="00A12572" w:rsidRPr="00B5326E">
        <w:rPr>
          <w:rStyle w:val="FootnoteReference"/>
        </w:rPr>
        <w:footnoteReference w:id="25"/>
      </w:r>
      <w:r w:rsidRPr="00B5326E">
        <w:t xml:space="preserve"> outlining the proposed approach to </w:t>
      </w:r>
      <w:r w:rsidR="00F57190" w:rsidRPr="003B74ED">
        <w:t xml:space="preserve">identification, </w:t>
      </w:r>
      <w:r w:rsidRPr="00EA76FF">
        <w:t xml:space="preserve">preparation and implementation of sub programs, STT, the Women in Leadership program; and ad hoc activities. The plan </w:t>
      </w:r>
      <w:r w:rsidRPr="00314297">
        <w:t xml:space="preserve">will be guided by sector </w:t>
      </w:r>
      <w:r w:rsidRPr="00B42B3E">
        <w:t>and</w:t>
      </w:r>
      <w:r w:rsidRPr="008C2305">
        <w:t xml:space="preserve"> geographic priorities as determined through the AIP preparation process; discussions between DFAT Hanoi and the GOV; and available budget. </w:t>
      </w:r>
    </w:p>
    <w:p w14:paraId="48460E92" w14:textId="07768387" w:rsidR="001853B9" w:rsidRPr="00577434" w:rsidRDefault="001853B9" w:rsidP="00C227BA">
      <w:pPr>
        <w:spacing w:before="120" w:after="120"/>
      </w:pPr>
      <w:r w:rsidRPr="001A0CDA">
        <w:t xml:space="preserve">Based on current (2015) advice, there will be limited funding available for implementation of </w:t>
      </w:r>
      <w:r w:rsidR="00F04325">
        <w:t xml:space="preserve">additional </w:t>
      </w:r>
      <w:r w:rsidRPr="001A0CDA">
        <w:t>HRD activ</w:t>
      </w:r>
      <w:r w:rsidRPr="004E1408">
        <w:t>ities</w:t>
      </w:r>
      <w:r w:rsidR="00F04325">
        <w:t>,</w:t>
      </w:r>
      <w:r w:rsidRPr="004E1408">
        <w:t xml:space="preserve"> aside from </w:t>
      </w:r>
      <w:r w:rsidR="006614B5">
        <w:t xml:space="preserve">the </w:t>
      </w:r>
      <w:r w:rsidRPr="004E1408">
        <w:t>AAS</w:t>
      </w:r>
      <w:r w:rsidR="006614B5">
        <w:t>,</w:t>
      </w:r>
      <w:r w:rsidRPr="004E1408">
        <w:t xml:space="preserve"> prior to Years 3-5</w:t>
      </w:r>
      <w:r w:rsidR="00F04325">
        <w:t xml:space="preserve"> of the program.</w:t>
      </w:r>
      <w:r w:rsidRPr="004E1408">
        <w:t xml:space="preserve"> Consequently, there is adequate time to thoroughly investigate sub program options. This should involve stop/go points whereby the Contractor undertakes an in</w:t>
      </w:r>
      <w:r w:rsidRPr="007A6D7C">
        <w:t xml:space="preserve">itial assessment of potential sub programs for </w:t>
      </w:r>
      <w:r w:rsidR="00F57190" w:rsidRPr="00D9325F">
        <w:t>consideration by</w:t>
      </w:r>
      <w:r w:rsidRPr="00E27B90">
        <w:t xml:space="preserve"> DFAT Hanoi; subject to advice from DFAT Hanoi the Contractor would proceed to further development of preferred sub program options. In designing sub programs the Contractor will draw on the se</w:t>
      </w:r>
      <w:r w:rsidRPr="00577434">
        <w:t>ctor knowledge, policy and analytical support of DFAT, Hanoi.</w:t>
      </w:r>
    </w:p>
    <w:p w14:paraId="182AC940" w14:textId="77777777" w:rsidR="00DD17A5" w:rsidRPr="00577434" w:rsidRDefault="00DD17A5" w:rsidP="00C227BA">
      <w:pPr>
        <w:spacing w:before="120" w:after="120"/>
      </w:pPr>
    </w:p>
    <w:p w14:paraId="6F325361" w14:textId="77777777" w:rsidR="00905A4C" w:rsidRDefault="00905A4C" w:rsidP="00C227BA">
      <w:pPr>
        <w:spacing w:before="120" w:after="120"/>
        <w:rPr>
          <w:b/>
        </w:rPr>
      </w:pPr>
      <w:r>
        <w:rPr>
          <w:b/>
        </w:rPr>
        <w:br w:type="page"/>
      </w:r>
    </w:p>
    <w:p w14:paraId="1A197F6C" w14:textId="62AB66C5" w:rsidR="000D1A17" w:rsidRPr="00B5326E" w:rsidRDefault="00C26A89" w:rsidP="00C227BA">
      <w:pPr>
        <w:spacing w:before="120" w:after="120"/>
        <w:rPr>
          <w:b/>
        </w:rPr>
      </w:pPr>
      <w:r>
        <w:rPr>
          <w:b/>
        </w:rPr>
        <w:t>Figure 2.</w:t>
      </w:r>
      <w:r w:rsidR="00704161">
        <w:rPr>
          <w:b/>
        </w:rPr>
        <w:t>2</w:t>
      </w:r>
      <w:r w:rsidR="000D1A17" w:rsidRPr="00B5326E">
        <w:rPr>
          <w:b/>
        </w:rPr>
        <w:t xml:space="preserve">: </w:t>
      </w:r>
      <w:r w:rsidR="000D1A17" w:rsidRPr="008B1008">
        <w:rPr>
          <w:b/>
        </w:rPr>
        <w:t>Components</w:t>
      </w:r>
      <w:r w:rsidR="000D1A17" w:rsidRPr="00B5326E">
        <w:rPr>
          <w:b/>
        </w:rPr>
        <w:t xml:space="preserve"> of the </w:t>
      </w:r>
      <w:r w:rsidR="003F2017">
        <w:rPr>
          <w:b/>
        </w:rPr>
        <w:t>Vietnam-Australia Partnership on HRD</w:t>
      </w:r>
    </w:p>
    <w:p w14:paraId="28D3D9E7" w14:textId="26BB93DB" w:rsidR="004E194C" w:rsidRDefault="004E194C" w:rsidP="00C227BA">
      <w:pPr>
        <w:spacing w:before="120" w:after="120"/>
        <w:rPr>
          <w:noProof/>
          <w:lang w:eastAsia="en-AU"/>
        </w:rPr>
      </w:pPr>
    </w:p>
    <w:p w14:paraId="0523F63A" w14:textId="5DDFAC31" w:rsidR="000342B6" w:rsidRDefault="003F2017" w:rsidP="00C227BA">
      <w:pPr>
        <w:spacing w:before="120" w:after="120"/>
        <w:rPr>
          <w:noProof/>
          <w:lang w:eastAsia="en-AU"/>
        </w:rPr>
      </w:pPr>
      <w:r>
        <w:rPr>
          <w:noProof/>
          <w:lang w:eastAsia="en-AU"/>
        </w:rPr>
        <w:drawing>
          <wp:inline distT="0" distB="0" distL="0" distR="0" wp14:anchorId="4437A39A" wp14:editId="5C7E3718">
            <wp:extent cx="5648698" cy="664951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0198" cy="6651283"/>
                    </a:xfrm>
                    <a:prstGeom prst="rect">
                      <a:avLst/>
                    </a:prstGeom>
                    <a:noFill/>
                  </pic:spPr>
                </pic:pic>
              </a:graphicData>
            </a:graphic>
          </wp:inline>
        </w:drawing>
      </w:r>
    </w:p>
    <w:p w14:paraId="383D7B5A" w14:textId="1F6E2BA3" w:rsidR="000342B6" w:rsidRDefault="000342B6" w:rsidP="00C227BA">
      <w:pPr>
        <w:spacing w:before="120" w:after="120"/>
      </w:pPr>
      <w:r>
        <w:br w:type="page"/>
      </w:r>
    </w:p>
    <w:p w14:paraId="6D02D8E6" w14:textId="348D8A9A" w:rsidR="00A12572" w:rsidRPr="00EA76FF" w:rsidRDefault="00A12572" w:rsidP="00C227BA">
      <w:pPr>
        <w:spacing w:before="120" w:after="120"/>
      </w:pPr>
      <w:r w:rsidRPr="00B5326E">
        <w:t xml:space="preserve">Responsibility for the design and sub-contracting of HRD activities, whether sub programs, STT or small-scale interventions will rest with the Contractor. </w:t>
      </w:r>
      <w:r w:rsidRPr="003B74ED">
        <w:t>The</w:t>
      </w:r>
      <w:r w:rsidRPr="00EA76FF">
        <w:t xml:space="preserve"> Contractor would submit a proposal </w:t>
      </w:r>
      <w:r w:rsidRPr="00ED38D0">
        <w:t>to DFAT Hanoi</w:t>
      </w:r>
      <w:r w:rsidR="00F80034">
        <w:t xml:space="preserve"> </w:t>
      </w:r>
      <w:r w:rsidRPr="00ED38D0">
        <w:t>for approval outlining design activities and objectives, implementation schedule, estimated cost and the</w:t>
      </w:r>
      <w:r w:rsidRPr="00B5326E">
        <w:t xml:space="preserve"> approach to sub-contracting. A simple tasking note from DFAT Hanoi would authorise the </w:t>
      </w:r>
      <w:r w:rsidRPr="003B74ED">
        <w:t>Contractor to proceed.</w:t>
      </w:r>
      <w:r w:rsidR="000D1C8A">
        <w:t xml:space="preserve"> PCC </w:t>
      </w:r>
      <w:r w:rsidR="009E05C3">
        <w:t>endorsement</w:t>
      </w:r>
      <w:r w:rsidR="000D1C8A">
        <w:t xml:space="preserve"> should be obtained for </w:t>
      </w:r>
      <w:r w:rsidR="00994529">
        <w:t xml:space="preserve">multi-year Australia Awards STT courses and for </w:t>
      </w:r>
      <w:r w:rsidR="000D1C8A">
        <w:t xml:space="preserve">the </w:t>
      </w:r>
      <w:r w:rsidR="009E05C3">
        <w:t xml:space="preserve">design and </w:t>
      </w:r>
      <w:r w:rsidR="000D1C8A">
        <w:t>implementation of sub programs.</w:t>
      </w:r>
    </w:p>
    <w:p w14:paraId="61DEF431" w14:textId="729EBBF5" w:rsidR="004E194C" w:rsidRPr="008C2305" w:rsidRDefault="004E194C" w:rsidP="00C227BA">
      <w:pPr>
        <w:pStyle w:val="BulletPoints"/>
        <w:numPr>
          <w:ilvl w:val="0"/>
          <w:numId w:val="0"/>
        </w:numPr>
        <w:contextualSpacing w:val="0"/>
        <w:rPr>
          <w:rFonts w:asciiTheme="minorHAnsi" w:eastAsiaTheme="minorHAnsi" w:hAnsiTheme="minorHAnsi"/>
          <w:b/>
          <w:i/>
          <w:color w:val="548DD4" w:themeColor="text2" w:themeTint="99"/>
          <w:sz w:val="24"/>
          <w:szCs w:val="24"/>
          <w:lang w:eastAsia="en-US"/>
        </w:rPr>
      </w:pPr>
      <w:r w:rsidRPr="00B42B3E">
        <w:rPr>
          <w:rFonts w:asciiTheme="minorHAnsi" w:eastAsiaTheme="minorHAnsi" w:hAnsiTheme="minorHAnsi"/>
          <w:b/>
          <w:i/>
          <w:color w:val="548DD4" w:themeColor="text2" w:themeTint="99"/>
          <w:sz w:val="24"/>
          <w:szCs w:val="24"/>
          <w:lang w:eastAsia="en-US"/>
        </w:rPr>
        <w:t>2.2.1 Sub Program Selection</w:t>
      </w:r>
    </w:p>
    <w:p w14:paraId="1561A30F" w14:textId="6E879785" w:rsidR="00534CE6" w:rsidRPr="00FA40AE" w:rsidRDefault="00534CE6" w:rsidP="00C227BA">
      <w:pPr>
        <w:pStyle w:val="BulletPoints"/>
        <w:numPr>
          <w:ilvl w:val="0"/>
          <w:numId w:val="0"/>
        </w:numPr>
        <w:contextualSpacing w:val="0"/>
        <w:rPr>
          <w:rFonts w:asciiTheme="minorHAnsi" w:eastAsia="MS Mincho" w:hAnsiTheme="minorHAnsi"/>
          <w:sz w:val="24"/>
          <w:szCs w:val="24"/>
          <w:lang w:eastAsia="ja-JP"/>
        </w:rPr>
      </w:pPr>
      <w:r w:rsidRPr="008C2305">
        <w:rPr>
          <w:rFonts w:asciiTheme="minorHAnsi" w:eastAsiaTheme="minorHAnsi" w:hAnsiTheme="minorHAnsi"/>
          <w:sz w:val="24"/>
          <w:szCs w:val="24"/>
          <w:lang w:eastAsia="en-US"/>
        </w:rPr>
        <w:t>The institutional environment in Vie</w:t>
      </w:r>
      <w:r w:rsidR="00020585" w:rsidRPr="001A0CDA">
        <w:rPr>
          <w:rFonts w:asciiTheme="minorHAnsi" w:eastAsiaTheme="minorHAnsi" w:hAnsiTheme="minorHAnsi"/>
          <w:sz w:val="24"/>
          <w:szCs w:val="24"/>
          <w:lang w:eastAsia="en-US"/>
        </w:rPr>
        <w:t>tnam is complex and challenging. W</w:t>
      </w:r>
      <w:r w:rsidRPr="001A0CDA">
        <w:rPr>
          <w:rFonts w:asciiTheme="minorHAnsi" w:eastAsiaTheme="minorHAnsi" w:hAnsiTheme="minorHAnsi"/>
          <w:sz w:val="24"/>
          <w:szCs w:val="24"/>
          <w:lang w:eastAsia="en-US"/>
        </w:rPr>
        <w:t xml:space="preserve">hile the </w:t>
      </w:r>
      <w:r w:rsidRPr="004E1408">
        <w:rPr>
          <w:rFonts w:asciiTheme="minorHAnsi" w:eastAsiaTheme="minorHAnsi" w:hAnsiTheme="minorHAnsi"/>
          <w:sz w:val="24"/>
          <w:szCs w:val="24"/>
          <w:lang w:eastAsia="en-US"/>
        </w:rPr>
        <w:t xml:space="preserve">sub programs will seek to improve </w:t>
      </w:r>
      <w:r w:rsidR="004020F5">
        <w:rPr>
          <w:rFonts w:asciiTheme="minorHAnsi" w:eastAsiaTheme="minorHAnsi" w:hAnsiTheme="minorHAnsi"/>
          <w:sz w:val="24"/>
          <w:szCs w:val="24"/>
          <w:lang w:eastAsia="en-US"/>
        </w:rPr>
        <w:t xml:space="preserve">HR practices and </w:t>
      </w:r>
      <w:r w:rsidRPr="004E1408">
        <w:rPr>
          <w:rFonts w:asciiTheme="minorHAnsi" w:eastAsiaTheme="minorHAnsi" w:hAnsiTheme="minorHAnsi"/>
          <w:sz w:val="24"/>
          <w:szCs w:val="24"/>
          <w:lang w:eastAsia="en-US"/>
        </w:rPr>
        <w:t xml:space="preserve">workplace productivity in various ways, it is not realistic to expect to engage extensively with target </w:t>
      </w:r>
      <w:r w:rsidR="00625FB1" w:rsidRPr="007A6D7C">
        <w:rPr>
          <w:rFonts w:asciiTheme="minorHAnsi" w:eastAsiaTheme="minorHAnsi" w:hAnsiTheme="minorHAnsi"/>
          <w:sz w:val="24"/>
          <w:szCs w:val="24"/>
          <w:lang w:eastAsia="en-US"/>
        </w:rPr>
        <w:t xml:space="preserve">institutions </w:t>
      </w:r>
      <w:r w:rsidRPr="00D9325F">
        <w:rPr>
          <w:rFonts w:asciiTheme="minorHAnsi" w:eastAsiaTheme="minorHAnsi" w:hAnsiTheme="minorHAnsi"/>
          <w:sz w:val="24"/>
          <w:szCs w:val="24"/>
          <w:lang w:eastAsia="en-US"/>
        </w:rPr>
        <w:t>in strengthening internal HRD planning and/or policy development</w:t>
      </w:r>
      <w:r w:rsidR="000B06CF">
        <w:rPr>
          <w:rFonts w:asciiTheme="minorHAnsi" w:eastAsiaTheme="minorHAnsi" w:hAnsiTheme="minorHAnsi"/>
          <w:sz w:val="24"/>
          <w:szCs w:val="24"/>
          <w:lang w:eastAsia="en-US"/>
        </w:rPr>
        <w:t>;</w:t>
      </w:r>
      <w:r w:rsidRPr="00D9325F">
        <w:rPr>
          <w:rFonts w:asciiTheme="minorHAnsi" w:eastAsiaTheme="minorHAnsi" w:hAnsiTheme="minorHAnsi"/>
          <w:sz w:val="24"/>
          <w:szCs w:val="24"/>
          <w:lang w:eastAsia="en-US"/>
        </w:rPr>
        <w:t xml:space="preserve"> or seek to</w:t>
      </w:r>
      <w:r w:rsidR="00276543" w:rsidRPr="00E27B90">
        <w:rPr>
          <w:rFonts w:asciiTheme="minorHAnsi" w:eastAsiaTheme="minorHAnsi" w:hAnsiTheme="minorHAnsi"/>
          <w:sz w:val="24"/>
          <w:szCs w:val="24"/>
          <w:lang w:eastAsia="en-US"/>
        </w:rPr>
        <w:t xml:space="preserve"> </w:t>
      </w:r>
      <w:r w:rsidRPr="00B379A4">
        <w:rPr>
          <w:rFonts w:asciiTheme="minorHAnsi" w:eastAsiaTheme="minorHAnsi" w:hAnsiTheme="minorHAnsi"/>
          <w:sz w:val="24"/>
          <w:szCs w:val="24"/>
          <w:lang w:eastAsia="en-US"/>
        </w:rPr>
        <w:t xml:space="preserve">achieve substantial organisational change. This would require a major reassessment of objectives, timeframe and funding of the </w:t>
      </w:r>
      <w:r w:rsidR="00AB175B">
        <w:rPr>
          <w:rFonts w:asciiTheme="minorHAnsi" w:eastAsiaTheme="minorHAnsi" w:hAnsiTheme="minorHAnsi"/>
          <w:sz w:val="24"/>
          <w:szCs w:val="24"/>
          <w:lang w:eastAsia="en-US"/>
        </w:rPr>
        <w:t>Program</w:t>
      </w:r>
      <w:r w:rsidRPr="00FA40AE">
        <w:rPr>
          <w:rFonts w:asciiTheme="minorHAnsi" w:eastAsia="MS Mincho" w:hAnsiTheme="minorHAnsi"/>
          <w:sz w:val="24"/>
          <w:szCs w:val="24"/>
          <w:lang w:eastAsia="ja-JP"/>
        </w:rPr>
        <w:t xml:space="preserve">. </w:t>
      </w:r>
    </w:p>
    <w:p w14:paraId="22CF0BC0" w14:textId="224D0F56" w:rsidR="00534CE6" w:rsidRPr="00F4554A" w:rsidRDefault="00534CE6" w:rsidP="00C227BA">
      <w:pPr>
        <w:suppressAutoHyphens/>
        <w:spacing w:before="120" w:after="120"/>
      </w:pPr>
      <w:r w:rsidRPr="00F4554A">
        <w:t xml:space="preserve">It is proposed sub programs </w:t>
      </w:r>
      <w:proofErr w:type="gramStart"/>
      <w:r w:rsidRPr="00F4554A">
        <w:t>be</w:t>
      </w:r>
      <w:proofErr w:type="gramEnd"/>
      <w:r w:rsidRPr="00F4554A">
        <w:t xml:space="preserve"> identified from within one or </w:t>
      </w:r>
      <w:r w:rsidR="006C3923">
        <w:t>both</w:t>
      </w:r>
      <w:r w:rsidR="006C3923" w:rsidRPr="00F4554A">
        <w:t xml:space="preserve"> </w:t>
      </w:r>
      <w:r w:rsidRPr="00F4554A">
        <w:t>of the following options:</w:t>
      </w:r>
      <w:r w:rsidR="00DD17A5">
        <w:t xml:space="preserve"> </w:t>
      </w:r>
    </w:p>
    <w:p w14:paraId="08FB7604" w14:textId="4625B3E8" w:rsidR="00534CE6" w:rsidRPr="00274EF2" w:rsidRDefault="00534CE6" w:rsidP="00C227BA">
      <w:pPr>
        <w:pStyle w:val="ListParagraph"/>
        <w:numPr>
          <w:ilvl w:val="0"/>
          <w:numId w:val="12"/>
        </w:numPr>
        <w:suppressAutoHyphens/>
        <w:spacing w:line="240" w:lineRule="auto"/>
        <w:contextualSpacing w:val="0"/>
        <w:rPr>
          <w:rFonts w:asciiTheme="minorHAnsi" w:hAnsiTheme="minorHAnsi"/>
          <w:sz w:val="24"/>
          <w:szCs w:val="24"/>
          <w:lang w:val="en-AU"/>
        </w:rPr>
      </w:pPr>
      <w:r w:rsidRPr="00274EF2">
        <w:rPr>
          <w:rFonts w:asciiTheme="minorHAnsi" w:hAnsiTheme="minorHAnsi"/>
          <w:sz w:val="24"/>
          <w:szCs w:val="24"/>
          <w:lang w:val="en-AU"/>
        </w:rPr>
        <w:t xml:space="preserve">universities </w:t>
      </w:r>
      <w:r w:rsidR="00020585" w:rsidRPr="00274EF2">
        <w:rPr>
          <w:rFonts w:asciiTheme="minorHAnsi" w:hAnsiTheme="minorHAnsi"/>
          <w:sz w:val="24"/>
          <w:szCs w:val="24"/>
          <w:lang w:val="en-AU"/>
        </w:rPr>
        <w:t xml:space="preserve">(faculties) </w:t>
      </w:r>
      <w:r w:rsidRPr="00274EF2">
        <w:rPr>
          <w:rFonts w:asciiTheme="minorHAnsi" w:hAnsiTheme="minorHAnsi"/>
          <w:sz w:val="24"/>
          <w:szCs w:val="24"/>
          <w:lang w:val="en-AU"/>
        </w:rPr>
        <w:t xml:space="preserve">in priority areas of geographical </w:t>
      </w:r>
      <w:r w:rsidR="00020585" w:rsidRPr="00274EF2">
        <w:rPr>
          <w:rFonts w:asciiTheme="minorHAnsi" w:hAnsiTheme="minorHAnsi"/>
          <w:sz w:val="24"/>
          <w:szCs w:val="24"/>
          <w:lang w:val="en-AU"/>
        </w:rPr>
        <w:t xml:space="preserve">and sector </w:t>
      </w:r>
      <w:r w:rsidRPr="00274EF2">
        <w:rPr>
          <w:rFonts w:asciiTheme="minorHAnsi" w:hAnsiTheme="minorHAnsi"/>
          <w:sz w:val="24"/>
          <w:szCs w:val="24"/>
          <w:lang w:val="en-AU"/>
        </w:rPr>
        <w:t>focus; and</w:t>
      </w:r>
    </w:p>
    <w:p w14:paraId="31EB3D83" w14:textId="77777777" w:rsidR="00534CE6" w:rsidRPr="00F233A7" w:rsidRDefault="00534CE6" w:rsidP="00C227BA">
      <w:pPr>
        <w:pStyle w:val="ListParagraph"/>
        <w:numPr>
          <w:ilvl w:val="0"/>
          <w:numId w:val="12"/>
        </w:numPr>
        <w:suppressAutoHyphens/>
        <w:spacing w:line="240" w:lineRule="auto"/>
        <w:contextualSpacing w:val="0"/>
        <w:rPr>
          <w:rFonts w:asciiTheme="minorHAnsi" w:hAnsiTheme="minorHAnsi"/>
          <w:sz w:val="24"/>
          <w:szCs w:val="24"/>
          <w:lang w:val="en-AU"/>
        </w:rPr>
      </w:pPr>
      <w:proofErr w:type="gramStart"/>
      <w:r w:rsidRPr="00F233A7">
        <w:rPr>
          <w:rFonts w:asciiTheme="minorHAnsi" w:hAnsiTheme="minorHAnsi"/>
          <w:sz w:val="24"/>
          <w:szCs w:val="24"/>
          <w:lang w:val="en-AU"/>
        </w:rPr>
        <w:t>technical</w:t>
      </w:r>
      <w:proofErr w:type="gramEnd"/>
      <w:r w:rsidRPr="00F233A7">
        <w:rPr>
          <w:rFonts w:asciiTheme="minorHAnsi" w:hAnsiTheme="minorHAnsi"/>
          <w:sz w:val="24"/>
          <w:szCs w:val="24"/>
          <w:lang w:val="en-AU"/>
        </w:rPr>
        <w:t xml:space="preserve"> vocational education and training (TVET).</w:t>
      </w:r>
    </w:p>
    <w:p w14:paraId="7A29331E" w14:textId="2C5DB1EA" w:rsidR="00A77A46" w:rsidRPr="008C2305" w:rsidRDefault="00534CE6" w:rsidP="00C227BA">
      <w:pPr>
        <w:suppressAutoHyphens/>
        <w:spacing w:before="120" w:after="120"/>
      </w:pPr>
      <w:r w:rsidRPr="004744D3">
        <w:t>Selecting</w:t>
      </w:r>
      <w:r w:rsidR="0006622A" w:rsidRPr="00AF245E">
        <w:t xml:space="preserve"> target</w:t>
      </w:r>
      <w:r w:rsidRPr="00FE136A">
        <w:t xml:space="preserve"> </w:t>
      </w:r>
      <w:r w:rsidR="0006622A" w:rsidRPr="005C0E3B">
        <w:t xml:space="preserve">institutions and </w:t>
      </w:r>
      <w:r w:rsidRPr="00FA5F0F">
        <w:t>sub programs</w:t>
      </w:r>
      <w:r w:rsidR="0006622A" w:rsidRPr="00B5326E">
        <w:t xml:space="preserve"> </w:t>
      </w:r>
      <w:r w:rsidRPr="00B5326E">
        <w:t xml:space="preserve">to receive priority access to awards and </w:t>
      </w:r>
      <w:r w:rsidR="00656DCA" w:rsidRPr="00B5326E">
        <w:t xml:space="preserve">additional </w:t>
      </w:r>
      <w:r w:rsidRPr="00B5326E">
        <w:t>HRD assistance, and the type of assistance offered, will depend on a range of factors. This should include an assessment of both favourable institutional conditions for further enhancing the utili</w:t>
      </w:r>
      <w:r w:rsidR="00F233A7">
        <w:t>s</w:t>
      </w:r>
      <w:r w:rsidRPr="00F233A7">
        <w:t>ation of skills as well as constraints</w:t>
      </w:r>
      <w:r w:rsidRPr="00B5326E">
        <w:t>.</w:t>
      </w:r>
      <w:r w:rsidR="00DD17A5">
        <w:t xml:space="preserve"> </w:t>
      </w:r>
      <w:r w:rsidR="00A77A46" w:rsidRPr="00EA76FF">
        <w:t>HRD support to institutions, beyond Australia Awards Scholarships, is potentially a sensitive issue; demand is most likely to be stronger and the chances of success greater w</w:t>
      </w:r>
      <w:r w:rsidR="00A77A46" w:rsidRPr="00314297">
        <w:t xml:space="preserve">here there is trust through some </w:t>
      </w:r>
      <w:r w:rsidR="00A77A46" w:rsidRPr="00B42B3E">
        <w:t xml:space="preserve">existing partnership with the </w:t>
      </w:r>
      <w:r w:rsidR="00D07E70" w:rsidRPr="008C2305">
        <w:t>Australian Government</w:t>
      </w:r>
      <w:r w:rsidR="00A77A46" w:rsidRPr="008C2305">
        <w:t>.</w:t>
      </w:r>
    </w:p>
    <w:p w14:paraId="4566B489" w14:textId="50440F5F" w:rsidR="00534CE6" w:rsidRPr="00B379A4" w:rsidRDefault="00534CE6" w:rsidP="00C227BA">
      <w:pPr>
        <w:suppressAutoHyphens/>
        <w:spacing w:before="120" w:after="120"/>
      </w:pPr>
      <w:r w:rsidRPr="001A0CDA">
        <w:t xml:space="preserve">As a minimum the sub program/institution should be within a priority sector of the AIP; </w:t>
      </w:r>
      <w:r w:rsidR="008879E8" w:rsidRPr="001A0CDA">
        <w:t xml:space="preserve">and the institution </w:t>
      </w:r>
      <w:r w:rsidRPr="004E1408">
        <w:t xml:space="preserve">should be in a position to benefit from </w:t>
      </w:r>
      <w:r w:rsidR="008879E8" w:rsidRPr="004E1408">
        <w:t xml:space="preserve">a rolling package of support </w:t>
      </w:r>
      <w:r w:rsidRPr="007A6D7C">
        <w:t xml:space="preserve">within the available </w:t>
      </w:r>
      <w:r w:rsidR="008879E8" w:rsidRPr="00D9325F">
        <w:t>budget and timeframe</w:t>
      </w:r>
      <w:r w:rsidR="00EF4006">
        <w:t xml:space="preserve"> </w:t>
      </w:r>
      <w:r w:rsidR="006C3923">
        <w:t xml:space="preserve">to </w:t>
      </w:r>
      <w:r w:rsidR="00EF4006">
        <w:t>enhance</w:t>
      </w:r>
      <w:r w:rsidR="006C3923">
        <w:t xml:space="preserve"> HRD program outcomes.</w:t>
      </w:r>
    </w:p>
    <w:p w14:paraId="1028C084" w14:textId="0ADA1A69" w:rsidR="00534CE6" w:rsidRPr="00FA40AE" w:rsidRDefault="00534CE6" w:rsidP="00C227BA">
      <w:pPr>
        <w:suppressAutoHyphens/>
        <w:spacing w:before="120" w:after="120"/>
      </w:pPr>
      <w:r w:rsidRPr="00B379A4">
        <w:t>It should be an institution with a cohort of Australian alumni and capacity needs aligned</w:t>
      </w:r>
      <w:r w:rsidRPr="00602A77">
        <w:t xml:space="preserve"> with areas of Australian expertise that can add value and enable scholarships to be more effective within the </w:t>
      </w:r>
      <w:r w:rsidR="006F426F" w:rsidRPr="00FA40AE">
        <w:t>institution</w:t>
      </w:r>
      <w:r w:rsidRPr="00FA40AE">
        <w:t>.</w:t>
      </w:r>
    </w:p>
    <w:p w14:paraId="066E4C24" w14:textId="2EE8E397" w:rsidR="00534CE6" w:rsidRPr="00F4554A" w:rsidRDefault="00534CE6" w:rsidP="00C227BA">
      <w:pPr>
        <w:suppressAutoHyphens/>
        <w:spacing w:before="120" w:after="120"/>
      </w:pPr>
      <w:r w:rsidRPr="00FA40AE">
        <w:t>There should be demonstrated demand and a level of commitment and interest in accessing relevant Australian experience to improve ut</w:t>
      </w:r>
      <w:r w:rsidRPr="00F4554A">
        <w:t>ili</w:t>
      </w:r>
      <w:r w:rsidR="00274EF2">
        <w:t>s</w:t>
      </w:r>
      <w:r w:rsidRPr="00F4554A">
        <w:t xml:space="preserve">ation of skills and workplace productivity, with leadership willing to support the program. </w:t>
      </w:r>
    </w:p>
    <w:p w14:paraId="1DB4DF9C" w14:textId="0AB02276" w:rsidR="008A46C9" w:rsidRPr="00B5326E" w:rsidRDefault="00761B44" w:rsidP="00C227BA">
      <w:pPr>
        <w:suppressAutoHyphens/>
        <w:spacing w:before="120" w:after="120"/>
      </w:pPr>
      <w:r w:rsidRPr="00F4554A">
        <w:t>The p</w:t>
      </w:r>
      <w:r w:rsidR="003E2255" w:rsidRPr="00F4554A">
        <w:t xml:space="preserve">otential </w:t>
      </w:r>
      <w:r w:rsidRPr="00F4554A">
        <w:t xml:space="preserve">focus for </w:t>
      </w:r>
      <w:r w:rsidR="003E2255" w:rsidRPr="00F4554A">
        <w:t xml:space="preserve">sub program </w:t>
      </w:r>
      <w:r w:rsidRPr="00B31B3E">
        <w:t>development is</w:t>
      </w:r>
      <w:r w:rsidR="003E2255" w:rsidRPr="00274EF2">
        <w:t xml:space="preserve"> outlined below. </w:t>
      </w:r>
      <w:r w:rsidR="00844836" w:rsidRPr="00274EF2">
        <w:t>A</w:t>
      </w:r>
      <w:r w:rsidR="00534CE6" w:rsidRPr="00F233A7">
        <w:t xml:space="preserve"> detailed list of factors to be considered </w:t>
      </w:r>
      <w:r w:rsidR="003E2255" w:rsidRPr="004744D3">
        <w:t xml:space="preserve">in selection of institutions </w:t>
      </w:r>
      <w:r w:rsidR="00844836" w:rsidRPr="004744D3">
        <w:t>to participate in s</w:t>
      </w:r>
      <w:r w:rsidR="00844836" w:rsidRPr="00AF245E">
        <w:t xml:space="preserve">ub programs is </w:t>
      </w:r>
      <w:r w:rsidR="00534CE6" w:rsidRPr="00FE136A">
        <w:t xml:space="preserve">included in </w:t>
      </w:r>
      <w:r w:rsidR="007B66F2" w:rsidRPr="005C0E3B">
        <w:t xml:space="preserve">Annex </w:t>
      </w:r>
      <w:r w:rsidR="00F26D0E">
        <w:t>3</w:t>
      </w:r>
      <w:r w:rsidR="0076213D">
        <w:rPr>
          <w:rStyle w:val="FootnoteReference"/>
        </w:rPr>
        <w:footnoteReference w:id="26"/>
      </w:r>
      <w:r w:rsidR="005E573D" w:rsidRPr="00B5326E">
        <w:t>.</w:t>
      </w:r>
      <w:r w:rsidR="0015595A" w:rsidRPr="00B5326E">
        <w:t xml:space="preserve"> </w:t>
      </w:r>
      <w:r w:rsidR="008A46C9" w:rsidRPr="00FA40AE">
        <w:t xml:space="preserve">As appropriate, </w:t>
      </w:r>
      <w:r w:rsidR="008A46C9">
        <w:t xml:space="preserve">sub programs </w:t>
      </w:r>
      <w:r w:rsidR="008A46C9" w:rsidRPr="00F4554A">
        <w:t>could be commenced slowly, expand where results are being achieved, or be re-allocated as necessary.</w:t>
      </w:r>
      <w:r w:rsidR="008A46C9">
        <w:t xml:space="preserve"> </w:t>
      </w:r>
    </w:p>
    <w:p w14:paraId="2338179C" w14:textId="399C8F60" w:rsidR="00534CE6" w:rsidRPr="00F4554A" w:rsidRDefault="007865D2" w:rsidP="00C227BA">
      <w:pPr>
        <w:spacing w:before="120" w:after="120"/>
        <w:rPr>
          <w:b/>
          <w:i/>
          <w:color w:val="548DD4" w:themeColor="text2" w:themeTint="99"/>
        </w:rPr>
      </w:pPr>
      <w:r w:rsidRPr="00B5326E">
        <w:rPr>
          <w:b/>
          <w:i/>
          <w:color w:val="548DD4" w:themeColor="text2" w:themeTint="99"/>
        </w:rPr>
        <w:t>a)</w:t>
      </w:r>
      <w:r w:rsidRPr="00F4554A">
        <w:rPr>
          <w:b/>
          <w:i/>
          <w:color w:val="548DD4" w:themeColor="text2" w:themeTint="99"/>
        </w:rPr>
        <w:t xml:space="preserve"> </w:t>
      </w:r>
      <w:r w:rsidR="00534CE6" w:rsidRPr="00F4554A">
        <w:rPr>
          <w:b/>
          <w:i/>
          <w:color w:val="548DD4" w:themeColor="text2" w:themeTint="99"/>
        </w:rPr>
        <w:t>Provincial and Regional Universities</w:t>
      </w:r>
    </w:p>
    <w:p w14:paraId="39EE74B1" w14:textId="6E9CC026" w:rsidR="00534CE6" w:rsidRPr="00F4554A" w:rsidRDefault="00534CE6" w:rsidP="00C227BA">
      <w:pPr>
        <w:spacing w:before="120" w:after="120"/>
      </w:pPr>
      <w:r w:rsidRPr="00F4554A">
        <w:t xml:space="preserve">Higher education (at the ministry level through MOET) has received considerable donor assistance in the past. The alternative of focusing HR improvements or capacity building directly in selected universities, targeting administrators, lecturers, researchers, may offer potential to </w:t>
      </w:r>
      <w:r w:rsidR="009570B1" w:rsidRPr="00F4554A">
        <w:t xml:space="preserve">enhance program linkages and </w:t>
      </w:r>
      <w:r w:rsidRPr="00F4554A">
        <w:t xml:space="preserve">address a range of </w:t>
      </w:r>
      <w:r w:rsidR="009570B1" w:rsidRPr="00F4554A">
        <w:t xml:space="preserve">aid policy </w:t>
      </w:r>
      <w:r w:rsidRPr="00F4554A">
        <w:t>objectives, including equity, leadership and gender on a larger scale than is possible now through individual annual scholarship awards; and do so in a way that avoids sensitive ministry level institutional and policy issues.  Universities may also be more open to, and able to utili</w:t>
      </w:r>
      <w:r w:rsidR="004744D3">
        <w:t>s</w:t>
      </w:r>
      <w:r w:rsidRPr="00F4554A">
        <w:t>e, technical assistance or volunteers.</w:t>
      </w:r>
    </w:p>
    <w:p w14:paraId="0BFF8CE9" w14:textId="2A124E3A" w:rsidR="00534CE6" w:rsidRPr="00F4554A" w:rsidRDefault="00534CE6" w:rsidP="00C227BA">
      <w:pPr>
        <w:spacing w:before="120" w:after="120"/>
      </w:pPr>
      <w:r w:rsidRPr="00F4554A">
        <w:t>An integrated package of HRD support over a number of years could, for example, target agriculture and English language faculties, professional skills, research capacity, and international linkages. In this way there may be scope to link and support the AIP pillar expected to focus on sustainability, agriculture</w:t>
      </w:r>
      <w:r w:rsidR="00B64C03">
        <w:t xml:space="preserve">, </w:t>
      </w:r>
      <w:r w:rsidR="00B64C03" w:rsidRPr="00704161">
        <w:t>women’s livelihoods</w:t>
      </w:r>
      <w:r w:rsidRPr="00704161">
        <w:t xml:space="preserve"> and</w:t>
      </w:r>
      <w:r w:rsidRPr="00F4554A">
        <w:t xml:space="preserve"> community and social inclusion.</w:t>
      </w:r>
    </w:p>
    <w:p w14:paraId="65CD7B9E" w14:textId="7F68C129" w:rsidR="00534CE6" w:rsidRPr="00F4554A" w:rsidRDefault="00534CE6" w:rsidP="00C227BA">
      <w:pPr>
        <w:spacing w:before="120" w:after="120"/>
      </w:pPr>
      <w:r w:rsidRPr="00F4554A">
        <w:t>A number of universities across the country have strong historical links to Australia Awards</w:t>
      </w:r>
      <w:r w:rsidR="00276543" w:rsidRPr="00F4554A">
        <w:t xml:space="preserve"> Scholarships</w:t>
      </w:r>
      <w:r w:rsidRPr="00F4554A">
        <w:t>. Targeting more established, financially stable universities</w:t>
      </w:r>
      <w:r w:rsidR="009570B1" w:rsidRPr="00F4554A">
        <w:t>, for example</w:t>
      </w:r>
      <w:r w:rsidR="00761B44" w:rsidRPr="00F4554A">
        <w:t>, in Hue, Danang or</w:t>
      </w:r>
      <w:r w:rsidR="009570B1" w:rsidRPr="00F4554A">
        <w:t xml:space="preserve"> in the Mekong Delta,</w:t>
      </w:r>
      <w:r w:rsidRPr="00F4554A">
        <w:t xml:space="preserve"> may provide more immediate benefits. However, a point of difference might be to target universities that also include a focus on disadvantage – with a substantial number of students from rural and ethnic minorities in priority </w:t>
      </w:r>
      <w:r w:rsidR="009570B1" w:rsidRPr="00F4554A">
        <w:t xml:space="preserve">geographic </w:t>
      </w:r>
      <w:r w:rsidRPr="00F4554A">
        <w:t xml:space="preserve">regions </w:t>
      </w:r>
      <w:r w:rsidR="009570B1" w:rsidRPr="00F4554A">
        <w:t>(e</w:t>
      </w:r>
      <w:r w:rsidR="00206E28" w:rsidRPr="00F4554A">
        <w:t>.</w:t>
      </w:r>
      <w:r w:rsidR="009570B1" w:rsidRPr="00F4554A">
        <w:t>g</w:t>
      </w:r>
      <w:r w:rsidR="00206E28" w:rsidRPr="00F4554A">
        <w:t>.</w:t>
      </w:r>
      <w:r w:rsidR="009570B1" w:rsidRPr="00F4554A">
        <w:t xml:space="preserve"> northwest) </w:t>
      </w:r>
      <w:r w:rsidRPr="00F4554A">
        <w:t xml:space="preserve">under the new AIP. </w:t>
      </w:r>
    </w:p>
    <w:p w14:paraId="170C465A" w14:textId="1839D595" w:rsidR="00534CE6" w:rsidRPr="00F4554A" w:rsidRDefault="00625B56" w:rsidP="00C227BA">
      <w:pPr>
        <w:spacing w:before="120" w:after="120"/>
        <w:rPr>
          <w:color w:val="548DD4" w:themeColor="text2" w:themeTint="99"/>
        </w:rPr>
      </w:pPr>
      <w:r>
        <w:rPr>
          <w:b/>
          <w:i/>
          <w:color w:val="548DD4" w:themeColor="text2" w:themeTint="99"/>
        </w:rPr>
        <w:t>b</w:t>
      </w:r>
      <w:r w:rsidR="007865D2" w:rsidRPr="00F4554A">
        <w:rPr>
          <w:b/>
          <w:i/>
          <w:color w:val="548DD4" w:themeColor="text2" w:themeTint="99"/>
        </w:rPr>
        <w:t xml:space="preserve">) </w:t>
      </w:r>
      <w:r w:rsidR="00534CE6" w:rsidRPr="00F4554A">
        <w:rPr>
          <w:b/>
          <w:i/>
          <w:color w:val="548DD4" w:themeColor="text2" w:themeTint="99"/>
        </w:rPr>
        <w:t>Technical vocational education and training (TVET)</w:t>
      </w:r>
    </w:p>
    <w:p w14:paraId="09B17CA4" w14:textId="72F94BAF" w:rsidR="00142343" w:rsidRPr="003B74ED" w:rsidRDefault="00534CE6" w:rsidP="00C227BA">
      <w:pPr>
        <w:spacing w:before="120" w:after="120"/>
      </w:pPr>
      <w:r w:rsidRPr="008269CE">
        <w:t xml:space="preserve">Despite efforts by the Government of Vietnam, the TVET system remains complex, with multiple stakeholders, inefficiencies and duplication of effort and resources. </w:t>
      </w:r>
      <w:r w:rsidR="00977270" w:rsidRPr="008269CE">
        <w:t>There is a lack of effective collaboration between industry, government and training institutions.</w:t>
      </w:r>
    </w:p>
    <w:p w14:paraId="1F15C92E" w14:textId="30753295" w:rsidR="008269CE" w:rsidRDefault="00534CE6" w:rsidP="00C227BA">
      <w:pPr>
        <w:spacing w:before="120" w:after="120"/>
      </w:pPr>
      <w:r w:rsidRPr="00F4554A">
        <w:t xml:space="preserve">MoLISA has indicated interest in Australian expertise. Independently, </w:t>
      </w:r>
      <w:r w:rsidR="004A59D6">
        <w:t>MoLISA</w:t>
      </w:r>
      <w:r w:rsidRPr="00F4554A">
        <w:t xml:space="preserve"> funded almost 200 trainers from 45 training institutes (designated ‘centres of excellence’) to upgrade skills and obtain formal qualifications in Australia. Separately DFAT has </w:t>
      </w:r>
      <w:r w:rsidR="003E2522">
        <w:t>co-</w:t>
      </w:r>
      <w:r w:rsidRPr="00F4554A">
        <w:t>funded Rectors from these same centres to upgrade management skills. There may be scope to build on this involvement</w:t>
      </w:r>
      <w:r w:rsidR="00142343" w:rsidRPr="00F4554A">
        <w:t xml:space="preserve"> and further encourage institutional linkages.</w:t>
      </w:r>
      <w:r w:rsidR="00A33892" w:rsidRPr="00F4554A">
        <w:t xml:space="preserve"> </w:t>
      </w:r>
    </w:p>
    <w:p w14:paraId="0DCB4687" w14:textId="4D0C5D3B" w:rsidR="00B37E9B" w:rsidRPr="00F4554A" w:rsidRDefault="00780485" w:rsidP="00C227BA">
      <w:pPr>
        <w:spacing w:before="120" w:after="120"/>
      </w:pPr>
      <w:r w:rsidRPr="001B3B67">
        <w:t>HRD support for TVET could involve a range of delivery modalities, including Diplomas and/or Certificate IV awards in Workplace Training and Assessment, technical advice in areas of Australian expertise or short-term training, particularly for technical college managers and administrators</w:t>
      </w:r>
      <w:r w:rsidRPr="00704161">
        <w:t>.</w:t>
      </w:r>
      <w:r w:rsidR="00B37E9B" w:rsidRPr="00704161">
        <w:t xml:space="preserve"> </w:t>
      </w:r>
      <w:r w:rsidR="00B64C03" w:rsidRPr="00704161">
        <w:t>Attention will be given to TVET offerings that cater to both men and women’s interests.</w:t>
      </w:r>
    </w:p>
    <w:p w14:paraId="5DD9FBB1" w14:textId="77777777" w:rsidR="00B37E9B" w:rsidRPr="00F4554A" w:rsidRDefault="00B37E9B" w:rsidP="00C227BA">
      <w:pPr>
        <w:spacing w:before="120" w:after="120"/>
      </w:pPr>
    </w:p>
    <w:p w14:paraId="30D1D9AB" w14:textId="3F51C2E0" w:rsidR="00B37E9B" w:rsidRPr="003B74ED" w:rsidRDefault="00B37E9B" w:rsidP="00C227BA">
      <w:pPr>
        <w:spacing w:before="120" w:after="120"/>
        <w:rPr>
          <w:rFonts w:cs="Calibri"/>
          <w:color w:val="000000"/>
        </w:rPr>
      </w:pPr>
      <w:r w:rsidRPr="00F4554A">
        <w:t xml:space="preserve">The most common </w:t>
      </w:r>
      <w:r w:rsidR="00F754E4">
        <w:t>issue confronting</w:t>
      </w:r>
      <w:r w:rsidRPr="00F4554A">
        <w:t xml:space="preserve"> TVET institutions and employers involves the quality of trainers, both in terms of up to date industry knowledge and pedagogical skills. </w:t>
      </w:r>
      <w:r w:rsidRPr="00F4554A">
        <w:rPr>
          <w:color w:val="000000"/>
        </w:rPr>
        <w:t>It is envisaged that Diploma training, if identified, would be delivered by an Australian RTO</w:t>
      </w:r>
      <w:r w:rsidRPr="00F4554A">
        <w:rPr>
          <w:rStyle w:val="FootnoteReference"/>
          <w:color w:val="000000"/>
        </w:rPr>
        <w:footnoteReference w:id="27"/>
      </w:r>
      <w:r w:rsidRPr="00F4554A">
        <w:rPr>
          <w:color w:val="000000"/>
        </w:rPr>
        <w:t xml:space="preserve"> in-Vietnam with commensurate cost savings</w:t>
      </w:r>
      <w:r w:rsidRPr="00B5326E">
        <w:rPr>
          <w:rStyle w:val="FootnoteReference"/>
          <w:rFonts w:cs="Calibri"/>
          <w:color w:val="000000"/>
        </w:rPr>
        <w:footnoteReference w:id="28"/>
      </w:r>
      <w:r w:rsidRPr="00B5326E">
        <w:rPr>
          <w:rFonts w:cs="Calibri"/>
          <w:color w:val="000000"/>
        </w:rPr>
        <w:t>.</w:t>
      </w:r>
    </w:p>
    <w:p w14:paraId="64B79618" w14:textId="1C3CDC9C" w:rsidR="00457551" w:rsidRPr="004E1408" w:rsidRDefault="00F13C83" w:rsidP="00C227BA">
      <w:pPr>
        <w:spacing w:before="120" w:after="120"/>
      </w:pPr>
      <w:r w:rsidRPr="007A6D7C">
        <w:t xml:space="preserve">In building upon Australia’s involvement in the TVET sector to date, there are other development partners </w:t>
      </w:r>
      <w:r w:rsidR="00142343" w:rsidRPr="00D9325F">
        <w:t>(notably Germany)</w:t>
      </w:r>
      <w:r w:rsidR="00A33892" w:rsidRPr="00E27B90">
        <w:t xml:space="preserve"> </w:t>
      </w:r>
      <w:r w:rsidRPr="00B379A4">
        <w:t xml:space="preserve">delivering HRD support in areas </w:t>
      </w:r>
      <w:r w:rsidR="00223FC9" w:rsidRPr="00602A77">
        <w:t xml:space="preserve">(‘centres of excellence’) </w:t>
      </w:r>
      <w:r w:rsidRPr="00FA40AE">
        <w:t xml:space="preserve">that align well with Australia’s national interest </w:t>
      </w:r>
      <w:r w:rsidR="00223FC9" w:rsidRPr="00FA40AE">
        <w:t xml:space="preserve">and </w:t>
      </w:r>
      <w:r w:rsidRPr="00F4554A">
        <w:t xml:space="preserve">where </w:t>
      </w:r>
      <w:r w:rsidR="00223FC9" w:rsidRPr="00F4554A">
        <w:t xml:space="preserve">there is interest in </w:t>
      </w:r>
      <w:r w:rsidRPr="00F4554A">
        <w:t xml:space="preserve">working cooperatively </w:t>
      </w:r>
      <w:r w:rsidR="00223FC9" w:rsidRPr="00F4554A">
        <w:t xml:space="preserve">to </w:t>
      </w:r>
      <w:r w:rsidRPr="00F4554A">
        <w:t xml:space="preserve">deliver economies of scale and avoid duplication of effort. </w:t>
      </w:r>
    </w:p>
    <w:p w14:paraId="0511A349" w14:textId="0CC259E0" w:rsidR="00EB14E7" w:rsidRDefault="00527204" w:rsidP="00C227BA">
      <w:pPr>
        <w:spacing w:before="120" w:after="120"/>
      </w:pPr>
      <w:r w:rsidRPr="00274EF2">
        <w:t xml:space="preserve">Within </w:t>
      </w:r>
      <w:r w:rsidR="00142343" w:rsidRPr="00274EF2">
        <w:t xml:space="preserve">the available budget and timeframe, </w:t>
      </w:r>
      <w:r w:rsidRPr="00F233A7">
        <w:t>the Contr</w:t>
      </w:r>
      <w:r w:rsidRPr="004744D3">
        <w:t xml:space="preserve">actor </w:t>
      </w:r>
      <w:r w:rsidR="006B3D94">
        <w:t xml:space="preserve">will be </w:t>
      </w:r>
      <w:r w:rsidRPr="004744D3">
        <w:t xml:space="preserve">required </w:t>
      </w:r>
      <w:r w:rsidR="00142343" w:rsidRPr="004744D3">
        <w:t xml:space="preserve">to </w:t>
      </w:r>
      <w:r w:rsidR="006B3D94">
        <w:t>explore potential</w:t>
      </w:r>
      <w:r w:rsidR="006B3D94" w:rsidRPr="004744D3">
        <w:t xml:space="preserve"> </w:t>
      </w:r>
      <w:r w:rsidR="00142343" w:rsidRPr="004744D3">
        <w:t xml:space="preserve">niche areas </w:t>
      </w:r>
      <w:r w:rsidR="001714FB" w:rsidRPr="00AF245E">
        <w:t xml:space="preserve">of demand </w:t>
      </w:r>
      <w:r w:rsidR="00142343" w:rsidRPr="00FE136A">
        <w:t xml:space="preserve">where </w:t>
      </w:r>
      <w:r w:rsidR="00A33892" w:rsidRPr="005C0E3B">
        <w:t xml:space="preserve">initial small-scale </w:t>
      </w:r>
      <w:r w:rsidR="00142343" w:rsidRPr="00FA5F0F">
        <w:t>assistance could be directed</w:t>
      </w:r>
      <w:r w:rsidR="001714FB" w:rsidRPr="00B5326E">
        <w:t xml:space="preserve">. </w:t>
      </w:r>
      <w:r w:rsidR="001714FB" w:rsidRPr="00F4554A">
        <w:t>Water supply is a potential sector option and one where there is known Australian interest and expertise.</w:t>
      </w:r>
      <w:r w:rsidR="001714FB" w:rsidRPr="00B5326E">
        <w:t xml:space="preserve">  </w:t>
      </w:r>
    </w:p>
    <w:p w14:paraId="6EC76B13" w14:textId="77777777" w:rsidR="00EA774F" w:rsidRDefault="006D0A4C" w:rsidP="00C227BA">
      <w:pPr>
        <w:spacing w:before="120" w:after="120"/>
      </w:pPr>
      <w:r w:rsidRPr="00314297">
        <w:t>A feasibility study</w:t>
      </w:r>
      <w:r w:rsidRPr="00B5326E">
        <w:rPr>
          <w:rStyle w:val="FootnoteReference"/>
        </w:rPr>
        <w:footnoteReference w:id="29"/>
      </w:r>
      <w:r w:rsidRPr="00B5326E">
        <w:t xml:space="preserve"> conducted</w:t>
      </w:r>
      <w:r w:rsidRPr="003B74ED">
        <w:t xml:space="preserve"> in late 2014</w:t>
      </w:r>
      <w:r w:rsidRPr="00EA76FF">
        <w:t xml:space="preserve"> </w:t>
      </w:r>
      <w:r w:rsidRPr="00314297">
        <w:t>recommended</w:t>
      </w:r>
      <w:r w:rsidR="00832E09">
        <w:t>,</w:t>
      </w:r>
      <w:r w:rsidRPr="00314297">
        <w:t xml:space="preserve"> </w:t>
      </w:r>
      <w:r w:rsidR="00832E09">
        <w:t xml:space="preserve">as </w:t>
      </w:r>
      <w:r w:rsidRPr="00B42B3E">
        <w:t>a</w:t>
      </w:r>
      <w:r w:rsidR="00832E09" w:rsidRPr="001A0CDA">
        <w:t xml:space="preserve"> potential initial entry point</w:t>
      </w:r>
      <w:r w:rsidR="00832E09">
        <w:t>,</w:t>
      </w:r>
      <w:r w:rsidR="00832E09" w:rsidRPr="00B42B3E">
        <w:t xml:space="preserve"> </w:t>
      </w:r>
      <w:r w:rsidRPr="00B42B3E">
        <w:t xml:space="preserve">technical assistance </w:t>
      </w:r>
      <w:r w:rsidR="0092599D" w:rsidRPr="008C2305">
        <w:t xml:space="preserve">to support </w:t>
      </w:r>
      <w:r w:rsidRPr="008C2305">
        <w:t>establishment of Sector Skills Councils</w:t>
      </w:r>
      <w:r w:rsidR="00832E09">
        <w:t xml:space="preserve"> </w:t>
      </w:r>
      <w:r w:rsidR="00372E21" w:rsidRPr="00314297">
        <w:t>in priority AIP sectors</w:t>
      </w:r>
      <w:r w:rsidR="00372E21" w:rsidRPr="00B42B3E">
        <w:t xml:space="preserve"> to examine skills gaps, curricula, incentives, and skills training mechanisms</w:t>
      </w:r>
      <w:r w:rsidR="00372E21">
        <w:t>;</w:t>
      </w:r>
      <w:r w:rsidR="00372E21" w:rsidRPr="001A0CDA">
        <w:t xml:space="preserve"> </w:t>
      </w:r>
      <w:r w:rsidR="0092599D" w:rsidRPr="001A0CDA">
        <w:t xml:space="preserve">together with in-country </w:t>
      </w:r>
      <w:r w:rsidR="00552610">
        <w:t xml:space="preserve">teacher training in </w:t>
      </w:r>
      <w:r w:rsidR="0092599D" w:rsidRPr="001A0CDA">
        <w:t>Certificate IV Workplace Training and Assessment</w:t>
      </w:r>
      <w:r w:rsidR="00832E09">
        <w:t>.</w:t>
      </w:r>
      <w:r w:rsidR="00552610">
        <w:t xml:space="preserve"> </w:t>
      </w:r>
      <w:r w:rsidRPr="004E1408">
        <w:t xml:space="preserve">This could be linked to </w:t>
      </w:r>
      <w:r w:rsidR="00552610" w:rsidRPr="00372E21">
        <w:t>strengthening leadership and management capacity</w:t>
      </w:r>
      <w:r w:rsidR="00552610">
        <w:t xml:space="preserve"> in</w:t>
      </w:r>
      <w:r w:rsidR="00552610" w:rsidRPr="004E1408">
        <w:t xml:space="preserve"> </w:t>
      </w:r>
      <w:r w:rsidRPr="004E1408">
        <w:t>‘centre</w:t>
      </w:r>
      <w:r w:rsidRPr="00F4554A">
        <w:t>s</w:t>
      </w:r>
      <w:r w:rsidRPr="00B5326E">
        <w:t xml:space="preserve"> of </w:t>
      </w:r>
      <w:r w:rsidRPr="003B74ED">
        <w:t>excellence’ colleges</w:t>
      </w:r>
      <w:r w:rsidR="00552610">
        <w:t>,</w:t>
      </w:r>
      <w:r w:rsidRPr="003B74ED">
        <w:t xml:space="preserve"> many of which already </w:t>
      </w:r>
      <w:r w:rsidR="00552610">
        <w:t xml:space="preserve">have </w:t>
      </w:r>
      <w:r w:rsidRPr="003B74ED">
        <w:t xml:space="preserve">established links with a number of Australian TAFE institutes. </w:t>
      </w:r>
    </w:p>
    <w:p w14:paraId="5D20D87B" w14:textId="7D914260" w:rsidR="00F9775B" w:rsidRDefault="00F754E4" w:rsidP="00C227BA">
      <w:pPr>
        <w:spacing w:before="120" w:after="120"/>
      </w:pPr>
      <w:r>
        <w:t>Support for reform</w:t>
      </w:r>
      <w:r w:rsidR="00B64C03">
        <w:t>,</w:t>
      </w:r>
      <w:r>
        <w:t xml:space="preserve"> </w:t>
      </w:r>
      <w:r w:rsidRPr="00704161">
        <w:t xml:space="preserve">strengthening </w:t>
      </w:r>
      <w:r w:rsidR="00B64C03" w:rsidRPr="00704161">
        <w:t xml:space="preserve">and inclusiveness </w:t>
      </w:r>
      <w:r w:rsidRPr="00704161">
        <w:t xml:space="preserve">of the TVET sector </w:t>
      </w:r>
      <w:r w:rsidR="001F307C" w:rsidRPr="00704161">
        <w:t>offers the most direct contribution the program could make in relation to private sector development</w:t>
      </w:r>
      <w:r w:rsidR="002F7A6D" w:rsidRPr="00704161">
        <w:rPr>
          <w:rStyle w:val="FootnoteReference"/>
        </w:rPr>
        <w:footnoteReference w:id="30"/>
      </w:r>
      <w:r w:rsidR="001F307C" w:rsidRPr="00704161">
        <w:t xml:space="preserve">. </w:t>
      </w:r>
      <w:r w:rsidR="00F9775B" w:rsidRPr="00704161">
        <w:t>Strengthening linkages between government, industry and training colleges to create a</w:t>
      </w:r>
      <w:r w:rsidR="002922FE" w:rsidRPr="00704161">
        <w:t xml:space="preserve"> trained workforce </w:t>
      </w:r>
      <w:r w:rsidR="00B64C03" w:rsidRPr="00704161">
        <w:t xml:space="preserve">of men and women </w:t>
      </w:r>
      <w:r w:rsidR="002922FE" w:rsidRPr="00704161">
        <w:t>with</w:t>
      </w:r>
      <w:r w:rsidR="002922FE">
        <w:t xml:space="preserve"> relevant skills</w:t>
      </w:r>
      <w:r w:rsidR="00F9775B">
        <w:t>,</w:t>
      </w:r>
      <w:r w:rsidR="002922FE">
        <w:t xml:space="preserve"> is essential for</w:t>
      </w:r>
      <w:r w:rsidR="002922FE" w:rsidRPr="003B74ED">
        <w:rPr>
          <w:color w:val="262626"/>
        </w:rPr>
        <w:t xml:space="preserve"> modern industry and innovation</w:t>
      </w:r>
      <w:r w:rsidR="00F9775B">
        <w:rPr>
          <w:color w:val="262626"/>
        </w:rPr>
        <w:t>,</w:t>
      </w:r>
      <w:r w:rsidR="002922FE">
        <w:t xml:space="preserve"> </w:t>
      </w:r>
      <w:r w:rsidR="00F9775B">
        <w:t xml:space="preserve">and </w:t>
      </w:r>
      <w:r w:rsidR="002922FE">
        <w:t xml:space="preserve">to </w:t>
      </w:r>
      <w:r w:rsidR="00F9775B">
        <w:t>achieve</w:t>
      </w:r>
      <w:r w:rsidR="002922FE">
        <w:t xml:space="preserve"> Vietnam</w:t>
      </w:r>
      <w:r w:rsidR="00F9775B">
        <w:t>’s</w:t>
      </w:r>
      <w:r w:rsidR="002922FE">
        <w:t xml:space="preserve"> growth objectives</w:t>
      </w:r>
      <w:r w:rsidR="00F9775B">
        <w:t xml:space="preserve">. </w:t>
      </w:r>
    </w:p>
    <w:p w14:paraId="43792CBA" w14:textId="060C4426" w:rsidR="001F307C" w:rsidRDefault="00F43E3B" w:rsidP="00C227BA">
      <w:pPr>
        <w:spacing w:before="120" w:after="120"/>
      </w:pPr>
      <w:r>
        <w:t>Investment in this sector</w:t>
      </w:r>
      <w:r w:rsidR="001F307C">
        <w:t xml:space="preserve"> would also provide scope for </w:t>
      </w:r>
      <w:r w:rsidR="006C1D33">
        <w:t xml:space="preserve">increased </w:t>
      </w:r>
      <w:r w:rsidR="001F307C">
        <w:t>DFAT engagement with business and business se</w:t>
      </w:r>
      <w:r w:rsidR="006C1D33">
        <w:t xml:space="preserve">ctor organisations to provide </w:t>
      </w:r>
      <w:r w:rsidR="001F307C">
        <w:t xml:space="preserve">greater understanding of </w:t>
      </w:r>
      <w:r w:rsidR="006C1D33">
        <w:t xml:space="preserve">further </w:t>
      </w:r>
      <w:r w:rsidR="001F307C">
        <w:t>development opportunities for supporting private sector led economic growth.</w:t>
      </w:r>
    </w:p>
    <w:p w14:paraId="0C8E249B" w14:textId="1E811248" w:rsidR="00B41075" w:rsidRDefault="004602A9" w:rsidP="00C227BA">
      <w:pPr>
        <w:spacing w:before="120" w:after="120"/>
      </w:pPr>
      <w:r>
        <w:t>F</w:t>
      </w:r>
      <w:r w:rsidR="0092599D" w:rsidRPr="00F4554A">
        <w:t>urther investigation by DFAT Hanoi/Contractor is required to determine colleges/industry willing to participate within priority AIP sectors; the exact form of assistance; and scope for donor collaboration.</w:t>
      </w:r>
      <w:r w:rsidR="0092599D" w:rsidRPr="00B5326E">
        <w:t xml:space="preserve"> </w:t>
      </w:r>
    </w:p>
    <w:p w14:paraId="52826CDD" w14:textId="70972A3B" w:rsidR="004F14F3" w:rsidRDefault="004F14F3">
      <w:r>
        <w:br w:type="page"/>
      </w:r>
    </w:p>
    <w:p w14:paraId="7057ADE0" w14:textId="77777777" w:rsidR="00534CE6" w:rsidRPr="00314297" w:rsidRDefault="00534CE6" w:rsidP="00C227BA">
      <w:pPr>
        <w:pStyle w:val="Heading2"/>
        <w:spacing w:before="120"/>
        <w:rPr>
          <w:rFonts w:asciiTheme="minorHAnsi" w:hAnsiTheme="minorHAnsi"/>
          <w:i w:val="0"/>
          <w:color w:val="548DD4" w:themeColor="text2" w:themeTint="99"/>
        </w:rPr>
      </w:pPr>
      <w:r w:rsidRPr="00EA76FF">
        <w:rPr>
          <w:rFonts w:asciiTheme="minorHAnsi" w:hAnsiTheme="minorHAnsi"/>
          <w:i w:val="0"/>
          <w:color w:val="548DD4" w:themeColor="text2" w:themeTint="99"/>
        </w:rPr>
        <w:t>Delivery Modalities</w:t>
      </w:r>
    </w:p>
    <w:p w14:paraId="5974C7F3" w14:textId="3DB4B7D7" w:rsidR="00D05912" w:rsidRPr="00D9325F" w:rsidRDefault="00D05912" w:rsidP="00C227BA">
      <w:pPr>
        <w:autoSpaceDE w:val="0"/>
        <w:autoSpaceDN w:val="0"/>
        <w:adjustRightInd w:val="0"/>
        <w:spacing w:before="120" w:after="120"/>
      </w:pPr>
      <w:r w:rsidRPr="00B42B3E">
        <w:t>Australia Awards Scholarships</w:t>
      </w:r>
      <w:r w:rsidRPr="008C2305">
        <w:t xml:space="preserve"> provided under the </w:t>
      </w:r>
      <w:r w:rsidR="00AC62AA">
        <w:t>Program</w:t>
      </w:r>
      <w:r w:rsidRPr="001A0CDA">
        <w:t xml:space="preserve"> are estimated to account for </w:t>
      </w:r>
      <w:r w:rsidR="004602A9">
        <w:t xml:space="preserve">around </w:t>
      </w:r>
      <w:r w:rsidRPr="001A0CDA">
        <w:t>80</w:t>
      </w:r>
      <w:r w:rsidR="004602A9">
        <w:t xml:space="preserve"> per cent</w:t>
      </w:r>
      <w:r w:rsidRPr="001A0CDA">
        <w:t xml:space="preserve"> of the five-</w:t>
      </w:r>
      <w:r w:rsidRPr="004E1408">
        <w:t>year budget; the remaining 20</w:t>
      </w:r>
      <w:r w:rsidR="004602A9">
        <w:t xml:space="preserve"> per cent</w:t>
      </w:r>
      <w:r w:rsidRPr="004E1408">
        <w:t xml:space="preserve"> </w:t>
      </w:r>
      <w:r w:rsidR="00B27D6B" w:rsidRPr="004E1408">
        <w:t>is available to fund other HRD mo</w:t>
      </w:r>
      <w:r w:rsidR="00B27D6B" w:rsidRPr="007A6D7C">
        <w:t>dalities either through structured sub programs or ad hoc responsive support for priority sector activities.</w:t>
      </w:r>
    </w:p>
    <w:p w14:paraId="6440D10F" w14:textId="1F7C62E3" w:rsidR="00534CE6" w:rsidRPr="00F4554A" w:rsidRDefault="00B27D6B" w:rsidP="00C227BA">
      <w:pPr>
        <w:autoSpaceDE w:val="0"/>
        <w:autoSpaceDN w:val="0"/>
        <w:adjustRightInd w:val="0"/>
        <w:spacing w:before="120" w:after="120"/>
      </w:pPr>
      <w:r w:rsidRPr="00E27B90">
        <w:t>The</w:t>
      </w:r>
      <w:r w:rsidR="00534CE6" w:rsidRPr="00B379A4">
        <w:t xml:space="preserve"> ‘toolbox’ of flexible </w:t>
      </w:r>
      <w:r w:rsidR="00C94C2A" w:rsidRPr="00B379A4">
        <w:t xml:space="preserve">HRD </w:t>
      </w:r>
      <w:r w:rsidR="00534CE6" w:rsidRPr="00602A77">
        <w:t>delivery modalities</w:t>
      </w:r>
      <w:r w:rsidR="00C94C2A" w:rsidRPr="00FA40AE">
        <w:t xml:space="preserve"> available</w:t>
      </w:r>
      <w:r w:rsidRPr="00FA40AE">
        <w:t>, aside from AAS, includes the following options</w:t>
      </w:r>
      <w:r w:rsidR="00534CE6" w:rsidRPr="00F4554A">
        <w:t xml:space="preserve">: </w:t>
      </w:r>
    </w:p>
    <w:p w14:paraId="2805905B" w14:textId="0D5B4143" w:rsidR="003F3C16" w:rsidRPr="00F4554A" w:rsidRDefault="00A8404E" w:rsidP="00C227BA">
      <w:pPr>
        <w:pStyle w:val="ListParagraph"/>
        <w:numPr>
          <w:ilvl w:val="0"/>
          <w:numId w:val="9"/>
        </w:numPr>
        <w:autoSpaceDE w:val="0"/>
        <w:autoSpaceDN w:val="0"/>
        <w:adjustRightInd w:val="0"/>
        <w:spacing w:line="240" w:lineRule="auto"/>
        <w:contextualSpacing w:val="0"/>
        <w:rPr>
          <w:rFonts w:asciiTheme="minorHAnsi" w:hAnsiTheme="minorHAnsi"/>
          <w:sz w:val="24"/>
          <w:szCs w:val="24"/>
          <w:lang w:val="en-AU"/>
        </w:rPr>
      </w:pPr>
      <w:r w:rsidRPr="00F4554A">
        <w:rPr>
          <w:rFonts w:asciiTheme="minorHAnsi" w:hAnsiTheme="minorHAnsi"/>
          <w:sz w:val="24"/>
          <w:szCs w:val="24"/>
          <w:lang w:val="en-AU"/>
        </w:rPr>
        <w:t xml:space="preserve">formal and/or ad hoc </w:t>
      </w:r>
      <w:r w:rsidR="003F3C16" w:rsidRPr="00F4554A">
        <w:rPr>
          <w:rFonts w:asciiTheme="minorHAnsi" w:hAnsiTheme="minorHAnsi"/>
          <w:sz w:val="24"/>
          <w:szCs w:val="24"/>
          <w:lang w:val="en-AU"/>
        </w:rPr>
        <w:t>short-term training (</w:t>
      </w:r>
      <w:r w:rsidR="00155EDC" w:rsidRPr="00F4554A">
        <w:rPr>
          <w:rFonts w:asciiTheme="minorHAnsi" w:hAnsiTheme="minorHAnsi"/>
          <w:sz w:val="24"/>
          <w:szCs w:val="24"/>
          <w:lang w:val="en-AU"/>
        </w:rPr>
        <w:t xml:space="preserve">delivered </w:t>
      </w:r>
      <w:r w:rsidR="003F3C16" w:rsidRPr="00F4554A">
        <w:rPr>
          <w:rFonts w:asciiTheme="minorHAnsi" w:hAnsiTheme="minorHAnsi"/>
          <w:sz w:val="24"/>
          <w:szCs w:val="24"/>
          <w:lang w:val="en-AU"/>
        </w:rPr>
        <w:t>in Vietnam and/or Australia)</w:t>
      </w:r>
      <w:r w:rsidR="00155EDC" w:rsidRPr="00F4554A">
        <w:rPr>
          <w:rFonts w:asciiTheme="minorHAnsi" w:hAnsiTheme="minorHAnsi"/>
          <w:sz w:val="24"/>
          <w:szCs w:val="24"/>
          <w:lang w:val="en-AU"/>
        </w:rPr>
        <w:t xml:space="preserve">, </w:t>
      </w:r>
      <w:r w:rsidR="003F3C16" w:rsidRPr="00F4554A">
        <w:rPr>
          <w:rFonts w:asciiTheme="minorHAnsi" w:hAnsiTheme="minorHAnsi"/>
          <w:sz w:val="24"/>
          <w:szCs w:val="24"/>
          <w:lang w:val="en-AU"/>
        </w:rPr>
        <w:t>including blended training models</w:t>
      </w:r>
      <w:r w:rsidR="00155EDC" w:rsidRPr="00F4554A">
        <w:rPr>
          <w:rFonts w:asciiTheme="minorHAnsi" w:hAnsiTheme="minorHAnsi"/>
          <w:sz w:val="24"/>
          <w:szCs w:val="24"/>
          <w:lang w:val="en-AU"/>
        </w:rPr>
        <w:t xml:space="preserve"> to develop generic, technical and ‘soft’ skills;</w:t>
      </w:r>
    </w:p>
    <w:p w14:paraId="787FBA63" w14:textId="72E257BC" w:rsidR="003F3C16" w:rsidRPr="00F4554A" w:rsidRDefault="003F3C16" w:rsidP="00C227BA">
      <w:pPr>
        <w:pStyle w:val="ListParagraph"/>
        <w:numPr>
          <w:ilvl w:val="0"/>
          <w:numId w:val="9"/>
        </w:numPr>
        <w:autoSpaceDE w:val="0"/>
        <w:autoSpaceDN w:val="0"/>
        <w:adjustRightInd w:val="0"/>
        <w:spacing w:line="240" w:lineRule="auto"/>
        <w:contextualSpacing w:val="0"/>
        <w:rPr>
          <w:rFonts w:asciiTheme="minorHAnsi" w:hAnsiTheme="minorHAnsi"/>
          <w:sz w:val="24"/>
          <w:szCs w:val="24"/>
          <w:lang w:val="en-AU"/>
        </w:rPr>
      </w:pPr>
      <w:r w:rsidRPr="00F4554A">
        <w:rPr>
          <w:rFonts w:asciiTheme="minorHAnsi" w:hAnsiTheme="minorHAnsi"/>
          <w:sz w:val="24"/>
          <w:szCs w:val="24"/>
          <w:lang w:val="en-AU"/>
        </w:rPr>
        <w:t>split-site or in-Vietnam formal training</w:t>
      </w:r>
      <w:r w:rsidR="00403D06" w:rsidRPr="00F4554A">
        <w:rPr>
          <w:rFonts w:asciiTheme="minorHAnsi" w:hAnsiTheme="minorHAnsi"/>
          <w:sz w:val="24"/>
          <w:szCs w:val="24"/>
          <w:lang w:val="en-AU"/>
        </w:rPr>
        <w:t xml:space="preserve">, where functional joint degree delivery programs involving an Australian and Vietnamese university </w:t>
      </w:r>
      <w:r w:rsidR="00403D06" w:rsidRPr="00F4554A">
        <w:rPr>
          <w:rFonts w:asciiTheme="minorHAnsi" w:hAnsiTheme="minorHAnsi"/>
          <w:i/>
          <w:sz w:val="24"/>
          <w:szCs w:val="24"/>
          <w:lang w:val="en-AU"/>
        </w:rPr>
        <w:t>already exist and have operated successfully in the past</w:t>
      </w:r>
      <w:r w:rsidR="00403D06" w:rsidRPr="00F4554A">
        <w:rPr>
          <w:rStyle w:val="FootnoteReference"/>
          <w:rFonts w:asciiTheme="minorHAnsi" w:hAnsiTheme="minorHAnsi"/>
          <w:i/>
          <w:sz w:val="24"/>
          <w:szCs w:val="24"/>
          <w:lang w:val="en-AU"/>
        </w:rPr>
        <w:footnoteReference w:id="31"/>
      </w:r>
      <w:r w:rsidR="00403D06" w:rsidRPr="00F4554A">
        <w:rPr>
          <w:rFonts w:asciiTheme="minorHAnsi" w:hAnsiTheme="minorHAnsi"/>
          <w:sz w:val="24"/>
          <w:szCs w:val="24"/>
          <w:lang w:val="en-AU"/>
        </w:rPr>
        <w:t>;</w:t>
      </w:r>
    </w:p>
    <w:p w14:paraId="571E652B" w14:textId="67AEBF9C" w:rsidR="003F3C16" w:rsidRPr="00F4554A" w:rsidRDefault="003F3C16" w:rsidP="00C227BA">
      <w:pPr>
        <w:pStyle w:val="ListParagraph"/>
        <w:numPr>
          <w:ilvl w:val="0"/>
          <w:numId w:val="9"/>
        </w:numPr>
        <w:autoSpaceDE w:val="0"/>
        <w:autoSpaceDN w:val="0"/>
        <w:adjustRightInd w:val="0"/>
        <w:spacing w:line="240" w:lineRule="auto"/>
        <w:contextualSpacing w:val="0"/>
        <w:rPr>
          <w:rFonts w:asciiTheme="minorHAnsi" w:hAnsiTheme="minorHAnsi"/>
          <w:sz w:val="24"/>
          <w:szCs w:val="24"/>
          <w:lang w:val="en-AU"/>
        </w:rPr>
      </w:pPr>
      <w:r w:rsidRPr="00F4554A">
        <w:rPr>
          <w:rFonts w:asciiTheme="minorHAnsi" w:hAnsiTheme="minorHAnsi"/>
          <w:sz w:val="24"/>
          <w:szCs w:val="24"/>
          <w:lang w:val="en-AU"/>
        </w:rPr>
        <w:t xml:space="preserve">technical assistance and on-the-job training, </w:t>
      </w:r>
      <w:r w:rsidR="00231B9B" w:rsidRPr="00F4554A">
        <w:rPr>
          <w:rFonts w:asciiTheme="minorHAnsi" w:hAnsiTheme="minorHAnsi"/>
          <w:sz w:val="24"/>
          <w:szCs w:val="24"/>
          <w:lang w:val="en-AU"/>
        </w:rPr>
        <w:t>showcasing areas of Australian expertise</w:t>
      </w:r>
      <w:r w:rsidR="003E2255" w:rsidRPr="00F4554A">
        <w:rPr>
          <w:rFonts w:asciiTheme="minorHAnsi" w:hAnsiTheme="minorHAnsi"/>
          <w:sz w:val="24"/>
          <w:szCs w:val="24"/>
          <w:lang w:val="en-AU"/>
        </w:rPr>
        <w:t xml:space="preserve"> to address specific issues</w:t>
      </w:r>
      <w:r w:rsidR="00761B44" w:rsidRPr="00F4554A">
        <w:rPr>
          <w:rStyle w:val="FootnoteReference"/>
          <w:rFonts w:asciiTheme="minorHAnsi" w:hAnsiTheme="minorHAnsi"/>
          <w:sz w:val="24"/>
          <w:szCs w:val="24"/>
          <w:lang w:val="en-AU"/>
        </w:rPr>
        <w:footnoteReference w:id="32"/>
      </w:r>
      <w:r w:rsidR="00231B9B" w:rsidRPr="00F4554A">
        <w:rPr>
          <w:rFonts w:asciiTheme="minorHAnsi" w:hAnsiTheme="minorHAnsi"/>
          <w:sz w:val="24"/>
          <w:szCs w:val="24"/>
          <w:lang w:val="en-AU"/>
        </w:rPr>
        <w:t xml:space="preserve">; </w:t>
      </w:r>
    </w:p>
    <w:p w14:paraId="441C108A" w14:textId="4709972A" w:rsidR="003F3C16" w:rsidRPr="00F4554A" w:rsidRDefault="003F3C16" w:rsidP="00C227BA">
      <w:pPr>
        <w:pStyle w:val="ListParagraph"/>
        <w:numPr>
          <w:ilvl w:val="0"/>
          <w:numId w:val="9"/>
        </w:numPr>
        <w:autoSpaceDE w:val="0"/>
        <w:autoSpaceDN w:val="0"/>
        <w:adjustRightInd w:val="0"/>
        <w:spacing w:line="240" w:lineRule="auto"/>
        <w:contextualSpacing w:val="0"/>
        <w:rPr>
          <w:rFonts w:asciiTheme="minorHAnsi" w:hAnsiTheme="minorHAnsi"/>
          <w:sz w:val="24"/>
          <w:szCs w:val="24"/>
          <w:lang w:val="en-AU"/>
        </w:rPr>
      </w:pPr>
      <w:r w:rsidRPr="00F4554A">
        <w:rPr>
          <w:rFonts w:asciiTheme="minorHAnsi" w:eastAsia="MS Mincho" w:hAnsiTheme="minorHAnsi"/>
          <w:sz w:val="24"/>
          <w:szCs w:val="24"/>
          <w:lang w:val="en-AU" w:eastAsia="ja-JP"/>
        </w:rPr>
        <w:t xml:space="preserve">informal learning opportunities, including </w:t>
      </w:r>
      <w:r w:rsidRPr="00F4554A">
        <w:rPr>
          <w:rFonts w:asciiTheme="minorHAnsi" w:hAnsiTheme="minorHAnsi"/>
          <w:sz w:val="24"/>
          <w:szCs w:val="24"/>
          <w:lang w:val="en-AU"/>
        </w:rPr>
        <w:t>workshops, seminars, study tours, work placements, visiting lecturers/keynote speakers/mentoring;</w:t>
      </w:r>
    </w:p>
    <w:p w14:paraId="2AFDAE2C" w14:textId="336518A8" w:rsidR="00155EDC" w:rsidRPr="00F4554A" w:rsidRDefault="00155EDC" w:rsidP="00C227BA">
      <w:pPr>
        <w:pStyle w:val="ListParagraph"/>
        <w:numPr>
          <w:ilvl w:val="0"/>
          <w:numId w:val="9"/>
        </w:numPr>
        <w:autoSpaceDE w:val="0"/>
        <w:autoSpaceDN w:val="0"/>
        <w:adjustRightInd w:val="0"/>
        <w:spacing w:line="240" w:lineRule="auto"/>
        <w:contextualSpacing w:val="0"/>
        <w:rPr>
          <w:lang w:val="en-AU"/>
        </w:rPr>
      </w:pPr>
      <w:r w:rsidRPr="00F4554A">
        <w:rPr>
          <w:rFonts w:asciiTheme="minorHAnsi" w:hAnsiTheme="minorHAnsi"/>
          <w:sz w:val="24"/>
          <w:szCs w:val="24"/>
          <w:lang w:val="en-AU"/>
        </w:rPr>
        <w:t>utilising alumni networks to support development and community activities</w:t>
      </w:r>
      <w:r w:rsidR="0044045E" w:rsidRPr="00F4554A">
        <w:rPr>
          <w:rFonts w:asciiTheme="minorHAnsi" w:hAnsiTheme="minorHAnsi"/>
          <w:sz w:val="24"/>
          <w:szCs w:val="24"/>
          <w:lang w:val="en-AU"/>
        </w:rPr>
        <w:t>;</w:t>
      </w:r>
    </w:p>
    <w:p w14:paraId="4A15038B" w14:textId="5F9EC807" w:rsidR="00155EDC" w:rsidRPr="00F4554A" w:rsidRDefault="003F3C16" w:rsidP="00C227BA">
      <w:pPr>
        <w:pStyle w:val="ListParagraph"/>
        <w:numPr>
          <w:ilvl w:val="0"/>
          <w:numId w:val="9"/>
        </w:numPr>
        <w:autoSpaceDE w:val="0"/>
        <w:autoSpaceDN w:val="0"/>
        <w:adjustRightInd w:val="0"/>
        <w:spacing w:line="240" w:lineRule="auto"/>
        <w:contextualSpacing w:val="0"/>
        <w:rPr>
          <w:lang w:val="en-AU"/>
        </w:rPr>
      </w:pPr>
      <w:proofErr w:type="gramStart"/>
      <w:r w:rsidRPr="00F4554A">
        <w:rPr>
          <w:rFonts w:asciiTheme="minorHAnsi" w:hAnsiTheme="minorHAnsi"/>
          <w:sz w:val="24"/>
          <w:szCs w:val="24"/>
          <w:lang w:val="en-AU"/>
        </w:rPr>
        <w:t>facilitating</w:t>
      </w:r>
      <w:proofErr w:type="gramEnd"/>
      <w:r w:rsidRPr="00F4554A">
        <w:rPr>
          <w:rFonts w:asciiTheme="minorHAnsi" w:hAnsiTheme="minorHAnsi"/>
          <w:sz w:val="24"/>
          <w:szCs w:val="24"/>
          <w:lang w:val="en-AU"/>
        </w:rPr>
        <w:t xml:space="preserve"> linkages/partnerships between Vietnamese and Australian organi</w:t>
      </w:r>
      <w:r w:rsidR="001778A8" w:rsidRPr="00F4554A">
        <w:rPr>
          <w:rFonts w:asciiTheme="minorHAnsi" w:hAnsiTheme="minorHAnsi"/>
          <w:sz w:val="24"/>
          <w:szCs w:val="24"/>
          <w:lang w:val="en-AU"/>
        </w:rPr>
        <w:t>s</w:t>
      </w:r>
      <w:r w:rsidRPr="00F4554A">
        <w:rPr>
          <w:rFonts w:asciiTheme="minorHAnsi" w:hAnsiTheme="minorHAnsi"/>
          <w:sz w:val="24"/>
          <w:szCs w:val="24"/>
          <w:lang w:val="en-AU"/>
        </w:rPr>
        <w:t xml:space="preserve">ations (government, universities, TVET institutions, business and industry). </w:t>
      </w:r>
    </w:p>
    <w:p w14:paraId="25A1186C" w14:textId="77777777" w:rsidR="00534CE6" w:rsidRPr="00F4554A" w:rsidRDefault="00534CE6" w:rsidP="00C227BA">
      <w:pPr>
        <w:pStyle w:val="Heading2"/>
        <w:numPr>
          <w:ilvl w:val="0"/>
          <w:numId w:val="0"/>
        </w:numPr>
        <w:spacing w:before="120"/>
        <w:ind w:left="567" w:hanging="567"/>
        <w:rPr>
          <w:rFonts w:asciiTheme="minorHAnsi" w:hAnsiTheme="minorHAnsi"/>
          <w:color w:val="548DD4" w:themeColor="text2" w:themeTint="99"/>
          <w:szCs w:val="24"/>
        </w:rPr>
      </w:pPr>
      <w:r w:rsidRPr="00F4554A">
        <w:rPr>
          <w:rFonts w:asciiTheme="minorHAnsi" w:hAnsiTheme="minorHAnsi"/>
          <w:color w:val="548DD4" w:themeColor="text2" w:themeTint="99"/>
          <w:szCs w:val="24"/>
        </w:rPr>
        <w:t>Australia Awards: Scholarships</w:t>
      </w:r>
    </w:p>
    <w:p w14:paraId="14DB1777" w14:textId="69B029B9" w:rsidR="0052297D" w:rsidRPr="00EA76FF" w:rsidRDefault="005C63DB" w:rsidP="00C227BA">
      <w:pPr>
        <w:spacing w:before="120" w:after="120"/>
      </w:pPr>
      <w:r w:rsidRPr="00F4554A">
        <w:t>Australia Awards Scholarships</w:t>
      </w:r>
      <w:r w:rsidR="00A70456" w:rsidRPr="00F4554A">
        <w:t xml:space="preserve"> </w:t>
      </w:r>
      <w:r w:rsidR="00C2612F" w:rsidRPr="00F4554A">
        <w:t xml:space="preserve">form the core assistance provided under the </w:t>
      </w:r>
      <w:r w:rsidR="00704161">
        <w:t>Program</w:t>
      </w:r>
      <w:r w:rsidR="00D05912" w:rsidRPr="00F4554A">
        <w:t xml:space="preserve">. </w:t>
      </w:r>
      <w:r w:rsidR="00534CE6" w:rsidRPr="00F4554A">
        <w:t xml:space="preserve">From 2016 to 2020, </w:t>
      </w:r>
      <w:r w:rsidR="002B6485" w:rsidRPr="00F4554A">
        <w:t xml:space="preserve">the number of </w:t>
      </w:r>
      <w:r w:rsidR="00534CE6" w:rsidRPr="00F4554A">
        <w:t>long-term scholarships offered annually</w:t>
      </w:r>
      <w:r w:rsidR="002B6485" w:rsidRPr="00B31B3E">
        <w:t xml:space="preserve"> is</w:t>
      </w:r>
      <w:r w:rsidR="002B6485" w:rsidRPr="00274EF2">
        <w:t xml:space="preserve"> likely to decline from up to 1</w:t>
      </w:r>
      <w:r w:rsidR="00207221">
        <w:t>0</w:t>
      </w:r>
      <w:r w:rsidR="002B6485" w:rsidRPr="00274EF2">
        <w:t xml:space="preserve">0 initially to </w:t>
      </w:r>
      <w:r w:rsidR="00207221">
        <w:t>50</w:t>
      </w:r>
      <w:r w:rsidR="002B6485" w:rsidRPr="00274EF2">
        <w:t xml:space="preserve"> or less over the </w:t>
      </w:r>
      <w:r w:rsidR="000065FF">
        <w:t xml:space="preserve">five year </w:t>
      </w:r>
      <w:r w:rsidR="002B6485" w:rsidRPr="00274EF2">
        <w:t>period</w:t>
      </w:r>
      <w:r w:rsidR="003A107C">
        <w:rPr>
          <w:rStyle w:val="FootnoteReference"/>
        </w:rPr>
        <w:footnoteReference w:id="33"/>
      </w:r>
      <w:r w:rsidR="00534CE6" w:rsidRPr="00F233A7">
        <w:t>. Scholarships will enable individuals in Vietnam to undertake a Master’s degree program or Doctorate studies</w:t>
      </w:r>
      <w:r w:rsidR="00534CE6" w:rsidRPr="00B5326E">
        <w:rPr>
          <w:rStyle w:val="FootnoteReference"/>
        </w:rPr>
        <w:footnoteReference w:id="34"/>
      </w:r>
      <w:r w:rsidR="00534CE6" w:rsidRPr="00B5326E">
        <w:t>, offered by an Australian university in Australi</w:t>
      </w:r>
      <w:r w:rsidR="00534CE6" w:rsidRPr="003B74ED">
        <w:t xml:space="preserve">a. </w:t>
      </w:r>
    </w:p>
    <w:p w14:paraId="18F0EE86" w14:textId="68D45E60" w:rsidR="00832D07" w:rsidRPr="001A0CDA" w:rsidRDefault="0052297D" w:rsidP="00C227BA">
      <w:pPr>
        <w:spacing w:before="120" w:after="120"/>
      </w:pPr>
      <w:r w:rsidRPr="00314297">
        <w:t xml:space="preserve">A target of </w:t>
      </w:r>
      <w:r w:rsidRPr="00B42B3E">
        <w:t>20</w:t>
      </w:r>
      <w:r w:rsidR="004602A9">
        <w:t xml:space="preserve"> per cent</w:t>
      </w:r>
      <w:r w:rsidRPr="00B42B3E">
        <w:t xml:space="preserve"> of the total number of Australia Awards </w:t>
      </w:r>
      <w:r w:rsidRPr="008C2305">
        <w:t>over the five-year program will satisfy the definition of “Disadvantaged” (individuals from one of Vietnam’s listed disadvantaged districts / provinces, or persons with disability).</w:t>
      </w:r>
    </w:p>
    <w:p w14:paraId="3032B742" w14:textId="7094C038" w:rsidR="00534CE6" w:rsidRPr="00E27B90" w:rsidRDefault="00534CE6" w:rsidP="00C227BA">
      <w:pPr>
        <w:spacing w:before="120" w:after="120"/>
      </w:pPr>
      <w:r w:rsidRPr="001A0CDA">
        <w:t xml:space="preserve">Should any Australian university </w:t>
      </w:r>
      <w:r w:rsidRPr="00ED01C6">
        <w:rPr>
          <w:i/>
        </w:rPr>
        <w:t>currently</w:t>
      </w:r>
      <w:r w:rsidRPr="004E1408">
        <w:rPr>
          <w:b/>
          <w:i/>
        </w:rPr>
        <w:t xml:space="preserve"> </w:t>
      </w:r>
      <w:r w:rsidRPr="004E1408">
        <w:t>off</w:t>
      </w:r>
      <w:r w:rsidRPr="007A6D7C">
        <w:t>er a dual or split Masters Degree collaboratively with a Vietnamese University, in one of the confirmed “Priority Sectors”, potential Scholarship awardees can seek to apply for that program. However, approval by DFAT Canberra may be required in any such situations</w:t>
      </w:r>
      <w:r w:rsidR="00FF4EBA" w:rsidRPr="00D9325F">
        <w:t xml:space="preserve"> and changes may be required to the annual Australia Awards Policy Handbook.</w:t>
      </w:r>
    </w:p>
    <w:p w14:paraId="75045EDE" w14:textId="14FF2355" w:rsidR="00534CE6" w:rsidRDefault="00534CE6" w:rsidP="00C227BA">
      <w:pPr>
        <w:spacing w:before="120" w:after="120"/>
      </w:pPr>
      <w:r w:rsidRPr="00B379A4">
        <w:t>Up to 12 months’ English Language Training will be available to support high-quality candidates to reach the language levels required for entry into Australian universities.</w:t>
      </w:r>
      <w:r w:rsidR="00BC4113" w:rsidRPr="00602A77">
        <w:t xml:space="preserve"> However, successful applicants from any of the designated </w:t>
      </w:r>
      <w:r w:rsidR="00BC4113" w:rsidRPr="00FA40AE">
        <w:rPr>
          <w:i/>
        </w:rPr>
        <w:t>Equity of Access Fund</w:t>
      </w:r>
      <w:r w:rsidR="00BC4113" w:rsidRPr="00FA40AE">
        <w:t xml:space="preserve"> groups may be offered up to a further six months of intensive English Language Training</w:t>
      </w:r>
      <w:r w:rsidR="009D5CC1">
        <w:t xml:space="preserve"> in Australia</w:t>
      </w:r>
      <w:r w:rsidR="00BC4113" w:rsidRPr="00FA40AE">
        <w:t>.</w:t>
      </w:r>
      <w:r w:rsidR="001F75A9">
        <w:t xml:space="preserve"> </w:t>
      </w:r>
    </w:p>
    <w:p w14:paraId="2BE8973F" w14:textId="112C4F20" w:rsidR="001F75A9" w:rsidRPr="00F4554A" w:rsidRDefault="001F75A9" w:rsidP="00C227BA">
      <w:pPr>
        <w:spacing w:before="120" w:after="120"/>
      </w:pPr>
      <w:r>
        <w:t xml:space="preserve">Australia’s comprehensive support for English language training, particularly for disadvantaged Vietnamese, is </w:t>
      </w:r>
      <w:r w:rsidR="00015CB1">
        <w:t xml:space="preserve">unique and </w:t>
      </w:r>
      <w:r>
        <w:t xml:space="preserve">highly regarded by the GOV. The Program may also explore the opportunity of knowledge exchange between Australia’s and Vietnam’s scholarships programs, and </w:t>
      </w:r>
      <w:r w:rsidR="00015CB1">
        <w:t xml:space="preserve">supporting the access for disadvantaged Vietnamese to Vietnam’s scholarships program (for example, through English language training and/or provision of disability supports). </w:t>
      </w:r>
    </w:p>
    <w:p w14:paraId="43B86ADA" w14:textId="77777777" w:rsidR="00534CE6" w:rsidRPr="00211803" w:rsidRDefault="00534CE6" w:rsidP="00C227BA">
      <w:pPr>
        <w:pStyle w:val="Heading2"/>
        <w:numPr>
          <w:ilvl w:val="0"/>
          <w:numId w:val="0"/>
        </w:numPr>
        <w:spacing w:before="120"/>
        <w:ind w:left="567" w:hanging="567"/>
        <w:rPr>
          <w:rFonts w:asciiTheme="minorHAnsi" w:hAnsiTheme="minorHAnsi"/>
          <w:i w:val="0"/>
          <w:color w:val="548DD4" w:themeColor="text2" w:themeTint="99"/>
          <w:szCs w:val="24"/>
        </w:rPr>
      </w:pPr>
      <w:r w:rsidRPr="00211803">
        <w:rPr>
          <w:rFonts w:asciiTheme="minorHAnsi" w:hAnsiTheme="minorHAnsi"/>
          <w:color w:val="548DD4" w:themeColor="text2" w:themeTint="99"/>
          <w:szCs w:val="24"/>
        </w:rPr>
        <w:t>Australia Awards: Short-Term Training (STT)</w:t>
      </w:r>
    </w:p>
    <w:p w14:paraId="13E4E37D" w14:textId="6426C5F1" w:rsidR="00693DB7" w:rsidRDefault="00B2247C" w:rsidP="00C227BA">
      <w:pPr>
        <w:spacing w:before="120" w:after="120"/>
        <w:rPr>
          <w:color w:val="548DD4" w:themeColor="text2" w:themeTint="99"/>
        </w:rPr>
      </w:pPr>
      <w:r w:rsidRPr="00693DB7">
        <w:t xml:space="preserve">Short course awards are defined as </w:t>
      </w:r>
      <w:r w:rsidR="00693DB7">
        <w:t>“</w:t>
      </w:r>
      <w:r w:rsidRPr="00693DB7">
        <w:t>opportunities for formal study or training, generally less than three months’ duration, and no more than five months’ duration, delivered by an approved Australian higher education provider (see Table A, B, C of the Higher Education Support Act 2003) or an Australian Registered Training Organisation</w:t>
      </w:r>
      <w:r w:rsidR="00693DB7">
        <w:t>”</w:t>
      </w:r>
      <w:r w:rsidRPr="00693DB7">
        <w:t>.</w:t>
      </w:r>
      <w:r w:rsidR="00693DB7">
        <w:rPr>
          <w:color w:val="548DD4" w:themeColor="text2" w:themeTint="99"/>
        </w:rPr>
        <w:t xml:space="preserve"> </w:t>
      </w:r>
    </w:p>
    <w:p w14:paraId="1581E882" w14:textId="2A4C3635" w:rsidR="00B2247C" w:rsidRDefault="00B2247C" w:rsidP="00C227BA">
      <w:pPr>
        <w:spacing w:before="120" w:after="120"/>
      </w:pPr>
      <w:r>
        <w:t>Vietnam-specific Short-term Trai</w:t>
      </w:r>
      <w:r w:rsidR="004602A9">
        <w:t xml:space="preserve">ning </w:t>
      </w:r>
      <w:r>
        <w:t xml:space="preserve">(STT) </w:t>
      </w:r>
      <w:r w:rsidR="00693DB7">
        <w:t>included in this design</w:t>
      </w:r>
      <w:r>
        <w:t xml:space="preserve"> </w:t>
      </w:r>
      <w:r w:rsidRPr="00F66DF2">
        <w:rPr>
          <w:i/>
          <w:u w:val="single"/>
        </w:rPr>
        <w:t>and</w:t>
      </w:r>
      <w:r>
        <w:t xml:space="preserve"> any global Short Course Award (SCA)</w:t>
      </w:r>
      <w:r>
        <w:rPr>
          <w:rStyle w:val="FootnoteReference"/>
        </w:rPr>
        <w:footnoteReference w:id="35"/>
      </w:r>
      <w:r>
        <w:t xml:space="preserve"> program managed by DFAT Canberra in which Vietnam could seek to nominate participants, </w:t>
      </w:r>
      <w:r w:rsidR="00693DB7">
        <w:t xml:space="preserve">is required to </w:t>
      </w:r>
      <w:r>
        <w:t xml:space="preserve">adhere to the current definition of short-term </w:t>
      </w:r>
      <w:r w:rsidR="00693DB7">
        <w:t>training.</w:t>
      </w:r>
      <w:r>
        <w:t xml:space="preserve"> </w:t>
      </w:r>
    </w:p>
    <w:p w14:paraId="587D2485" w14:textId="0FF522D8" w:rsidR="00067863" w:rsidRPr="008B1008" w:rsidRDefault="00534CE6" w:rsidP="00C227BA">
      <w:pPr>
        <w:spacing w:before="120" w:after="120"/>
      </w:pPr>
      <w:r w:rsidRPr="00211803">
        <w:t>Demand driven, s</w:t>
      </w:r>
      <w:r w:rsidR="006D4669" w:rsidRPr="00211803">
        <w:t>hort-</w:t>
      </w:r>
      <w:r w:rsidRPr="00211803">
        <w:t xml:space="preserve">term training is a well-established capacity building tool and </w:t>
      </w:r>
      <w:r w:rsidR="00704591" w:rsidRPr="00211803">
        <w:t xml:space="preserve">if </w:t>
      </w:r>
      <w:r w:rsidRPr="00211803">
        <w:t>properly designed can provide an alternative, value for money approach, to enhancing workplace productivity</w:t>
      </w:r>
      <w:r w:rsidR="00704591" w:rsidRPr="00211803">
        <w:t>.</w:t>
      </w:r>
      <w:r w:rsidRPr="00211803">
        <w:t xml:space="preserve"> </w:t>
      </w:r>
      <w:r w:rsidR="00642B09" w:rsidRPr="00211803">
        <w:t xml:space="preserve">STT </w:t>
      </w:r>
      <w:r w:rsidR="006A17D1">
        <w:t>can be</w:t>
      </w:r>
      <w:r w:rsidRPr="00211803">
        <w:rPr>
          <w:color w:val="000000" w:themeColor="text1"/>
        </w:rPr>
        <w:t xml:space="preserve"> more responsive to </w:t>
      </w:r>
      <w:r w:rsidR="00214615" w:rsidRPr="00211803">
        <w:rPr>
          <w:color w:val="000000" w:themeColor="text1"/>
        </w:rPr>
        <w:t xml:space="preserve">current </w:t>
      </w:r>
      <w:r w:rsidRPr="00211803">
        <w:rPr>
          <w:color w:val="000000" w:themeColor="text1"/>
        </w:rPr>
        <w:t xml:space="preserve">and emerging needs </w:t>
      </w:r>
      <w:r w:rsidRPr="00211803">
        <w:t>and provide</w:t>
      </w:r>
      <w:r w:rsidR="00642B09" w:rsidRPr="00211803">
        <w:t>s</w:t>
      </w:r>
      <w:r w:rsidRPr="00211803">
        <w:t xml:space="preserve"> potential for greater engagement with key officials and building relationships.</w:t>
      </w:r>
      <w:r w:rsidR="00FD1CAA" w:rsidRPr="00211803">
        <w:t xml:space="preserve"> </w:t>
      </w:r>
      <w:r w:rsidR="000D623F">
        <w:t>The stronger the</w:t>
      </w:r>
      <w:r w:rsidR="002F729A" w:rsidRPr="008B1008">
        <w:t xml:space="preserve"> commitment to reform</w:t>
      </w:r>
      <w:r w:rsidR="000D623F">
        <w:t xml:space="preserve"> and the stronger the mutual trust </w:t>
      </w:r>
      <w:r w:rsidR="00BB0154">
        <w:t xml:space="preserve">and accountability </w:t>
      </w:r>
      <w:r w:rsidR="000D623F">
        <w:t>betw</w:t>
      </w:r>
      <w:r w:rsidR="00067863">
        <w:t>een donor and recipient agency</w:t>
      </w:r>
      <w:r w:rsidR="000D623F">
        <w:t xml:space="preserve">, the stronger likelihood interventions will be effective </w:t>
      </w:r>
      <w:r w:rsidR="00067863">
        <w:t>in developing and promoting skills utilisation.</w:t>
      </w:r>
    </w:p>
    <w:p w14:paraId="14E7FEF2" w14:textId="4A1C81F2" w:rsidR="00534CE6" w:rsidRPr="00211803" w:rsidRDefault="00FD1CAA" w:rsidP="00C227BA">
      <w:pPr>
        <w:spacing w:before="120" w:after="120"/>
        <w:rPr>
          <w:color w:val="000000" w:themeColor="text1"/>
        </w:rPr>
      </w:pPr>
      <w:r w:rsidRPr="00211803">
        <w:t xml:space="preserve">STT </w:t>
      </w:r>
      <w:r w:rsidR="00536CA7">
        <w:t>can be</w:t>
      </w:r>
      <w:r w:rsidRPr="00211803">
        <w:t xml:space="preserve"> </w:t>
      </w:r>
      <w:r w:rsidR="00600234" w:rsidRPr="00211803">
        <w:t xml:space="preserve">purpose </w:t>
      </w:r>
      <w:r w:rsidRPr="00211803">
        <w:t xml:space="preserve">designed </w:t>
      </w:r>
      <w:r w:rsidR="00600234" w:rsidRPr="00211803">
        <w:t>for Vietnam</w:t>
      </w:r>
      <w:r w:rsidR="00AA5FAE" w:rsidRPr="00211803">
        <w:t>,</w:t>
      </w:r>
      <w:r w:rsidRPr="00211803">
        <w:t xml:space="preserve"> </w:t>
      </w:r>
      <w:r w:rsidR="00AA5FAE" w:rsidRPr="00211803">
        <w:t xml:space="preserve">nuanced in terms of content and delivery, </w:t>
      </w:r>
      <w:r w:rsidRPr="00211803">
        <w:t xml:space="preserve">to address specific </w:t>
      </w:r>
      <w:r w:rsidR="00AA5FAE" w:rsidRPr="00211803">
        <w:t xml:space="preserve">local </w:t>
      </w:r>
      <w:r w:rsidRPr="00211803">
        <w:t>needs</w:t>
      </w:r>
      <w:r w:rsidR="004B28D9" w:rsidRPr="00211803">
        <w:t xml:space="preserve">; and </w:t>
      </w:r>
      <w:r w:rsidRPr="00211803">
        <w:t>may include in-Vietnam and/or in-Australia components</w:t>
      </w:r>
      <w:r w:rsidR="004B28D9" w:rsidRPr="00211803">
        <w:t xml:space="preserve">. As such it can complement </w:t>
      </w:r>
      <w:r w:rsidR="0047470D">
        <w:t xml:space="preserve">AAS and </w:t>
      </w:r>
      <w:r w:rsidR="004B28D9" w:rsidRPr="00211803">
        <w:t xml:space="preserve">AAF, </w:t>
      </w:r>
      <w:r w:rsidR="00AA5FAE" w:rsidRPr="00211803">
        <w:t xml:space="preserve">both </w:t>
      </w:r>
      <w:r w:rsidR="004B28D9" w:rsidRPr="00211803">
        <w:t xml:space="preserve">as part of a broader </w:t>
      </w:r>
      <w:r w:rsidR="00AA5FAE" w:rsidRPr="00211803">
        <w:t xml:space="preserve">integrated program of </w:t>
      </w:r>
      <w:r w:rsidR="004B28D9" w:rsidRPr="00211803">
        <w:t xml:space="preserve">HRD support </w:t>
      </w:r>
      <w:r w:rsidR="00AA5FAE" w:rsidRPr="00211803">
        <w:t>to selected institutions or to meet common thematic demands from a number of Vietnamese institutions.</w:t>
      </w:r>
    </w:p>
    <w:p w14:paraId="469A99C9" w14:textId="163F79C4" w:rsidR="00642B09" w:rsidRPr="00211803" w:rsidRDefault="00534CE6" w:rsidP="00C227BA">
      <w:pPr>
        <w:spacing w:before="120" w:after="120"/>
      </w:pPr>
      <w:r w:rsidRPr="00211803">
        <w:t>Short</w:t>
      </w:r>
      <w:r w:rsidR="007006EB">
        <w:t xml:space="preserve">-term </w:t>
      </w:r>
      <w:r w:rsidR="000468CC">
        <w:t>training provides</w:t>
      </w:r>
      <w:r w:rsidRPr="00211803">
        <w:t xml:space="preserve"> access to training for women and men who do not meet the academic or English requirements to undertake postgraduate study in Australia or are unable to leave the workplace for extended study. Participants would typically include those in leadership and senior or middle management positions.</w:t>
      </w:r>
    </w:p>
    <w:p w14:paraId="74360BBF" w14:textId="6491B6F6" w:rsidR="00534CE6" w:rsidRPr="00211803" w:rsidRDefault="00534CE6" w:rsidP="00C227BA">
      <w:pPr>
        <w:spacing w:before="120" w:after="120"/>
      </w:pPr>
      <w:r w:rsidRPr="00211803">
        <w:t xml:space="preserve">Short-term </w:t>
      </w:r>
      <w:r w:rsidR="0047470D">
        <w:t>t</w:t>
      </w:r>
      <w:r w:rsidRPr="00211803">
        <w:t xml:space="preserve">raining provides stronger opportunities for direct peer-peer learning and wherever possible, the courses will be delivered in partnership between an Australian and a Vietnamese organisation providing mutual benefits. </w:t>
      </w:r>
    </w:p>
    <w:p w14:paraId="586D90E0" w14:textId="718AC12C" w:rsidR="00534CE6" w:rsidRPr="00211803" w:rsidRDefault="00534CE6" w:rsidP="00C227BA">
      <w:pPr>
        <w:spacing w:before="120" w:after="120"/>
      </w:pPr>
      <w:r w:rsidRPr="00211803">
        <w:t xml:space="preserve">Short-term training can be designed around generic areas (for example, project management, public administration and human resource management, monitoring and evaluation) as well as customised to meet specific needs linked to priority sector programs within the AIP. </w:t>
      </w:r>
      <w:r w:rsidR="00603B2E" w:rsidRPr="00211803">
        <w:t xml:space="preserve">It </w:t>
      </w:r>
      <w:r w:rsidRPr="00211803">
        <w:t>can be delivered in-Vietnam/in-Australia or through blended programs as currently supported by Australia under the Vietnam Development Information Centre of the World Bank.</w:t>
      </w:r>
    </w:p>
    <w:p w14:paraId="7E5BD031" w14:textId="3186AE28" w:rsidR="00534CE6" w:rsidRPr="00211803" w:rsidRDefault="00534CE6" w:rsidP="00C227BA">
      <w:pPr>
        <w:spacing w:before="120" w:after="120"/>
      </w:pPr>
      <w:r w:rsidRPr="00211803">
        <w:t xml:space="preserve">However, </w:t>
      </w:r>
      <w:r w:rsidR="00603B2E" w:rsidRPr="00211803">
        <w:t xml:space="preserve">STT </w:t>
      </w:r>
      <w:r w:rsidRPr="00211803">
        <w:t xml:space="preserve">can also create substantial workloads, both technical and administrative, to effectively meet requirements; and time lags between identification and delivery can affect participation. </w:t>
      </w:r>
      <w:r w:rsidR="000468CC" w:rsidRPr="00211803">
        <w:t>Key issues impacting the success of short-term training are</w:t>
      </w:r>
      <w:r w:rsidRPr="00211803">
        <w:t xml:space="preserve"> detailed in </w:t>
      </w:r>
      <w:r w:rsidRPr="00F26D0E">
        <w:t>Annex</w:t>
      </w:r>
      <w:r w:rsidR="00095BA9" w:rsidRPr="00F26D0E">
        <w:t xml:space="preserve"> 4</w:t>
      </w:r>
      <w:r w:rsidR="00D03013" w:rsidRPr="00F26D0E">
        <w:t>.</w:t>
      </w:r>
      <w:r w:rsidRPr="00211803">
        <w:t xml:space="preserve"> This annex also includes information on course planning and design.</w:t>
      </w:r>
    </w:p>
    <w:p w14:paraId="0B84A4E0" w14:textId="58A95BC1" w:rsidR="00BB0154" w:rsidRPr="00211803" w:rsidRDefault="00BB0154" w:rsidP="00C227BA">
      <w:pPr>
        <w:spacing w:before="120" w:after="120"/>
      </w:pPr>
      <w:r>
        <w:t>The Contractor, in conjunction with the DFAT Hanoi, will need to review, on an annual basis, the trade-off and demand between Australia Awards Scholarships, short-term training and other HRD delivery modalities.</w:t>
      </w:r>
    </w:p>
    <w:p w14:paraId="0ECD168B" w14:textId="1AA1D9BE" w:rsidR="003A2585" w:rsidRPr="00EA76FF" w:rsidRDefault="00534CE6" w:rsidP="00C227BA">
      <w:pPr>
        <w:spacing w:before="120" w:after="120"/>
      </w:pPr>
      <w:r w:rsidRPr="00211803">
        <w:t>The design provides for additional technical and administration support from the Contractor to support identification and design of short-term training, where appropriate, with courses to be delivered by Australian Registered Training Organisation (RTO</w:t>
      </w:r>
      <w:r w:rsidRPr="003B74ED">
        <w:t xml:space="preserve">) </w:t>
      </w:r>
      <w:r w:rsidR="003A2585" w:rsidRPr="00EA76FF">
        <w:t>subcontractors</w:t>
      </w:r>
      <w:r w:rsidR="003A2585" w:rsidRPr="003B74ED">
        <w:rPr>
          <w:rStyle w:val="FootnoteReference"/>
        </w:rPr>
        <w:footnoteReference w:id="36"/>
      </w:r>
      <w:r w:rsidR="003A2585" w:rsidRPr="003B74ED">
        <w:t xml:space="preserve">. </w:t>
      </w:r>
      <w:r w:rsidR="00816AF1">
        <w:t>Australian universities can provide a wide range of short courses, either as RTOs, or in their own right as a tertiary institution.</w:t>
      </w:r>
    </w:p>
    <w:p w14:paraId="1278DEC3" w14:textId="37D2FD9C" w:rsidR="00155EDC" w:rsidRPr="004E1408" w:rsidRDefault="00534CE6" w:rsidP="00C227BA">
      <w:pPr>
        <w:spacing w:before="120" w:after="120"/>
      </w:pPr>
      <w:r w:rsidRPr="00B42B3E">
        <w:t xml:space="preserve">Subject to budget </w:t>
      </w:r>
      <w:r w:rsidRPr="008C2305">
        <w:rPr>
          <w:color w:val="000000" w:themeColor="text1"/>
        </w:rPr>
        <w:t xml:space="preserve">availability, </w:t>
      </w:r>
      <w:r w:rsidR="00B2247C">
        <w:rPr>
          <w:color w:val="000000" w:themeColor="text1"/>
        </w:rPr>
        <w:t xml:space="preserve">it is anticipated </w:t>
      </w:r>
      <w:r w:rsidRPr="008C2305">
        <w:rPr>
          <w:color w:val="000000" w:themeColor="text1"/>
        </w:rPr>
        <w:t xml:space="preserve">between three and five short courses </w:t>
      </w:r>
      <w:r w:rsidR="00B2247C">
        <w:rPr>
          <w:color w:val="000000" w:themeColor="text1"/>
        </w:rPr>
        <w:t xml:space="preserve">of up to three months duration </w:t>
      </w:r>
      <w:r w:rsidRPr="008C2305">
        <w:t>will be developed under the program, with each course delivered up to three times over Years 3, 4 and 5 of the program. This will facilitate quali</w:t>
      </w:r>
      <w:r w:rsidRPr="001A0CDA">
        <w:t>ty of design and economies of scale. Most courses are expected to involve both an Australian and Vietnamese delivery component to provide opportunity for an “Australia experience”.</w:t>
      </w:r>
      <w:r w:rsidR="000C6689" w:rsidRPr="001A0CDA">
        <w:t xml:space="preserve"> </w:t>
      </w:r>
    </w:p>
    <w:p w14:paraId="18CC2A9E" w14:textId="64160E7B" w:rsidR="00D03013" w:rsidRPr="00FA40AE" w:rsidRDefault="00534CE6" w:rsidP="00C227BA">
      <w:pPr>
        <w:spacing w:before="120" w:after="120"/>
      </w:pPr>
      <w:r w:rsidRPr="004E1408">
        <w:t>In some instances, even two to thre</w:t>
      </w:r>
      <w:r w:rsidRPr="007A6D7C">
        <w:t xml:space="preserve">e month short courses </w:t>
      </w:r>
      <w:r w:rsidR="00D03013" w:rsidRPr="00D9325F">
        <w:t>will</w:t>
      </w:r>
      <w:r w:rsidRPr="00E27B90">
        <w:t xml:space="preserve"> not </w:t>
      </w:r>
      <w:r w:rsidR="00D03013" w:rsidRPr="00B379A4">
        <w:t xml:space="preserve">be </w:t>
      </w:r>
      <w:r w:rsidRPr="00B379A4">
        <w:t>accessible for senior government administrators, key decision-makers in business, smaller voluntary organisations</w:t>
      </w:r>
      <w:r w:rsidR="00B64C03">
        <w:t>,</w:t>
      </w:r>
      <w:r w:rsidRPr="00B379A4">
        <w:t xml:space="preserve"> and </w:t>
      </w:r>
      <w:r w:rsidR="00B64C03" w:rsidRPr="009D5CC1">
        <w:t xml:space="preserve">men but particularly </w:t>
      </w:r>
      <w:r w:rsidRPr="009D5CC1">
        <w:t>women</w:t>
      </w:r>
      <w:r w:rsidRPr="00B379A4">
        <w:t xml:space="preserve"> with family responsibilities. The design includes provision for blended training models and ad hoc</w:t>
      </w:r>
      <w:r w:rsidRPr="00602A77">
        <w:t xml:space="preserve"> shorter cou</w:t>
      </w:r>
      <w:r w:rsidR="004B3B5F">
        <w:t>rses as part of a program of on</w:t>
      </w:r>
      <w:r w:rsidRPr="00602A77">
        <w:t xml:space="preserve">going assistance. </w:t>
      </w:r>
    </w:p>
    <w:p w14:paraId="760D5430" w14:textId="48070ACB" w:rsidR="00534CE6" w:rsidRPr="00274EF2" w:rsidRDefault="00534CE6" w:rsidP="00C227BA">
      <w:pPr>
        <w:spacing w:before="120" w:after="120"/>
      </w:pPr>
      <w:r w:rsidRPr="00FA40AE">
        <w:t>In identifying the first set of STT courses to be delivered, the Contractor and DFAT should c</w:t>
      </w:r>
      <w:r w:rsidR="00D03013" w:rsidRPr="00F4554A">
        <w:t xml:space="preserve">onsider including some courses with a number of components </w:t>
      </w:r>
      <w:r w:rsidRPr="00F4554A">
        <w:t>of up to several weeks at a time, potenti</w:t>
      </w:r>
      <w:r w:rsidRPr="00B31B3E">
        <w:t>ally offered only in Vietnam, using Australian institu</w:t>
      </w:r>
      <w:r w:rsidR="00D03013" w:rsidRPr="00274EF2">
        <w:t>tions, expertise and presenters (blended training)</w:t>
      </w:r>
      <w:r w:rsidRPr="00274EF2">
        <w:t xml:space="preserve">. </w:t>
      </w:r>
    </w:p>
    <w:p w14:paraId="0599806F" w14:textId="262A5B30" w:rsidR="004F14F3" w:rsidRDefault="00534CE6" w:rsidP="00C227BA">
      <w:pPr>
        <w:spacing w:before="120" w:after="120"/>
      </w:pPr>
      <w:r w:rsidRPr="004744D3">
        <w:t xml:space="preserve">The Contractor, in consultation with the Post, will be responsible for the design and </w:t>
      </w:r>
      <w:r w:rsidR="006D4669" w:rsidRPr="004744D3">
        <w:t xml:space="preserve">for </w:t>
      </w:r>
      <w:r w:rsidRPr="00AF245E">
        <w:t>sub</w:t>
      </w:r>
      <w:r w:rsidR="00E37944" w:rsidRPr="00AF245E">
        <w:t>-</w:t>
      </w:r>
      <w:r w:rsidRPr="00AF245E">
        <w:t>contracting delivery of short-term training. A global mechanism for contracting providers to deliver Short Courses is under consideration by DFAT Canberra. The Program will use the global mechanism when and if</w:t>
      </w:r>
      <w:r w:rsidR="006D4669" w:rsidRPr="00FE136A">
        <w:t xml:space="preserve"> established;</w:t>
      </w:r>
      <w:r w:rsidR="004B3B5F">
        <w:t xml:space="preserve"> </w:t>
      </w:r>
      <w:r w:rsidR="006D4669" w:rsidRPr="00FA5F0F">
        <w:t>most likely in addition to the Vietnam HRD Program-specific Short-term Training opportu</w:t>
      </w:r>
      <w:r w:rsidR="006D4669" w:rsidRPr="00B5326E">
        <w:t>nities.</w:t>
      </w:r>
    </w:p>
    <w:p w14:paraId="1C8A88FD" w14:textId="40E06917" w:rsidR="00534CE6" w:rsidRPr="00B5326E" w:rsidRDefault="00534CE6" w:rsidP="00C227BA">
      <w:pPr>
        <w:pStyle w:val="Heading2"/>
        <w:numPr>
          <w:ilvl w:val="0"/>
          <w:numId w:val="0"/>
        </w:numPr>
        <w:spacing w:before="120"/>
        <w:ind w:left="567" w:hanging="567"/>
        <w:rPr>
          <w:rFonts w:asciiTheme="minorHAnsi" w:hAnsiTheme="minorHAnsi"/>
          <w:color w:val="548DD4" w:themeColor="text2" w:themeTint="99"/>
          <w:szCs w:val="24"/>
        </w:rPr>
      </w:pPr>
      <w:r w:rsidRPr="00B5326E">
        <w:rPr>
          <w:rFonts w:asciiTheme="minorHAnsi" w:hAnsiTheme="minorHAnsi"/>
          <w:color w:val="548DD4" w:themeColor="text2" w:themeTint="99"/>
          <w:szCs w:val="24"/>
        </w:rPr>
        <w:t xml:space="preserve">Global programs </w:t>
      </w:r>
    </w:p>
    <w:p w14:paraId="09B61427" w14:textId="6258413A" w:rsidR="00534CE6" w:rsidRPr="00B5326E" w:rsidRDefault="00534CE6" w:rsidP="00C227BA">
      <w:pPr>
        <w:spacing w:before="120" w:after="120"/>
      </w:pPr>
      <w:r w:rsidRPr="00B5326E">
        <w:t>The AAF program builds and strengthens links between Australia and organisations in Vietnam by offering flexible short-term opportunities</w:t>
      </w:r>
      <w:r w:rsidR="00D37D0C" w:rsidRPr="00B5326E">
        <w:t>,</w:t>
      </w:r>
      <w:r w:rsidRPr="00B5326E">
        <w:t xml:space="preserve"> </w:t>
      </w:r>
      <w:r w:rsidR="00D37D0C" w:rsidRPr="00B5326E">
        <w:t xml:space="preserve">which do not lead to academic qualifications, </w:t>
      </w:r>
      <w:r w:rsidRPr="00B5326E">
        <w:t>for in-Australia study, researc</w:t>
      </w:r>
      <w:r w:rsidR="00D37D0C" w:rsidRPr="00B5326E">
        <w:t>h and professional development.</w:t>
      </w:r>
    </w:p>
    <w:p w14:paraId="27BEEE80" w14:textId="2AA0077E" w:rsidR="009055AD" w:rsidRPr="00B5326E" w:rsidRDefault="00534CE6" w:rsidP="00C227BA">
      <w:pPr>
        <w:spacing w:before="120" w:after="120"/>
      </w:pPr>
      <w:r w:rsidRPr="00B5326E">
        <w:t xml:space="preserve">The </w:t>
      </w:r>
      <w:r w:rsidR="001129B6">
        <w:t>Program</w:t>
      </w:r>
      <w:r w:rsidRPr="00B5326E">
        <w:t xml:space="preserve"> has no direct control over the design of global awards, but DFAT </w:t>
      </w:r>
      <w:r w:rsidR="00D37D0C" w:rsidRPr="00B5326E">
        <w:t xml:space="preserve">Hanoi </w:t>
      </w:r>
      <w:r w:rsidRPr="00B5326E">
        <w:t>should assess the relevance of awards offered to avoid duplication and ensure priority is given to AAF that are aligned with the AIP sectors and strategies</w:t>
      </w:r>
      <w:r w:rsidR="00366E2C" w:rsidRPr="009D5CC1">
        <w:t>, and preserves a gender balance</w:t>
      </w:r>
      <w:r w:rsidRPr="00B5326E">
        <w:t>.</w:t>
      </w:r>
      <w:r w:rsidR="00B26183" w:rsidRPr="00B5326E">
        <w:t xml:space="preserve"> </w:t>
      </w:r>
      <w:r w:rsidRPr="00B5326E">
        <w:t>Based on previous AAF allocations, it is expected up to 100 Australia Award</w:t>
      </w:r>
      <w:r w:rsidR="009D5CC1">
        <w:t>s</w:t>
      </w:r>
      <w:r w:rsidRPr="00B5326E">
        <w:t xml:space="preserve"> Fellowships could be offered to Vietnamese applicants, annually</w:t>
      </w:r>
      <w:r w:rsidR="009D5CC1">
        <w:t xml:space="preserve"> (subject to budget decisions)</w:t>
      </w:r>
      <w:r w:rsidRPr="00B5326E">
        <w:t xml:space="preserve">. </w:t>
      </w:r>
    </w:p>
    <w:p w14:paraId="0F0B8460" w14:textId="79DC3881" w:rsidR="009055AD" w:rsidRPr="00B5326E" w:rsidRDefault="00DC1781" w:rsidP="00C227BA">
      <w:pPr>
        <w:spacing w:before="120" w:after="120"/>
        <w:rPr>
          <w:b/>
          <w:color w:val="548DD4" w:themeColor="text2" w:themeTint="99"/>
        </w:rPr>
      </w:pPr>
      <w:r w:rsidRPr="00B5326E">
        <w:t>DFAT Hanoi</w:t>
      </w:r>
      <w:r w:rsidR="001F0882" w:rsidRPr="00B5326E">
        <w:t xml:space="preserve"> should continue to discuss with DFAT Canberra its preference for opportunities in priority AAF topics that will assist in </w:t>
      </w:r>
      <w:r w:rsidRPr="00B5326E">
        <w:t>leveraging the Program outputs</w:t>
      </w:r>
      <w:r w:rsidR="009D5CC1">
        <w:t xml:space="preserve"> and</w:t>
      </w:r>
      <w:r w:rsidRPr="00B5326E">
        <w:t xml:space="preserve"> outcomes</w:t>
      </w:r>
      <w:r w:rsidR="001F0882" w:rsidRPr="00B5326E">
        <w:t>.</w:t>
      </w:r>
      <w:r w:rsidRPr="00B5326E">
        <w:t xml:space="preserve"> </w:t>
      </w:r>
      <w:r w:rsidR="001F0882" w:rsidRPr="00B5326E">
        <w:t xml:space="preserve"> While </w:t>
      </w:r>
      <w:r w:rsidRPr="00B5326E">
        <w:t xml:space="preserve">having little direct involvement in the AAF, the Contractor can value add by providing advice </w:t>
      </w:r>
      <w:r w:rsidR="00547673" w:rsidRPr="00B5326E">
        <w:t xml:space="preserve">to DFAT </w:t>
      </w:r>
      <w:r w:rsidRPr="00B5326E">
        <w:t>on</w:t>
      </w:r>
      <w:r w:rsidR="001F0882" w:rsidRPr="00B5326E">
        <w:t xml:space="preserve"> linking potential Australian Host Organisations and priority sector </w:t>
      </w:r>
      <w:r w:rsidRPr="00B5326E">
        <w:t>agencies</w:t>
      </w:r>
      <w:r w:rsidR="001F0882" w:rsidRPr="00B5326E">
        <w:t xml:space="preserve"> in Vietnam.</w:t>
      </w:r>
    </w:p>
    <w:p w14:paraId="19FB332E" w14:textId="67800DBE" w:rsidR="00F13C83" w:rsidRPr="00B5326E" w:rsidRDefault="0037421E" w:rsidP="00C227BA">
      <w:pPr>
        <w:spacing w:before="120" w:after="120"/>
      </w:pPr>
      <w:r w:rsidRPr="00B5326E">
        <w:t xml:space="preserve">Similarly, the Volunteer program and New Colombo Plan provide opportunities for reinforcing an integrated approach to HRD. </w:t>
      </w:r>
      <w:r w:rsidR="006A5AEA" w:rsidRPr="00B5326E">
        <w:t xml:space="preserve">The Contractor will have a role in </w:t>
      </w:r>
      <w:r w:rsidRPr="00B5326E">
        <w:t>providing advice to DFAT on opportunities to leverage these global programs to support priority sector HRD programs.</w:t>
      </w:r>
    </w:p>
    <w:p w14:paraId="1E29BB67" w14:textId="77777777" w:rsidR="00FD7295" w:rsidRPr="00B5326E" w:rsidRDefault="00FD7295" w:rsidP="00C227BA">
      <w:pPr>
        <w:pStyle w:val="Heading2"/>
        <w:numPr>
          <w:ilvl w:val="0"/>
          <w:numId w:val="0"/>
        </w:numPr>
        <w:spacing w:before="120"/>
        <w:ind w:left="567" w:hanging="567"/>
        <w:rPr>
          <w:rFonts w:asciiTheme="minorHAnsi" w:hAnsiTheme="minorHAnsi"/>
          <w:color w:val="548DD4" w:themeColor="text2" w:themeTint="99"/>
          <w:szCs w:val="24"/>
        </w:rPr>
      </w:pPr>
      <w:r w:rsidRPr="00B5326E">
        <w:rPr>
          <w:rFonts w:asciiTheme="minorHAnsi" w:hAnsiTheme="minorHAnsi"/>
          <w:color w:val="548DD4" w:themeColor="text2" w:themeTint="99"/>
          <w:szCs w:val="24"/>
        </w:rPr>
        <w:t>Australia Awards: Alumni</w:t>
      </w:r>
    </w:p>
    <w:p w14:paraId="2D84355F" w14:textId="2B7204E2" w:rsidR="00FE136A" w:rsidRDefault="00A8557B" w:rsidP="00C227BA">
      <w:pPr>
        <w:spacing w:before="120" w:after="120"/>
        <w:rPr>
          <w:rFonts w:eastAsia="Calibri"/>
        </w:rPr>
      </w:pPr>
      <w:r>
        <w:rPr>
          <w:rFonts w:eastAsia="Calibri"/>
        </w:rPr>
        <w:t xml:space="preserve">Strengthening </w:t>
      </w:r>
      <w:r w:rsidRPr="000616B1">
        <w:rPr>
          <w:rFonts w:eastAsia="Calibri"/>
        </w:rPr>
        <w:t xml:space="preserve">alumni networks </w:t>
      </w:r>
      <w:r>
        <w:rPr>
          <w:rFonts w:eastAsia="Calibri"/>
        </w:rPr>
        <w:t xml:space="preserve">is critical to the success of the global alumni strategy designed </w:t>
      </w:r>
      <w:r w:rsidR="00FE136A" w:rsidRPr="000616B1">
        <w:rPr>
          <w:rFonts w:eastAsia="Calibri"/>
        </w:rPr>
        <w:t>to strengthen people to people and industry links t</w:t>
      </w:r>
      <w:r w:rsidR="00FE136A">
        <w:rPr>
          <w:rFonts w:eastAsia="Calibri"/>
        </w:rPr>
        <w:t xml:space="preserve">o </w:t>
      </w:r>
      <w:r w:rsidR="00FE136A" w:rsidRPr="000616B1">
        <w:rPr>
          <w:rFonts w:eastAsia="Calibri"/>
        </w:rPr>
        <w:t>enhance Australia’s diplomatic, economic and international education interests</w:t>
      </w:r>
      <w:r w:rsidR="00600A17">
        <w:rPr>
          <w:rStyle w:val="FootnoteReference"/>
          <w:rFonts w:eastAsia="Calibri"/>
        </w:rPr>
        <w:footnoteReference w:id="37"/>
      </w:r>
      <w:r w:rsidR="00FE136A" w:rsidRPr="000616B1">
        <w:rPr>
          <w:rFonts w:eastAsia="Calibri"/>
        </w:rPr>
        <w:t xml:space="preserve">. </w:t>
      </w:r>
      <w:r w:rsidR="0023184C">
        <w:rPr>
          <w:rFonts w:eastAsia="Calibri"/>
        </w:rPr>
        <w:t xml:space="preserve">Increasingly, it is recognised that benefits will be optimised </w:t>
      </w:r>
      <w:r w:rsidR="003C1030">
        <w:rPr>
          <w:rFonts w:eastAsia="Calibri"/>
        </w:rPr>
        <w:t>by inclusion of both Australia Awards alumni</w:t>
      </w:r>
      <w:r w:rsidR="0023184C">
        <w:rPr>
          <w:rFonts w:eastAsia="Calibri"/>
        </w:rPr>
        <w:t xml:space="preserve"> and self-funded alumni</w:t>
      </w:r>
      <w:r w:rsidR="003C1030">
        <w:rPr>
          <w:rFonts w:eastAsia="Calibri"/>
        </w:rPr>
        <w:t>.</w:t>
      </w:r>
    </w:p>
    <w:p w14:paraId="42072740" w14:textId="6986E7D3" w:rsidR="00FD7295" w:rsidRPr="00B5326E" w:rsidRDefault="00FD7295" w:rsidP="00C227BA">
      <w:pPr>
        <w:spacing w:before="120" w:after="120"/>
        <w:rPr>
          <w:bCs/>
        </w:rPr>
      </w:pPr>
      <w:r w:rsidRPr="00FE136A">
        <w:rPr>
          <w:rFonts w:eastAsia="Calibri"/>
        </w:rPr>
        <w:t>Individual alumni and alumni organisations are important resources for promoting and supporting HRD,</w:t>
      </w:r>
      <w:r w:rsidRPr="005C0E3B">
        <w:rPr>
          <w:rFonts w:eastAsia="Calibri"/>
        </w:rPr>
        <w:t xml:space="preserve"> as well as providing linkages and networks into both the public and private sectors. Australia Awards alumni associations in many countries support professional development and networking among alumni, and offer an opportunity for alumni to work collectiv</w:t>
      </w:r>
      <w:r w:rsidRPr="00FA5F0F">
        <w:rPr>
          <w:rFonts w:eastAsia="Calibri"/>
        </w:rPr>
        <w:t xml:space="preserve">ely toward the achievement of their respective community, national or regional economic and social development goals. In short, with effective post-award strategies, alumni networks can be major contributors to achieving program outcomes. </w:t>
      </w:r>
    </w:p>
    <w:p w14:paraId="7CD68D83" w14:textId="44C50537" w:rsidR="00FD7295" w:rsidRPr="00B5326E" w:rsidRDefault="00FD7295" w:rsidP="00C227BA">
      <w:pPr>
        <w:spacing w:before="120" w:after="120"/>
        <w:rPr>
          <w:bCs/>
        </w:rPr>
      </w:pPr>
      <w:r w:rsidRPr="00B5326E">
        <w:t>Alumni</w:t>
      </w:r>
      <w:r w:rsidRPr="00B5326E">
        <w:rPr>
          <w:b/>
        </w:rPr>
        <w:t xml:space="preserve"> </w:t>
      </w:r>
      <w:r w:rsidRPr="00B5326E">
        <w:t>activities for Australia Award</w:t>
      </w:r>
      <w:r w:rsidR="004B3B5F">
        <w:t>s</w:t>
      </w:r>
      <w:r w:rsidRPr="00B5326E">
        <w:t xml:space="preserve"> graduates </w:t>
      </w:r>
      <w:r w:rsidRPr="00B5326E">
        <w:rPr>
          <w:bCs/>
        </w:rPr>
        <w:t xml:space="preserve">will build on current alumni </w:t>
      </w:r>
      <w:r w:rsidR="00283FB7" w:rsidRPr="00B5326E">
        <w:rPr>
          <w:bCs/>
        </w:rPr>
        <w:t xml:space="preserve">professional development </w:t>
      </w:r>
      <w:r w:rsidRPr="00B5326E">
        <w:rPr>
          <w:bCs/>
        </w:rPr>
        <w:t>initiatives, such as the A</w:t>
      </w:r>
      <w:r w:rsidR="004B3B5F">
        <w:rPr>
          <w:bCs/>
        </w:rPr>
        <w:t>lumni Conference, Small Grants Scheme, On</w:t>
      </w:r>
      <w:r w:rsidRPr="00B5326E">
        <w:rPr>
          <w:bCs/>
        </w:rPr>
        <w:t>line Journal access, and workshops and networking activities</w:t>
      </w:r>
      <w:r w:rsidR="00283FB7">
        <w:rPr>
          <w:bCs/>
        </w:rPr>
        <w:t>;</w:t>
      </w:r>
      <w:r w:rsidRPr="00B5326E">
        <w:rPr>
          <w:bCs/>
        </w:rPr>
        <w:t xml:space="preserve"> </w:t>
      </w:r>
      <w:r w:rsidR="00283FB7" w:rsidRPr="00B5326E">
        <w:rPr>
          <w:bCs/>
        </w:rPr>
        <w:t xml:space="preserve">and </w:t>
      </w:r>
      <w:r w:rsidR="00283FB7" w:rsidRPr="00B5326E">
        <w:t xml:space="preserve">will also be able to take advantage of DFAT </w:t>
      </w:r>
      <w:r w:rsidR="00283FB7" w:rsidRPr="00B5326E">
        <w:rPr>
          <w:i/>
        </w:rPr>
        <w:t xml:space="preserve">global </w:t>
      </w:r>
      <w:r w:rsidR="00283FB7" w:rsidRPr="00B5326E">
        <w:t>Australia Awards alumni activities.</w:t>
      </w:r>
    </w:p>
    <w:p w14:paraId="4256FCF4" w14:textId="0294CB33" w:rsidR="00707775" w:rsidRDefault="00FD7295" w:rsidP="00C227BA">
      <w:pPr>
        <w:spacing w:before="120" w:after="120"/>
      </w:pPr>
      <w:r w:rsidRPr="00B5326E">
        <w:t xml:space="preserve">There are tens of thousands of Vietnamese graduates of Australian universities and other tertiary institutions – mainly self-funded. </w:t>
      </w:r>
      <w:r w:rsidRPr="008072A9">
        <w:t xml:space="preserve">The VGAC has an estimated 6,000 “listed” members, </w:t>
      </w:r>
      <w:r w:rsidRPr="00B5326E">
        <w:t>and an extensive chapter network</w:t>
      </w:r>
      <w:r w:rsidR="00707775">
        <w:t>, but m</w:t>
      </w:r>
      <w:r w:rsidR="00E07371">
        <w:t>aintaining graduate interest in joining the organisation and sustaining membership numbers is challenging</w:t>
      </w:r>
      <w:r w:rsidR="00707775">
        <w:t>.</w:t>
      </w:r>
      <w:r w:rsidR="00E07371" w:rsidRPr="00B5326E">
        <w:t xml:space="preserve"> </w:t>
      </w:r>
    </w:p>
    <w:p w14:paraId="78AABD4A" w14:textId="2243B9DA" w:rsidR="00CD3BDE" w:rsidRDefault="00FD7295" w:rsidP="00C227BA">
      <w:pPr>
        <w:spacing w:before="120" w:after="120"/>
        <w:rPr>
          <w:bCs/>
        </w:rPr>
      </w:pPr>
      <w:r w:rsidRPr="00B5326E">
        <w:t xml:space="preserve">DFAT Hanoi plans to support the VGAC by locating an Australian Volunteer/s within VGAC in the first year of the 2016-2020 Vietnam HRD Program. </w:t>
      </w:r>
      <w:r w:rsidR="00707775">
        <w:t xml:space="preserve">This will include an assessment of capacity building options, sustainability strategies and transition issues when there is no longer in-country Contractor support available to alumni. </w:t>
      </w:r>
    </w:p>
    <w:p w14:paraId="78C26DD8" w14:textId="5A9B725B" w:rsidR="00DE74D7" w:rsidRPr="00B5326E" w:rsidRDefault="00A7435B" w:rsidP="00C227BA">
      <w:pPr>
        <w:spacing w:before="120" w:after="120"/>
        <w:rPr>
          <w:b/>
          <w:i/>
          <w:color w:val="548DD4" w:themeColor="text2" w:themeTint="99"/>
        </w:rPr>
      </w:pPr>
      <w:r w:rsidRPr="00B5326E">
        <w:rPr>
          <w:b/>
          <w:i/>
          <w:color w:val="548DD4" w:themeColor="text2" w:themeTint="99"/>
        </w:rPr>
        <w:t>Technical Assistance and Other Delivery Modalities</w:t>
      </w:r>
    </w:p>
    <w:p w14:paraId="3AAF4828" w14:textId="77777777" w:rsidR="00631977" w:rsidRPr="00B5326E" w:rsidRDefault="00631977" w:rsidP="00C227BA">
      <w:pPr>
        <w:spacing w:before="120" w:after="120"/>
      </w:pPr>
      <w:r w:rsidRPr="00B5326E">
        <w:t xml:space="preserve">Technical assistance, on-the-job-training/mentoring and informal learning opportunities, including workshops, seminars, study tours, work placements, ad-hoc short courses and visiting lecturers/keynote speakers are the most flexible and responsive capacity building opportunities offered by the design. These modalities would be delivered in-country involving Australian and/or Vietnamese providers. They could be part of a design package within sub programs or one-off assistance needs identified by sector programs. </w:t>
      </w:r>
    </w:p>
    <w:p w14:paraId="6FA2FB80" w14:textId="77777777" w:rsidR="00631977" w:rsidRPr="00B5326E" w:rsidRDefault="00631977" w:rsidP="00C227BA">
      <w:pPr>
        <w:spacing w:before="120" w:after="120"/>
      </w:pPr>
      <w:r w:rsidRPr="00B5326E">
        <w:t>In sourcing appropriate expertise, the Contractor will be required to have access to relevant networks and knowledge of potential Australian partners and capacity in priority AIP sectors.</w:t>
      </w:r>
    </w:p>
    <w:p w14:paraId="7C431083" w14:textId="2F2DE97D" w:rsidR="00631977" w:rsidRPr="00B5326E" w:rsidRDefault="00631977" w:rsidP="00C227BA">
      <w:pPr>
        <w:spacing w:before="120" w:after="120"/>
      </w:pPr>
      <w:r w:rsidRPr="00B5326E">
        <w:t>Typically, technical assistance would involve short</w:t>
      </w:r>
      <w:r w:rsidR="006434AA" w:rsidRPr="00B5326E">
        <w:t>-term</w:t>
      </w:r>
      <w:r w:rsidRPr="00B5326E">
        <w:t xml:space="preserve"> inputs to address specific thematic issues. It is not envisaged there would be demand for long-term TA placements within institutions. ‘Soft’ skills training in leadership</w:t>
      </w:r>
      <w:r w:rsidR="00CD1EB6">
        <w:t xml:space="preserve">, </w:t>
      </w:r>
      <w:r w:rsidRPr="00B5326E">
        <w:t>management</w:t>
      </w:r>
      <w:r w:rsidR="00CD1EB6">
        <w:t xml:space="preserve"> and</w:t>
      </w:r>
      <w:r w:rsidRPr="00B5326E">
        <w:t xml:space="preserve"> team building would most likely be delivered in one-two day programs using locally based providers (which may include Australian presenters).  Blended training offers a potentially good model for both ad hoc and structured training: it could involve face-to-face training combined with practical assignments and video conferencing delivered separately over an extended timeframe.</w:t>
      </w:r>
    </w:p>
    <w:p w14:paraId="18AE5621" w14:textId="77777777" w:rsidR="00A25047" w:rsidRPr="00B5326E" w:rsidRDefault="00A25047" w:rsidP="00C227BA">
      <w:pPr>
        <w:spacing w:before="120" w:after="120"/>
        <w:rPr>
          <w:b/>
          <w:i/>
          <w:color w:val="548DD4" w:themeColor="text2" w:themeTint="99"/>
        </w:rPr>
      </w:pPr>
      <w:r w:rsidRPr="00B5326E">
        <w:rPr>
          <w:b/>
          <w:i/>
          <w:color w:val="548DD4" w:themeColor="text2" w:themeTint="99"/>
        </w:rPr>
        <w:t>Women in development - Leadership Training</w:t>
      </w:r>
    </w:p>
    <w:p w14:paraId="732AF8E4" w14:textId="3B108788" w:rsidR="00A25047" w:rsidRPr="00B5326E" w:rsidRDefault="00FC2307" w:rsidP="00C227BA">
      <w:pPr>
        <w:autoSpaceDE w:val="0"/>
        <w:autoSpaceDN w:val="0"/>
        <w:adjustRightInd w:val="0"/>
        <w:spacing w:before="120" w:after="120"/>
      </w:pPr>
      <w:r w:rsidRPr="00B5326E">
        <w:t xml:space="preserve">The Tracer Studies from 2011 and 2014 </w:t>
      </w:r>
      <w:r w:rsidR="00A25047" w:rsidRPr="00B5326E">
        <w:t>highlighted the need to address barriers and constraints to women’s advancement in the workplace. Awardees study within a chosen discipline within Australia, but with little exposure to senior management figures and approaches to managing and leading teams. Women, in particular, have little exposure to female role models – given their low representation at senior levels in the public sector and universities.</w:t>
      </w:r>
    </w:p>
    <w:p w14:paraId="529B38EA" w14:textId="584C415E" w:rsidR="00A25047" w:rsidRPr="00B5326E" w:rsidRDefault="00A25047" w:rsidP="00C227BA">
      <w:pPr>
        <w:autoSpaceDE w:val="0"/>
        <w:autoSpaceDN w:val="0"/>
        <w:adjustRightInd w:val="0"/>
        <w:spacing w:before="120" w:after="120"/>
      </w:pPr>
      <w:r w:rsidRPr="00B5326E">
        <w:t xml:space="preserve">The </w:t>
      </w:r>
      <w:r w:rsidR="001129B6">
        <w:t>Program</w:t>
      </w:r>
      <w:r w:rsidRPr="00B5326E">
        <w:t xml:space="preserve"> will develop a training course on leadership and management designed to promote competencies</w:t>
      </w:r>
      <w:r w:rsidR="00543231" w:rsidRPr="00B5326E">
        <w:t>, exposure to professional and technical role models</w:t>
      </w:r>
      <w:r w:rsidRPr="00B5326E">
        <w:t xml:space="preserve"> and support for gender equitable leadership models in participant’s organisations. This </w:t>
      </w:r>
      <w:r w:rsidR="00C94D38">
        <w:t xml:space="preserve">is envisaged to </w:t>
      </w:r>
      <w:r w:rsidRPr="00B5326E">
        <w:t>include both in-Australia and in-Vietnam components</w:t>
      </w:r>
      <w:r w:rsidR="00366E2C">
        <w:t xml:space="preserve">, </w:t>
      </w:r>
      <w:r w:rsidR="00366E2C" w:rsidRPr="009D5CC1">
        <w:t>with female awardees likely to have less time for these activities upon return to family responsibilities in Vietnam</w:t>
      </w:r>
      <w:r w:rsidRPr="009D5CC1">
        <w:t>.</w:t>
      </w:r>
      <w:r w:rsidRPr="00B5326E">
        <w:t xml:space="preserve"> </w:t>
      </w:r>
      <w:r w:rsidR="00C94D38">
        <w:t>In the preparatory study for this Design, many female alumni also noted they would appreciate exposure to the more numerous examples of women in senior positions in technical and professional roles.</w:t>
      </w:r>
    </w:p>
    <w:p w14:paraId="27E34D0A" w14:textId="67E201D9" w:rsidR="00A25047" w:rsidRPr="00B5326E" w:rsidRDefault="00A25047" w:rsidP="00C227BA">
      <w:pPr>
        <w:autoSpaceDE w:val="0"/>
        <w:autoSpaceDN w:val="0"/>
        <w:adjustRightInd w:val="0"/>
        <w:spacing w:before="120" w:after="120"/>
      </w:pPr>
      <w:r w:rsidRPr="00B5326E">
        <w:t xml:space="preserve">The Contractor will be responsible for developing the in-country leadership program. </w:t>
      </w:r>
    </w:p>
    <w:p w14:paraId="21ED7F63" w14:textId="6354E9AB" w:rsidR="00A25047" w:rsidRPr="00B5326E" w:rsidRDefault="00897859" w:rsidP="00C227BA">
      <w:pPr>
        <w:spacing w:before="120" w:after="120"/>
      </w:pPr>
      <w:r w:rsidRPr="003B027D">
        <w:t xml:space="preserve">Participation </w:t>
      </w:r>
      <w:r>
        <w:t xml:space="preserve">in the in-country leadership program </w:t>
      </w:r>
      <w:r w:rsidRPr="003B027D">
        <w:t xml:space="preserve">would be open to both female and male </w:t>
      </w:r>
      <w:r>
        <w:t xml:space="preserve">alumni </w:t>
      </w:r>
      <w:r w:rsidRPr="003B027D">
        <w:t xml:space="preserve">candidates </w:t>
      </w:r>
      <w:r>
        <w:t xml:space="preserve">working </w:t>
      </w:r>
      <w:r w:rsidRPr="003B027D">
        <w:t xml:space="preserve">in priority AIP sectors, with preference given to </w:t>
      </w:r>
      <w:r>
        <w:t>Australia Award</w:t>
      </w:r>
      <w:r w:rsidR="006B2580">
        <w:t>s</w:t>
      </w:r>
      <w:r>
        <w:t xml:space="preserve"> </w:t>
      </w:r>
      <w:r w:rsidRPr="003B027D">
        <w:t>alumni</w:t>
      </w:r>
      <w:r>
        <w:t xml:space="preserve"> where demand exceeds available placements. The in-country leadership program is intended to foster consciousness and competencies in gender equitable leadership and management.</w:t>
      </w:r>
      <w:r w:rsidRPr="003B027D">
        <w:t xml:space="preserve"> </w:t>
      </w:r>
      <w:r w:rsidR="00DA0E47" w:rsidRPr="00B5326E">
        <w:t xml:space="preserve">Application would be via a competitive process, including </w:t>
      </w:r>
      <w:r w:rsidR="00CA5B1D">
        <w:t>demonstrated</w:t>
      </w:r>
      <w:r w:rsidR="00DA0E47" w:rsidRPr="00B5326E">
        <w:t xml:space="preserve"> interest in </w:t>
      </w:r>
      <w:r w:rsidR="00CA5B1D">
        <w:t xml:space="preserve">promoting </w:t>
      </w:r>
      <w:r w:rsidR="00DA0E47" w:rsidRPr="00B5326E">
        <w:t xml:space="preserve">gender equitable workplaces. </w:t>
      </w:r>
      <w:r w:rsidR="00A25047" w:rsidRPr="00B5326E">
        <w:t>The course will involve:</w:t>
      </w:r>
    </w:p>
    <w:p w14:paraId="2F3CAD6A" w14:textId="77777777" w:rsidR="00A25047" w:rsidRPr="00B5326E" w:rsidRDefault="00A25047" w:rsidP="00C227BA">
      <w:pPr>
        <w:pStyle w:val="ListParagraph"/>
        <w:numPr>
          <w:ilvl w:val="0"/>
          <w:numId w:val="13"/>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In-Vietnam delivery, including interaction with female and male public/private/academic sector leaders;</w:t>
      </w:r>
    </w:p>
    <w:p w14:paraId="45D59B0B" w14:textId="6AD8B32A" w:rsidR="00A25047" w:rsidRPr="00B5326E" w:rsidRDefault="00C94D38" w:rsidP="00C227BA">
      <w:pPr>
        <w:pStyle w:val="ListParagraph"/>
        <w:numPr>
          <w:ilvl w:val="0"/>
          <w:numId w:val="13"/>
        </w:numPr>
        <w:spacing w:line="240" w:lineRule="auto"/>
        <w:contextualSpacing w:val="0"/>
        <w:rPr>
          <w:rFonts w:asciiTheme="minorHAnsi" w:hAnsiTheme="minorHAnsi"/>
          <w:sz w:val="24"/>
          <w:szCs w:val="24"/>
          <w:lang w:val="en-AU"/>
        </w:rPr>
      </w:pPr>
      <w:r>
        <w:rPr>
          <w:rFonts w:asciiTheme="minorHAnsi" w:hAnsiTheme="minorHAnsi"/>
          <w:sz w:val="24"/>
          <w:szCs w:val="24"/>
          <w:lang w:val="en-AU"/>
        </w:rPr>
        <w:t>In Australia</w:t>
      </w:r>
      <w:r w:rsidR="00A25047" w:rsidRPr="00B5326E">
        <w:rPr>
          <w:rFonts w:asciiTheme="minorHAnsi" w:hAnsiTheme="minorHAnsi"/>
          <w:sz w:val="24"/>
          <w:szCs w:val="24"/>
          <w:lang w:val="en-AU"/>
        </w:rPr>
        <w:t xml:space="preserve"> </w:t>
      </w:r>
      <w:r w:rsidR="006B2580">
        <w:rPr>
          <w:rFonts w:asciiTheme="minorHAnsi" w:hAnsiTheme="minorHAnsi"/>
          <w:sz w:val="24"/>
          <w:szCs w:val="24"/>
          <w:lang w:val="en-AU"/>
        </w:rPr>
        <w:t>on-award engagement strategy</w:t>
      </w:r>
      <w:r w:rsidR="00A25047" w:rsidRPr="00B5326E">
        <w:rPr>
          <w:rFonts w:asciiTheme="minorHAnsi" w:hAnsiTheme="minorHAnsi"/>
          <w:sz w:val="24"/>
          <w:szCs w:val="24"/>
          <w:lang w:val="en-AU"/>
        </w:rPr>
        <w:t xml:space="preserve"> to facilitate awardee contact with male and female sector leaders in Australia; </w:t>
      </w:r>
    </w:p>
    <w:p w14:paraId="2EA9BF2D" w14:textId="77777777" w:rsidR="00A25047" w:rsidRPr="00B5326E" w:rsidRDefault="00A25047" w:rsidP="00C227BA">
      <w:pPr>
        <w:pStyle w:val="ListParagraph"/>
        <w:numPr>
          <w:ilvl w:val="0"/>
          <w:numId w:val="13"/>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Mentoring/workshops/short courses/blended learning</w:t>
      </w:r>
    </w:p>
    <w:p w14:paraId="4117F472" w14:textId="77777777" w:rsidR="00A25047" w:rsidRPr="00B5326E" w:rsidRDefault="00A25047" w:rsidP="00C227BA">
      <w:pPr>
        <w:pStyle w:val="ListParagraph"/>
        <w:numPr>
          <w:ilvl w:val="0"/>
          <w:numId w:val="13"/>
        </w:numPr>
        <w:spacing w:line="240" w:lineRule="auto"/>
        <w:contextualSpacing w:val="0"/>
        <w:rPr>
          <w:lang w:val="en-AU"/>
        </w:rPr>
      </w:pPr>
      <w:r w:rsidRPr="00B5326E">
        <w:rPr>
          <w:rFonts w:asciiTheme="minorHAnsi" w:hAnsiTheme="minorHAnsi"/>
          <w:sz w:val="24"/>
          <w:szCs w:val="24"/>
          <w:lang w:val="en-AU"/>
        </w:rPr>
        <w:t>Academic and policy exchanges and guest lecture program</w:t>
      </w:r>
    </w:p>
    <w:p w14:paraId="68DC5852" w14:textId="24F4E815" w:rsidR="00CA5B1D" w:rsidRDefault="00A25047" w:rsidP="00C227BA">
      <w:pPr>
        <w:autoSpaceDE w:val="0"/>
        <w:autoSpaceDN w:val="0"/>
        <w:adjustRightInd w:val="0"/>
        <w:spacing w:before="120" w:after="120"/>
      </w:pPr>
      <w:r w:rsidRPr="00B5326E">
        <w:t xml:space="preserve">Additionally, the Contractor in consultation with DFAT </w:t>
      </w:r>
      <w:proofErr w:type="gramStart"/>
      <w:r w:rsidRPr="00B5326E">
        <w:t>Hanoi,</w:t>
      </w:r>
      <w:proofErr w:type="gramEnd"/>
      <w:r w:rsidRPr="00B5326E">
        <w:t xml:space="preserve"> will investigate the feasibility of targeting senior cadres in the civil service, by further supporting the Centre for Women in Politics and Public Administration (WiPPA)</w:t>
      </w:r>
      <w:r w:rsidRPr="003B74ED">
        <w:rPr>
          <w:rStyle w:val="FootnoteReference"/>
        </w:rPr>
        <w:footnoteReference w:id="38"/>
      </w:r>
      <w:r w:rsidRPr="003B74ED">
        <w:t xml:space="preserve">, based </w:t>
      </w:r>
      <w:r w:rsidR="006B2580">
        <w:t>within the</w:t>
      </w:r>
      <w:r w:rsidRPr="003B74ED">
        <w:t xml:space="preserve"> Ho Chi Minh National Acade</w:t>
      </w:r>
      <w:r w:rsidRPr="00EA76FF">
        <w:t>my of Politics and Public Administration.</w:t>
      </w:r>
      <w:r w:rsidRPr="00314297">
        <w:t xml:space="preserve"> </w:t>
      </w:r>
      <w:r w:rsidR="00CE1405">
        <w:t xml:space="preserve">WiPPA </w:t>
      </w:r>
      <w:r w:rsidR="00CA5B1D">
        <w:t xml:space="preserve">provides the </w:t>
      </w:r>
      <w:r w:rsidR="00CE1405">
        <w:t xml:space="preserve">most direct channel (among arguably few options) for supporting gender equality and leadership pathways for women within </w:t>
      </w:r>
      <w:r w:rsidR="00366E2C">
        <w:t xml:space="preserve">the </w:t>
      </w:r>
      <w:r w:rsidR="00CE1405">
        <w:t xml:space="preserve">public </w:t>
      </w:r>
      <w:r w:rsidR="00366E2C">
        <w:t xml:space="preserve">sector and public </w:t>
      </w:r>
      <w:r w:rsidR="00CE1405">
        <w:t>administration</w:t>
      </w:r>
      <w:r w:rsidR="0080284D">
        <w:t>, in accord</w:t>
      </w:r>
      <w:r w:rsidR="00366E2C">
        <w:t>ance</w:t>
      </w:r>
      <w:r w:rsidR="0080284D">
        <w:t xml:space="preserve"> with the</w:t>
      </w:r>
      <w:r w:rsidR="00CA5B1D">
        <w:t xml:space="preserve"> </w:t>
      </w:r>
      <w:r w:rsidR="00CE1405">
        <w:t>need</w:t>
      </w:r>
      <w:r w:rsidR="00366E2C">
        <w:t>s</w:t>
      </w:r>
      <w:r w:rsidR="00CE1405">
        <w:t xml:space="preserve"> identified in </w:t>
      </w:r>
      <w:r w:rsidR="00CA5B1D">
        <w:t>a preparatory study for this design</w:t>
      </w:r>
      <w:r w:rsidR="00D77ADD" w:rsidRPr="009D5CC1">
        <w:rPr>
          <w:rStyle w:val="FootnoteReference"/>
        </w:rPr>
        <w:footnoteReference w:id="39"/>
      </w:r>
      <w:r w:rsidR="00B442B6" w:rsidRPr="009D5CC1">
        <w:t>.</w:t>
      </w:r>
      <w:r w:rsidR="00366E2C" w:rsidRPr="009D5CC1">
        <w:t xml:space="preserve"> It also offers scope for supporting a politically accepted centre to work towards a greater acceptance of women as leaders among the most senior strata of political and public sector organisations.</w:t>
      </w:r>
    </w:p>
    <w:p w14:paraId="4F097DC0" w14:textId="0BEAD2EB" w:rsidR="00A25047" w:rsidRPr="004E1408" w:rsidRDefault="006025C0" w:rsidP="00C227BA">
      <w:pPr>
        <w:autoSpaceDE w:val="0"/>
        <w:autoSpaceDN w:val="0"/>
        <w:adjustRightInd w:val="0"/>
        <w:spacing w:before="120" w:after="120"/>
      </w:pPr>
      <w:r w:rsidRPr="00314297">
        <w:t>Th</w:t>
      </w:r>
      <w:r w:rsidR="00B442B6">
        <w:t>e</w:t>
      </w:r>
      <w:r w:rsidRPr="00314297">
        <w:t xml:space="preserve"> Academy provides intensive mode, ‘political’ training to senior civil servants. </w:t>
      </w:r>
      <w:r w:rsidR="00A25047" w:rsidRPr="00B42B3E">
        <w:t>Building on previous donor s</w:t>
      </w:r>
      <w:r w:rsidR="00A25047" w:rsidRPr="008C2305">
        <w:t xml:space="preserve">upport to WiPPA has the advantage that it reaches the decision makers, predominantly men, who are </w:t>
      </w:r>
      <w:r w:rsidR="00A25047" w:rsidRPr="001A0CDA">
        <w:t xml:space="preserve">on track for political candidature in future </w:t>
      </w:r>
      <w:r w:rsidR="00A25047" w:rsidRPr="004E1408">
        <w:t xml:space="preserve">and who have influence over public sector culture. </w:t>
      </w:r>
    </w:p>
    <w:p w14:paraId="3A29FB67" w14:textId="77777777" w:rsidR="00A25047" w:rsidRPr="007A6D7C" w:rsidRDefault="00A25047" w:rsidP="00C227BA">
      <w:pPr>
        <w:autoSpaceDE w:val="0"/>
        <w:autoSpaceDN w:val="0"/>
        <w:adjustRightInd w:val="0"/>
        <w:spacing w:before="120" w:after="120"/>
      </w:pPr>
      <w:r w:rsidRPr="004E1408">
        <w:t>WiPPA’s objective is to provide programs that advance gender equality in the public sector, particularly to promote the increased representation of women in leadership positions. It promotes a model of leadership that takes into account the ‘historical biases’ agains</w:t>
      </w:r>
      <w:r w:rsidRPr="007A6D7C">
        <w:t xml:space="preserve">t women to attain their full potential. </w:t>
      </w:r>
    </w:p>
    <w:p w14:paraId="779E7149" w14:textId="0598EAB0" w:rsidR="00A25047" w:rsidRPr="00B379A4" w:rsidRDefault="00A25047" w:rsidP="00C227BA">
      <w:pPr>
        <w:autoSpaceDE w:val="0"/>
        <w:autoSpaceDN w:val="0"/>
        <w:adjustRightInd w:val="0"/>
        <w:spacing w:before="120" w:after="120"/>
      </w:pPr>
      <w:r w:rsidRPr="00D9325F">
        <w:t xml:space="preserve">WiPPA currently delivers modules on gender equality and gender equitable leadership in the mainstream political curriculum of the HCM Academy. </w:t>
      </w:r>
      <w:r w:rsidR="00075758" w:rsidRPr="00E27B90">
        <w:t>WiPPA</w:t>
      </w:r>
      <w:r w:rsidRPr="00B379A4">
        <w:t xml:space="preserve"> intends to expand its collection of evidence on the impact of the greater representation of women in public sector leadership (at national and subnational levels in Vietnam) to inject into the curriculum. </w:t>
      </w:r>
    </w:p>
    <w:p w14:paraId="0514E458" w14:textId="1C6F1EB6" w:rsidR="00940A7A" w:rsidRDefault="00940A7A" w:rsidP="00C227BA">
      <w:pPr>
        <w:autoSpaceDE w:val="0"/>
        <w:autoSpaceDN w:val="0"/>
        <w:adjustRightInd w:val="0"/>
        <w:spacing w:before="120" w:after="120"/>
      </w:pPr>
      <w:r>
        <w:t>The UNDP provided foundation funding</w:t>
      </w:r>
      <w:r w:rsidR="008722B5" w:rsidRPr="00602A77">
        <w:t xml:space="preserve"> t</w:t>
      </w:r>
      <w:r>
        <w:t>o WiPPA upon its launch in 2013 and is currently planning a review of</w:t>
      </w:r>
      <w:r w:rsidR="008722B5" w:rsidRPr="00602A77">
        <w:t xml:space="preserve"> its first phase </w:t>
      </w:r>
      <w:r w:rsidR="008722B5" w:rsidRPr="00FA40AE">
        <w:t>of support</w:t>
      </w:r>
      <w:r>
        <w:t>.</w:t>
      </w:r>
      <w:r w:rsidR="008722B5" w:rsidRPr="00FA40AE">
        <w:t xml:space="preserve"> UNDP is amenable to collaborating with DFAT on </w:t>
      </w:r>
      <w:r w:rsidR="00067CCB">
        <w:t>the</w:t>
      </w:r>
      <w:r w:rsidR="008722B5" w:rsidRPr="00FA40AE">
        <w:t xml:space="preserve"> review and scoping of future support, including how WiPPA can manage an expanded funding base.  </w:t>
      </w:r>
    </w:p>
    <w:p w14:paraId="4CB6B799" w14:textId="283D7F2B" w:rsidR="00A25047" w:rsidRDefault="0000238C" w:rsidP="00C227BA">
      <w:pPr>
        <w:autoSpaceDE w:val="0"/>
        <w:autoSpaceDN w:val="0"/>
        <w:adjustRightInd w:val="0"/>
        <w:spacing w:before="120" w:after="120"/>
      </w:pPr>
      <w:r>
        <w:rPr>
          <w:noProof/>
          <w:lang w:eastAsia="en-AU"/>
        </w:rPr>
        <mc:AlternateContent>
          <mc:Choice Requires="wps">
            <w:drawing>
              <wp:anchor distT="0" distB="0" distL="114300" distR="114300" simplePos="0" relativeHeight="251659264" behindDoc="0" locked="0" layoutInCell="1" allowOverlap="1" wp14:anchorId="641FAB99" wp14:editId="71CD4A07">
                <wp:simplePos x="0" y="0"/>
                <wp:positionH relativeFrom="column">
                  <wp:posOffset>114935</wp:posOffset>
                </wp:positionH>
                <wp:positionV relativeFrom="paragraph">
                  <wp:posOffset>1242695</wp:posOffset>
                </wp:positionV>
                <wp:extent cx="5029200" cy="6715125"/>
                <wp:effectExtent l="19050" t="1905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5029200" cy="6715125"/>
                        </a:xfrm>
                        <a:prstGeom prst="rect">
                          <a:avLst/>
                        </a:prstGeom>
                        <a:noFill/>
                        <a:ln w="28575">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9F292" w14:textId="63123A28" w:rsidR="001129B6" w:rsidRPr="00A0139D" w:rsidRDefault="001129B6" w:rsidP="00E26F5B">
                            <w:pPr>
                              <w:jc w:val="center"/>
                              <w:rPr>
                                <w:b/>
                              </w:rPr>
                            </w:pPr>
                            <w:r w:rsidRPr="00A0139D">
                              <w:rPr>
                                <w:b/>
                              </w:rPr>
                              <w:t>BOX 1:  POLICY DIALOGUE</w:t>
                            </w:r>
                          </w:p>
                          <w:p w14:paraId="029F5B3F" w14:textId="77777777" w:rsidR="001129B6" w:rsidRPr="00A0139D" w:rsidRDefault="001129B6" w:rsidP="00E26F5B">
                            <w:pPr>
                              <w:jc w:val="center"/>
                            </w:pPr>
                          </w:p>
                          <w:p w14:paraId="538BC222" w14:textId="5C66856C" w:rsidR="001129B6" w:rsidRPr="00A0139D" w:rsidRDefault="001129B6" w:rsidP="00D45A33">
                            <w:r w:rsidRPr="00A0139D">
                              <w:rPr>
                                <w:rFonts w:eastAsiaTheme="minorHAnsi"/>
                              </w:rPr>
                              <w:t xml:space="preserve">The design of the </w:t>
                            </w:r>
                            <w:r>
                              <w:rPr>
                                <w:rFonts w:eastAsiaTheme="minorHAnsi"/>
                              </w:rPr>
                              <w:t>Vietnam-Australia Partnership on HRD</w:t>
                            </w:r>
                            <w:r w:rsidRPr="00A0139D">
                              <w:rPr>
                                <w:rFonts w:eastAsiaTheme="minorHAnsi"/>
                              </w:rPr>
                              <w:t xml:space="preserve"> assumes a more strategic role for DFAT Hanoi in policy analysis and policy dialogue working in concert with the Contractor to identify </w:t>
                            </w:r>
                            <w:r w:rsidRPr="00A0139D">
                              <w:t xml:space="preserve">key sector partners and </w:t>
                            </w:r>
                            <w:r w:rsidRPr="00A0139D">
                              <w:rPr>
                                <w:rFonts w:eastAsiaTheme="minorHAnsi"/>
                              </w:rPr>
                              <w:t>priority areas for engagement to advance Australian aid</w:t>
                            </w:r>
                            <w:r>
                              <w:rPr>
                                <w:rFonts w:eastAsiaTheme="minorHAnsi"/>
                              </w:rPr>
                              <w:t>,</w:t>
                            </w:r>
                            <w:r w:rsidRPr="00A0139D">
                              <w:rPr>
                                <w:rFonts w:eastAsiaTheme="minorHAnsi"/>
                              </w:rPr>
                              <w:t xml:space="preserve"> economic and diplomacy objectives.</w:t>
                            </w:r>
                            <w:r w:rsidRPr="00A0139D">
                              <w:t xml:space="preserve"> </w:t>
                            </w:r>
                          </w:p>
                          <w:p w14:paraId="69CAE9EA" w14:textId="77777777" w:rsidR="001129B6" w:rsidRDefault="001129B6" w:rsidP="00A21F56"/>
                          <w:p w14:paraId="287CA521" w14:textId="232ADA97" w:rsidR="001129B6" w:rsidRPr="00A0139D" w:rsidRDefault="001129B6" w:rsidP="00A21F56">
                            <w:r>
                              <w:t xml:space="preserve">While the different Australian Government agencies involved in education in Vietnam – Australia’s Department of Education and Training, Austrade and DFAT – have their own agency-specific objectives, this combined Australian effort should build rapport, promote goodwill, and provide mutual benefits in the education sector between Australia and Vietnam. DFAT’s focus areas of policy dialogue include: higher education and TVET, social inclusion, and private sector development. </w:t>
                            </w:r>
                          </w:p>
                          <w:p w14:paraId="789DDAF9" w14:textId="77777777" w:rsidR="001129B6" w:rsidRDefault="001129B6" w:rsidP="0000238C"/>
                          <w:p w14:paraId="10117F3D" w14:textId="77777777" w:rsidR="001129B6" w:rsidRDefault="001129B6" w:rsidP="0000238C">
                            <w:r w:rsidRPr="00A0139D">
                              <w:t xml:space="preserve">Opportunities for policy dialogue include GOV education and economic counterparts, private sector partners, Australian WOG partners and other development partners with common objectives in Vietnam. It is envisaged this will help build relationships and key sector knowledge through a deeper understanding of stakeholder interests; identify opportunities for collaboration/avoid duplication of efforts; and to anticipate and mitigate risk. </w:t>
                            </w:r>
                          </w:p>
                          <w:p w14:paraId="29CE3E16" w14:textId="77777777" w:rsidR="001129B6" w:rsidRPr="00A0139D" w:rsidRDefault="001129B6" w:rsidP="00A21F56"/>
                          <w:p w14:paraId="7BA0B1BC" w14:textId="0118BB5C" w:rsidR="001129B6" w:rsidRPr="00A0139D" w:rsidRDefault="001129B6" w:rsidP="00CB5983">
                            <w:r w:rsidRPr="00A0139D">
                              <w:t>Potential support for reform</w:t>
                            </w:r>
                            <w:r>
                              <w:t>,</w:t>
                            </w:r>
                            <w:r w:rsidRPr="00A0139D">
                              <w:t xml:space="preserve"> strengthening </w:t>
                            </w:r>
                            <w:r w:rsidRPr="009D5CC1">
                              <w:t>and inclusiveness of</w:t>
                            </w:r>
                            <w:r w:rsidRPr="00A0139D">
                              <w:t xml:space="preserve"> the TVET sector offers scope for engagement with business and business sector organisations to provide greater understanding of development opportunities for further supporting private sector led economic growth as well as supporting Australia’s</w:t>
                            </w:r>
                            <w:r w:rsidRPr="00A0139D">
                              <w:rPr>
                                <w:rFonts w:eastAsia="Calibri"/>
                              </w:rPr>
                              <w:t xml:space="preserve"> international education interests.</w:t>
                            </w:r>
                          </w:p>
                          <w:p w14:paraId="5E16A09A" w14:textId="77777777" w:rsidR="001129B6" w:rsidRPr="00A0139D" w:rsidRDefault="001129B6" w:rsidP="00A21F56"/>
                          <w:p w14:paraId="088872CE" w14:textId="34DBA80E" w:rsidR="001129B6" w:rsidRPr="00A0139D" w:rsidRDefault="001129B6" w:rsidP="00E37ECC">
                            <w:r w:rsidRPr="00A0139D">
                              <w:t>Since the mid-1970’s, approximately 4</w:t>
                            </w:r>
                            <w:r>
                              <w:t>,5</w:t>
                            </w:r>
                            <w:r w:rsidRPr="00A0139D">
                              <w:t>00 Australia Awards Scholarship</w:t>
                            </w:r>
                            <w:r>
                              <w:t>s</w:t>
                            </w:r>
                            <w:r w:rsidRPr="00A0139D">
                              <w:t xml:space="preserve"> alumni have returned to Vietnam after successfully completing their tertiary studies in Australia. Perhaps another 40,000 alumni have been privately funded. These alumni are a potentially significant resource for strengthening Australia’s economic, diplomatic and social engagement with Vietnam.</w:t>
                            </w:r>
                            <w:r>
                              <w:t xml:space="preserve"> Australia will utilise its strong network of alumni, volunteers, and New Colombo Plan alumni to leverage policy dialogue. </w:t>
                            </w:r>
                          </w:p>
                          <w:p w14:paraId="083A09B2" w14:textId="33A36872" w:rsidR="001129B6" w:rsidRPr="00A0139D" w:rsidRDefault="001129B6" w:rsidP="00D45A33"/>
                          <w:p w14:paraId="6C04A551" w14:textId="77777777" w:rsidR="001129B6" w:rsidRPr="00A0139D" w:rsidRDefault="001129B6" w:rsidP="006D6210">
                            <w:pPr>
                              <w:pStyle w:val="BulletPoints"/>
                              <w:numPr>
                                <w:ilvl w:val="0"/>
                                <w:numId w:val="0"/>
                              </w:numPr>
                              <w:rPr>
                                <w:rFonts w:asciiTheme="minorHAnsi" w:eastAsiaTheme="minorHAnsi" w:hAnsiTheme="minorHAnsi"/>
                                <w:sz w:val="24"/>
                                <w:szCs w:val="24"/>
                                <w:lang w:eastAsia="en-US"/>
                              </w:rPr>
                            </w:pPr>
                          </w:p>
                          <w:p w14:paraId="6E5D6457" w14:textId="48448D6D" w:rsidR="001129B6" w:rsidRPr="00A0139D" w:rsidRDefault="001129B6" w:rsidP="006D62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5pt;margin-top:97.85pt;width:396pt;height:5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" filled="f" strokecolor="black [3213]" strokeweight="2.25pt">
                <v:textbox>
                  <w:txbxContent>
                    <w:p w14:paraId="1649F292" w14:textId="63123A28" w:rsidR="00A2401A" w:rsidRPr="00A0139D" w:rsidRDefault="00A2401A" w:rsidP="00E26F5B">
                      <w:pPr>
                        <w:jc w:val="center"/>
                        <w:rPr>
                          <w:b/>
                        </w:rPr>
                      </w:pPr>
                      <w:r w:rsidRPr="00A0139D">
                        <w:rPr>
                          <w:b/>
                        </w:rPr>
                        <w:t>BOX 1:  POLICY DIALOGUE</w:t>
                      </w:r>
                    </w:p>
                    <w:p w14:paraId="029F5B3F" w14:textId="77777777" w:rsidR="00A2401A" w:rsidRPr="00A0139D" w:rsidRDefault="00A2401A" w:rsidP="00E26F5B">
                      <w:pPr>
                        <w:jc w:val="center"/>
                      </w:pPr>
                    </w:p>
                    <w:p w14:paraId="538BC222" w14:textId="5C66856C" w:rsidR="00A2401A" w:rsidRPr="00A0139D" w:rsidRDefault="00A2401A" w:rsidP="00D45A33">
                      <w:r w:rsidRPr="00A0139D">
                        <w:rPr>
                          <w:rFonts w:eastAsiaTheme="minorHAnsi"/>
                        </w:rPr>
                        <w:t xml:space="preserve">The design of the </w:t>
                      </w:r>
                      <w:r>
                        <w:rPr>
                          <w:rFonts w:eastAsiaTheme="minorHAnsi"/>
                        </w:rPr>
                        <w:t>Vietnam-Australia Partnership on HRD</w:t>
                      </w:r>
                      <w:r w:rsidRPr="00A0139D">
                        <w:rPr>
                          <w:rFonts w:eastAsiaTheme="minorHAnsi"/>
                        </w:rPr>
                        <w:t xml:space="preserve"> assumes a more strategic role for DFAT Hanoi in policy analysis and policy dialogue working in concert with the Contractor to identify </w:t>
                      </w:r>
                      <w:r w:rsidRPr="00A0139D">
                        <w:t xml:space="preserve">key sector partners and </w:t>
                      </w:r>
                      <w:r w:rsidRPr="00A0139D">
                        <w:rPr>
                          <w:rFonts w:eastAsiaTheme="minorHAnsi"/>
                        </w:rPr>
                        <w:t>priority areas for engagement to advance Australian aid</w:t>
                      </w:r>
                      <w:r>
                        <w:rPr>
                          <w:rFonts w:eastAsiaTheme="minorHAnsi"/>
                        </w:rPr>
                        <w:t>,</w:t>
                      </w:r>
                      <w:r w:rsidRPr="00A0139D">
                        <w:rPr>
                          <w:rFonts w:eastAsiaTheme="minorHAnsi"/>
                        </w:rPr>
                        <w:t xml:space="preserve"> economic and diplomacy objectives.</w:t>
                      </w:r>
                      <w:r w:rsidRPr="00A0139D">
                        <w:t xml:space="preserve"> </w:t>
                      </w:r>
                    </w:p>
                    <w:p w14:paraId="69CAE9EA" w14:textId="77777777" w:rsidR="00A2401A" w:rsidRDefault="00A2401A" w:rsidP="00A21F56"/>
                    <w:p w14:paraId="287CA521" w14:textId="232ADA97" w:rsidR="00A2401A" w:rsidRPr="00A0139D" w:rsidRDefault="00A2401A" w:rsidP="00A21F56">
                      <w:r>
                        <w:t xml:space="preserve">While the different Australian Government agencies involved in education in Vietnam – Australia’s Department of Education and Training, Austrade and DFAT – have their own agency-specific objectives, this combined Australian effort should build rapport, promote goodwill, and provide mutual benefits in the education sector between Australia and Vietnam. DFAT’s focus areas of policy dialogue include: higher education and TVET, social inclusion, and private sector development. </w:t>
                      </w:r>
                    </w:p>
                    <w:p w14:paraId="789DDAF9" w14:textId="77777777" w:rsidR="00A2401A" w:rsidRDefault="00A2401A" w:rsidP="0000238C"/>
                    <w:p w14:paraId="10117F3D" w14:textId="77777777" w:rsidR="00A2401A" w:rsidRDefault="00A2401A" w:rsidP="0000238C">
                      <w:r w:rsidRPr="00A0139D">
                        <w:t xml:space="preserve">Opportunities for policy dialogue include GOV education and economic counterparts, private sector partners, Australian WOG partners and other development partners with common objectives in Vietnam. It is envisaged this will help build relationships and key sector knowledge through a deeper understanding of stakeholder interests; identify opportunities for collaboration/avoid duplication of efforts; and to anticipate and mitigate risk. </w:t>
                      </w:r>
                    </w:p>
                    <w:p w14:paraId="29CE3E16" w14:textId="77777777" w:rsidR="00A2401A" w:rsidRPr="00A0139D" w:rsidRDefault="00A2401A" w:rsidP="00A21F56"/>
                    <w:p w14:paraId="7BA0B1BC" w14:textId="0118BB5C" w:rsidR="00A2401A" w:rsidRPr="00A0139D" w:rsidRDefault="00A2401A" w:rsidP="00CB5983">
                      <w:r w:rsidRPr="00A0139D">
                        <w:t>Potential support for reform</w:t>
                      </w:r>
                      <w:r>
                        <w:t>,</w:t>
                      </w:r>
                      <w:r w:rsidRPr="00A0139D">
                        <w:t xml:space="preserve"> strengthening </w:t>
                      </w:r>
                      <w:r w:rsidRPr="009D5CC1">
                        <w:t>and inclusiveness of</w:t>
                      </w:r>
                      <w:r w:rsidRPr="00A0139D">
                        <w:t xml:space="preserve"> the TVET sector offers scope for engagement with business and business sector organisations to provide greater understanding of development opportunities for further supporting private sector led economic growth as well as supporting Australia’s</w:t>
                      </w:r>
                      <w:r w:rsidRPr="00A0139D">
                        <w:rPr>
                          <w:rFonts w:eastAsia="Calibri"/>
                        </w:rPr>
                        <w:t xml:space="preserve"> international education interests.</w:t>
                      </w:r>
                    </w:p>
                    <w:p w14:paraId="5E16A09A" w14:textId="77777777" w:rsidR="00A2401A" w:rsidRPr="00A0139D" w:rsidRDefault="00A2401A" w:rsidP="00A21F56"/>
                    <w:p w14:paraId="088872CE" w14:textId="34DBA80E" w:rsidR="00A2401A" w:rsidRPr="00A0139D" w:rsidRDefault="00A2401A" w:rsidP="00E37ECC">
                      <w:r w:rsidRPr="00A0139D">
                        <w:t>Since the mid-1970’s, approximately 4</w:t>
                      </w:r>
                      <w:r>
                        <w:t>,5</w:t>
                      </w:r>
                      <w:r w:rsidRPr="00A0139D">
                        <w:t>00 Australia Awards Scholarship</w:t>
                      </w:r>
                      <w:r>
                        <w:t>s</w:t>
                      </w:r>
                      <w:r w:rsidRPr="00A0139D">
                        <w:t xml:space="preserve"> alumni have returned to Vietnam after successfully completing their tertiary studies in Australia. Perhaps another 40,000 alumni have been privately funded. These alumni are a potentially significant resource for strengthening Australia’s economic, diplomatic and social engagement with Vietnam.</w:t>
                      </w:r>
                      <w:r>
                        <w:t xml:space="preserve"> Australia will utilise its strong network of alumni, volunteers, and New Colombo Plan alumni to leverage policy dialogue. </w:t>
                      </w:r>
                    </w:p>
                    <w:p w14:paraId="083A09B2" w14:textId="33A36872" w:rsidR="00A2401A" w:rsidRPr="00A0139D" w:rsidRDefault="00A2401A" w:rsidP="00D45A33"/>
                    <w:p w14:paraId="6C04A551" w14:textId="77777777" w:rsidR="00A2401A" w:rsidRPr="00A0139D" w:rsidRDefault="00A2401A" w:rsidP="006D6210">
                      <w:pPr>
                        <w:pStyle w:val="BulletPoints"/>
                        <w:numPr>
                          <w:ilvl w:val="0"/>
                          <w:numId w:val="0"/>
                        </w:numPr>
                        <w:rPr>
                          <w:rFonts w:asciiTheme="minorHAnsi" w:eastAsiaTheme="minorHAnsi" w:hAnsiTheme="minorHAnsi"/>
                          <w:sz w:val="24"/>
                          <w:szCs w:val="24"/>
                          <w:lang w:eastAsia="en-US"/>
                        </w:rPr>
                      </w:pPr>
                    </w:p>
                    <w:p w14:paraId="6E5D6457" w14:textId="48448D6D" w:rsidR="00A2401A" w:rsidRPr="00A0139D" w:rsidRDefault="00A2401A" w:rsidP="006D6210">
                      <w:pPr>
                        <w:jc w:val="center"/>
                      </w:pPr>
                    </w:p>
                  </w:txbxContent>
                </v:textbox>
                <w10:wrap type="square"/>
              </v:shape>
            </w:pict>
          </mc:Fallback>
        </mc:AlternateContent>
      </w:r>
      <w:r w:rsidR="00A25047" w:rsidRPr="00FA40AE">
        <w:t>Support to WiPPA, if assessed as feasible, could involve assistance in the desi</w:t>
      </w:r>
      <w:r w:rsidR="00A25047" w:rsidRPr="00F4554A">
        <w:t>gn and delivery of evidence based short course training, research, and gender mainstreaming of the curriculum for the political elite on gender equitable leadership. It also offers the opportunity for academic partnership, exchange and guest lecturing with Australian academic and political institutions.</w:t>
      </w:r>
    </w:p>
    <w:p w14:paraId="7125BE1B" w14:textId="28611ED3" w:rsidR="00534CE6" w:rsidRPr="00AC2382" w:rsidRDefault="006B2580" w:rsidP="00AC2382">
      <w:pPr>
        <w:pStyle w:val="Heading2"/>
        <w:rPr>
          <w:rFonts w:asciiTheme="minorHAnsi" w:hAnsiTheme="minorHAnsi"/>
          <w:i w:val="0"/>
          <w:color w:val="4F81BD" w:themeColor="accent1"/>
        </w:rPr>
      </w:pPr>
      <w:r>
        <w:br w:type="page"/>
      </w:r>
      <w:r w:rsidR="00534CE6" w:rsidRPr="00AC2382">
        <w:rPr>
          <w:rFonts w:asciiTheme="minorHAnsi" w:hAnsiTheme="minorHAnsi"/>
          <w:i w:val="0"/>
          <w:color w:val="4F81BD" w:themeColor="accent1"/>
        </w:rPr>
        <w:t>Budget and Resources</w:t>
      </w:r>
    </w:p>
    <w:p w14:paraId="6AB01449" w14:textId="6B145EB0" w:rsidR="00534CE6" w:rsidRPr="00EA76FF" w:rsidRDefault="00534CE6" w:rsidP="00C227BA">
      <w:pPr>
        <w:spacing w:before="120" w:after="120"/>
        <w:rPr>
          <w:rFonts w:eastAsia="SimSun"/>
          <w:color w:val="000000" w:themeColor="text1"/>
        </w:rPr>
      </w:pPr>
      <w:r w:rsidRPr="00274EF2">
        <w:rPr>
          <w:rFonts w:eastAsia="SimSun"/>
          <w:color w:val="000000" w:themeColor="text1"/>
        </w:rPr>
        <w:t>Available funding and the phasing of expenditure will determine the extent and timing of new activities that can</w:t>
      </w:r>
      <w:r w:rsidR="00BF6979">
        <w:rPr>
          <w:rFonts w:eastAsia="SimSun"/>
          <w:color w:val="000000" w:themeColor="text1"/>
        </w:rPr>
        <w:t xml:space="preserve"> be implemented. </w:t>
      </w:r>
    </w:p>
    <w:p w14:paraId="0F9289AD" w14:textId="620519B3" w:rsidR="00AC2A75" w:rsidRPr="00B5326E" w:rsidRDefault="00534CE6" w:rsidP="00C227BA">
      <w:pPr>
        <w:spacing w:before="120" w:after="120"/>
      </w:pPr>
      <w:r w:rsidRPr="00B5326E">
        <w:rPr>
          <w:rFonts w:eastAsia="SimSun"/>
          <w:color w:val="000000" w:themeColor="text1"/>
        </w:rPr>
        <w:t xml:space="preserve">Based on current experience, Contractor management, ELT and alumni activity costs, are expected to account for the majority of the available in-Vietnam budget in Years 1 and 2. </w:t>
      </w:r>
      <w:r w:rsidRPr="00B5326E">
        <w:t xml:space="preserve">The exact </w:t>
      </w:r>
      <w:r w:rsidR="00610A73" w:rsidRPr="00B5326E">
        <w:t xml:space="preserve">Contractor </w:t>
      </w:r>
      <w:r w:rsidRPr="00B5326E">
        <w:t>cost</w:t>
      </w:r>
      <w:r w:rsidR="00610A73" w:rsidRPr="00B5326E">
        <w:t>s</w:t>
      </w:r>
      <w:r w:rsidRPr="00B5326E">
        <w:t xml:space="preserve"> will be determined through a public tender process and will be influenced by the staffing mix proposed by the </w:t>
      </w:r>
      <w:r w:rsidR="00DD1D39" w:rsidRPr="00B5326E">
        <w:t>C</w:t>
      </w:r>
      <w:r w:rsidRPr="00B5326E">
        <w:t xml:space="preserve">ontractor selected via that process. </w:t>
      </w:r>
    </w:p>
    <w:p w14:paraId="67391FEE" w14:textId="3525764A" w:rsidR="00534CE6" w:rsidRPr="00B5326E" w:rsidRDefault="00DB31B4" w:rsidP="00C227BA">
      <w:pPr>
        <w:spacing w:before="120" w:after="120"/>
        <w:rPr>
          <w:rFonts w:eastAsia="SimSun"/>
          <w:color w:val="000000" w:themeColor="text1"/>
        </w:rPr>
      </w:pPr>
      <w:r w:rsidRPr="00B5326E">
        <w:rPr>
          <w:rFonts w:eastAsia="SimSun"/>
          <w:color w:val="000000" w:themeColor="text1"/>
        </w:rPr>
        <w:t>A</w:t>
      </w:r>
      <w:r w:rsidR="00534CE6" w:rsidRPr="00B5326E">
        <w:rPr>
          <w:rFonts w:eastAsia="SimSun"/>
          <w:color w:val="000000" w:themeColor="text1"/>
        </w:rPr>
        <w:t xml:space="preserve">side from </w:t>
      </w:r>
      <w:r w:rsidRPr="00B5326E">
        <w:rPr>
          <w:rFonts w:eastAsia="SimSun"/>
          <w:color w:val="000000" w:themeColor="text1"/>
        </w:rPr>
        <w:t xml:space="preserve">AAS and alumni activities, </w:t>
      </w:r>
      <w:r w:rsidR="00534CE6" w:rsidRPr="00B5326E">
        <w:rPr>
          <w:rFonts w:eastAsia="SimSun"/>
          <w:color w:val="000000" w:themeColor="text1"/>
        </w:rPr>
        <w:t xml:space="preserve">it is </w:t>
      </w:r>
      <w:r w:rsidR="00C6406A" w:rsidRPr="00B5326E">
        <w:rPr>
          <w:rFonts w:eastAsia="SimSun"/>
          <w:color w:val="000000" w:themeColor="text1"/>
        </w:rPr>
        <w:t xml:space="preserve">expected </w:t>
      </w:r>
      <w:r w:rsidR="00534CE6" w:rsidRPr="00B5326E">
        <w:rPr>
          <w:rFonts w:eastAsia="SimSun"/>
          <w:color w:val="000000" w:themeColor="text1"/>
        </w:rPr>
        <w:t xml:space="preserve">there will be limited scope for new activities in the first two years of implementation. </w:t>
      </w:r>
      <w:r w:rsidR="00DA297D" w:rsidRPr="00B5326E">
        <w:rPr>
          <w:rFonts w:eastAsia="SimSun"/>
          <w:color w:val="000000" w:themeColor="text1"/>
        </w:rPr>
        <w:t>T</w:t>
      </w:r>
      <w:r w:rsidR="00534CE6" w:rsidRPr="00B5326E">
        <w:rPr>
          <w:rFonts w:eastAsia="SimSun"/>
          <w:color w:val="000000" w:themeColor="text1"/>
        </w:rPr>
        <w:t xml:space="preserve">his likely delay in available budget </w:t>
      </w:r>
      <w:r w:rsidR="009628F8" w:rsidRPr="00B5326E">
        <w:rPr>
          <w:rFonts w:eastAsia="SimSun"/>
          <w:color w:val="000000" w:themeColor="text1"/>
        </w:rPr>
        <w:t xml:space="preserve">does, however, </w:t>
      </w:r>
      <w:r w:rsidR="00534CE6" w:rsidRPr="00B5326E">
        <w:rPr>
          <w:rFonts w:eastAsia="SimSun"/>
          <w:color w:val="000000" w:themeColor="text1"/>
        </w:rPr>
        <w:t xml:space="preserve">provide the opportunity for detailed investigation </w:t>
      </w:r>
      <w:r w:rsidR="00AC2A75" w:rsidRPr="00B5326E">
        <w:rPr>
          <w:rFonts w:eastAsia="SimSun"/>
          <w:color w:val="000000" w:themeColor="text1"/>
        </w:rPr>
        <w:t xml:space="preserve">and preparation </w:t>
      </w:r>
      <w:r w:rsidR="00534CE6" w:rsidRPr="00B5326E">
        <w:rPr>
          <w:rFonts w:eastAsia="SimSun"/>
          <w:color w:val="000000" w:themeColor="text1"/>
        </w:rPr>
        <w:t>of sub program</w:t>
      </w:r>
      <w:r w:rsidR="00AC2A75" w:rsidRPr="00B5326E">
        <w:rPr>
          <w:rFonts w:eastAsia="SimSun"/>
          <w:color w:val="000000" w:themeColor="text1"/>
        </w:rPr>
        <w:t xml:space="preserve">s and analysis of the most appropriate delivery modalities </w:t>
      </w:r>
      <w:r w:rsidR="00534CE6" w:rsidRPr="00B5326E">
        <w:rPr>
          <w:rFonts w:eastAsia="SimSun"/>
          <w:color w:val="000000" w:themeColor="text1"/>
        </w:rPr>
        <w:t xml:space="preserve">for </w:t>
      </w:r>
      <w:r w:rsidR="00DA297D" w:rsidRPr="00B5326E">
        <w:rPr>
          <w:rFonts w:eastAsia="SimSun"/>
          <w:color w:val="000000" w:themeColor="text1"/>
        </w:rPr>
        <w:t xml:space="preserve">broader based </w:t>
      </w:r>
      <w:r w:rsidR="00534CE6" w:rsidRPr="00B5326E">
        <w:rPr>
          <w:rFonts w:eastAsia="SimSun"/>
          <w:color w:val="000000" w:themeColor="text1"/>
        </w:rPr>
        <w:t>HRD</w:t>
      </w:r>
      <w:r w:rsidR="00B35CBC" w:rsidRPr="00B5326E">
        <w:rPr>
          <w:rFonts w:eastAsia="SimSun"/>
          <w:color w:val="000000" w:themeColor="text1"/>
        </w:rPr>
        <w:t xml:space="preserve"> </w:t>
      </w:r>
      <w:r w:rsidR="00AC2A75" w:rsidRPr="00B5326E">
        <w:rPr>
          <w:rFonts w:eastAsia="SimSun"/>
          <w:color w:val="000000" w:themeColor="text1"/>
        </w:rPr>
        <w:t>support to target institutions.</w:t>
      </w:r>
    </w:p>
    <w:p w14:paraId="158ADC5C" w14:textId="2D76126A" w:rsidR="00534CE6" w:rsidRPr="00B5326E" w:rsidRDefault="00534CE6" w:rsidP="00C227BA">
      <w:pPr>
        <w:spacing w:before="120" w:after="120"/>
        <w:rPr>
          <w:rFonts w:eastAsia="SimSun"/>
          <w:color w:val="000000" w:themeColor="text1"/>
        </w:rPr>
      </w:pPr>
      <w:r w:rsidRPr="00B5326E">
        <w:rPr>
          <w:rFonts w:eastAsia="SimSun"/>
          <w:color w:val="000000" w:themeColor="text1"/>
        </w:rPr>
        <w:t>There are significant differences in the direct costs of delivering Australia Awards, as shown by the indicative costs summarised below (early-2014 estimates):</w:t>
      </w:r>
    </w:p>
    <w:p w14:paraId="0B34624F" w14:textId="77777777" w:rsidR="00534CE6" w:rsidRPr="00AC2382" w:rsidRDefault="00534CE6" w:rsidP="00C227BA">
      <w:pPr>
        <w:pStyle w:val="ListParagraph"/>
        <w:numPr>
          <w:ilvl w:val="0"/>
          <w:numId w:val="10"/>
        </w:numPr>
        <w:tabs>
          <w:tab w:val="left" w:pos="4962"/>
        </w:tabs>
        <w:spacing w:line="240" w:lineRule="auto"/>
        <w:ind w:left="284" w:hanging="284"/>
        <w:contextualSpacing w:val="0"/>
        <w:rPr>
          <w:rFonts w:asciiTheme="minorHAnsi" w:eastAsia="SimSun" w:hAnsiTheme="minorHAnsi"/>
          <w:color w:val="000000" w:themeColor="text1"/>
          <w:sz w:val="20"/>
          <w:szCs w:val="20"/>
          <w:lang w:val="en-AU" w:eastAsia="en-US"/>
        </w:rPr>
      </w:pPr>
      <w:r w:rsidRPr="00AC2382">
        <w:rPr>
          <w:rFonts w:asciiTheme="minorHAnsi" w:eastAsia="SimSun" w:hAnsiTheme="minorHAnsi"/>
          <w:color w:val="000000" w:themeColor="text1"/>
          <w:sz w:val="20"/>
          <w:szCs w:val="20"/>
          <w:lang w:val="en-AU" w:eastAsia="en-US"/>
        </w:rPr>
        <w:t>Five-year PhD:</w:t>
      </w:r>
      <w:r w:rsidRPr="00AC2382">
        <w:rPr>
          <w:rFonts w:asciiTheme="minorHAnsi" w:eastAsia="SimSun" w:hAnsiTheme="minorHAnsi"/>
          <w:color w:val="000000" w:themeColor="text1"/>
          <w:sz w:val="20"/>
          <w:szCs w:val="20"/>
          <w:lang w:val="en-AU" w:eastAsia="en-US"/>
        </w:rPr>
        <w:tab/>
        <w:t>$295,000</w:t>
      </w:r>
    </w:p>
    <w:p w14:paraId="73AC1C9B" w14:textId="77777777" w:rsidR="00534CE6" w:rsidRPr="00AC2382" w:rsidRDefault="00534CE6" w:rsidP="00C227BA">
      <w:pPr>
        <w:pStyle w:val="ListParagraph"/>
        <w:numPr>
          <w:ilvl w:val="0"/>
          <w:numId w:val="10"/>
        </w:numPr>
        <w:tabs>
          <w:tab w:val="left" w:pos="4962"/>
        </w:tabs>
        <w:spacing w:line="240" w:lineRule="auto"/>
        <w:ind w:left="284" w:hanging="284"/>
        <w:contextualSpacing w:val="0"/>
        <w:rPr>
          <w:rFonts w:asciiTheme="minorHAnsi" w:eastAsia="SimSun" w:hAnsiTheme="minorHAnsi"/>
          <w:color w:val="000000" w:themeColor="text1"/>
          <w:sz w:val="20"/>
          <w:szCs w:val="20"/>
          <w:lang w:val="en-AU" w:eastAsia="en-US"/>
        </w:rPr>
      </w:pPr>
      <w:r w:rsidRPr="00AC2382">
        <w:rPr>
          <w:rFonts w:asciiTheme="minorHAnsi" w:eastAsia="SimSun" w:hAnsiTheme="minorHAnsi"/>
          <w:color w:val="000000" w:themeColor="text1"/>
          <w:sz w:val="20"/>
          <w:szCs w:val="20"/>
          <w:lang w:val="en-AU" w:eastAsia="en-US"/>
        </w:rPr>
        <w:t xml:space="preserve">Two-year Masters: </w:t>
      </w:r>
      <w:r w:rsidRPr="00AC2382">
        <w:rPr>
          <w:rFonts w:asciiTheme="minorHAnsi" w:eastAsia="SimSun" w:hAnsiTheme="minorHAnsi"/>
          <w:color w:val="000000" w:themeColor="text1"/>
          <w:sz w:val="20"/>
          <w:szCs w:val="20"/>
          <w:lang w:val="en-AU" w:eastAsia="en-US"/>
        </w:rPr>
        <w:tab/>
        <w:t>$120,000</w:t>
      </w:r>
    </w:p>
    <w:p w14:paraId="2CD25115" w14:textId="77777777" w:rsidR="00534CE6" w:rsidRPr="00AC2382" w:rsidRDefault="00534CE6" w:rsidP="00C227BA">
      <w:pPr>
        <w:pStyle w:val="ListParagraph"/>
        <w:numPr>
          <w:ilvl w:val="0"/>
          <w:numId w:val="10"/>
        </w:numPr>
        <w:tabs>
          <w:tab w:val="left" w:pos="4962"/>
        </w:tabs>
        <w:spacing w:line="240" w:lineRule="auto"/>
        <w:ind w:left="284" w:hanging="284"/>
        <w:contextualSpacing w:val="0"/>
        <w:rPr>
          <w:rFonts w:asciiTheme="minorHAnsi" w:eastAsia="SimSun" w:hAnsiTheme="minorHAnsi"/>
          <w:color w:val="000000" w:themeColor="text1"/>
          <w:sz w:val="20"/>
          <w:szCs w:val="20"/>
          <w:lang w:val="en-AU" w:eastAsia="en-US"/>
        </w:rPr>
      </w:pPr>
      <w:r w:rsidRPr="00AC2382">
        <w:rPr>
          <w:rFonts w:asciiTheme="minorHAnsi" w:eastAsia="SimSun" w:hAnsiTheme="minorHAnsi"/>
          <w:color w:val="000000" w:themeColor="text1"/>
          <w:sz w:val="20"/>
          <w:szCs w:val="20"/>
          <w:lang w:val="en-AU" w:eastAsia="en-US"/>
        </w:rPr>
        <w:t>Short-term Training (courses of 1-3 months):</w:t>
      </w:r>
      <w:r w:rsidRPr="00AC2382">
        <w:rPr>
          <w:rFonts w:asciiTheme="minorHAnsi" w:eastAsia="SimSun" w:hAnsiTheme="minorHAnsi"/>
          <w:color w:val="000000" w:themeColor="text1"/>
          <w:sz w:val="20"/>
          <w:szCs w:val="20"/>
          <w:lang w:val="en-AU" w:eastAsia="en-US"/>
        </w:rPr>
        <w:tab/>
        <w:t>$30,000 - $45,000</w:t>
      </w:r>
    </w:p>
    <w:p w14:paraId="1B7D6654" w14:textId="77159267" w:rsidR="00534CE6" w:rsidRPr="00AC2382" w:rsidRDefault="00534CE6" w:rsidP="00C227BA">
      <w:pPr>
        <w:pStyle w:val="ListParagraph"/>
        <w:numPr>
          <w:ilvl w:val="0"/>
          <w:numId w:val="10"/>
        </w:numPr>
        <w:tabs>
          <w:tab w:val="left" w:pos="4962"/>
        </w:tabs>
        <w:spacing w:line="240" w:lineRule="auto"/>
        <w:ind w:left="284" w:hanging="284"/>
        <w:contextualSpacing w:val="0"/>
        <w:rPr>
          <w:rFonts w:asciiTheme="minorHAnsi" w:eastAsia="SimSun" w:hAnsiTheme="minorHAnsi"/>
          <w:color w:val="000000" w:themeColor="text1"/>
          <w:sz w:val="20"/>
          <w:szCs w:val="20"/>
          <w:lang w:val="en-AU" w:eastAsia="en-US"/>
        </w:rPr>
      </w:pPr>
      <w:r w:rsidRPr="00AC2382">
        <w:rPr>
          <w:rFonts w:asciiTheme="minorHAnsi" w:eastAsia="SimSun" w:hAnsiTheme="minorHAnsi"/>
          <w:color w:val="000000" w:themeColor="text1"/>
          <w:sz w:val="20"/>
          <w:szCs w:val="20"/>
          <w:lang w:val="en-AU" w:eastAsia="en-US"/>
        </w:rPr>
        <w:t>1 year VET (Certificate/Diploma):</w:t>
      </w:r>
      <w:r w:rsidRPr="00AC2382">
        <w:rPr>
          <w:rFonts w:asciiTheme="minorHAnsi" w:eastAsia="SimSun" w:hAnsiTheme="minorHAnsi"/>
          <w:color w:val="000000" w:themeColor="text1"/>
          <w:sz w:val="20"/>
          <w:szCs w:val="20"/>
          <w:lang w:val="en-AU" w:eastAsia="en-US"/>
        </w:rPr>
        <w:tab/>
        <w:t>$58,000 (in-Australia)</w:t>
      </w:r>
    </w:p>
    <w:p w14:paraId="34CB53DF" w14:textId="77777777" w:rsidR="00534CE6" w:rsidRPr="00AC2382" w:rsidRDefault="00534CE6" w:rsidP="00C227BA">
      <w:pPr>
        <w:pStyle w:val="ListParagraph"/>
        <w:numPr>
          <w:ilvl w:val="0"/>
          <w:numId w:val="10"/>
        </w:numPr>
        <w:tabs>
          <w:tab w:val="left" w:pos="4962"/>
        </w:tabs>
        <w:spacing w:line="240" w:lineRule="auto"/>
        <w:ind w:left="284" w:hanging="284"/>
        <w:contextualSpacing w:val="0"/>
        <w:rPr>
          <w:rFonts w:asciiTheme="minorHAnsi" w:eastAsia="SimSun" w:hAnsiTheme="minorHAnsi"/>
          <w:color w:val="000000" w:themeColor="text1"/>
          <w:sz w:val="20"/>
          <w:szCs w:val="20"/>
          <w:lang w:val="en-AU" w:eastAsia="en-US"/>
        </w:rPr>
      </w:pPr>
      <w:r w:rsidRPr="00AC2382">
        <w:rPr>
          <w:rFonts w:asciiTheme="minorHAnsi" w:eastAsia="SimSun" w:hAnsiTheme="minorHAnsi"/>
          <w:color w:val="000000" w:themeColor="text1"/>
          <w:sz w:val="20"/>
          <w:szCs w:val="20"/>
          <w:lang w:val="en-AU" w:eastAsia="en-US"/>
        </w:rPr>
        <w:t xml:space="preserve">2 year VET (Diploma/ Advanced Diploma): </w:t>
      </w:r>
      <w:r w:rsidRPr="00AC2382">
        <w:rPr>
          <w:rFonts w:asciiTheme="minorHAnsi" w:eastAsia="SimSun" w:hAnsiTheme="minorHAnsi"/>
          <w:color w:val="000000" w:themeColor="text1"/>
          <w:sz w:val="20"/>
          <w:szCs w:val="20"/>
          <w:lang w:val="en-AU" w:eastAsia="en-US"/>
        </w:rPr>
        <w:tab/>
        <w:t>$100,000 (in-Australia)</w:t>
      </w:r>
    </w:p>
    <w:p w14:paraId="775D640E" w14:textId="77777777" w:rsidR="00534CE6" w:rsidRPr="00AC2382" w:rsidRDefault="00534CE6" w:rsidP="00C227BA">
      <w:pPr>
        <w:pStyle w:val="ListParagraph"/>
        <w:numPr>
          <w:ilvl w:val="0"/>
          <w:numId w:val="0"/>
        </w:numPr>
        <w:tabs>
          <w:tab w:val="left" w:pos="4962"/>
        </w:tabs>
        <w:spacing w:line="240" w:lineRule="auto"/>
        <w:ind w:left="284"/>
        <w:contextualSpacing w:val="0"/>
        <w:rPr>
          <w:rFonts w:asciiTheme="minorHAnsi" w:eastAsia="SimSun" w:hAnsiTheme="minorHAnsi"/>
          <w:color w:val="000000" w:themeColor="text1"/>
          <w:sz w:val="20"/>
          <w:szCs w:val="20"/>
          <w:lang w:val="en-AU" w:eastAsia="en-US"/>
        </w:rPr>
      </w:pPr>
      <w:r w:rsidRPr="00AC2382">
        <w:rPr>
          <w:rFonts w:asciiTheme="minorHAnsi" w:eastAsia="SimSun" w:hAnsiTheme="minorHAnsi"/>
          <w:color w:val="000000" w:themeColor="text1"/>
          <w:sz w:val="20"/>
          <w:szCs w:val="20"/>
          <w:lang w:val="en-AU" w:eastAsia="en-US"/>
        </w:rPr>
        <w:t>NB. In-Vietnam delivery of TVET would be considerably lower cost.</w:t>
      </w:r>
    </w:p>
    <w:p w14:paraId="6F793E62" w14:textId="0F432E99" w:rsidR="0059765E" w:rsidRPr="00FC2999" w:rsidRDefault="0059765E" w:rsidP="00C227BA">
      <w:pPr>
        <w:spacing w:before="120" w:after="120"/>
        <w:rPr>
          <w:rFonts w:eastAsia="SimSun"/>
          <w:color w:val="000000" w:themeColor="text1"/>
        </w:rPr>
      </w:pPr>
      <w:r w:rsidRPr="00FC2999">
        <w:rPr>
          <w:rFonts w:eastAsia="SimSun"/>
          <w:color w:val="000000" w:themeColor="text1"/>
        </w:rPr>
        <w:t>For planning purposes, the all-inclusive cost of STT has been estimated at AUD 7000/person week in Australia and around AUD 3000/person week in Vietnam. Consequently, for a typical short course of 3 months duration split evenly between delivery in Australia and Vietnam with 15 participants, the cost per course delivered is around AUD 900,000. Each course would be delivered three times in consecutive years (Years 3-5), giving a total cost of AUD2.7 million.</w:t>
      </w:r>
    </w:p>
    <w:p w14:paraId="54D46951" w14:textId="119E6744" w:rsidR="00534CE6" w:rsidRPr="00B5326E" w:rsidRDefault="007220A4" w:rsidP="00C227BA">
      <w:pPr>
        <w:spacing w:before="120" w:after="120"/>
        <w:rPr>
          <w:color w:val="000000" w:themeColor="text1"/>
        </w:rPr>
      </w:pPr>
      <w:r w:rsidRPr="00FC2999">
        <w:rPr>
          <w:rFonts w:eastAsia="SimSun"/>
          <w:color w:val="000000" w:themeColor="text1"/>
        </w:rPr>
        <w:t xml:space="preserve">The identification of target institutions and the demand for a package of assistance </w:t>
      </w:r>
      <w:r w:rsidR="005F25B8" w:rsidRPr="00FC2999">
        <w:rPr>
          <w:rFonts w:eastAsia="SimSun"/>
          <w:color w:val="000000" w:themeColor="text1"/>
        </w:rPr>
        <w:t xml:space="preserve">(sub programs and/or STT) </w:t>
      </w:r>
      <w:r w:rsidRPr="00FC2999">
        <w:rPr>
          <w:rFonts w:eastAsia="SimSun"/>
          <w:color w:val="000000" w:themeColor="text1"/>
        </w:rPr>
        <w:t>has yet</w:t>
      </w:r>
      <w:r w:rsidRPr="00B5326E">
        <w:rPr>
          <w:rFonts w:eastAsia="SimSun"/>
          <w:color w:val="000000" w:themeColor="text1"/>
        </w:rPr>
        <w:t xml:space="preserve"> to be tested, but c</w:t>
      </w:r>
      <w:r w:rsidR="00534CE6" w:rsidRPr="00B5326E">
        <w:rPr>
          <w:rFonts w:eastAsia="SimSun"/>
          <w:color w:val="000000" w:themeColor="text1"/>
        </w:rPr>
        <w:t xml:space="preserve">learly, </w:t>
      </w:r>
      <w:r w:rsidR="009A1071" w:rsidRPr="00B5326E">
        <w:rPr>
          <w:color w:val="000000" w:themeColor="text1"/>
        </w:rPr>
        <w:t xml:space="preserve">within the available budget </w:t>
      </w:r>
      <w:r w:rsidR="00534CE6" w:rsidRPr="00B5326E">
        <w:rPr>
          <w:color w:val="000000" w:themeColor="text1"/>
        </w:rPr>
        <w:t xml:space="preserve">a smaller investment </w:t>
      </w:r>
      <w:r w:rsidR="009A1071" w:rsidRPr="00B5326E">
        <w:rPr>
          <w:color w:val="000000" w:themeColor="text1"/>
        </w:rPr>
        <w:t>in</w:t>
      </w:r>
      <w:r w:rsidR="00534CE6" w:rsidRPr="00B5326E">
        <w:rPr>
          <w:color w:val="000000" w:themeColor="text1"/>
        </w:rPr>
        <w:t xml:space="preserve"> (long-term) Australia Award</w:t>
      </w:r>
      <w:r w:rsidR="00BF6979">
        <w:rPr>
          <w:color w:val="000000" w:themeColor="text1"/>
        </w:rPr>
        <w:t>s</w:t>
      </w:r>
      <w:r w:rsidR="00534CE6" w:rsidRPr="00B5326E">
        <w:rPr>
          <w:color w:val="000000" w:themeColor="text1"/>
        </w:rPr>
        <w:t xml:space="preserve"> Scholarships, offering more short-term awards and/or in-Vietnam TVET awards</w:t>
      </w:r>
      <w:r w:rsidR="009A1071" w:rsidRPr="00B5326E">
        <w:rPr>
          <w:color w:val="000000" w:themeColor="text1"/>
        </w:rPr>
        <w:t xml:space="preserve"> or other HRD delivery modalities</w:t>
      </w:r>
      <w:r w:rsidR="00534CE6" w:rsidRPr="00B5326E">
        <w:rPr>
          <w:color w:val="000000" w:themeColor="text1"/>
        </w:rPr>
        <w:t xml:space="preserve"> has the potential to reach a larger number of organisations and individuals</w:t>
      </w:r>
      <w:r w:rsidR="00534CE6" w:rsidRPr="00FC2999">
        <w:rPr>
          <w:color w:val="000000" w:themeColor="text1"/>
        </w:rPr>
        <w:t>.</w:t>
      </w:r>
      <w:r w:rsidR="005F25B8" w:rsidRPr="00FC2999">
        <w:t xml:space="preserve"> DFAT Hanoi, with assistance of the Contractor, and in consultation with the GOV will need to make decisions annually on the balance between various HRD delivery modalities.</w:t>
      </w:r>
    </w:p>
    <w:p w14:paraId="73D9288E" w14:textId="1BE5F779" w:rsidR="00534CE6" w:rsidRPr="00B5326E" w:rsidRDefault="00534CE6" w:rsidP="00C227BA">
      <w:pPr>
        <w:spacing w:before="120" w:after="120"/>
      </w:pPr>
      <w:r w:rsidRPr="00B5326E">
        <w:t>The majority of Contractor in-Vietnam costs (and management responsibilities) associated with Australia Award</w:t>
      </w:r>
      <w:r w:rsidR="00BF6979">
        <w:t>s</w:t>
      </w:r>
      <w:r w:rsidRPr="00B5326E">
        <w:t xml:space="preserve"> </w:t>
      </w:r>
      <w:r w:rsidR="00BF6979">
        <w:t>S</w:t>
      </w:r>
      <w:r w:rsidRPr="00B5326E">
        <w:t>cholarships are fixed. These will not vary much whether the number of awards is set at 1</w:t>
      </w:r>
      <w:r w:rsidR="00E238BB">
        <w:t>0</w:t>
      </w:r>
      <w:r w:rsidRPr="00B5326E">
        <w:t xml:space="preserve">0 or </w:t>
      </w:r>
      <w:r w:rsidR="00E238BB">
        <w:t>50</w:t>
      </w:r>
      <w:r w:rsidRPr="00B5326E">
        <w:t xml:space="preserve"> although there may be some management savings from the </w:t>
      </w:r>
      <w:r w:rsidR="009628F8" w:rsidRPr="00B5326E">
        <w:t xml:space="preserve">proposed </w:t>
      </w:r>
      <w:r w:rsidRPr="00B5326E">
        <w:t>reduction to two categories of awards only.</w:t>
      </w:r>
    </w:p>
    <w:p w14:paraId="6CF5D182" w14:textId="5916752D" w:rsidR="00534CE6" w:rsidRPr="00B5326E" w:rsidRDefault="00534CE6" w:rsidP="00C227BA">
      <w:pPr>
        <w:spacing w:before="120" w:after="120"/>
      </w:pPr>
      <w:r w:rsidRPr="00B5326E">
        <w:t>Should there be a further reduction in the number of long-term awards, there will be some in-Australia savings, although existing scholarship award costs will extend into the next phase. Hence significant savings would not occur until quite late in the next program.</w:t>
      </w:r>
    </w:p>
    <w:p w14:paraId="2D73673B" w14:textId="0F811C74" w:rsidR="00534CE6" w:rsidRPr="00B5326E" w:rsidRDefault="00534CE6" w:rsidP="00C227BA">
      <w:pPr>
        <w:spacing w:before="120" w:after="120"/>
      </w:pPr>
      <w:r w:rsidRPr="00B5326E">
        <w:t>Provision should also be included for an expanded role for the Contractor in managing the new phase of the HRD program. In particular, the Contractor will require capacity to manage</w:t>
      </w:r>
      <w:r w:rsidR="00D67C81">
        <w:t>/sub contract</w:t>
      </w:r>
      <w:r w:rsidRPr="00B5326E">
        <w:t xml:space="preserve"> a range of new delivery modalities including short-term training, technical assistance</w:t>
      </w:r>
      <w:r w:rsidR="00366E2C" w:rsidRPr="009D5CC1">
        <w:t>, including on gender equality and social inclusion,</w:t>
      </w:r>
      <w:r w:rsidRPr="00B5326E">
        <w:t xml:space="preserve"> and informal learning approaches as well as </w:t>
      </w:r>
      <w:r w:rsidR="00D67C81">
        <w:t xml:space="preserve">specified in-country </w:t>
      </w:r>
      <w:r w:rsidRPr="008B1008">
        <w:t>management</w:t>
      </w:r>
      <w:r w:rsidR="00BF6979">
        <w:t xml:space="preserve"> </w:t>
      </w:r>
      <w:r w:rsidR="00483327" w:rsidRPr="00B5326E">
        <w:t>tasks for</w:t>
      </w:r>
      <w:r w:rsidR="00BF6979">
        <w:t xml:space="preserve"> the volunteer </w:t>
      </w:r>
      <w:r w:rsidRPr="00B5326E">
        <w:t>program</w:t>
      </w:r>
      <w:r w:rsidR="00AC2382">
        <w:t>,</w:t>
      </w:r>
      <w:r w:rsidRPr="00B5326E">
        <w:t xml:space="preserve"> New Colombo Plan</w:t>
      </w:r>
      <w:r w:rsidR="00AC2382">
        <w:t>, and potentially aid small grants</w:t>
      </w:r>
      <w:r w:rsidRPr="00B5326E">
        <w:t>.</w:t>
      </w:r>
    </w:p>
    <w:p w14:paraId="264EB507" w14:textId="3DA3A4DB" w:rsidR="00D93E38" w:rsidRPr="00B5326E" w:rsidRDefault="00D93E38" w:rsidP="00C227BA">
      <w:pPr>
        <w:spacing w:before="120" w:after="120"/>
        <w:rPr>
          <w:rFonts w:cs="Calibri"/>
        </w:rPr>
      </w:pPr>
      <w:r w:rsidRPr="00FC2999">
        <w:rPr>
          <w:rFonts w:cs="Calibri"/>
        </w:rPr>
        <w:t xml:space="preserve">Annex </w:t>
      </w:r>
      <w:r w:rsidR="00E63F83" w:rsidRPr="00FC2999">
        <w:rPr>
          <w:rFonts w:cs="Calibri"/>
        </w:rPr>
        <w:t>5</w:t>
      </w:r>
      <w:r w:rsidRPr="00FC2999">
        <w:rPr>
          <w:rFonts w:cs="Calibri"/>
        </w:rPr>
        <w:t xml:space="preserve"> provides</w:t>
      </w:r>
      <w:r w:rsidRPr="00B5326E">
        <w:rPr>
          <w:rFonts w:cs="Calibri"/>
        </w:rPr>
        <w:t xml:space="preserve"> an indicative list of </w:t>
      </w:r>
      <w:r w:rsidR="005A29C1">
        <w:rPr>
          <w:rFonts w:cs="Calibri"/>
        </w:rPr>
        <w:t>principles for determining c</w:t>
      </w:r>
      <w:r w:rsidR="00D67C81" w:rsidRPr="00B5326E">
        <w:rPr>
          <w:rFonts w:cs="Calibri"/>
        </w:rPr>
        <w:t>ontractor responsibilities in relation to volunteers</w:t>
      </w:r>
      <w:r w:rsidR="005A29C1">
        <w:rPr>
          <w:rFonts w:cs="Calibri"/>
        </w:rPr>
        <w:t xml:space="preserve"> and the New Colombo Plan</w:t>
      </w:r>
      <w:r w:rsidR="00D67C81">
        <w:rPr>
          <w:rFonts w:cs="Calibri"/>
        </w:rPr>
        <w:t>, excluding</w:t>
      </w:r>
      <w:r w:rsidR="00BF6979">
        <w:rPr>
          <w:rFonts w:cs="Calibri"/>
        </w:rPr>
        <w:t xml:space="preserve"> </w:t>
      </w:r>
      <w:r w:rsidR="00D67C81" w:rsidRPr="00B5326E">
        <w:rPr>
          <w:rFonts w:cs="Calibri"/>
        </w:rPr>
        <w:t>activities already undertaken by partners</w:t>
      </w:r>
      <w:r w:rsidR="00D67C81">
        <w:rPr>
          <w:rFonts w:cs="Calibri"/>
        </w:rPr>
        <w:t>.</w:t>
      </w:r>
      <w:r w:rsidR="00D67C81" w:rsidRPr="00B5326E">
        <w:rPr>
          <w:rFonts w:cs="Calibri"/>
        </w:rPr>
        <w:t xml:space="preserve"> </w:t>
      </w:r>
      <w:r w:rsidR="00CD3077" w:rsidRPr="00B5326E">
        <w:rPr>
          <w:rFonts w:cs="Calibri"/>
        </w:rPr>
        <w:t xml:space="preserve">The Contractor will be responsible for liaison with DFAT Hanoi, two core partners and host organisations to support in-country management and administration, country strategy and planning processes, facilitate coordination and synergy between core partners, and ensure cohesion between AVID support and other HRD support managed by the Contractor. </w:t>
      </w:r>
      <w:r w:rsidR="001835EC" w:rsidRPr="00B5326E">
        <w:rPr>
          <w:rFonts w:cs="Calibri"/>
        </w:rPr>
        <w:t xml:space="preserve">The final decision on Contractor responsibilities for the AVID program will be determined during the first three months of program implementation by </w:t>
      </w:r>
      <w:r w:rsidR="00D67C81">
        <w:rPr>
          <w:rFonts w:cs="Calibri"/>
        </w:rPr>
        <w:t>DFAT Hanoi</w:t>
      </w:r>
      <w:r w:rsidR="001835EC" w:rsidRPr="00B5326E">
        <w:rPr>
          <w:rFonts w:cs="Calibri"/>
        </w:rPr>
        <w:t>, in consultation with the Contractor, co</w:t>
      </w:r>
      <w:r w:rsidR="009D5CC1">
        <w:rPr>
          <w:rFonts w:cs="Calibri"/>
        </w:rPr>
        <w:t>re partners, and DFAT Volunteer</w:t>
      </w:r>
      <w:r w:rsidR="001835EC" w:rsidRPr="00B5326E">
        <w:rPr>
          <w:rFonts w:cs="Calibri"/>
        </w:rPr>
        <w:t xml:space="preserve"> Section. </w:t>
      </w:r>
    </w:p>
    <w:p w14:paraId="15620990" w14:textId="05150143" w:rsidR="00F55C16" w:rsidRPr="00D063C2" w:rsidRDefault="00F308CF" w:rsidP="00C227BA">
      <w:pPr>
        <w:spacing w:before="120" w:after="120"/>
        <w:rPr>
          <w:i/>
        </w:rPr>
      </w:pPr>
      <w:r w:rsidRPr="00E63F83">
        <w:t xml:space="preserve">Similarly, </w:t>
      </w:r>
      <w:r w:rsidR="00F55C16" w:rsidRPr="00E63F83">
        <w:t xml:space="preserve">the Contractor will have a role in </w:t>
      </w:r>
      <w:r w:rsidR="00BF6F83">
        <w:t>assisting DFAT Hanoi promote the</w:t>
      </w:r>
      <w:r w:rsidR="00BF6F83" w:rsidRPr="00BF6F83">
        <w:t xml:space="preserve"> </w:t>
      </w:r>
      <w:r w:rsidR="00E63F83" w:rsidRPr="00BF6F83">
        <w:t xml:space="preserve">New </w:t>
      </w:r>
      <w:r w:rsidR="00F55C16" w:rsidRPr="00BF6F83">
        <w:t>Colombo Plan</w:t>
      </w:r>
      <w:r w:rsidR="00F55C16" w:rsidRPr="00E63F83">
        <w:t xml:space="preserve"> </w:t>
      </w:r>
      <w:r w:rsidR="00BF6F83">
        <w:t xml:space="preserve">in </w:t>
      </w:r>
      <w:r w:rsidR="00F55C16" w:rsidRPr="00E63F83">
        <w:t>Vietnam</w:t>
      </w:r>
      <w:r w:rsidR="00BF6F83">
        <w:rPr>
          <w:rStyle w:val="FootnoteReference"/>
        </w:rPr>
        <w:footnoteReference w:id="40"/>
      </w:r>
      <w:r w:rsidR="00BF6F83">
        <w:t xml:space="preserve">. </w:t>
      </w:r>
      <w:r w:rsidR="00C03D72">
        <w:t xml:space="preserve">Specific responsibilities </w:t>
      </w:r>
      <w:r w:rsidR="00E63F83">
        <w:t xml:space="preserve">will be confirmed by </w:t>
      </w:r>
      <w:r w:rsidR="00E63F83">
        <w:rPr>
          <w:rFonts w:cs="Calibri"/>
        </w:rPr>
        <w:t>DFAT Hanoi</w:t>
      </w:r>
      <w:r w:rsidR="00E63F83" w:rsidRPr="00B5326E">
        <w:rPr>
          <w:rFonts w:cs="Calibri"/>
        </w:rPr>
        <w:t>, in consultation with the Contractor</w:t>
      </w:r>
      <w:r w:rsidR="00E63F83">
        <w:rPr>
          <w:rFonts w:cs="Calibri"/>
        </w:rPr>
        <w:t>,</w:t>
      </w:r>
      <w:r w:rsidR="00E63F83" w:rsidRPr="00E63F83">
        <w:rPr>
          <w:rFonts w:cs="Calibri"/>
        </w:rPr>
        <w:t xml:space="preserve"> </w:t>
      </w:r>
      <w:r w:rsidR="00E63F83" w:rsidRPr="00B5326E">
        <w:rPr>
          <w:rFonts w:cs="Calibri"/>
        </w:rPr>
        <w:t>during the first three months of program implementation</w:t>
      </w:r>
      <w:r w:rsidR="00BF6F83">
        <w:rPr>
          <w:rFonts w:cs="Calibri"/>
        </w:rPr>
        <w:t>, but is likely to include activities to promote awareness and raise the profile of the NCP in Vietnam among key stakeholders (Annex 5).</w:t>
      </w:r>
      <w:r w:rsidR="00BF6979">
        <w:rPr>
          <w:rFonts w:cs="Calibri"/>
        </w:rPr>
        <w:t xml:space="preserve"> </w:t>
      </w:r>
      <w:r w:rsidR="00BF6979" w:rsidRPr="00D063C2">
        <w:rPr>
          <w:rFonts w:cs="Calibri"/>
          <w:i/>
        </w:rPr>
        <w:t>Note: NCP activities are not ODA eligible</w:t>
      </w:r>
      <w:r w:rsidR="00D063C2">
        <w:rPr>
          <w:rFonts w:cs="Calibri"/>
          <w:i/>
        </w:rPr>
        <w:t xml:space="preserve"> and the Contractor’s role in NCP is dependent on the availability of funding from a budget source other than the aid program. </w:t>
      </w:r>
    </w:p>
    <w:p w14:paraId="3F4C17C7" w14:textId="20CD0640" w:rsidR="00534CE6" w:rsidRPr="008C2305" w:rsidRDefault="00534CE6" w:rsidP="00C227BA">
      <w:pPr>
        <w:spacing w:before="120" w:after="120"/>
      </w:pPr>
      <w:r w:rsidRPr="00314297">
        <w:t>The Contractor will establish and maintain a program management office in Hanoi, sufficient t</w:t>
      </w:r>
      <w:r w:rsidRPr="00B42B3E">
        <w:t>o accommodate program staff, including during times of temporary staffing increases</w:t>
      </w:r>
      <w:r w:rsidR="00236B14">
        <w:t>,</w:t>
      </w:r>
      <w:r w:rsidR="00C34C07">
        <w:t xml:space="preserve"> and </w:t>
      </w:r>
      <w:r w:rsidR="00C34C07" w:rsidRPr="00314297">
        <w:t>all necessary office facilities</w:t>
      </w:r>
      <w:r w:rsidR="00C34C07">
        <w:t>.</w:t>
      </w:r>
    </w:p>
    <w:p w14:paraId="351B915A" w14:textId="4461F380" w:rsidR="00AD1780" w:rsidRDefault="00450E43" w:rsidP="00C227BA">
      <w:pPr>
        <w:spacing w:before="120" w:after="120"/>
      </w:pPr>
      <w:r>
        <w:t>The Contractor will</w:t>
      </w:r>
      <w:r w:rsidR="00534CE6" w:rsidRPr="001A0CDA">
        <w:t xml:space="preserve"> </w:t>
      </w:r>
      <w:r>
        <w:t>be</w:t>
      </w:r>
      <w:r w:rsidR="00534CE6" w:rsidRPr="001A0CDA">
        <w:t xml:space="preserve"> responsib</w:t>
      </w:r>
      <w:r>
        <w:t>le</w:t>
      </w:r>
      <w:r w:rsidR="00534CE6" w:rsidRPr="001A0CDA">
        <w:t xml:space="preserve"> for delivery and management of a high quality program. The program will be managed and implemented in-Vietnam by a team of professional and administrative staff. </w:t>
      </w:r>
    </w:p>
    <w:p w14:paraId="11DE2515" w14:textId="77777777" w:rsidR="00D063C2" w:rsidRPr="004E1408" w:rsidRDefault="00D063C2" w:rsidP="00C227BA">
      <w:pPr>
        <w:spacing w:before="120" w:after="120"/>
      </w:pPr>
    </w:p>
    <w:p w14:paraId="4B72C839" w14:textId="176E81BE" w:rsidR="00AD1780" w:rsidRDefault="00534CE6" w:rsidP="00C227BA">
      <w:pPr>
        <w:spacing w:before="120" w:after="120"/>
      </w:pPr>
      <w:r w:rsidRPr="004E1408">
        <w:t xml:space="preserve">The Contractor will propose an appropriate staffing structure, utilising a mix of international and national staff with </w:t>
      </w:r>
      <w:r w:rsidRPr="007A6D7C">
        <w:t xml:space="preserve">the necessary skills and experience. The exact mix of personnel inputs will be determined in order to provide all the required functions listed in the </w:t>
      </w:r>
      <w:r w:rsidR="004C0865">
        <w:t>Statement of Requirements</w:t>
      </w:r>
      <w:r w:rsidR="001835EC" w:rsidRPr="00D9325F">
        <w:t xml:space="preserve">. </w:t>
      </w:r>
      <w:r w:rsidR="006D3819" w:rsidRPr="00C27AE5">
        <w:t xml:space="preserve">Key </w:t>
      </w:r>
      <w:r w:rsidR="00BC62DB" w:rsidRPr="00C27AE5">
        <w:t>Contractor</w:t>
      </w:r>
      <w:r w:rsidRPr="00C27AE5">
        <w:t xml:space="preserve"> staff requirements are outlined in Annex</w:t>
      </w:r>
      <w:r w:rsidR="00E82AE4" w:rsidRPr="00C27AE5">
        <w:t xml:space="preserve"> </w:t>
      </w:r>
      <w:r w:rsidR="005A29C1">
        <w:t>15</w:t>
      </w:r>
      <w:r w:rsidRPr="00C27AE5">
        <w:t>.</w:t>
      </w:r>
      <w:r w:rsidRPr="00FA40AE">
        <w:t xml:space="preserve"> </w:t>
      </w:r>
    </w:p>
    <w:p w14:paraId="6C3E3B62" w14:textId="77777777" w:rsidR="00F27B1D" w:rsidRPr="00FA40AE" w:rsidRDefault="00F27B1D" w:rsidP="00C227BA">
      <w:pPr>
        <w:spacing w:before="120" w:after="120"/>
      </w:pPr>
    </w:p>
    <w:p w14:paraId="572F9C65" w14:textId="77777777" w:rsidR="00534CE6" w:rsidRPr="00F4554A" w:rsidRDefault="00534CE6" w:rsidP="00C227BA">
      <w:pPr>
        <w:pStyle w:val="Heading2"/>
        <w:spacing w:before="120"/>
        <w:rPr>
          <w:rFonts w:asciiTheme="minorHAnsi" w:hAnsiTheme="minorHAnsi"/>
          <w:i w:val="0"/>
          <w:color w:val="548DD4" w:themeColor="text2" w:themeTint="99"/>
        </w:rPr>
      </w:pPr>
      <w:r w:rsidRPr="00F4554A">
        <w:rPr>
          <w:rFonts w:asciiTheme="minorHAnsi" w:hAnsiTheme="minorHAnsi"/>
          <w:i w:val="0"/>
          <w:color w:val="548DD4" w:themeColor="text2" w:themeTint="99"/>
        </w:rPr>
        <w:t xml:space="preserve">Contracting Strategy </w:t>
      </w:r>
    </w:p>
    <w:p w14:paraId="588FACCD" w14:textId="77777777" w:rsidR="00534CE6" w:rsidRPr="00B31B3E" w:rsidRDefault="00534CE6" w:rsidP="00C227BA">
      <w:pPr>
        <w:spacing w:before="120" w:after="120"/>
      </w:pPr>
      <w:r w:rsidRPr="00F4554A">
        <w:t>A nu</w:t>
      </w:r>
      <w:r w:rsidRPr="00B31B3E">
        <w:t xml:space="preserve">mber of contracting approaches were considered. </w:t>
      </w:r>
    </w:p>
    <w:p w14:paraId="1AE513B6" w14:textId="77777777" w:rsidR="00534CE6" w:rsidRPr="00AF245E" w:rsidRDefault="00534CE6" w:rsidP="00C227BA">
      <w:pPr>
        <w:spacing w:before="120" w:after="120"/>
      </w:pPr>
      <w:r w:rsidRPr="00F233A7">
        <w:t>The GOV has experience of managing small scholarship programs of development partners including Belgium, New Zealand and Japan. The focus is on selection, with limited placement options for awardees. Manage</w:t>
      </w:r>
      <w:r w:rsidRPr="004744D3">
        <w:t>ment by the GOV would provide maximum ownership, but it is not a role the GOV has sought (it would place a significant administrative cost on GOV partners); there would be a loss of Australian identity and public diplomacy opportunities; and importantly, i</w:t>
      </w:r>
      <w:r w:rsidRPr="00AF245E">
        <w:t>t would be less able to meet the design requirements in terms of social inclusion objectives, ELT, alumni support and customised HRD activities, involving a range of delivery modalities, to achieve program outcomes. It is not considered a viable option.</w:t>
      </w:r>
    </w:p>
    <w:p w14:paraId="6131DB6C" w14:textId="4F1080E9" w:rsidR="00534CE6" w:rsidRPr="00314297" w:rsidRDefault="00534CE6" w:rsidP="00C227BA">
      <w:pPr>
        <w:spacing w:before="120" w:after="120"/>
      </w:pPr>
      <w:r w:rsidRPr="00816AF1">
        <w:t>N</w:t>
      </w:r>
      <w:r w:rsidRPr="00FE136A">
        <w:t>or is in-house management an option, given the scale of the program and the resource intensive administrative and management workload required</w:t>
      </w:r>
      <w:r w:rsidRPr="003B74ED">
        <w:rPr>
          <w:rStyle w:val="FootnoteReference"/>
        </w:rPr>
        <w:footnoteReference w:id="41"/>
      </w:r>
      <w:r w:rsidRPr="003B74ED">
        <w:t>, when there is increasing d</w:t>
      </w:r>
      <w:r w:rsidRPr="00EA76FF">
        <w:t>emand for Post resources to focus on more strategic and analytical responsibilities.</w:t>
      </w:r>
    </w:p>
    <w:p w14:paraId="50BBA1D0" w14:textId="4ACFE498" w:rsidR="00534CE6" w:rsidRPr="00B379A4" w:rsidRDefault="00534CE6" w:rsidP="00C227BA">
      <w:pPr>
        <w:spacing w:before="120" w:after="120"/>
      </w:pPr>
      <w:r w:rsidRPr="008C2305">
        <w:t xml:space="preserve">It is proposed </w:t>
      </w:r>
      <w:r w:rsidR="00C13C36" w:rsidRPr="001A0CDA">
        <w:t xml:space="preserve">therefore, </w:t>
      </w:r>
      <w:r w:rsidRPr="001A0CDA">
        <w:t xml:space="preserve">implementation of the program be undertaken by a Contractor, delivered via a </w:t>
      </w:r>
      <w:r w:rsidR="001129B6">
        <w:t>Program</w:t>
      </w:r>
      <w:r w:rsidRPr="001A0CDA">
        <w:t xml:space="preserve"> model. </w:t>
      </w:r>
      <w:r w:rsidR="003C7783" w:rsidRPr="00FA40AE">
        <w:t xml:space="preserve">The </w:t>
      </w:r>
      <w:r w:rsidR="001129B6">
        <w:t>Program</w:t>
      </w:r>
      <w:r w:rsidR="003C7783" w:rsidRPr="00FA40AE">
        <w:t xml:space="preserve"> would provide a focal point for </w:t>
      </w:r>
      <w:r w:rsidR="003C7783">
        <w:t xml:space="preserve">all </w:t>
      </w:r>
      <w:r w:rsidR="003C7783" w:rsidRPr="00FA40AE">
        <w:t>Australian HRD assistance</w:t>
      </w:r>
      <w:r w:rsidR="008A46C9">
        <w:t xml:space="preserve"> and offers maximum</w:t>
      </w:r>
      <w:r w:rsidR="008A46C9" w:rsidRPr="00FA40AE">
        <w:t xml:space="preserve"> efficiency in progressively developing and </w:t>
      </w:r>
      <w:r w:rsidR="008A46C9">
        <w:t xml:space="preserve">implementing HRD through a range of delivery modalities. </w:t>
      </w:r>
      <w:r w:rsidRPr="001A0CDA">
        <w:t>This would involve relatively fixed expenditure for</w:t>
      </w:r>
      <w:r w:rsidRPr="004E1408">
        <w:t xml:space="preserve"> management of the scholarships component (promotion and selection, English language training, pre-departure, departure, on award management, reintegration and alumni activities) </w:t>
      </w:r>
      <w:r w:rsidR="00E943E4" w:rsidRPr="007A6D7C">
        <w:t xml:space="preserve">and in-country activities related to the </w:t>
      </w:r>
      <w:r w:rsidR="00963E1F" w:rsidRPr="00D9325F">
        <w:t>V</w:t>
      </w:r>
      <w:r w:rsidR="00E943E4" w:rsidRPr="00E27B90">
        <w:t>olunteers program and New Colombo Plan</w:t>
      </w:r>
      <w:r w:rsidR="003C7783">
        <w:t>;</w:t>
      </w:r>
      <w:r w:rsidR="00E943E4" w:rsidRPr="00E27B90">
        <w:t xml:space="preserve"> </w:t>
      </w:r>
      <w:r w:rsidRPr="00B379A4">
        <w:t xml:space="preserve">alongside flexible </w:t>
      </w:r>
      <w:r w:rsidR="00AF1BC6">
        <w:t xml:space="preserve">HRD </w:t>
      </w:r>
      <w:r w:rsidRPr="00B379A4">
        <w:t xml:space="preserve">expenditure in support of </w:t>
      </w:r>
      <w:r w:rsidR="00AF1BC6">
        <w:t xml:space="preserve">sub programs, STT and timely responses to </w:t>
      </w:r>
      <w:r w:rsidRPr="00B379A4">
        <w:t xml:space="preserve">identified </w:t>
      </w:r>
      <w:r w:rsidR="00AF1BC6">
        <w:t>ad hoc</w:t>
      </w:r>
      <w:r w:rsidRPr="00B379A4">
        <w:t xml:space="preserve"> and emerging needs. </w:t>
      </w:r>
    </w:p>
    <w:p w14:paraId="4D00C390" w14:textId="117E0D6A" w:rsidR="00F27B1D" w:rsidRDefault="00534CE6" w:rsidP="00C227BA">
      <w:pPr>
        <w:spacing w:before="120" w:after="120"/>
      </w:pPr>
      <w:r w:rsidRPr="00816AF1">
        <w:t>The C</w:t>
      </w:r>
      <w:r w:rsidRPr="00FE136A">
        <w:t>ontractor will provide the operational and administrative resources that are necessary to implement the program, as well as access to tertiary education advisory expertise. This approach will ensure that DFAT can focus its resources on the strategic direct</w:t>
      </w:r>
      <w:r w:rsidRPr="005C0E3B">
        <w:t>ion, analysis</w:t>
      </w:r>
      <w:r w:rsidR="00421207" w:rsidRPr="005C0E3B">
        <w:t>, partnership</w:t>
      </w:r>
      <w:r w:rsidRPr="00FA5F0F">
        <w:t xml:space="preserve"> and policy issues of the program.</w:t>
      </w:r>
      <w:r w:rsidR="00E17F41" w:rsidRPr="00FA5F0F">
        <w:t xml:space="preserve"> </w:t>
      </w:r>
      <w:r w:rsidRPr="00B5326E">
        <w:t xml:space="preserve">The English language training services required as part of the program will be delivered by the Contractor, or by a subcontractor engaged for that purpose. </w:t>
      </w:r>
      <w:r w:rsidR="008B796F" w:rsidRPr="00B5326E">
        <w:t>Such services will not be managed as a separate contract with DFAT</w:t>
      </w:r>
      <w:r w:rsidR="0062114F" w:rsidRPr="00B5326E">
        <w:t>.</w:t>
      </w:r>
    </w:p>
    <w:p w14:paraId="2BD564CA" w14:textId="77777777" w:rsidR="00F27B1D" w:rsidRDefault="00F27B1D">
      <w:r>
        <w:br w:type="page"/>
      </w:r>
    </w:p>
    <w:p w14:paraId="3537AAF0" w14:textId="10F17CF4" w:rsidR="008B6531" w:rsidRDefault="00BB5262" w:rsidP="00C227BA">
      <w:pPr>
        <w:pStyle w:val="Heading1"/>
        <w:keepNext/>
        <w:keepLines/>
        <w:spacing w:before="120" w:after="120"/>
        <w:contextualSpacing w:val="0"/>
        <w:rPr>
          <w:rFonts w:asciiTheme="minorHAnsi" w:hAnsiTheme="minorHAnsi"/>
          <w:color w:val="548DD4" w:themeColor="text2" w:themeTint="99"/>
          <w:sz w:val="24"/>
          <w:szCs w:val="24"/>
        </w:rPr>
      </w:pPr>
      <w:r w:rsidRPr="00B5326E">
        <w:rPr>
          <w:rFonts w:asciiTheme="minorHAnsi" w:hAnsiTheme="minorHAnsi"/>
          <w:color w:val="548DD4" w:themeColor="text2" w:themeTint="99"/>
          <w:sz w:val="24"/>
          <w:szCs w:val="24"/>
        </w:rPr>
        <w:t>IMPLEMENTATION ARRANGEMENT</w:t>
      </w:r>
      <w:r w:rsidR="004A66DA" w:rsidRPr="00B5326E">
        <w:rPr>
          <w:rFonts w:asciiTheme="minorHAnsi" w:hAnsiTheme="minorHAnsi"/>
          <w:color w:val="548DD4" w:themeColor="text2" w:themeTint="99"/>
          <w:sz w:val="24"/>
          <w:szCs w:val="24"/>
        </w:rPr>
        <w:t>S</w:t>
      </w:r>
    </w:p>
    <w:p w14:paraId="34886596" w14:textId="77777777" w:rsidR="00F27B1D" w:rsidRPr="00F27B1D" w:rsidRDefault="00F27B1D" w:rsidP="00F27B1D">
      <w:pPr>
        <w:rPr>
          <w:lang w:eastAsia="en-AU"/>
        </w:rPr>
      </w:pPr>
    </w:p>
    <w:p w14:paraId="2E4D41F9" w14:textId="222362DB" w:rsidR="00960B59" w:rsidRPr="00B5326E" w:rsidRDefault="00960B59" w:rsidP="00C227BA">
      <w:pPr>
        <w:pStyle w:val="Heading2"/>
        <w:spacing w:before="120"/>
        <w:rPr>
          <w:rFonts w:asciiTheme="minorHAnsi" w:hAnsiTheme="minorHAnsi"/>
          <w:i w:val="0"/>
          <w:color w:val="548DD4" w:themeColor="text2" w:themeTint="99"/>
        </w:rPr>
      </w:pPr>
      <w:r w:rsidRPr="00B5326E">
        <w:rPr>
          <w:rFonts w:asciiTheme="minorHAnsi" w:hAnsiTheme="minorHAnsi"/>
          <w:i w:val="0"/>
          <w:color w:val="548DD4" w:themeColor="text2" w:themeTint="99"/>
        </w:rPr>
        <w:t>Management and Governance</w:t>
      </w:r>
      <w:r w:rsidR="004A66DA" w:rsidRPr="00B5326E">
        <w:rPr>
          <w:rFonts w:asciiTheme="minorHAnsi" w:hAnsiTheme="minorHAnsi"/>
          <w:i w:val="0"/>
          <w:color w:val="548DD4" w:themeColor="text2" w:themeTint="99"/>
        </w:rPr>
        <w:t xml:space="preserve"> Arrangements</w:t>
      </w:r>
    </w:p>
    <w:p w14:paraId="19DE56F2" w14:textId="61C7B8D6" w:rsidR="009F1108" w:rsidRPr="00B5326E" w:rsidRDefault="009F1108" w:rsidP="00C227BA">
      <w:pPr>
        <w:spacing w:before="120" w:after="120"/>
      </w:pPr>
      <w:bookmarkStart w:id="7" w:name="_Toc230674924"/>
      <w:bookmarkStart w:id="8" w:name="_Toc394478501"/>
      <w:r w:rsidRPr="00B5326E">
        <w:t>The governance approach emphasises promotion of Australian interests through active DFAT consultations, engagement and policy dialogue with GOV education and economic counterparts, private sector partners, Australian WOG partners and other development partners with common objectives in Vietnam. It is designed to help build relationships and key sector knowledge through a deeper understanding of stakeholder interests; identify opportunities for collaboration/avoid duplication of efforts; and to anticipate and mitigate risk.</w:t>
      </w:r>
    </w:p>
    <w:p w14:paraId="67FAC181" w14:textId="4DE61252" w:rsidR="009F1108" w:rsidRPr="00B5326E" w:rsidRDefault="004C5239" w:rsidP="00C227BA">
      <w:pPr>
        <w:spacing w:before="120" w:after="120"/>
      </w:pPr>
      <w:r w:rsidRPr="00B5326E">
        <w:t>Management and g</w:t>
      </w:r>
      <w:r w:rsidR="009F1108" w:rsidRPr="00B5326E">
        <w:t>overnance arrangements will accord with GOV regulations on ODA management.</w:t>
      </w:r>
    </w:p>
    <w:p w14:paraId="460AD4F7" w14:textId="2898DECD" w:rsidR="009F1108" w:rsidRPr="00B5326E" w:rsidRDefault="009F1108" w:rsidP="00C227BA">
      <w:pPr>
        <w:spacing w:before="120" w:after="120"/>
        <w:rPr>
          <w:b/>
          <w:i/>
          <w:color w:val="548DD4" w:themeColor="text2" w:themeTint="99"/>
        </w:rPr>
      </w:pPr>
      <w:r w:rsidRPr="00B5326E">
        <w:rPr>
          <w:b/>
          <w:i/>
          <w:color w:val="548DD4" w:themeColor="text2" w:themeTint="99"/>
        </w:rPr>
        <w:t>Project Coordinating Committee (PCC)</w:t>
      </w:r>
    </w:p>
    <w:p w14:paraId="11353A5E" w14:textId="77777777" w:rsidR="00366E2C" w:rsidRDefault="003A5BA8" w:rsidP="00C227BA">
      <w:pPr>
        <w:spacing w:before="120" w:after="120"/>
      </w:pPr>
      <w:r w:rsidRPr="00B5326E">
        <w:t>Subject to confirmation by the Ministry of Planning and Investment (MPI)</w:t>
      </w:r>
      <w:r w:rsidR="00D35D33" w:rsidRPr="00B5326E">
        <w:t xml:space="preserve">, </w:t>
      </w:r>
      <w:r w:rsidR="00243871" w:rsidRPr="00B5326E">
        <w:t xml:space="preserve">the </w:t>
      </w:r>
      <w:r w:rsidR="005556D6" w:rsidRPr="00B5326E">
        <w:t xml:space="preserve">key central agency counterpart for delivery of the HRD Program is the Ministry of Education and Training (MoET). A partnership will be formalised with MOET through </w:t>
      </w:r>
      <w:r w:rsidR="00D063C2">
        <w:t xml:space="preserve">a Subsidiary Agreement and </w:t>
      </w:r>
      <w:r w:rsidR="005556D6" w:rsidRPr="00B5326E">
        <w:t xml:space="preserve">establishment of a </w:t>
      </w:r>
      <w:r w:rsidR="005556D6" w:rsidRPr="00B5326E">
        <w:rPr>
          <w:color w:val="000000"/>
        </w:rPr>
        <w:t xml:space="preserve">Program Coordinating Committee (PCC) to provide joint </w:t>
      </w:r>
      <w:r w:rsidR="005556D6" w:rsidRPr="00B5326E">
        <w:t xml:space="preserve">oversight of the program by senior DFAT and GOV officials. </w:t>
      </w:r>
      <w:r w:rsidR="00366E2C" w:rsidRPr="005A29C1">
        <w:t>DFAT will strive for gender balance in representation on the PCC</w:t>
      </w:r>
      <w:r w:rsidR="00366E2C">
        <w:t>.</w:t>
      </w:r>
    </w:p>
    <w:p w14:paraId="446F5003" w14:textId="2E76B153" w:rsidR="00B91824" w:rsidRPr="00B5326E" w:rsidRDefault="005556D6" w:rsidP="00C227BA">
      <w:pPr>
        <w:spacing w:before="120" w:after="120"/>
      </w:pPr>
      <w:r w:rsidRPr="00B5326E">
        <w:t xml:space="preserve">DFAT and MoET will be responsible for strategic planning </w:t>
      </w:r>
      <w:r w:rsidR="00B0121D" w:rsidRPr="00B5326E">
        <w:t xml:space="preserve">and review </w:t>
      </w:r>
      <w:r w:rsidRPr="00B5326E">
        <w:t>of the investment</w:t>
      </w:r>
      <w:r w:rsidR="007E3F80" w:rsidRPr="00B5326E">
        <w:t>, including</w:t>
      </w:r>
      <w:r w:rsidRPr="00B5326E">
        <w:t xml:space="preserve"> the allocation of scholarship awards by level, sector </w:t>
      </w:r>
      <w:r w:rsidR="007E3F80" w:rsidRPr="00B5326E">
        <w:t xml:space="preserve">focus and between the two </w:t>
      </w:r>
      <w:r w:rsidR="00324AC1" w:rsidRPr="00B5326E">
        <w:t>categories of awards</w:t>
      </w:r>
      <w:r w:rsidR="007E3F80" w:rsidRPr="00B5326E">
        <w:t>;</w:t>
      </w:r>
      <w:r w:rsidRPr="00B5326E">
        <w:t xml:space="preserve"> and approval of award recommendations. Administrative and operational matters will be the responsibility of the Contractor.</w:t>
      </w:r>
      <w:r w:rsidR="00B91824" w:rsidRPr="00B5326E">
        <w:t xml:space="preserve"> The PCC will not be inv</w:t>
      </w:r>
      <w:r w:rsidR="009F71F1">
        <w:t xml:space="preserve">olved in the selection process. </w:t>
      </w:r>
    </w:p>
    <w:p w14:paraId="57589601" w14:textId="3777FBCC" w:rsidR="005556D6" w:rsidRPr="008C2305" w:rsidRDefault="005556D6" w:rsidP="00C227BA">
      <w:pPr>
        <w:spacing w:before="120" w:after="120"/>
      </w:pPr>
      <w:r w:rsidRPr="00B5326E">
        <w:t xml:space="preserve">Partnerships will also be established with selected target </w:t>
      </w:r>
      <w:r w:rsidR="00E028FA" w:rsidRPr="00B5326E">
        <w:t>institutions</w:t>
      </w:r>
      <w:r w:rsidR="001C36EB" w:rsidRPr="00B5326E">
        <w:t xml:space="preserve"> in key sector sub programs </w:t>
      </w:r>
      <w:r w:rsidR="00C47DFE" w:rsidRPr="00B5326E">
        <w:t xml:space="preserve">(to be </w:t>
      </w:r>
      <w:r w:rsidR="001C36EB" w:rsidRPr="00B5326E">
        <w:t>identified</w:t>
      </w:r>
      <w:r w:rsidR="00C47DFE" w:rsidRPr="00B5326E">
        <w:t>).</w:t>
      </w:r>
      <w:r w:rsidR="001C36EB" w:rsidRPr="00B5326E">
        <w:t xml:space="preserve"> </w:t>
      </w:r>
      <w:r w:rsidRPr="00B5326E">
        <w:t xml:space="preserve">There may be value in inviting these partners as </w:t>
      </w:r>
      <w:r w:rsidRPr="00B5326E">
        <w:rPr>
          <w:color w:val="000000"/>
        </w:rPr>
        <w:t xml:space="preserve">observer </w:t>
      </w:r>
      <w:r w:rsidR="00E028FA" w:rsidRPr="00B5326E">
        <w:rPr>
          <w:color w:val="000000"/>
        </w:rPr>
        <w:t xml:space="preserve">or ad hoc </w:t>
      </w:r>
      <w:r w:rsidRPr="00B5326E">
        <w:rPr>
          <w:color w:val="000000"/>
        </w:rPr>
        <w:t>members of the PCC</w:t>
      </w:r>
      <w:r w:rsidR="00E028FA" w:rsidRPr="003B74ED">
        <w:rPr>
          <w:rStyle w:val="FootnoteReference"/>
          <w:color w:val="000000"/>
        </w:rPr>
        <w:footnoteReference w:id="42"/>
      </w:r>
      <w:r w:rsidRPr="003B74ED">
        <w:rPr>
          <w:color w:val="000000"/>
        </w:rPr>
        <w:t xml:space="preserve">, bringing additional perspectives and </w:t>
      </w:r>
      <w:r w:rsidR="001C36EB" w:rsidRPr="00EA76FF">
        <w:rPr>
          <w:color w:val="000000"/>
        </w:rPr>
        <w:t xml:space="preserve">opportunity for building </w:t>
      </w:r>
      <w:r w:rsidRPr="00314297">
        <w:rPr>
          <w:color w:val="000000"/>
        </w:rPr>
        <w:t>relationships.</w:t>
      </w:r>
      <w:r w:rsidRPr="00B42B3E">
        <w:rPr>
          <w:color w:val="000000"/>
        </w:rPr>
        <w:t xml:space="preserve">  </w:t>
      </w:r>
    </w:p>
    <w:p w14:paraId="7C7F847E" w14:textId="44D5EB44" w:rsidR="005556D6" w:rsidRPr="00314297" w:rsidRDefault="005556D6" w:rsidP="00C227BA">
      <w:pPr>
        <w:spacing w:before="120" w:after="120"/>
      </w:pPr>
      <w:r w:rsidRPr="001A0CDA">
        <w:t>Annually</w:t>
      </w:r>
      <w:r w:rsidR="009F1108" w:rsidRPr="003B74ED">
        <w:rPr>
          <w:rStyle w:val="FootnoteReference"/>
        </w:rPr>
        <w:footnoteReference w:id="43"/>
      </w:r>
      <w:r w:rsidRPr="003B74ED">
        <w:t>, the PCC will be a forum for discussion of program performance and effectiveness, and for adjustment of strategic and operational priorities for the program. For example, sector priorities and the propor</w:t>
      </w:r>
      <w:r w:rsidRPr="00EA76FF">
        <w:t>tion of awards targeted to strategic partner organisations should be reviewed annually by the PCC; as well as new HRD activities and/or new partnerships and sub program activities.</w:t>
      </w:r>
    </w:p>
    <w:p w14:paraId="1201C6AC" w14:textId="10E4DE3A" w:rsidR="005556D6" w:rsidRPr="001A0CDA" w:rsidRDefault="005556D6" w:rsidP="00C227BA">
      <w:pPr>
        <w:spacing w:before="120" w:after="120"/>
      </w:pPr>
      <w:r w:rsidRPr="008C2305">
        <w:t xml:space="preserve">The Contractor will play an important role in PCC </w:t>
      </w:r>
      <w:r w:rsidR="009F1108" w:rsidRPr="001A0CDA">
        <w:t xml:space="preserve">meetings </w:t>
      </w:r>
      <w:r w:rsidRPr="001A0CDA">
        <w:t>through technic</w:t>
      </w:r>
      <w:r w:rsidRPr="004E1408">
        <w:t>al and management advice/input and M&amp;E activities</w:t>
      </w:r>
      <w:r w:rsidR="00E2138A" w:rsidRPr="00B42B3E">
        <w:t>.</w:t>
      </w:r>
      <w:r w:rsidRPr="008C2305">
        <w:t xml:space="preserve"> The Contractor will also act as secretariat and maintain a record of decisions and discussions. </w:t>
      </w:r>
    </w:p>
    <w:p w14:paraId="638BDA22" w14:textId="6274B422" w:rsidR="00E83BCA" w:rsidRDefault="005556D6" w:rsidP="00C227BA">
      <w:pPr>
        <w:spacing w:before="120" w:after="120"/>
      </w:pPr>
      <w:r w:rsidRPr="004E1408">
        <w:t xml:space="preserve">PCC </w:t>
      </w:r>
      <w:r w:rsidR="006963AA" w:rsidRPr="004E1408">
        <w:t xml:space="preserve">meetings </w:t>
      </w:r>
      <w:r w:rsidRPr="007A6D7C">
        <w:t xml:space="preserve">will be timed to ensure </w:t>
      </w:r>
      <w:r w:rsidRPr="00D9325F">
        <w:t xml:space="preserve">that decisions made about the strategic and operational priorities for the coming year, are reflected in the subsequent </w:t>
      </w:r>
      <w:r w:rsidR="009F71F1">
        <w:t xml:space="preserve">program planning process, </w:t>
      </w:r>
      <w:r w:rsidRPr="00D9325F">
        <w:t>scholarships promotion and selection processes, short-term training and other HRD activities</w:t>
      </w:r>
      <w:r w:rsidR="009F71F1">
        <w:t>.</w:t>
      </w:r>
    </w:p>
    <w:p w14:paraId="0B7D3624" w14:textId="683AEAED" w:rsidR="00E27D8F" w:rsidRPr="00D9325F" w:rsidRDefault="00E83BCA" w:rsidP="00C227BA">
      <w:pPr>
        <w:spacing w:before="120" w:after="120"/>
      </w:pPr>
      <w:bookmarkStart w:id="9" w:name="_Ref351034547"/>
      <w:bookmarkEnd w:id="7"/>
      <w:bookmarkEnd w:id="8"/>
      <w:r>
        <w:t>The Contractor will prepare Terms of Reference for the PCC, in</w:t>
      </w:r>
      <w:r w:rsidR="00E27D8F">
        <w:t xml:space="preserve"> consultation with DFAT Hanoi and MOET. </w:t>
      </w:r>
      <w:r w:rsidR="004D3F78">
        <w:t>The PCC</w:t>
      </w:r>
      <w:r w:rsidR="004D3F78" w:rsidRPr="00CB5721">
        <w:t xml:space="preserve"> will </w:t>
      </w:r>
      <w:r w:rsidR="004D3F78">
        <w:t>comprise</w:t>
      </w:r>
      <w:r w:rsidR="004D3F78" w:rsidRPr="00CB5721">
        <w:t xml:space="preserve"> representatives from DFAT </w:t>
      </w:r>
      <w:r w:rsidR="004D3F78">
        <w:t>Hanoi and relevant GOV officials</w:t>
      </w:r>
      <w:r w:rsidR="004D3F78" w:rsidRPr="00CB5721">
        <w:t xml:space="preserve">. </w:t>
      </w:r>
      <w:r w:rsidR="00E27D8F">
        <w:t>Terms of Reference should</w:t>
      </w:r>
      <w:r>
        <w:t xml:space="preserve"> focus on the strategic role of the PCC in setting key program parameters</w:t>
      </w:r>
      <w:r w:rsidR="00E27D8F">
        <w:t>;</w:t>
      </w:r>
      <w:r>
        <w:t xml:space="preserve"> </w:t>
      </w:r>
      <w:r w:rsidR="00E27D8F">
        <w:t xml:space="preserve">consideration of emerging issues and implementation risks; and </w:t>
      </w:r>
      <w:r>
        <w:t>review of program performance and effectiveness.</w:t>
      </w:r>
    </w:p>
    <w:p w14:paraId="03908FB2" w14:textId="77777777" w:rsidR="005556D6" w:rsidRPr="00E27B90" w:rsidRDefault="005556D6" w:rsidP="00C227BA">
      <w:pPr>
        <w:pStyle w:val="Heading3"/>
        <w:numPr>
          <w:ilvl w:val="0"/>
          <w:numId w:val="0"/>
        </w:numPr>
        <w:spacing w:before="120"/>
        <w:ind w:left="720" w:hanging="720"/>
        <w:jc w:val="both"/>
        <w:rPr>
          <w:rFonts w:asciiTheme="minorHAnsi" w:hAnsiTheme="minorHAnsi"/>
          <w:i/>
          <w:color w:val="548DD4" w:themeColor="text2" w:themeTint="99"/>
          <w:sz w:val="24"/>
        </w:rPr>
      </w:pPr>
      <w:r w:rsidRPr="00E27B90">
        <w:rPr>
          <w:rFonts w:asciiTheme="minorHAnsi" w:hAnsiTheme="minorHAnsi"/>
          <w:i/>
          <w:color w:val="548DD4" w:themeColor="text2" w:themeTint="99"/>
          <w:sz w:val="24"/>
        </w:rPr>
        <w:t xml:space="preserve">DFAT </w:t>
      </w:r>
      <w:bookmarkEnd w:id="9"/>
      <w:r w:rsidRPr="00E27B90">
        <w:rPr>
          <w:rFonts w:asciiTheme="minorHAnsi" w:hAnsiTheme="minorHAnsi"/>
          <w:i/>
          <w:color w:val="548DD4" w:themeColor="text2" w:themeTint="99"/>
          <w:sz w:val="24"/>
        </w:rPr>
        <w:t>Post</w:t>
      </w:r>
    </w:p>
    <w:p w14:paraId="655B2846" w14:textId="688D1810" w:rsidR="005556D6" w:rsidRPr="00816AF1" w:rsidRDefault="009F71F1" w:rsidP="00C227BA">
      <w:pPr>
        <w:spacing w:before="120" w:after="120"/>
      </w:pPr>
      <w:r>
        <w:t>T</w:t>
      </w:r>
      <w:r w:rsidR="005556D6" w:rsidRPr="00FA40AE">
        <w:t xml:space="preserve">he HRD Unit in DFAT Hanoi Post, headed by a </w:t>
      </w:r>
      <w:r w:rsidR="009E10A3" w:rsidRPr="00F4554A">
        <w:t>First Secretary</w:t>
      </w:r>
      <w:r w:rsidR="005556D6" w:rsidRPr="00F4554A">
        <w:t xml:space="preserve">, </w:t>
      </w:r>
      <w:r w:rsidR="005556D6" w:rsidRPr="00B31B3E">
        <w:t>ha</w:t>
      </w:r>
      <w:r w:rsidR="00110CB4" w:rsidRPr="00274EF2">
        <w:t>s</w:t>
      </w:r>
      <w:r w:rsidR="005556D6" w:rsidRPr="00F233A7">
        <w:t xml:space="preserve"> responsibility for oversight of the </w:t>
      </w:r>
      <w:r w:rsidR="00110CB4" w:rsidRPr="004744D3">
        <w:t xml:space="preserve">education and </w:t>
      </w:r>
      <w:r w:rsidR="005556D6" w:rsidRPr="00AF245E">
        <w:t xml:space="preserve">HRD program (including the global programs </w:t>
      </w:r>
      <w:r w:rsidR="00882507" w:rsidRPr="00816AF1">
        <w:t xml:space="preserve">AAF, </w:t>
      </w:r>
      <w:r w:rsidR="005556D6" w:rsidRPr="00816AF1">
        <w:t>AVID</w:t>
      </w:r>
      <w:r w:rsidR="00110CB4" w:rsidRPr="00816AF1">
        <w:t xml:space="preserve"> and NCP</w:t>
      </w:r>
      <w:r w:rsidR="005556D6" w:rsidRPr="00816AF1">
        <w:t xml:space="preserve">). </w:t>
      </w:r>
    </w:p>
    <w:p w14:paraId="5BE55709" w14:textId="70488C01" w:rsidR="005556D6" w:rsidRPr="00B5326E" w:rsidRDefault="005556D6" w:rsidP="00C227BA">
      <w:pPr>
        <w:spacing w:before="120" w:after="120"/>
      </w:pPr>
      <w:r w:rsidRPr="005C0E3B">
        <w:t xml:space="preserve">The design encourages devolution to the Contractor, to the extent possible, of all administrative tasks; retaining only the minimum necessary for contract and financial accountability. This will facilitate a change in focus, for the HRD Unit to take on increased responsibility for policy analysis and engagement with </w:t>
      </w:r>
      <w:r w:rsidR="00110CB4" w:rsidRPr="00FA5F0F">
        <w:t xml:space="preserve">relevant </w:t>
      </w:r>
      <w:r w:rsidRPr="00B5326E">
        <w:t xml:space="preserve">stakeholders. </w:t>
      </w:r>
    </w:p>
    <w:p w14:paraId="0848D707" w14:textId="77777777" w:rsidR="005556D6" w:rsidRPr="00B5326E" w:rsidRDefault="005556D6" w:rsidP="00C227BA">
      <w:pPr>
        <w:spacing w:before="120" w:after="120"/>
      </w:pPr>
      <w:r w:rsidRPr="00B5326E">
        <w:t xml:space="preserve">The HRD Unit should take an active role with the Contractor in analysing the scope for deeper engagement with key sector partners and sub program development. </w:t>
      </w:r>
    </w:p>
    <w:p w14:paraId="6D6DEA74" w14:textId="77777777" w:rsidR="005556D6" w:rsidRPr="00B5326E" w:rsidRDefault="005556D6" w:rsidP="00C227BA">
      <w:pPr>
        <w:pStyle w:val="Heading3"/>
        <w:numPr>
          <w:ilvl w:val="0"/>
          <w:numId w:val="0"/>
        </w:numPr>
        <w:spacing w:before="120"/>
        <w:ind w:left="720" w:hanging="720"/>
        <w:jc w:val="both"/>
        <w:rPr>
          <w:rFonts w:asciiTheme="minorHAnsi" w:hAnsiTheme="minorHAnsi"/>
          <w:i/>
          <w:color w:val="548DD4" w:themeColor="text2" w:themeTint="99"/>
          <w:sz w:val="24"/>
        </w:rPr>
      </w:pPr>
      <w:r w:rsidRPr="00B5326E">
        <w:rPr>
          <w:rFonts w:asciiTheme="minorHAnsi" w:hAnsiTheme="minorHAnsi"/>
          <w:i/>
          <w:color w:val="548DD4" w:themeColor="text2" w:themeTint="99"/>
          <w:sz w:val="24"/>
        </w:rPr>
        <w:t>GoV Responsibilities</w:t>
      </w:r>
    </w:p>
    <w:p w14:paraId="2CC845D9" w14:textId="77777777" w:rsidR="005556D6" w:rsidRPr="00B5326E" w:rsidRDefault="005556D6" w:rsidP="00C227BA">
      <w:pPr>
        <w:spacing w:before="120" w:after="120"/>
      </w:pPr>
      <w:r w:rsidRPr="00B5326E">
        <w:t>MoET is the key counterpart for strategic and policy decisions regarding the program. As sub programs are developed other partners may be increasingly involved.</w:t>
      </w:r>
    </w:p>
    <w:p w14:paraId="1A2C6A47" w14:textId="77777777" w:rsidR="005556D6" w:rsidRPr="00B5326E" w:rsidRDefault="005556D6" w:rsidP="00C227BA">
      <w:pPr>
        <w:pStyle w:val="Heading3"/>
        <w:numPr>
          <w:ilvl w:val="0"/>
          <w:numId w:val="0"/>
        </w:numPr>
        <w:spacing w:before="120"/>
        <w:ind w:left="720" w:hanging="720"/>
        <w:jc w:val="both"/>
        <w:rPr>
          <w:rFonts w:asciiTheme="minorHAnsi" w:hAnsiTheme="minorHAnsi"/>
          <w:i/>
          <w:color w:val="548DD4" w:themeColor="text2" w:themeTint="99"/>
          <w:sz w:val="24"/>
        </w:rPr>
      </w:pPr>
      <w:r w:rsidRPr="00B5326E">
        <w:rPr>
          <w:rFonts w:asciiTheme="minorHAnsi" w:hAnsiTheme="minorHAnsi"/>
          <w:i/>
          <w:color w:val="548DD4" w:themeColor="text2" w:themeTint="99"/>
          <w:sz w:val="24"/>
        </w:rPr>
        <w:t>Contractor Responsibilities</w:t>
      </w:r>
    </w:p>
    <w:p w14:paraId="4B1F4314" w14:textId="64B4734C" w:rsidR="00BB5262" w:rsidRPr="00B5326E" w:rsidRDefault="005556D6" w:rsidP="00C227BA">
      <w:pPr>
        <w:spacing w:before="120" w:after="120"/>
        <w:rPr>
          <w:lang w:eastAsia="en-AU"/>
        </w:rPr>
      </w:pPr>
      <w:r w:rsidRPr="00B5326E">
        <w:rPr>
          <w:lang w:eastAsia="en-AU"/>
        </w:rPr>
        <w:t xml:space="preserve">The responsibilities of the Contractor are described throughout this design document and in the draft </w:t>
      </w:r>
      <w:r w:rsidR="009F71F1">
        <w:rPr>
          <w:lang w:eastAsia="en-AU"/>
        </w:rPr>
        <w:t>Statement of Requirements</w:t>
      </w:r>
      <w:r w:rsidRPr="00B5326E">
        <w:rPr>
          <w:lang w:eastAsia="en-AU"/>
        </w:rPr>
        <w:t xml:space="preserve">. The </w:t>
      </w:r>
      <w:r w:rsidR="00414FB5" w:rsidRPr="00B5326E">
        <w:rPr>
          <w:lang w:eastAsia="en-AU"/>
        </w:rPr>
        <w:t>C</w:t>
      </w:r>
      <w:r w:rsidRPr="00B5326E">
        <w:rPr>
          <w:lang w:eastAsia="en-AU"/>
        </w:rPr>
        <w:t xml:space="preserve">ontractor will provide personnel, resources and management services to undertake all relevant planning, sub program development, coordination, </w:t>
      </w:r>
      <w:r w:rsidR="002453DF" w:rsidRPr="00B5326E">
        <w:rPr>
          <w:lang w:eastAsia="en-AU"/>
        </w:rPr>
        <w:t>sub-</w:t>
      </w:r>
      <w:r w:rsidRPr="00B5326E">
        <w:rPr>
          <w:lang w:eastAsia="en-AU"/>
        </w:rPr>
        <w:t xml:space="preserve">contracting and alumni and administration services necessary for the effective implementation of the Program.  The Contractor will work in collaboration with DFAT and the GoV to achieve Program outcomes. </w:t>
      </w:r>
    </w:p>
    <w:p w14:paraId="066F947D" w14:textId="7688AAC8" w:rsidR="007B25C8" w:rsidRDefault="007B25C8" w:rsidP="00C227BA">
      <w:pPr>
        <w:spacing w:before="120" w:after="120"/>
        <w:rPr>
          <w:lang w:eastAsia="en-AU"/>
        </w:rPr>
      </w:pPr>
      <w:r w:rsidRPr="00B5326E">
        <w:rPr>
          <w:lang w:eastAsia="en-AU"/>
        </w:rPr>
        <w:t xml:space="preserve">Contractor </w:t>
      </w:r>
      <w:r w:rsidR="00414FB5" w:rsidRPr="00B5326E">
        <w:rPr>
          <w:lang w:eastAsia="en-AU"/>
        </w:rPr>
        <w:t>performance</w:t>
      </w:r>
      <w:r w:rsidRPr="00B5326E">
        <w:rPr>
          <w:lang w:eastAsia="en-AU"/>
        </w:rPr>
        <w:t xml:space="preserve"> will be assessed through annual </w:t>
      </w:r>
      <w:r w:rsidR="00C13F4C">
        <w:rPr>
          <w:lang w:eastAsia="en-AU"/>
        </w:rPr>
        <w:t>Aid Quality Check (</w:t>
      </w:r>
      <w:r w:rsidR="00110CB4" w:rsidRPr="00B5326E">
        <w:rPr>
          <w:lang w:eastAsia="en-AU"/>
        </w:rPr>
        <w:t>AQC</w:t>
      </w:r>
      <w:r w:rsidR="00C13F4C">
        <w:rPr>
          <w:lang w:eastAsia="en-AU"/>
        </w:rPr>
        <w:t>)</w:t>
      </w:r>
      <w:r w:rsidR="00605721" w:rsidRPr="00B5326E">
        <w:rPr>
          <w:lang w:eastAsia="en-AU"/>
        </w:rPr>
        <w:t xml:space="preserve"> </w:t>
      </w:r>
      <w:r w:rsidRPr="00B5326E">
        <w:rPr>
          <w:lang w:eastAsia="en-AU"/>
        </w:rPr>
        <w:t xml:space="preserve">review </w:t>
      </w:r>
      <w:r w:rsidR="003E2522">
        <w:rPr>
          <w:lang w:eastAsia="en-AU"/>
        </w:rPr>
        <w:t xml:space="preserve">and Partner Performance Assessment (PPA) </w:t>
      </w:r>
      <w:r w:rsidRPr="00B5326E">
        <w:rPr>
          <w:lang w:eastAsia="en-AU"/>
        </w:rPr>
        <w:t>processes, while the Monitoring and Evaluation Framework (MEF) will probe core issues related to program execution</w:t>
      </w:r>
      <w:r w:rsidR="00414FB5" w:rsidRPr="00B5326E">
        <w:rPr>
          <w:lang w:eastAsia="en-AU"/>
        </w:rPr>
        <w:t>; this</w:t>
      </w:r>
      <w:r w:rsidRPr="00B5326E">
        <w:rPr>
          <w:lang w:eastAsia="en-AU"/>
        </w:rPr>
        <w:t xml:space="preserve"> will</w:t>
      </w:r>
      <w:r w:rsidR="00414FB5" w:rsidRPr="00B5326E">
        <w:rPr>
          <w:lang w:eastAsia="en-AU"/>
        </w:rPr>
        <w:t xml:space="preserve"> provide evidence </w:t>
      </w:r>
      <w:r w:rsidRPr="00B5326E">
        <w:rPr>
          <w:lang w:eastAsia="en-AU"/>
        </w:rPr>
        <w:t>o</w:t>
      </w:r>
      <w:r w:rsidR="001F17F3" w:rsidRPr="00B5326E">
        <w:rPr>
          <w:lang w:eastAsia="en-AU"/>
        </w:rPr>
        <w:t>n the effectiveness</w:t>
      </w:r>
      <w:r w:rsidRPr="00B5326E">
        <w:rPr>
          <w:lang w:eastAsia="en-AU"/>
        </w:rPr>
        <w:t xml:space="preserve"> of program implementation.</w:t>
      </w:r>
    </w:p>
    <w:p w14:paraId="6FADFAEA" w14:textId="77777777" w:rsidR="00F27B1D" w:rsidRPr="00B5326E" w:rsidRDefault="00F27B1D" w:rsidP="00C227BA">
      <w:pPr>
        <w:spacing w:before="120" w:after="120"/>
        <w:rPr>
          <w:lang w:eastAsia="en-AU"/>
        </w:rPr>
      </w:pPr>
    </w:p>
    <w:p w14:paraId="795F1285" w14:textId="5D677432" w:rsidR="00BB5262" w:rsidRPr="00B5326E" w:rsidRDefault="005A29C1" w:rsidP="00C227BA">
      <w:pPr>
        <w:pStyle w:val="Heading2"/>
        <w:spacing w:before="120"/>
        <w:rPr>
          <w:rFonts w:asciiTheme="minorHAnsi" w:hAnsiTheme="minorHAnsi"/>
          <w:i w:val="0"/>
          <w:color w:val="548DD4" w:themeColor="text2" w:themeTint="99"/>
        </w:rPr>
      </w:pPr>
      <w:r>
        <w:rPr>
          <w:rFonts w:asciiTheme="minorHAnsi" w:hAnsiTheme="minorHAnsi"/>
          <w:i w:val="0"/>
          <w:color w:val="548DD4" w:themeColor="text2" w:themeTint="99"/>
        </w:rPr>
        <w:t>Activity Implementation</w:t>
      </w:r>
    </w:p>
    <w:p w14:paraId="5A72FF14" w14:textId="2F740E67" w:rsidR="00FF53B5" w:rsidRPr="00B5326E" w:rsidRDefault="00E8244D" w:rsidP="00C227BA">
      <w:pPr>
        <w:spacing w:before="120" w:after="120"/>
      </w:pPr>
      <w:r w:rsidRPr="00EF665F">
        <w:t>The implementation approach described below</w:t>
      </w:r>
      <w:r w:rsidR="00BB5262" w:rsidRPr="00EF665F">
        <w:t xml:space="preserve"> covers</w:t>
      </w:r>
      <w:r w:rsidR="009F71F1">
        <w:t xml:space="preserve"> the core program of Australia A</w:t>
      </w:r>
      <w:r w:rsidR="00BB5262" w:rsidRPr="00EF665F">
        <w:t xml:space="preserve">wards </w:t>
      </w:r>
      <w:r w:rsidR="009F71F1">
        <w:t>S</w:t>
      </w:r>
      <w:r w:rsidR="00BB5262" w:rsidRPr="00EF665F">
        <w:t xml:space="preserve">cholarships and </w:t>
      </w:r>
      <w:r w:rsidR="009F71F1">
        <w:t>A</w:t>
      </w:r>
      <w:r w:rsidR="00BB5262" w:rsidRPr="00EF665F">
        <w:t>lumni</w:t>
      </w:r>
      <w:r w:rsidR="00EF665F">
        <w:t xml:space="preserve"> as well as non-AAS activities. </w:t>
      </w:r>
      <w:r w:rsidR="00A2263B" w:rsidRPr="00B5326E">
        <w:t>The process</w:t>
      </w:r>
      <w:r w:rsidR="00FF53B5" w:rsidRPr="00B5326E">
        <w:t>es</w:t>
      </w:r>
      <w:r w:rsidR="00A2263B" w:rsidRPr="00B5326E">
        <w:t xml:space="preserve"> for delivery of scholarships and pre and post award support to alumni </w:t>
      </w:r>
      <w:r w:rsidR="00FF53B5" w:rsidRPr="00B5326E">
        <w:t>are</w:t>
      </w:r>
      <w:r w:rsidR="00A2263B" w:rsidRPr="00B5326E">
        <w:t xml:space="preserve"> well established; some small refinements only to current implementation practice are proposed. </w:t>
      </w:r>
    </w:p>
    <w:p w14:paraId="5A5A8E75" w14:textId="0E3C13AC" w:rsidR="00BB5262" w:rsidRPr="00F27B1D" w:rsidRDefault="001954F0" w:rsidP="00C227BA">
      <w:pPr>
        <w:pStyle w:val="Heading3"/>
        <w:spacing w:before="120"/>
        <w:rPr>
          <w:rFonts w:asciiTheme="minorHAnsi" w:hAnsiTheme="minorHAnsi"/>
          <w:i/>
          <w:color w:val="548DD4" w:themeColor="text2" w:themeTint="99"/>
          <w:sz w:val="24"/>
          <w:szCs w:val="24"/>
        </w:rPr>
      </w:pPr>
      <w:r w:rsidRPr="00F27B1D">
        <w:rPr>
          <w:rFonts w:asciiTheme="minorHAnsi" w:hAnsiTheme="minorHAnsi"/>
          <w:i/>
          <w:color w:val="548DD4" w:themeColor="text2" w:themeTint="99"/>
          <w:sz w:val="24"/>
          <w:szCs w:val="24"/>
        </w:rPr>
        <w:t xml:space="preserve">Australia Awards </w:t>
      </w:r>
      <w:r w:rsidR="00BB5262" w:rsidRPr="00F27B1D">
        <w:rPr>
          <w:rFonts w:asciiTheme="minorHAnsi" w:hAnsiTheme="minorHAnsi"/>
          <w:i/>
          <w:color w:val="548DD4" w:themeColor="text2" w:themeTint="99"/>
          <w:sz w:val="24"/>
          <w:szCs w:val="24"/>
        </w:rPr>
        <w:t>–</w:t>
      </w:r>
      <w:r w:rsidR="0048086B" w:rsidRPr="00F27B1D">
        <w:rPr>
          <w:rFonts w:asciiTheme="minorHAnsi" w:hAnsiTheme="minorHAnsi"/>
          <w:i/>
          <w:color w:val="548DD4" w:themeColor="text2" w:themeTint="99"/>
          <w:sz w:val="24"/>
          <w:szCs w:val="24"/>
        </w:rPr>
        <w:t xml:space="preserve"> </w:t>
      </w:r>
      <w:r w:rsidRPr="00F27B1D">
        <w:rPr>
          <w:rFonts w:asciiTheme="minorHAnsi" w:hAnsiTheme="minorHAnsi"/>
          <w:i/>
          <w:color w:val="548DD4" w:themeColor="text2" w:themeTint="99"/>
          <w:sz w:val="24"/>
          <w:szCs w:val="24"/>
        </w:rPr>
        <w:t>Scholarships</w:t>
      </w:r>
    </w:p>
    <w:p w14:paraId="63F56ACF" w14:textId="07FF597F" w:rsidR="001954F0" w:rsidRPr="00B5326E" w:rsidRDefault="00586E83" w:rsidP="00C227BA">
      <w:pPr>
        <w:spacing w:before="120" w:after="120"/>
      </w:pPr>
      <w:r w:rsidRPr="00B5326E">
        <w:t xml:space="preserve">The </w:t>
      </w:r>
      <w:r w:rsidR="00960B59" w:rsidRPr="00B5326E">
        <w:t>scholarship</w:t>
      </w:r>
      <w:r w:rsidRPr="00B5326E">
        <w:t xml:space="preserve"> program has a strong reputation for being effectively implemented and managed. </w:t>
      </w:r>
      <w:r w:rsidR="001954F0" w:rsidRPr="00B5326E">
        <w:t>Program implementation to date has provided a strong foundation for the implementation of a new awards program, which is aligned more closely with meeting Vietnam’s broader HRD needs.</w:t>
      </w:r>
    </w:p>
    <w:p w14:paraId="17C3E46A" w14:textId="160B8346" w:rsidR="00960B59" w:rsidRPr="00B5326E" w:rsidRDefault="00960B59" w:rsidP="00C227BA">
      <w:pPr>
        <w:spacing w:before="120" w:after="120"/>
      </w:pPr>
      <w:r w:rsidRPr="00B5326E">
        <w:t>The implementation and management process is described below.</w:t>
      </w:r>
    </w:p>
    <w:p w14:paraId="590F7857" w14:textId="77777777" w:rsidR="001954F0" w:rsidRPr="00B5326E" w:rsidRDefault="001954F0" w:rsidP="00C227BA">
      <w:pPr>
        <w:pStyle w:val="Heading2"/>
        <w:numPr>
          <w:ilvl w:val="0"/>
          <w:numId w:val="0"/>
        </w:numPr>
        <w:spacing w:before="120"/>
        <w:ind w:left="567" w:hanging="567"/>
        <w:rPr>
          <w:rFonts w:asciiTheme="minorHAnsi" w:eastAsia="SimSun" w:hAnsiTheme="minorHAnsi"/>
          <w:color w:val="548DD4" w:themeColor="text2" w:themeTint="99"/>
          <w:szCs w:val="24"/>
          <w:lang w:eastAsia="en-US"/>
        </w:rPr>
      </w:pPr>
      <w:r w:rsidRPr="00B5326E">
        <w:rPr>
          <w:rFonts w:asciiTheme="minorHAnsi" w:eastAsia="SimSun" w:hAnsiTheme="minorHAnsi"/>
          <w:color w:val="548DD4" w:themeColor="text2" w:themeTint="99"/>
          <w:szCs w:val="24"/>
          <w:lang w:eastAsia="en-US"/>
        </w:rPr>
        <w:t>Annual Planning</w:t>
      </w:r>
    </w:p>
    <w:p w14:paraId="4081CBA4" w14:textId="3A677823" w:rsidR="00960B59" w:rsidRPr="00B5326E" w:rsidRDefault="001954F0" w:rsidP="00C227BA">
      <w:pPr>
        <w:spacing w:before="120" w:after="120"/>
      </w:pPr>
      <w:r w:rsidRPr="00B5326E">
        <w:rPr>
          <w:rFonts w:eastAsia="Calibri"/>
        </w:rPr>
        <w:t>The annual planning and implementation process</w:t>
      </w:r>
      <w:r w:rsidR="00566311" w:rsidRPr="00B5326E">
        <w:t xml:space="preserve"> </w:t>
      </w:r>
      <w:r w:rsidRPr="00B5326E">
        <w:rPr>
          <w:rFonts w:eastAsia="Calibri"/>
        </w:rPr>
        <w:t xml:space="preserve">for Australia Awards Scholarships will begin at roughly the same time that the round for the previous year is completed. This will assist in ensuring that the scholarships cycle aligns with the global timelines for scholarships’ management, and that DFAT’s other programs in Vietnam are aware of the key dates in awards management, and their potential participation in related activities. </w:t>
      </w:r>
      <w:r w:rsidR="00566311" w:rsidRPr="00B5326E">
        <w:t xml:space="preserve">Annex </w:t>
      </w:r>
      <w:r w:rsidR="005A29C1">
        <w:t>2</w:t>
      </w:r>
      <w:r w:rsidR="00D75A7E" w:rsidRPr="00B5326E">
        <w:t xml:space="preserve"> </w:t>
      </w:r>
      <w:r w:rsidR="00566311" w:rsidRPr="00B5326E">
        <w:t xml:space="preserve">provides a detailed schedule of </w:t>
      </w:r>
      <w:r w:rsidR="00C774AD" w:rsidRPr="00B5326E">
        <w:t xml:space="preserve">timing of </w:t>
      </w:r>
      <w:r w:rsidR="00566311" w:rsidRPr="00B5326E">
        <w:t>Scholarship implementation tasks.</w:t>
      </w:r>
    </w:p>
    <w:p w14:paraId="41888616" w14:textId="33271FCA" w:rsidR="001954F0" w:rsidRPr="00B5326E" w:rsidRDefault="001954F0" w:rsidP="00C227BA">
      <w:pPr>
        <w:spacing w:before="120" w:after="120"/>
        <w:rPr>
          <w:rFonts w:eastAsia="Calibri"/>
        </w:rPr>
      </w:pPr>
      <w:r w:rsidRPr="00B5326E">
        <w:rPr>
          <w:rFonts w:eastAsia="Calibri"/>
        </w:rPr>
        <w:t xml:space="preserve">The </w:t>
      </w:r>
      <w:r w:rsidR="007308A8" w:rsidRPr="00B5326E">
        <w:rPr>
          <w:rFonts w:eastAsia="Calibri"/>
        </w:rPr>
        <w:t xml:space="preserve">HRD </w:t>
      </w:r>
      <w:r w:rsidRPr="00B5326E">
        <w:rPr>
          <w:rFonts w:eastAsia="Calibri"/>
        </w:rPr>
        <w:t xml:space="preserve">team at Hanoi Post will annually consult with managers of DFAT’s other programs and initiatives in Vietnam, to identify how the awards can best support DFAT’s overall AIP implementation, and to avoid program gaps and duplication. </w:t>
      </w:r>
    </w:p>
    <w:p w14:paraId="2D8CC3B9" w14:textId="77777777" w:rsidR="001954F0" w:rsidRPr="00B5326E" w:rsidRDefault="001954F0" w:rsidP="00C227BA">
      <w:pPr>
        <w:pStyle w:val="Heading2"/>
        <w:numPr>
          <w:ilvl w:val="0"/>
          <w:numId w:val="0"/>
        </w:numPr>
        <w:spacing w:before="120"/>
        <w:ind w:left="567" w:hanging="567"/>
        <w:rPr>
          <w:rFonts w:asciiTheme="minorHAnsi" w:eastAsia="SimSun" w:hAnsiTheme="minorHAnsi"/>
          <w:color w:val="548DD4" w:themeColor="text2" w:themeTint="99"/>
          <w:szCs w:val="24"/>
          <w:lang w:eastAsia="en-US"/>
        </w:rPr>
      </w:pPr>
      <w:r w:rsidRPr="00B5326E">
        <w:rPr>
          <w:rFonts w:asciiTheme="minorHAnsi" w:eastAsia="SimSun" w:hAnsiTheme="minorHAnsi"/>
          <w:color w:val="548DD4" w:themeColor="text2" w:themeTint="99"/>
          <w:szCs w:val="24"/>
          <w:lang w:eastAsia="en-US"/>
        </w:rPr>
        <w:t>Promotions and Communication Plan</w:t>
      </w:r>
    </w:p>
    <w:p w14:paraId="2F688AB2" w14:textId="74E974FE" w:rsidR="00CA4B54" w:rsidRPr="004E1408" w:rsidRDefault="00C72D12" w:rsidP="00C227BA">
      <w:pPr>
        <w:spacing w:before="120" w:after="120"/>
        <w:rPr>
          <w:rFonts w:eastAsia="Calibri"/>
        </w:rPr>
      </w:pPr>
      <w:r>
        <w:rPr>
          <w:rFonts w:eastAsia="Calibri"/>
        </w:rPr>
        <w:t>Each year</w:t>
      </w:r>
      <w:r w:rsidR="00BE4B5A">
        <w:rPr>
          <w:rFonts w:eastAsia="Calibri"/>
        </w:rPr>
        <w:t>,</w:t>
      </w:r>
      <w:r>
        <w:rPr>
          <w:rFonts w:eastAsia="Calibri"/>
        </w:rPr>
        <w:t xml:space="preserve"> a</w:t>
      </w:r>
      <w:r w:rsidR="00110CB4" w:rsidRPr="00B5326E">
        <w:rPr>
          <w:rFonts w:eastAsia="Calibri"/>
        </w:rPr>
        <w:t xml:space="preserve">s part of </w:t>
      </w:r>
      <w:r w:rsidR="00110CB4" w:rsidRPr="003B74ED">
        <w:rPr>
          <w:rFonts w:eastAsia="Calibri"/>
        </w:rPr>
        <w:t>the annual planning process, t</w:t>
      </w:r>
      <w:r w:rsidR="001954F0" w:rsidRPr="00EA76FF">
        <w:rPr>
          <w:rFonts w:eastAsia="Calibri"/>
        </w:rPr>
        <w:t>he</w:t>
      </w:r>
      <w:r w:rsidR="001954F0" w:rsidRPr="00314297">
        <w:rPr>
          <w:rFonts w:eastAsia="Calibri"/>
        </w:rPr>
        <w:t xml:space="preserve"> Contractor will draft a</w:t>
      </w:r>
      <w:r w:rsidR="00BE4B5A">
        <w:rPr>
          <w:rFonts w:eastAsia="Calibri"/>
        </w:rPr>
        <w:t xml:space="preserve"> </w:t>
      </w:r>
      <w:r w:rsidR="001954F0" w:rsidRPr="00314297">
        <w:rPr>
          <w:rFonts w:eastAsia="Calibri"/>
        </w:rPr>
        <w:t>Promotions and Communications Plan</w:t>
      </w:r>
      <w:r w:rsidR="00431CC5" w:rsidRPr="00B42B3E">
        <w:rPr>
          <w:rFonts w:eastAsia="Calibri"/>
        </w:rPr>
        <w:t>.</w:t>
      </w:r>
      <w:r w:rsidR="00CA4B54" w:rsidRPr="008C2305">
        <w:rPr>
          <w:rFonts w:eastAsia="Calibri"/>
        </w:rPr>
        <w:t xml:space="preserve"> </w:t>
      </w:r>
      <w:r w:rsidR="00CA4B54" w:rsidRPr="001A0CDA">
        <w:rPr>
          <w:rFonts w:eastAsia="Calibri"/>
        </w:rPr>
        <w:t xml:space="preserve">The Plan </w:t>
      </w:r>
      <w:r w:rsidR="001F46CA">
        <w:rPr>
          <w:rFonts w:eastAsia="Calibri"/>
        </w:rPr>
        <w:t xml:space="preserve">to be </w:t>
      </w:r>
      <w:r w:rsidR="00870FBE">
        <w:rPr>
          <w:rFonts w:eastAsia="Calibri"/>
        </w:rPr>
        <w:t xml:space="preserve">submitted to DFAT </w:t>
      </w:r>
      <w:r w:rsidR="00A656C2">
        <w:rPr>
          <w:rFonts w:eastAsia="Calibri"/>
        </w:rPr>
        <w:t xml:space="preserve">Hanoi in September </w:t>
      </w:r>
      <w:r w:rsidR="00870FBE">
        <w:rPr>
          <w:rFonts w:eastAsia="Calibri"/>
        </w:rPr>
        <w:t xml:space="preserve">will </w:t>
      </w:r>
      <w:r w:rsidR="000C51E0">
        <w:rPr>
          <w:rFonts w:eastAsia="Calibri"/>
        </w:rPr>
        <w:t xml:space="preserve">confirm and </w:t>
      </w:r>
      <w:r w:rsidR="00870FBE">
        <w:rPr>
          <w:rFonts w:eastAsia="Calibri"/>
        </w:rPr>
        <w:t>expand on</w:t>
      </w:r>
      <w:r w:rsidR="001F46CA">
        <w:rPr>
          <w:rFonts w:eastAsia="Calibri"/>
        </w:rPr>
        <w:t xml:space="preserve"> approaches </w:t>
      </w:r>
      <w:r w:rsidR="000C51E0">
        <w:rPr>
          <w:rFonts w:eastAsia="Calibri"/>
        </w:rPr>
        <w:t xml:space="preserve">proposed </w:t>
      </w:r>
      <w:r w:rsidR="001F46CA">
        <w:rPr>
          <w:rFonts w:eastAsia="Calibri"/>
        </w:rPr>
        <w:t xml:space="preserve">earlier in the </w:t>
      </w:r>
      <w:r>
        <w:rPr>
          <w:rFonts w:eastAsia="Calibri"/>
        </w:rPr>
        <w:t xml:space="preserve">(January) </w:t>
      </w:r>
      <w:r w:rsidR="001F46CA">
        <w:rPr>
          <w:rFonts w:eastAsia="Calibri"/>
        </w:rPr>
        <w:t xml:space="preserve">Annual Plan. The </w:t>
      </w:r>
      <w:r w:rsidRPr="00314297">
        <w:rPr>
          <w:rFonts w:eastAsia="Calibri"/>
        </w:rPr>
        <w:t xml:space="preserve">Promotions and Communications </w:t>
      </w:r>
      <w:r w:rsidR="001F46CA">
        <w:rPr>
          <w:rFonts w:eastAsia="Calibri"/>
        </w:rPr>
        <w:t xml:space="preserve">Plan </w:t>
      </w:r>
      <w:r w:rsidR="00CA4B54" w:rsidRPr="001A0CDA">
        <w:rPr>
          <w:rFonts w:eastAsia="Calibri"/>
        </w:rPr>
        <w:t xml:space="preserve">will </w:t>
      </w:r>
      <w:r>
        <w:rPr>
          <w:rFonts w:eastAsia="Calibri"/>
        </w:rPr>
        <w:t>detail</w:t>
      </w:r>
      <w:r w:rsidR="00CA4B54" w:rsidRPr="001A0CDA">
        <w:rPr>
          <w:rFonts w:eastAsia="Calibri"/>
        </w:rPr>
        <w:t xml:space="preserve"> activities the Contractor will undertake to promote all Program opportunities, with an emphasis on </w:t>
      </w:r>
      <w:r w:rsidR="00CA4B54" w:rsidRPr="004E1408">
        <w:rPr>
          <w:rFonts w:eastAsia="Calibri"/>
        </w:rPr>
        <w:t>Australia Award</w:t>
      </w:r>
      <w:r>
        <w:rPr>
          <w:rFonts w:eastAsia="Calibri"/>
        </w:rPr>
        <w:t>s</w:t>
      </w:r>
      <w:r w:rsidR="00CA4B54" w:rsidRPr="004E1408">
        <w:rPr>
          <w:rFonts w:eastAsia="Calibri"/>
        </w:rPr>
        <w:t xml:space="preserve"> Scholarship</w:t>
      </w:r>
      <w:r w:rsidR="009F71F1">
        <w:rPr>
          <w:rFonts w:eastAsia="Calibri"/>
        </w:rPr>
        <w:t>s</w:t>
      </w:r>
      <w:r w:rsidR="00CA4B54" w:rsidRPr="004E1408">
        <w:rPr>
          <w:rFonts w:eastAsia="Calibri"/>
        </w:rPr>
        <w:t xml:space="preserve"> opportunities</w:t>
      </w:r>
      <w:r>
        <w:rPr>
          <w:rFonts w:eastAsia="Calibri"/>
        </w:rPr>
        <w:t>,</w:t>
      </w:r>
      <w:r w:rsidR="00CA4B54" w:rsidRPr="004E1408">
        <w:rPr>
          <w:rFonts w:eastAsia="Calibri"/>
        </w:rPr>
        <w:t xml:space="preserve"> to appropriate audiences in Vietnam, and will require approval </w:t>
      </w:r>
      <w:r w:rsidRPr="004E1408">
        <w:rPr>
          <w:rFonts w:eastAsia="Calibri"/>
        </w:rPr>
        <w:t xml:space="preserve">annually </w:t>
      </w:r>
      <w:r w:rsidR="00CA4B54" w:rsidRPr="004E1408">
        <w:rPr>
          <w:rFonts w:eastAsia="Calibri"/>
        </w:rPr>
        <w:t xml:space="preserve">by DFAT </w:t>
      </w:r>
      <w:r>
        <w:rPr>
          <w:rFonts w:eastAsia="Calibri"/>
        </w:rPr>
        <w:t>Hanoi</w:t>
      </w:r>
      <w:r w:rsidR="00CA4B54" w:rsidRPr="004E1408">
        <w:rPr>
          <w:rFonts w:eastAsia="Calibri"/>
        </w:rPr>
        <w:t xml:space="preserve">. </w:t>
      </w:r>
      <w:r w:rsidR="0073228C">
        <w:rPr>
          <w:rFonts w:eastAsia="Calibri"/>
        </w:rPr>
        <w:t xml:space="preserve">The effectiveness of </w:t>
      </w:r>
      <w:r>
        <w:rPr>
          <w:rFonts w:eastAsia="Calibri"/>
        </w:rPr>
        <w:t xml:space="preserve">the previous </w:t>
      </w:r>
      <w:r w:rsidR="00993274">
        <w:rPr>
          <w:rFonts w:eastAsia="Calibri"/>
        </w:rPr>
        <w:t>promotions and c</w:t>
      </w:r>
      <w:r>
        <w:rPr>
          <w:rFonts w:eastAsia="Calibri"/>
        </w:rPr>
        <w:t>ommunication activities</w:t>
      </w:r>
      <w:r w:rsidR="0073228C">
        <w:rPr>
          <w:rFonts w:eastAsia="Calibri"/>
        </w:rPr>
        <w:t xml:space="preserve"> will be </w:t>
      </w:r>
      <w:r>
        <w:rPr>
          <w:rFonts w:eastAsia="Calibri"/>
        </w:rPr>
        <w:t>assessed in the</w:t>
      </w:r>
      <w:r w:rsidR="00870FBE">
        <w:rPr>
          <w:rFonts w:eastAsia="Calibri"/>
        </w:rPr>
        <w:t xml:space="preserve"> Annual Report</w:t>
      </w:r>
      <w:r w:rsidR="0073228C">
        <w:rPr>
          <w:rFonts w:eastAsia="Calibri"/>
        </w:rPr>
        <w:t xml:space="preserve">, although </w:t>
      </w:r>
      <w:r>
        <w:rPr>
          <w:rFonts w:eastAsia="Calibri"/>
        </w:rPr>
        <w:t>it may</w:t>
      </w:r>
      <w:r w:rsidR="0073228C">
        <w:rPr>
          <w:rFonts w:eastAsia="Calibri"/>
        </w:rPr>
        <w:t xml:space="preserve"> not be fully apparent or able to be evaluated until later in the Awards cycle.</w:t>
      </w:r>
    </w:p>
    <w:p w14:paraId="5CC6615A" w14:textId="3D763414" w:rsidR="00CA4B54" w:rsidRPr="00F4554A" w:rsidRDefault="00CA4B54" w:rsidP="00C227BA">
      <w:pPr>
        <w:spacing w:before="120" w:after="120"/>
        <w:rPr>
          <w:rFonts w:eastAsia="Calibri"/>
        </w:rPr>
      </w:pPr>
      <w:r w:rsidRPr="007A6D7C">
        <w:rPr>
          <w:rFonts w:eastAsia="Calibri"/>
        </w:rPr>
        <w:t>Promotion of non-</w:t>
      </w:r>
      <w:r w:rsidR="00431CC5" w:rsidRPr="00D9325F">
        <w:rPr>
          <w:rFonts w:eastAsia="Calibri"/>
        </w:rPr>
        <w:t>ASS opportunities will involve raising awarene</w:t>
      </w:r>
      <w:r w:rsidR="00431CC5" w:rsidRPr="00E27B90">
        <w:rPr>
          <w:rFonts w:eastAsia="Calibri"/>
        </w:rPr>
        <w:t>ss among priority sector</w:t>
      </w:r>
      <w:r w:rsidRPr="00B379A4">
        <w:rPr>
          <w:rFonts w:eastAsia="Calibri"/>
        </w:rPr>
        <w:t>s/</w:t>
      </w:r>
      <w:r w:rsidR="00431CC5" w:rsidRPr="00B379A4">
        <w:rPr>
          <w:rFonts w:eastAsia="Calibri"/>
        </w:rPr>
        <w:t>institutions</w:t>
      </w:r>
      <w:r w:rsidRPr="00602A77">
        <w:rPr>
          <w:rFonts w:eastAsia="Calibri"/>
        </w:rPr>
        <w:t>,</w:t>
      </w:r>
      <w:r w:rsidR="00431CC5" w:rsidRPr="00FA40AE">
        <w:rPr>
          <w:rFonts w:eastAsia="Calibri"/>
        </w:rPr>
        <w:t xml:space="preserve"> </w:t>
      </w:r>
      <w:r w:rsidRPr="00FA40AE">
        <w:rPr>
          <w:rFonts w:eastAsia="Calibri"/>
        </w:rPr>
        <w:t>as advised by DFAT Hanoi</w:t>
      </w:r>
      <w:r w:rsidRPr="00F4554A">
        <w:rPr>
          <w:rFonts w:eastAsia="Calibri"/>
        </w:rPr>
        <w:t>. Th</w:t>
      </w:r>
      <w:r w:rsidR="00A54D0E">
        <w:rPr>
          <w:rFonts w:eastAsia="Calibri"/>
        </w:rPr>
        <w:t>is support will</w:t>
      </w:r>
      <w:r w:rsidRPr="00F4554A">
        <w:rPr>
          <w:rFonts w:eastAsia="Calibri"/>
        </w:rPr>
        <w:t xml:space="preserve"> require a formal request from the institution rather than individual application as for AAS.</w:t>
      </w:r>
    </w:p>
    <w:p w14:paraId="7C54BC41" w14:textId="76537217" w:rsidR="00A6303D" w:rsidRDefault="001954F0" w:rsidP="00C227BA">
      <w:pPr>
        <w:spacing w:before="120" w:after="120"/>
        <w:rPr>
          <w:rFonts w:eastAsia="Calibri"/>
        </w:rPr>
      </w:pPr>
      <w:r w:rsidRPr="00274EF2">
        <w:rPr>
          <w:rFonts w:eastAsia="Calibri"/>
        </w:rPr>
        <w:t>The Con</w:t>
      </w:r>
      <w:r w:rsidRPr="00F233A7">
        <w:rPr>
          <w:rFonts w:eastAsia="Calibri"/>
        </w:rPr>
        <w:t xml:space="preserve">tractor will provide promotional material </w:t>
      </w:r>
      <w:r w:rsidR="00A6303D">
        <w:rPr>
          <w:rFonts w:eastAsia="Calibri"/>
        </w:rPr>
        <w:t xml:space="preserve">that adheres to </w:t>
      </w:r>
      <w:r w:rsidR="00A6303D" w:rsidRPr="00B5326E">
        <w:rPr>
          <w:rFonts w:eastAsia="Calibri"/>
        </w:rPr>
        <w:t xml:space="preserve">Australia Awards branding guidelines </w:t>
      </w:r>
      <w:r w:rsidRPr="00F233A7">
        <w:rPr>
          <w:rFonts w:eastAsia="Calibri"/>
        </w:rPr>
        <w:t xml:space="preserve">to conduits in </w:t>
      </w:r>
      <w:r w:rsidR="00BB5262" w:rsidRPr="004744D3">
        <w:rPr>
          <w:rFonts w:eastAsia="Calibri"/>
        </w:rPr>
        <w:t>targeted</w:t>
      </w:r>
      <w:r w:rsidR="001C5418" w:rsidRPr="00AF245E">
        <w:rPr>
          <w:rFonts w:eastAsia="Calibri"/>
        </w:rPr>
        <w:t xml:space="preserve"> institutions</w:t>
      </w:r>
      <w:r w:rsidR="00A6303D">
        <w:rPr>
          <w:rFonts w:eastAsia="Calibri"/>
        </w:rPr>
        <w:t>;</w:t>
      </w:r>
      <w:r w:rsidRPr="00816AF1">
        <w:rPr>
          <w:rFonts w:eastAsia="Calibri"/>
        </w:rPr>
        <w:t xml:space="preserve"> and </w:t>
      </w:r>
      <w:r w:rsidRPr="00FE136A">
        <w:t xml:space="preserve">arrange for civil society and private sector umbrella </w:t>
      </w:r>
      <w:r w:rsidR="00BB5262" w:rsidRPr="005C0E3B">
        <w:t>organi</w:t>
      </w:r>
      <w:r w:rsidR="00C16367">
        <w:t>s</w:t>
      </w:r>
      <w:r w:rsidR="00BB5262" w:rsidRPr="005C0E3B">
        <w:t>ations</w:t>
      </w:r>
      <w:r w:rsidRPr="005C0E3B">
        <w:t xml:space="preserve"> to distribute materials to its members and member </w:t>
      </w:r>
      <w:r w:rsidR="00BB5262" w:rsidRPr="00FA5F0F">
        <w:t>organi</w:t>
      </w:r>
      <w:r w:rsidR="00A54D0E">
        <w:t>s</w:t>
      </w:r>
      <w:r w:rsidR="00BB5262" w:rsidRPr="00FA5F0F">
        <w:t>ations</w:t>
      </w:r>
      <w:r w:rsidRPr="00B5326E">
        <w:t xml:space="preserve">. Promotion should also </w:t>
      </w:r>
      <w:r w:rsidR="00A54D0E">
        <w:t>involve</w:t>
      </w:r>
      <w:r w:rsidRPr="00B5326E">
        <w:t xml:space="preserve"> online resources,</w:t>
      </w:r>
      <w:r w:rsidR="00A54D0E">
        <w:t xml:space="preserve"> including</w:t>
      </w:r>
      <w:r w:rsidRPr="00B5326E">
        <w:t xml:space="preserve"> the AA-A website, email notifications, and specialist media with a user cohort / readership of potential quality applicants. </w:t>
      </w:r>
      <w:r w:rsidR="00A6303D">
        <w:t>I</w:t>
      </w:r>
      <w:r w:rsidRPr="00B5326E">
        <w:t>nformation</w:t>
      </w:r>
      <w:r w:rsidR="007E10D3" w:rsidRPr="00B5326E">
        <w:t xml:space="preserve"> in appropriate form</w:t>
      </w:r>
      <w:r w:rsidRPr="00B5326E">
        <w:t xml:space="preserve"> </w:t>
      </w:r>
      <w:r w:rsidR="00A6303D">
        <w:t>should also be</w:t>
      </w:r>
      <w:r w:rsidRPr="00B5326E">
        <w:t xml:space="preserve"> distributed to rural, remote and disadvantaged localities</w:t>
      </w:r>
      <w:r w:rsidRPr="00B5326E">
        <w:rPr>
          <w:rFonts w:eastAsia="Calibri"/>
        </w:rPr>
        <w:t xml:space="preserve">. </w:t>
      </w:r>
    </w:p>
    <w:p w14:paraId="67B54246" w14:textId="0E76A903" w:rsidR="005A29C1" w:rsidRDefault="005A29C1" w:rsidP="00C227BA">
      <w:pPr>
        <w:spacing w:before="120" w:after="120"/>
        <w:rPr>
          <w:rFonts w:eastAsia="Calibri"/>
        </w:rPr>
      </w:pPr>
      <w:r>
        <w:rPr>
          <w:rFonts w:eastAsia="Calibri"/>
        </w:rPr>
        <w:t xml:space="preserve">The plan should outline how the Contractor will maximise disability-inclusiveness in its promotion and communications outreach. </w:t>
      </w:r>
    </w:p>
    <w:p w14:paraId="0C3D5FDC" w14:textId="70A46FF3" w:rsidR="001954F0" w:rsidRPr="003B74ED" w:rsidRDefault="00A6303D" w:rsidP="00C227BA">
      <w:pPr>
        <w:spacing w:before="120" w:after="120"/>
        <w:rPr>
          <w:rFonts w:eastAsia="Calibri"/>
        </w:rPr>
      </w:pPr>
      <w:r>
        <w:rPr>
          <w:rFonts w:eastAsia="Calibri"/>
        </w:rPr>
        <w:t>The Contractor must ensure s</w:t>
      </w:r>
      <w:r w:rsidR="001954F0" w:rsidRPr="00B5326E">
        <w:rPr>
          <w:rFonts w:eastAsia="Calibri"/>
        </w:rPr>
        <w:t>ufficient, trained and client-responsive personnel are to be available to answer inquiries from potential applicants – in person, online, or by telephone.</w:t>
      </w:r>
      <w:r w:rsidR="001954F0" w:rsidRPr="003B74ED">
        <w:rPr>
          <w:rStyle w:val="FootnoteReference"/>
          <w:rFonts w:eastAsia="Calibri"/>
        </w:rPr>
        <w:footnoteReference w:id="44"/>
      </w:r>
    </w:p>
    <w:p w14:paraId="2993319F" w14:textId="39FAB320" w:rsidR="001954F0" w:rsidRPr="001A0CDA" w:rsidRDefault="005C6F13" w:rsidP="00C227BA">
      <w:pPr>
        <w:pStyle w:val="Heading2"/>
        <w:numPr>
          <w:ilvl w:val="0"/>
          <w:numId w:val="0"/>
        </w:numPr>
        <w:spacing w:before="120"/>
        <w:ind w:left="567" w:hanging="567"/>
        <w:rPr>
          <w:rFonts w:asciiTheme="minorHAnsi" w:eastAsia="SimSun" w:hAnsiTheme="minorHAnsi"/>
          <w:color w:val="548DD4" w:themeColor="text2" w:themeTint="99"/>
          <w:szCs w:val="24"/>
          <w:lang w:eastAsia="en-US"/>
        </w:rPr>
      </w:pPr>
      <w:r w:rsidRPr="00EA76FF">
        <w:rPr>
          <w:rFonts w:asciiTheme="minorHAnsi" w:eastAsia="SimSun" w:hAnsiTheme="minorHAnsi"/>
          <w:color w:val="548DD4" w:themeColor="text2" w:themeTint="99"/>
          <w:szCs w:val="24"/>
          <w:lang w:eastAsia="en-US"/>
        </w:rPr>
        <w:t>Screening and S</w:t>
      </w:r>
      <w:r w:rsidR="001954F0" w:rsidRPr="00314297">
        <w:rPr>
          <w:rFonts w:asciiTheme="minorHAnsi" w:eastAsia="SimSun" w:hAnsiTheme="minorHAnsi"/>
          <w:color w:val="548DD4" w:themeColor="text2" w:themeTint="99"/>
          <w:szCs w:val="24"/>
          <w:lang w:eastAsia="en-US"/>
        </w:rPr>
        <w:t>hortlisting</w:t>
      </w:r>
    </w:p>
    <w:p w14:paraId="39F8E791" w14:textId="77777777" w:rsidR="00356717" w:rsidRDefault="001954F0" w:rsidP="00C227BA">
      <w:pPr>
        <w:spacing w:before="120" w:after="120"/>
      </w:pPr>
      <w:r w:rsidRPr="004E1408">
        <w:t xml:space="preserve">The Contractor will check applications for completeness and against </w:t>
      </w:r>
      <w:r w:rsidR="001F79C1">
        <w:t>agreed</w:t>
      </w:r>
      <w:r w:rsidR="001F79C1" w:rsidRPr="004E1408">
        <w:t xml:space="preserve"> </w:t>
      </w:r>
      <w:r w:rsidRPr="004E1408">
        <w:t>eligibility criteria</w:t>
      </w:r>
      <w:r w:rsidR="001F79C1">
        <w:t>. N</w:t>
      </w:r>
      <w:r w:rsidRPr="004E1408">
        <w:t xml:space="preserve">on-compliant applications from marginalised </w:t>
      </w:r>
      <w:proofErr w:type="gramStart"/>
      <w:r w:rsidRPr="004E1408">
        <w:t>groups,</w:t>
      </w:r>
      <w:proofErr w:type="gramEnd"/>
      <w:r w:rsidRPr="004E1408">
        <w:t xml:space="preserve"> or app</w:t>
      </w:r>
      <w:r w:rsidRPr="007A6D7C">
        <w:t xml:space="preserve">lications that are missing minor requirements may be considered further, if a potential quality candidate may be lost through a minor oversight, or borderline exclusion criterion. </w:t>
      </w:r>
    </w:p>
    <w:p w14:paraId="5F70175C" w14:textId="4AC1E8DE" w:rsidR="001F79C1" w:rsidRPr="00314297" w:rsidRDefault="001F79C1" w:rsidP="00C227BA">
      <w:pPr>
        <w:spacing w:before="120" w:after="120"/>
      </w:pPr>
      <w:r w:rsidRPr="00816AF1">
        <w:t xml:space="preserve">Table 3.1 lists suggested </w:t>
      </w:r>
      <w:r w:rsidR="00356717">
        <w:t xml:space="preserve">eligibility </w:t>
      </w:r>
      <w:r w:rsidRPr="00816AF1">
        <w:t xml:space="preserve">criteria that will need to be confirmed </w:t>
      </w:r>
      <w:r>
        <w:t xml:space="preserve">by the JSC </w:t>
      </w:r>
      <w:r w:rsidRPr="00816AF1">
        <w:t xml:space="preserve">at commencement of </w:t>
      </w:r>
      <w:r>
        <w:t xml:space="preserve">each annual selection cycle. </w:t>
      </w:r>
      <w:r w:rsidRPr="003B74ED">
        <w:t xml:space="preserve"> </w:t>
      </w:r>
      <w:r w:rsidRPr="00EA76FF">
        <w:t xml:space="preserve">All eligible applications will be ranked – within separate categories – Open and Targeted. </w:t>
      </w:r>
    </w:p>
    <w:p w14:paraId="0EE36B2B" w14:textId="7F3B0FB1" w:rsidR="001954F0" w:rsidRPr="00B379A4" w:rsidRDefault="001954F0" w:rsidP="00C227BA">
      <w:pPr>
        <w:spacing w:before="120" w:after="120"/>
      </w:pPr>
      <w:r w:rsidRPr="00B379A4">
        <w:t xml:space="preserve">The Contractor will also check applications to identify potential candidates who may </w:t>
      </w:r>
      <w:r w:rsidR="001F79C1">
        <w:t>be eligible to receive assistance</w:t>
      </w:r>
      <w:r w:rsidR="001F79C1" w:rsidRPr="00B379A4">
        <w:t xml:space="preserve"> </w:t>
      </w:r>
      <w:r w:rsidRPr="00B379A4">
        <w:t xml:space="preserve">from the Equity of </w:t>
      </w:r>
      <w:r w:rsidR="001F79C1">
        <w:t>A</w:t>
      </w:r>
      <w:r w:rsidRPr="00B379A4">
        <w:t>ccess Fund,</w:t>
      </w:r>
      <w:r w:rsidR="001F79C1">
        <w:t xml:space="preserve"> either</w:t>
      </w:r>
      <w:r w:rsidRPr="00B379A4">
        <w:t xml:space="preserve"> </w:t>
      </w:r>
      <w:r w:rsidR="001F79C1">
        <w:t>at application,</w:t>
      </w:r>
      <w:r w:rsidRPr="00B379A4">
        <w:t xml:space="preserve"> interview stage, </w:t>
      </w:r>
      <w:r w:rsidR="001F79C1">
        <w:t>for</w:t>
      </w:r>
      <w:r w:rsidR="001F79C1" w:rsidRPr="00B379A4">
        <w:t xml:space="preserve"> </w:t>
      </w:r>
      <w:r w:rsidRPr="00B379A4">
        <w:t xml:space="preserve">ELT </w:t>
      </w:r>
      <w:r w:rsidR="001F79C1">
        <w:t>or</w:t>
      </w:r>
      <w:r w:rsidRPr="00B379A4">
        <w:t xml:space="preserve"> while on-Award in Australia.</w:t>
      </w:r>
    </w:p>
    <w:p w14:paraId="451E0019" w14:textId="18EBA728" w:rsidR="00586E83" w:rsidRPr="008C2305" w:rsidRDefault="000A2994" w:rsidP="00C227BA">
      <w:pPr>
        <w:spacing w:before="120" w:after="120"/>
      </w:pPr>
      <w:r>
        <w:t>A</w:t>
      </w:r>
      <w:r w:rsidR="001954F0" w:rsidRPr="008C2305">
        <w:t xml:space="preserve"> </w:t>
      </w:r>
      <w:r w:rsidR="001954F0" w:rsidRPr="001A0CDA">
        <w:t>provisional shortlist of 150% to 200% of the expected number of awards for each category</w:t>
      </w:r>
      <w:r>
        <w:t xml:space="preserve"> will</w:t>
      </w:r>
      <w:r w:rsidR="001954F0" w:rsidRPr="001A0CDA">
        <w:t xml:space="preserve"> be interviewed. </w:t>
      </w:r>
      <w:r>
        <w:t>A minimum of</w:t>
      </w:r>
      <w:r w:rsidR="005E7AA2" w:rsidRPr="001A0CDA">
        <w:t xml:space="preserve"> t</w:t>
      </w:r>
      <w:r w:rsidR="001954F0" w:rsidRPr="004E1408">
        <w:t>wo</w:t>
      </w:r>
      <w:r w:rsidR="001954F0" w:rsidRPr="003B74ED">
        <w:t xml:space="preserve"> </w:t>
      </w:r>
      <w:r>
        <w:t>i</w:t>
      </w:r>
      <w:r w:rsidR="005E7AA2" w:rsidRPr="003B74ED">
        <w:t>nterview panels</w:t>
      </w:r>
      <w:r w:rsidR="001954F0" w:rsidRPr="00EA76FF">
        <w:t xml:space="preserve"> will be established – </w:t>
      </w:r>
      <w:r w:rsidR="00BE4B5A">
        <w:t xml:space="preserve">which may </w:t>
      </w:r>
      <w:r w:rsidR="001954F0" w:rsidRPr="00EA76FF">
        <w:t>compris</w:t>
      </w:r>
      <w:r w:rsidR="00BE4B5A">
        <w:t xml:space="preserve">e </w:t>
      </w:r>
      <w:r w:rsidR="001954F0" w:rsidRPr="00314297">
        <w:t xml:space="preserve">DFAT, Alumni, Contractor, </w:t>
      </w:r>
      <w:r w:rsidR="002141C7">
        <w:t>independent expert</w:t>
      </w:r>
      <w:r w:rsidR="00BE4B5A">
        <w:t xml:space="preserve">s – in line with Australia Awards Selection Guidelines. </w:t>
      </w:r>
    </w:p>
    <w:p w14:paraId="7ECC1D79" w14:textId="5D21958D" w:rsidR="00586E83" w:rsidRPr="004E1408" w:rsidRDefault="00C35C7B" w:rsidP="00C227BA">
      <w:pPr>
        <w:spacing w:before="120" w:after="120"/>
      </w:pPr>
      <w:r>
        <w:t>Review of</w:t>
      </w:r>
      <w:r w:rsidRPr="001A0CDA">
        <w:t xml:space="preserve"> ranking</w:t>
      </w:r>
      <w:r>
        <w:t>s by the JSC</w:t>
      </w:r>
      <w:r w:rsidRPr="001A0CDA">
        <w:t xml:space="preserve"> and </w:t>
      </w:r>
      <w:r w:rsidR="009F0565">
        <w:t>selection of</w:t>
      </w:r>
      <w:r w:rsidRPr="001A0CDA">
        <w:t xml:space="preserve"> applicants for interview</w:t>
      </w:r>
      <w:r>
        <w:t xml:space="preserve"> will take account of </w:t>
      </w:r>
      <w:r w:rsidR="009F0565">
        <w:t>t</w:t>
      </w:r>
      <w:r w:rsidR="001954F0" w:rsidRPr="001A0CDA">
        <w:t>he program target that 20</w:t>
      </w:r>
      <w:r w:rsidR="00BE4B5A">
        <w:t xml:space="preserve"> per cent</w:t>
      </w:r>
      <w:r w:rsidR="001954F0" w:rsidRPr="001A0CDA">
        <w:t xml:space="preserve"> of awardees </w:t>
      </w:r>
      <w:r w:rsidR="009F0565">
        <w:t xml:space="preserve">are selected from </w:t>
      </w:r>
      <w:r w:rsidR="001954F0" w:rsidRPr="001A0CDA">
        <w:t xml:space="preserve">“disadvantaged” </w:t>
      </w:r>
      <w:r w:rsidR="009F0565">
        <w:t>groups.</w:t>
      </w:r>
      <w:r w:rsidR="00F80FF6" w:rsidRPr="001A0CDA">
        <w:t xml:space="preserve"> </w:t>
      </w:r>
    </w:p>
    <w:p w14:paraId="36304C50" w14:textId="5B6DB8E5" w:rsidR="001954F0" w:rsidRPr="003B74ED" w:rsidRDefault="001954F0" w:rsidP="00C227BA">
      <w:pPr>
        <w:spacing w:before="120" w:after="120"/>
      </w:pPr>
      <w:r w:rsidRPr="007A6D7C">
        <w:t xml:space="preserve">Table </w:t>
      </w:r>
      <w:r w:rsidR="001E5D04" w:rsidRPr="00D9325F">
        <w:t xml:space="preserve">3.1: </w:t>
      </w:r>
      <w:r w:rsidR="00637D29">
        <w:t>Suggested m</w:t>
      </w:r>
      <w:r w:rsidRPr="00E27B90">
        <w:t>inimum eligibility criteria</w:t>
      </w:r>
      <w:r w:rsidR="00944B1C">
        <w:rPr>
          <w:rStyle w:val="FootnoteReference"/>
        </w:rPr>
        <w:footnoteReference w:id="45"/>
      </w:r>
      <w:r w:rsidRPr="00E27B90">
        <w:t xml:space="preserve"> </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ook w:val="04A0" w:firstRow="1" w:lastRow="0" w:firstColumn="1" w:lastColumn="0" w:noHBand="0" w:noVBand="1"/>
      </w:tblPr>
      <w:tblGrid>
        <w:gridCol w:w="8408"/>
      </w:tblGrid>
      <w:tr w:rsidR="001954F0" w:rsidRPr="00B5326E" w14:paraId="09320E6A" w14:textId="77777777" w:rsidTr="00586E83">
        <w:tc>
          <w:tcPr>
            <w:tcW w:w="9134" w:type="dxa"/>
          </w:tcPr>
          <w:p w14:paraId="75EC66D6" w14:textId="71517E3B" w:rsidR="001954F0" w:rsidRPr="0039030D" w:rsidRDefault="001C7081" w:rsidP="00F27B1D">
            <w:pPr>
              <w:pStyle w:val="ListParagraph"/>
              <w:numPr>
                <w:ilvl w:val="0"/>
                <w:numId w:val="3"/>
              </w:numPr>
              <w:spacing w:before="0" w:after="0" w:line="240" w:lineRule="auto"/>
              <w:ind w:left="318" w:hanging="318"/>
              <w:contextualSpacing w:val="0"/>
              <w:rPr>
                <w:rFonts w:asciiTheme="minorHAnsi" w:hAnsiTheme="minorHAnsi"/>
                <w:sz w:val="20"/>
                <w:szCs w:val="20"/>
                <w:lang w:val="en-AU"/>
              </w:rPr>
            </w:pPr>
            <w:r w:rsidRPr="0039030D">
              <w:rPr>
                <w:rFonts w:asciiTheme="minorHAnsi" w:hAnsiTheme="minorHAnsi"/>
                <w:sz w:val="20"/>
                <w:szCs w:val="20"/>
                <w:lang w:val="en-AU"/>
              </w:rPr>
              <w:t>Undergraduate degree (for Masters applicants)</w:t>
            </w:r>
            <w:r w:rsidRPr="0039030D">
              <w:rPr>
                <w:rStyle w:val="FootnoteReference"/>
                <w:rFonts w:asciiTheme="minorHAnsi" w:hAnsiTheme="minorHAnsi"/>
                <w:sz w:val="20"/>
                <w:szCs w:val="20"/>
                <w:lang w:val="en-AU"/>
              </w:rPr>
              <w:footnoteReference w:id="46"/>
            </w:r>
          </w:p>
        </w:tc>
      </w:tr>
      <w:tr w:rsidR="001954F0" w:rsidRPr="00B5326E" w14:paraId="52F96156" w14:textId="77777777" w:rsidTr="00586E83">
        <w:tc>
          <w:tcPr>
            <w:tcW w:w="9134" w:type="dxa"/>
          </w:tcPr>
          <w:p w14:paraId="605FB6EC" w14:textId="77777777" w:rsidR="001954F0" w:rsidRPr="0039030D" w:rsidRDefault="001954F0" w:rsidP="00F27B1D">
            <w:pPr>
              <w:pStyle w:val="ListParagraph"/>
              <w:numPr>
                <w:ilvl w:val="0"/>
                <w:numId w:val="3"/>
              </w:numPr>
              <w:spacing w:before="0" w:after="0" w:line="240" w:lineRule="auto"/>
              <w:ind w:left="318" w:hanging="318"/>
              <w:contextualSpacing w:val="0"/>
              <w:rPr>
                <w:rFonts w:asciiTheme="minorHAnsi" w:hAnsiTheme="minorHAnsi"/>
                <w:sz w:val="20"/>
                <w:szCs w:val="20"/>
                <w:lang w:val="en-AU"/>
              </w:rPr>
            </w:pPr>
            <w:r w:rsidRPr="0039030D">
              <w:rPr>
                <w:rFonts w:asciiTheme="minorHAnsi" w:hAnsiTheme="minorHAnsi"/>
                <w:sz w:val="20"/>
                <w:szCs w:val="20"/>
                <w:lang w:val="en-AU"/>
              </w:rPr>
              <w:t>Master’s degree (for PhD applicants)</w:t>
            </w:r>
          </w:p>
        </w:tc>
      </w:tr>
      <w:tr w:rsidR="001954F0" w:rsidRPr="00B5326E" w14:paraId="31DCEF4F" w14:textId="77777777" w:rsidTr="00586E83">
        <w:tc>
          <w:tcPr>
            <w:tcW w:w="9134" w:type="dxa"/>
          </w:tcPr>
          <w:p w14:paraId="441805C5" w14:textId="77777777" w:rsidR="001954F0" w:rsidRPr="0039030D" w:rsidRDefault="001954F0" w:rsidP="00F27B1D">
            <w:pPr>
              <w:pStyle w:val="ListParagraph"/>
              <w:numPr>
                <w:ilvl w:val="0"/>
                <w:numId w:val="3"/>
              </w:numPr>
              <w:spacing w:before="0" w:after="0" w:line="240" w:lineRule="auto"/>
              <w:ind w:left="318" w:hanging="318"/>
              <w:contextualSpacing w:val="0"/>
              <w:rPr>
                <w:rFonts w:asciiTheme="minorHAnsi" w:hAnsiTheme="minorHAnsi"/>
                <w:sz w:val="20"/>
                <w:szCs w:val="20"/>
                <w:lang w:val="en-AU"/>
              </w:rPr>
            </w:pPr>
            <w:r w:rsidRPr="0039030D">
              <w:rPr>
                <w:rFonts w:asciiTheme="minorHAnsi" w:hAnsiTheme="minorHAnsi"/>
                <w:sz w:val="20"/>
                <w:szCs w:val="20"/>
                <w:lang w:val="en-AU"/>
              </w:rPr>
              <w:t xml:space="preserve">Minimum two years’ relevant work experience in Vietnam </w:t>
            </w:r>
          </w:p>
          <w:p w14:paraId="68A23520" w14:textId="72E27E8E" w:rsidR="001954F0" w:rsidRPr="0039030D" w:rsidRDefault="001954F0" w:rsidP="00F27B1D">
            <w:pPr>
              <w:rPr>
                <w:i/>
                <w:sz w:val="20"/>
                <w:szCs w:val="20"/>
              </w:rPr>
            </w:pPr>
            <w:r w:rsidRPr="0039030D">
              <w:rPr>
                <w:sz w:val="20"/>
                <w:szCs w:val="20"/>
              </w:rPr>
              <w:tab/>
            </w:r>
            <w:r w:rsidRPr="0039030D">
              <w:rPr>
                <w:i/>
                <w:sz w:val="20"/>
                <w:szCs w:val="20"/>
              </w:rPr>
              <w:t>(except</w:t>
            </w:r>
            <w:r w:rsidR="00A67C89" w:rsidRPr="0039030D">
              <w:rPr>
                <w:i/>
                <w:sz w:val="20"/>
                <w:szCs w:val="20"/>
              </w:rPr>
              <w:t xml:space="preserve"> </w:t>
            </w:r>
            <w:r w:rsidR="00206E28" w:rsidRPr="0039030D">
              <w:rPr>
                <w:i/>
                <w:sz w:val="20"/>
                <w:szCs w:val="20"/>
              </w:rPr>
              <w:t>“</w:t>
            </w:r>
            <w:r w:rsidR="00A67C89" w:rsidRPr="0039030D">
              <w:rPr>
                <w:i/>
                <w:sz w:val="20"/>
                <w:szCs w:val="20"/>
              </w:rPr>
              <w:t>Equity of Access</w:t>
            </w:r>
            <w:r w:rsidRPr="0039030D">
              <w:rPr>
                <w:i/>
                <w:sz w:val="20"/>
                <w:szCs w:val="20"/>
              </w:rPr>
              <w:t xml:space="preserve"> applicants” who require one year only)</w:t>
            </w:r>
          </w:p>
        </w:tc>
      </w:tr>
      <w:tr w:rsidR="001954F0" w:rsidRPr="00B5326E" w14:paraId="2CA92A68" w14:textId="77777777" w:rsidTr="00586E83">
        <w:tc>
          <w:tcPr>
            <w:tcW w:w="9134" w:type="dxa"/>
          </w:tcPr>
          <w:p w14:paraId="03D565A5" w14:textId="77777777" w:rsidR="001954F0" w:rsidRPr="0039030D" w:rsidRDefault="001954F0" w:rsidP="00F27B1D">
            <w:pPr>
              <w:pStyle w:val="ListParagraph"/>
              <w:numPr>
                <w:ilvl w:val="0"/>
                <w:numId w:val="3"/>
              </w:numPr>
              <w:spacing w:before="0" w:after="0" w:line="240" w:lineRule="auto"/>
              <w:ind w:left="318" w:hanging="318"/>
              <w:contextualSpacing w:val="0"/>
              <w:rPr>
                <w:rFonts w:asciiTheme="minorHAnsi" w:hAnsiTheme="minorHAnsi"/>
                <w:sz w:val="20"/>
                <w:szCs w:val="20"/>
                <w:lang w:val="en-AU"/>
              </w:rPr>
            </w:pPr>
            <w:r w:rsidRPr="0039030D">
              <w:rPr>
                <w:rFonts w:asciiTheme="minorHAnsi" w:hAnsiTheme="minorHAnsi"/>
                <w:sz w:val="20"/>
                <w:szCs w:val="20"/>
                <w:lang w:val="en-AU"/>
              </w:rPr>
              <w:t>Not be seeking a second Masters or PhD degree</w:t>
            </w:r>
          </w:p>
        </w:tc>
      </w:tr>
      <w:tr w:rsidR="001954F0" w:rsidRPr="00B5326E" w14:paraId="76E99C63" w14:textId="77777777" w:rsidTr="00586E83">
        <w:tc>
          <w:tcPr>
            <w:tcW w:w="9134" w:type="dxa"/>
          </w:tcPr>
          <w:p w14:paraId="70CCABD9" w14:textId="60C3E87E" w:rsidR="001954F0" w:rsidRPr="0039030D" w:rsidRDefault="001954F0" w:rsidP="00F27B1D">
            <w:pPr>
              <w:pStyle w:val="ListParagraph"/>
              <w:numPr>
                <w:ilvl w:val="0"/>
                <w:numId w:val="3"/>
              </w:numPr>
              <w:spacing w:before="0" w:after="0" w:line="240" w:lineRule="auto"/>
              <w:ind w:left="318" w:hanging="318"/>
              <w:contextualSpacing w:val="0"/>
              <w:rPr>
                <w:rFonts w:asciiTheme="minorHAnsi" w:hAnsiTheme="minorHAnsi"/>
                <w:sz w:val="20"/>
                <w:szCs w:val="20"/>
                <w:lang w:val="en-AU"/>
              </w:rPr>
            </w:pPr>
            <w:r w:rsidRPr="0039030D">
              <w:rPr>
                <w:rFonts w:asciiTheme="minorHAnsi" w:hAnsiTheme="minorHAnsi"/>
                <w:sz w:val="20"/>
                <w:szCs w:val="20"/>
                <w:lang w:val="en-AU"/>
              </w:rPr>
              <w:t xml:space="preserve">Minimum GPA of 7.0 (except </w:t>
            </w:r>
            <w:r w:rsidR="00A67C89" w:rsidRPr="0039030D">
              <w:rPr>
                <w:rFonts w:asciiTheme="minorHAnsi" w:hAnsiTheme="minorHAnsi"/>
                <w:sz w:val="20"/>
                <w:szCs w:val="20"/>
                <w:lang w:val="en-AU"/>
              </w:rPr>
              <w:t>Equity of Access</w:t>
            </w:r>
            <w:r w:rsidRPr="0039030D">
              <w:rPr>
                <w:rFonts w:asciiTheme="minorHAnsi" w:hAnsiTheme="minorHAnsi"/>
                <w:sz w:val="20"/>
                <w:szCs w:val="20"/>
                <w:lang w:val="en-AU"/>
              </w:rPr>
              <w:t xml:space="preserve"> candidates who require a minimum GPA of 6.0)</w:t>
            </w:r>
          </w:p>
        </w:tc>
      </w:tr>
      <w:tr w:rsidR="001954F0" w:rsidRPr="00B5326E" w14:paraId="510CAC0A" w14:textId="77777777" w:rsidTr="00586E83">
        <w:tc>
          <w:tcPr>
            <w:tcW w:w="9134" w:type="dxa"/>
          </w:tcPr>
          <w:p w14:paraId="7B218C34" w14:textId="77777777" w:rsidR="001954F0" w:rsidRPr="0039030D" w:rsidRDefault="001954F0" w:rsidP="00F27B1D">
            <w:pPr>
              <w:pStyle w:val="ListParagraph"/>
              <w:numPr>
                <w:ilvl w:val="0"/>
                <w:numId w:val="3"/>
              </w:numPr>
              <w:spacing w:before="0" w:after="0" w:line="240" w:lineRule="auto"/>
              <w:ind w:left="318" w:hanging="318"/>
              <w:contextualSpacing w:val="0"/>
              <w:rPr>
                <w:rFonts w:asciiTheme="minorHAnsi" w:hAnsiTheme="minorHAnsi"/>
                <w:sz w:val="20"/>
                <w:szCs w:val="20"/>
                <w:lang w:val="en-AU"/>
              </w:rPr>
            </w:pPr>
            <w:r w:rsidRPr="0039030D">
              <w:rPr>
                <w:rFonts w:asciiTheme="minorHAnsi" w:hAnsiTheme="minorHAnsi"/>
                <w:sz w:val="20"/>
                <w:szCs w:val="20"/>
                <w:lang w:val="en-AU"/>
              </w:rPr>
              <w:t>Letter of reference with stamp / seal from the applicant’s current or previous employer</w:t>
            </w:r>
          </w:p>
        </w:tc>
      </w:tr>
      <w:tr w:rsidR="001954F0" w:rsidRPr="00B5326E" w14:paraId="6132A35F" w14:textId="77777777" w:rsidTr="00586E83">
        <w:tc>
          <w:tcPr>
            <w:tcW w:w="9134" w:type="dxa"/>
          </w:tcPr>
          <w:p w14:paraId="6E30CCED" w14:textId="77777777" w:rsidR="001954F0" w:rsidRPr="0039030D" w:rsidRDefault="001954F0" w:rsidP="00F27B1D">
            <w:pPr>
              <w:pStyle w:val="ListParagraph"/>
              <w:numPr>
                <w:ilvl w:val="0"/>
                <w:numId w:val="3"/>
              </w:numPr>
              <w:spacing w:before="0" w:after="0" w:line="240" w:lineRule="auto"/>
              <w:ind w:left="318" w:hanging="318"/>
              <w:contextualSpacing w:val="0"/>
              <w:rPr>
                <w:rFonts w:asciiTheme="minorHAnsi" w:hAnsiTheme="minorHAnsi"/>
                <w:sz w:val="20"/>
                <w:szCs w:val="20"/>
                <w:lang w:val="en-AU"/>
              </w:rPr>
            </w:pPr>
            <w:r w:rsidRPr="0039030D">
              <w:rPr>
                <w:rFonts w:asciiTheme="minorHAnsi" w:hAnsiTheme="minorHAnsi"/>
                <w:sz w:val="20"/>
                <w:szCs w:val="20"/>
                <w:lang w:val="en-AU"/>
              </w:rPr>
              <w:t>Copy of the applicant’s work contract</w:t>
            </w:r>
          </w:p>
        </w:tc>
      </w:tr>
      <w:tr w:rsidR="001954F0" w:rsidRPr="00B5326E" w14:paraId="4AA737D9" w14:textId="77777777" w:rsidTr="00586E83">
        <w:tc>
          <w:tcPr>
            <w:tcW w:w="9134" w:type="dxa"/>
          </w:tcPr>
          <w:p w14:paraId="6EB25657" w14:textId="77777777" w:rsidR="001954F0" w:rsidRPr="0039030D" w:rsidRDefault="001954F0" w:rsidP="00C227BA">
            <w:pPr>
              <w:pStyle w:val="ListParagraph"/>
              <w:numPr>
                <w:ilvl w:val="0"/>
                <w:numId w:val="3"/>
              </w:numPr>
              <w:spacing w:line="240" w:lineRule="auto"/>
              <w:ind w:left="318" w:hanging="318"/>
              <w:contextualSpacing w:val="0"/>
              <w:rPr>
                <w:rFonts w:asciiTheme="minorHAnsi" w:hAnsiTheme="minorHAnsi"/>
                <w:sz w:val="20"/>
                <w:szCs w:val="20"/>
                <w:lang w:val="en-AU"/>
              </w:rPr>
            </w:pPr>
            <w:r w:rsidRPr="0039030D">
              <w:rPr>
                <w:rFonts w:asciiTheme="minorHAnsi" w:hAnsiTheme="minorHAnsi"/>
                <w:sz w:val="20"/>
                <w:szCs w:val="20"/>
                <w:lang w:val="en-AU"/>
              </w:rPr>
              <w:t>Summary research proposal for PhD and for Masters by research applicants.</w:t>
            </w:r>
          </w:p>
        </w:tc>
      </w:tr>
    </w:tbl>
    <w:p w14:paraId="0C165D92" w14:textId="77A5191D" w:rsidR="001954F0" w:rsidRPr="00F27B1D" w:rsidRDefault="00BE4B5A" w:rsidP="00F27B1D">
      <w:pPr>
        <w:spacing w:before="120" w:after="120"/>
        <w:rPr>
          <w:rFonts w:eastAsia="SimSun"/>
          <w:b/>
          <w:i/>
          <w:color w:val="548DD4" w:themeColor="text2" w:themeTint="99"/>
        </w:rPr>
      </w:pPr>
      <w:r>
        <w:rPr>
          <w:rFonts w:eastAsia="SimSun"/>
          <w:color w:val="548DD4" w:themeColor="text2" w:themeTint="99"/>
        </w:rPr>
        <w:br w:type="page"/>
      </w:r>
      <w:r w:rsidR="001954F0" w:rsidRPr="00F27B1D">
        <w:rPr>
          <w:rFonts w:eastAsia="SimSun"/>
          <w:b/>
          <w:i/>
          <w:color w:val="548DD4" w:themeColor="text2" w:themeTint="99"/>
        </w:rPr>
        <w:t>Selection</w:t>
      </w:r>
    </w:p>
    <w:p w14:paraId="5110666E" w14:textId="45AD9D27" w:rsidR="001954F0" w:rsidRPr="00B5326E" w:rsidRDefault="001954F0" w:rsidP="00C227BA">
      <w:pPr>
        <w:spacing w:before="120" w:after="120"/>
      </w:pPr>
      <w:r w:rsidRPr="00B5326E">
        <w:t xml:space="preserve">The selection process must be transparent and fully merit-based. </w:t>
      </w:r>
    </w:p>
    <w:p w14:paraId="6065EBB9" w14:textId="41F4546C" w:rsidR="00586E83" w:rsidRPr="00B5326E" w:rsidRDefault="001954F0" w:rsidP="00C227BA">
      <w:pPr>
        <w:spacing w:before="120" w:after="120"/>
      </w:pPr>
      <w:r w:rsidRPr="00B5326E">
        <w:t xml:space="preserve">All </w:t>
      </w:r>
      <w:r w:rsidR="005E7AA2" w:rsidRPr="00B5326E">
        <w:t>interview</w:t>
      </w:r>
      <w:r w:rsidRPr="00B5326E">
        <w:t xml:space="preserve"> panels will receive a detailed briefing</w:t>
      </w:r>
      <w:r w:rsidR="00356717" w:rsidRPr="00356717">
        <w:t xml:space="preserve"> </w:t>
      </w:r>
      <w:r w:rsidR="00356717" w:rsidRPr="00B5326E">
        <w:t>from the Contractor</w:t>
      </w:r>
      <w:r w:rsidR="005163A2">
        <w:t xml:space="preserve"> </w:t>
      </w:r>
      <w:r w:rsidRPr="00B5326E">
        <w:t xml:space="preserve">to ensure consistent approaches, across all interview categories and locations. Each selection panel will provide the JSC with a ranked list of shortlisted awardees, by gender. </w:t>
      </w:r>
    </w:p>
    <w:p w14:paraId="6F453DA3" w14:textId="6C297450" w:rsidR="00FA658F" w:rsidRDefault="00D14C2C" w:rsidP="00C227BA">
      <w:pPr>
        <w:spacing w:before="120" w:after="120"/>
      </w:pPr>
      <w:r>
        <w:t xml:space="preserve">The interview panels may discuss the interview assessment during the interview period to ensure consistency of assessment between panels, and agree on recommendations for JSC. </w:t>
      </w:r>
      <w:r w:rsidR="001954F0" w:rsidRPr="00B5326E">
        <w:t xml:space="preserve">Moderation and final selection of awardees will occur </w:t>
      </w:r>
      <w:r>
        <w:t>at JSC</w:t>
      </w:r>
      <w:r w:rsidR="001954F0" w:rsidRPr="00B5326E">
        <w:t xml:space="preserve">. Moderation will consider geographic </w:t>
      </w:r>
      <w:r w:rsidR="0053044C" w:rsidRPr="00B5326E">
        <w:t xml:space="preserve">and sector </w:t>
      </w:r>
      <w:r w:rsidR="001954F0" w:rsidRPr="00B5326E">
        <w:t xml:space="preserve">balance, </w:t>
      </w:r>
      <w:r w:rsidR="0053044C">
        <w:t xml:space="preserve">as well as </w:t>
      </w:r>
      <w:r w:rsidR="001954F0" w:rsidRPr="00B5326E">
        <w:t>gender</w:t>
      </w:r>
      <w:r w:rsidR="0053044C">
        <w:t xml:space="preserve"> </w:t>
      </w:r>
      <w:r w:rsidR="00366E2C" w:rsidRPr="005A29C1">
        <w:t>equity</w:t>
      </w:r>
      <w:r w:rsidR="005A29C1">
        <w:t xml:space="preserve"> </w:t>
      </w:r>
      <w:r w:rsidR="0053044C">
        <w:t>and social inclusion policies</w:t>
      </w:r>
      <w:r w:rsidR="008F4EF7" w:rsidRPr="00B5326E">
        <w:t xml:space="preserve">. </w:t>
      </w:r>
    </w:p>
    <w:p w14:paraId="2CEFA681" w14:textId="625DCE21" w:rsidR="001954F0" w:rsidRPr="001A0CDA" w:rsidRDefault="005C6F13" w:rsidP="00C227BA">
      <w:pPr>
        <w:pStyle w:val="Heading2"/>
        <w:numPr>
          <w:ilvl w:val="0"/>
          <w:numId w:val="0"/>
        </w:numPr>
        <w:spacing w:before="120"/>
        <w:ind w:left="567" w:hanging="567"/>
        <w:rPr>
          <w:rFonts w:asciiTheme="minorHAnsi" w:eastAsia="SimSun" w:hAnsiTheme="minorHAnsi"/>
          <w:color w:val="548DD4" w:themeColor="text2" w:themeTint="99"/>
          <w:szCs w:val="24"/>
          <w:lang w:eastAsia="en-US"/>
        </w:rPr>
      </w:pPr>
      <w:r w:rsidRPr="00314297">
        <w:rPr>
          <w:rFonts w:asciiTheme="minorHAnsi" w:eastAsia="SimSun" w:hAnsiTheme="minorHAnsi"/>
          <w:color w:val="548DD4" w:themeColor="text2" w:themeTint="99"/>
          <w:szCs w:val="24"/>
          <w:lang w:eastAsia="en-US"/>
        </w:rPr>
        <w:t>English L</w:t>
      </w:r>
      <w:r w:rsidR="001954F0" w:rsidRPr="00B42B3E">
        <w:rPr>
          <w:rFonts w:asciiTheme="minorHAnsi" w:eastAsia="SimSun" w:hAnsiTheme="minorHAnsi"/>
          <w:color w:val="548DD4" w:themeColor="text2" w:themeTint="99"/>
          <w:szCs w:val="24"/>
          <w:lang w:eastAsia="en-US"/>
        </w:rPr>
        <w:t xml:space="preserve">anguage </w:t>
      </w:r>
      <w:r w:rsidRPr="008C2305">
        <w:rPr>
          <w:rFonts w:asciiTheme="minorHAnsi" w:eastAsia="SimSun" w:hAnsiTheme="minorHAnsi"/>
          <w:color w:val="548DD4" w:themeColor="text2" w:themeTint="99"/>
          <w:szCs w:val="24"/>
          <w:lang w:eastAsia="en-US"/>
        </w:rPr>
        <w:t>T</w:t>
      </w:r>
      <w:r w:rsidR="001954F0" w:rsidRPr="001A0CDA">
        <w:rPr>
          <w:rFonts w:asciiTheme="minorHAnsi" w:eastAsia="SimSun" w:hAnsiTheme="minorHAnsi"/>
          <w:color w:val="548DD4" w:themeColor="text2" w:themeTint="99"/>
          <w:szCs w:val="24"/>
          <w:lang w:eastAsia="en-US"/>
        </w:rPr>
        <w:t>raining</w:t>
      </w:r>
    </w:p>
    <w:p w14:paraId="0C7056BE" w14:textId="0FCBABE4" w:rsidR="00586E83" w:rsidRPr="00D9325F" w:rsidRDefault="001954F0" w:rsidP="00C227BA">
      <w:pPr>
        <w:spacing w:before="120" w:after="120"/>
        <w:rPr>
          <w:rFonts w:eastAsia="Calibri"/>
        </w:rPr>
      </w:pPr>
      <w:r w:rsidRPr="001A0CDA">
        <w:rPr>
          <w:rFonts w:eastAsia="Calibri"/>
        </w:rPr>
        <w:t>Australia Award</w:t>
      </w:r>
      <w:r w:rsidR="00BE4B5A">
        <w:rPr>
          <w:rFonts w:eastAsia="Calibri"/>
        </w:rPr>
        <w:t>s</w:t>
      </w:r>
      <w:r w:rsidRPr="001A0CDA">
        <w:rPr>
          <w:rFonts w:eastAsia="Calibri"/>
        </w:rPr>
        <w:t xml:space="preserve"> Scholarship</w:t>
      </w:r>
      <w:r w:rsidR="00BE4B5A">
        <w:rPr>
          <w:rFonts w:eastAsia="Calibri"/>
        </w:rPr>
        <w:t>s</w:t>
      </w:r>
      <w:r w:rsidRPr="001A0CDA">
        <w:rPr>
          <w:rFonts w:eastAsia="Calibri"/>
        </w:rPr>
        <w:t xml:space="preserve"> candidates are to be </w:t>
      </w:r>
      <w:r w:rsidRPr="004E1408">
        <w:rPr>
          <w:rFonts w:eastAsia="Calibri"/>
          <w:i/>
        </w:rPr>
        <w:t>requested</w:t>
      </w:r>
      <w:r w:rsidRPr="004E1408">
        <w:rPr>
          <w:rFonts w:eastAsia="Calibri"/>
        </w:rPr>
        <w:t xml:space="preserve"> to provide evidence of their English languag</w:t>
      </w:r>
      <w:r w:rsidRPr="007A6D7C">
        <w:rPr>
          <w:rFonts w:eastAsia="Calibri"/>
        </w:rPr>
        <w:t xml:space="preserve">e ability in their OASIS applications, and to produce the relevant original IELTS or TOEFL test score document if selected for interview. </w:t>
      </w:r>
    </w:p>
    <w:p w14:paraId="4EF9CC5D" w14:textId="024B3BD0" w:rsidR="00EF6959" w:rsidRPr="00EA76FF" w:rsidRDefault="001954F0" w:rsidP="00C227BA">
      <w:pPr>
        <w:spacing w:before="120" w:after="120"/>
        <w:rPr>
          <w:rFonts w:eastAsia="Calibri"/>
        </w:rPr>
      </w:pPr>
      <w:r w:rsidRPr="00B379A4">
        <w:rPr>
          <w:rFonts w:eastAsia="Calibri"/>
        </w:rPr>
        <w:t>Where</w:t>
      </w:r>
      <w:r w:rsidR="005163A2">
        <w:rPr>
          <w:rFonts w:eastAsia="Calibri"/>
        </w:rPr>
        <w:t xml:space="preserve"> a</w:t>
      </w:r>
      <w:r w:rsidRPr="00B379A4">
        <w:rPr>
          <w:rFonts w:eastAsia="Calibri"/>
        </w:rPr>
        <w:t xml:space="preserve"> shortlisted candidate has not previously sat an English Language test, or </w:t>
      </w:r>
      <w:r w:rsidR="005163A2" w:rsidRPr="00B379A4">
        <w:rPr>
          <w:rFonts w:eastAsia="Calibri"/>
        </w:rPr>
        <w:t>wh</w:t>
      </w:r>
      <w:r w:rsidR="005163A2">
        <w:rPr>
          <w:rFonts w:eastAsia="Calibri"/>
        </w:rPr>
        <w:t>ere the</w:t>
      </w:r>
      <w:r w:rsidR="005163A2" w:rsidRPr="00B379A4">
        <w:rPr>
          <w:rFonts w:eastAsia="Calibri"/>
        </w:rPr>
        <w:t xml:space="preserve"> </w:t>
      </w:r>
      <w:r w:rsidRPr="00B379A4">
        <w:rPr>
          <w:rFonts w:eastAsia="Calibri"/>
        </w:rPr>
        <w:t xml:space="preserve">test is more than two (2) years old, the Contractor will arrange for </w:t>
      </w:r>
      <w:r w:rsidR="005163A2">
        <w:rPr>
          <w:rFonts w:eastAsia="Calibri"/>
        </w:rPr>
        <w:t xml:space="preserve">the candidate </w:t>
      </w:r>
      <w:r w:rsidRPr="00B379A4">
        <w:rPr>
          <w:rFonts w:eastAsia="Calibri"/>
        </w:rPr>
        <w:t xml:space="preserve">to sit </w:t>
      </w:r>
      <w:r w:rsidR="005163A2">
        <w:rPr>
          <w:rFonts w:eastAsia="Calibri"/>
        </w:rPr>
        <w:t>an</w:t>
      </w:r>
      <w:r w:rsidRPr="00B379A4">
        <w:rPr>
          <w:rFonts w:eastAsia="Calibri"/>
        </w:rPr>
        <w:t xml:space="preserve"> IELTS prior to </w:t>
      </w:r>
      <w:r w:rsidR="00DC7B91" w:rsidRPr="00602A77">
        <w:rPr>
          <w:rFonts w:eastAsia="Calibri"/>
        </w:rPr>
        <w:t>interview</w:t>
      </w:r>
      <w:r w:rsidR="00DC7B91" w:rsidRPr="003B74ED">
        <w:rPr>
          <w:rStyle w:val="FootnoteReference"/>
          <w:rFonts w:eastAsia="Calibri"/>
        </w:rPr>
        <w:footnoteReference w:id="47"/>
      </w:r>
      <w:r w:rsidR="00DC7B91" w:rsidRPr="003B74ED">
        <w:rPr>
          <w:rFonts w:eastAsia="Calibri"/>
        </w:rPr>
        <w:t>.</w:t>
      </w:r>
    </w:p>
    <w:p w14:paraId="5A7440B5" w14:textId="764B8C9E" w:rsidR="00586E83" w:rsidRPr="001A0CDA" w:rsidRDefault="001954F0" w:rsidP="00C227BA">
      <w:pPr>
        <w:spacing w:before="120" w:after="120"/>
        <w:rPr>
          <w:rFonts w:eastAsia="Calibri"/>
        </w:rPr>
      </w:pPr>
      <w:r w:rsidRPr="00B42B3E">
        <w:rPr>
          <w:rFonts w:eastAsia="Calibri"/>
        </w:rPr>
        <w:t>IELTS test results will be provided to each interview panel</w:t>
      </w:r>
      <w:r w:rsidR="00044586">
        <w:rPr>
          <w:rFonts w:eastAsia="Calibri"/>
        </w:rPr>
        <w:t xml:space="preserve"> and </w:t>
      </w:r>
      <w:r w:rsidRPr="00B42B3E">
        <w:rPr>
          <w:rFonts w:eastAsia="Calibri"/>
        </w:rPr>
        <w:t>the final selection report will</w:t>
      </w:r>
      <w:r w:rsidR="00044586">
        <w:rPr>
          <w:rFonts w:eastAsia="Calibri"/>
        </w:rPr>
        <w:t xml:space="preserve"> then</w:t>
      </w:r>
      <w:r w:rsidRPr="00B42B3E">
        <w:rPr>
          <w:rFonts w:eastAsia="Calibri"/>
        </w:rPr>
        <w:t xml:space="preserve"> include details of any pre-course En</w:t>
      </w:r>
      <w:r w:rsidRPr="008C2305">
        <w:rPr>
          <w:rFonts w:eastAsia="Calibri"/>
        </w:rPr>
        <w:t xml:space="preserve">glish Language </w:t>
      </w:r>
      <w:r w:rsidR="004F5B58">
        <w:rPr>
          <w:rFonts w:eastAsia="Calibri"/>
        </w:rPr>
        <w:t>T</w:t>
      </w:r>
      <w:r w:rsidRPr="008C2305">
        <w:rPr>
          <w:rFonts w:eastAsia="Calibri"/>
        </w:rPr>
        <w:t xml:space="preserve">raining </w:t>
      </w:r>
      <w:r w:rsidR="004F5B58">
        <w:rPr>
          <w:rFonts w:eastAsia="Calibri"/>
        </w:rPr>
        <w:t xml:space="preserve">required for </w:t>
      </w:r>
      <w:r w:rsidRPr="008C2305">
        <w:rPr>
          <w:rFonts w:eastAsia="Calibri"/>
        </w:rPr>
        <w:t xml:space="preserve">successful </w:t>
      </w:r>
      <w:r w:rsidR="004F5B58">
        <w:rPr>
          <w:rFonts w:eastAsia="Calibri"/>
        </w:rPr>
        <w:t>award applicants</w:t>
      </w:r>
      <w:r w:rsidRPr="008C2305">
        <w:rPr>
          <w:rFonts w:eastAsia="Calibri"/>
        </w:rPr>
        <w:t xml:space="preserve">. </w:t>
      </w:r>
    </w:p>
    <w:p w14:paraId="6AF8DC20" w14:textId="3ACF6CB6" w:rsidR="004F5B58" w:rsidRDefault="00512E94" w:rsidP="00C227BA">
      <w:pPr>
        <w:spacing w:before="120" w:after="120"/>
        <w:rPr>
          <w:rFonts w:eastAsia="Calibri"/>
        </w:rPr>
      </w:pPr>
      <w:r w:rsidRPr="004E1408">
        <w:rPr>
          <w:rFonts w:eastAsia="Calibri"/>
        </w:rPr>
        <w:t xml:space="preserve">Table 3.2 lists minimum </w:t>
      </w:r>
      <w:r w:rsidR="004F5B58">
        <w:rPr>
          <w:rFonts w:eastAsia="Calibri"/>
        </w:rPr>
        <w:t>suggested</w:t>
      </w:r>
      <w:r w:rsidR="004F5B58" w:rsidRPr="004E1408">
        <w:rPr>
          <w:rFonts w:eastAsia="Calibri"/>
        </w:rPr>
        <w:t xml:space="preserve"> </w:t>
      </w:r>
      <w:r w:rsidRPr="004E1408">
        <w:rPr>
          <w:rFonts w:eastAsia="Calibri"/>
        </w:rPr>
        <w:t>IELTS scores for different applicant profiles. These will be confirmed by DFAT and MOET for each selection round</w:t>
      </w:r>
      <w:r w:rsidR="004F5B58">
        <w:rPr>
          <w:rStyle w:val="FootnoteReference"/>
          <w:rFonts w:eastAsia="Calibri"/>
        </w:rPr>
        <w:footnoteReference w:id="48"/>
      </w:r>
      <w:r w:rsidRPr="004E1408">
        <w:rPr>
          <w:rFonts w:eastAsia="Calibri"/>
        </w:rPr>
        <w:t xml:space="preserve">. </w:t>
      </w:r>
    </w:p>
    <w:p w14:paraId="726412A6" w14:textId="5527DE2F" w:rsidR="004F7097" w:rsidRPr="00816AF1" w:rsidRDefault="004F7097" w:rsidP="00C227BA">
      <w:pPr>
        <w:spacing w:before="120" w:after="120"/>
        <w:rPr>
          <w:rFonts w:eastAsia="Calibri"/>
        </w:rPr>
      </w:pPr>
      <w:r w:rsidRPr="00F4554A">
        <w:rPr>
          <w:rFonts w:eastAsia="Calibri"/>
        </w:rPr>
        <w:t xml:space="preserve">Table 3.2: Minimum IELTS </w:t>
      </w:r>
      <w:r w:rsidR="00512E94" w:rsidRPr="00F4554A">
        <w:rPr>
          <w:rFonts w:eastAsia="Calibri"/>
        </w:rPr>
        <w:t>T</w:t>
      </w:r>
      <w:r w:rsidRPr="00B31B3E">
        <w:rPr>
          <w:rFonts w:eastAsia="Calibri"/>
        </w:rPr>
        <w:t xml:space="preserve">est </w:t>
      </w:r>
      <w:r w:rsidR="00512E94" w:rsidRPr="00274EF2">
        <w:rPr>
          <w:rFonts w:eastAsia="Calibri"/>
        </w:rPr>
        <w:t>S</w:t>
      </w:r>
      <w:r w:rsidRPr="00F233A7">
        <w:rPr>
          <w:rFonts w:eastAsia="Calibri"/>
        </w:rPr>
        <w:t xml:space="preserve">cores </w:t>
      </w:r>
      <w:r w:rsidR="00512E94" w:rsidRPr="004744D3">
        <w:rPr>
          <w:rFonts w:eastAsia="Calibri"/>
        </w:rPr>
        <w:t>R</w:t>
      </w:r>
      <w:r w:rsidRPr="00AF245E">
        <w:rPr>
          <w:rFonts w:eastAsia="Calibri"/>
        </w:rPr>
        <w:t>equired a</w:t>
      </w:r>
      <w:r w:rsidRPr="00816AF1">
        <w:rPr>
          <w:rFonts w:eastAsia="Calibri"/>
        </w:rPr>
        <w:t xml:space="preserve">t </w:t>
      </w:r>
      <w:r w:rsidR="00512E94" w:rsidRPr="00816AF1">
        <w:rPr>
          <w:rFonts w:eastAsia="Calibri"/>
        </w:rPr>
        <w:t>I</w:t>
      </w:r>
      <w:r w:rsidRPr="00816AF1">
        <w:rPr>
          <w:rFonts w:eastAsia="Calibri"/>
        </w:rPr>
        <w:t>nterview</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62"/>
        <w:gridCol w:w="3118"/>
      </w:tblGrid>
      <w:tr w:rsidR="004F7097" w:rsidRPr="00B5326E" w14:paraId="6AF89985" w14:textId="77777777" w:rsidTr="00303C7A">
        <w:tc>
          <w:tcPr>
            <w:tcW w:w="4962" w:type="dxa"/>
            <w:shd w:val="clear" w:color="auto" w:fill="D9D9D9" w:themeFill="background1" w:themeFillShade="D9"/>
            <w:vAlign w:val="center"/>
          </w:tcPr>
          <w:p w14:paraId="042C4FFD" w14:textId="77777777" w:rsidR="004F7097" w:rsidRPr="00816AF1" w:rsidRDefault="004F7097" w:rsidP="00F27B1D">
            <w:pPr>
              <w:jc w:val="center"/>
              <w:rPr>
                <w:b/>
                <w:sz w:val="24"/>
                <w:szCs w:val="24"/>
              </w:rPr>
            </w:pPr>
            <w:r w:rsidRPr="00816AF1">
              <w:rPr>
                <w:b/>
                <w:sz w:val="24"/>
                <w:szCs w:val="24"/>
              </w:rPr>
              <w:t>Applicant profile</w:t>
            </w:r>
          </w:p>
        </w:tc>
        <w:tc>
          <w:tcPr>
            <w:tcW w:w="3118" w:type="dxa"/>
            <w:shd w:val="clear" w:color="auto" w:fill="D9D9D9" w:themeFill="background1" w:themeFillShade="D9"/>
            <w:vAlign w:val="center"/>
          </w:tcPr>
          <w:p w14:paraId="33053CC1" w14:textId="77777777" w:rsidR="004F7097" w:rsidRPr="00FE136A" w:rsidRDefault="004F7097" w:rsidP="00F27B1D">
            <w:pPr>
              <w:jc w:val="center"/>
              <w:rPr>
                <w:b/>
                <w:sz w:val="24"/>
                <w:szCs w:val="24"/>
              </w:rPr>
            </w:pPr>
            <w:r w:rsidRPr="00FE136A">
              <w:rPr>
                <w:b/>
                <w:sz w:val="24"/>
                <w:szCs w:val="24"/>
              </w:rPr>
              <w:t>Minimum (overall) IELTS score</w:t>
            </w:r>
          </w:p>
        </w:tc>
      </w:tr>
      <w:tr w:rsidR="004F7097" w:rsidRPr="00B5326E" w14:paraId="284939B8" w14:textId="77777777" w:rsidTr="00303C7A">
        <w:tc>
          <w:tcPr>
            <w:tcW w:w="4962" w:type="dxa"/>
          </w:tcPr>
          <w:p w14:paraId="5E266240" w14:textId="77777777" w:rsidR="004F7097" w:rsidRPr="00D7321D" w:rsidRDefault="004F7097" w:rsidP="00F27B1D">
            <w:pPr>
              <w:rPr>
                <w:sz w:val="24"/>
                <w:szCs w:val="24"/>
              </w:rPr>
            </w:pPr>
            <w:r w:rsidRPr="00B5326E">
              <w:t>Central Government Agency applicants</w:t>
            </w:r>
            <w:r w:rsidRPr="00B5326E">
              <w:tab/>
            </w:r>
          </w:p>
        </w:tc>
        <w:tc>
          <w:tcPr>
            <w:tcW w:w="3118" w:type="dxa"/>
          </w:tcPr>
          <w:p w14:paraId="0194107D" w14:textId="77777777" w:rsidR="004F7097" w:rsidRPr="00D7321D" w:rsidRDefault="004F7097" w:rsidP="0039030D">
            <w:pPr>
              <w:ind w:right="318"/>
              <w:jc w:val="center"/>
              <w:rPr>
                <w:sz w:val="24"/>
                <w:szCs w:val="24"/>
              </w:rPr>
            </w:pPr>
            <w:r w:rsidRPr="00B5326E">
              <w:t>5.5</w:t>
            </w:r>
          </w:p>
        </w:tc>
      </w:tr>
      <w:tr w:rsidR="004F7097" w:rsidRPr="00B5326E" w14:paraId="6FFD6C30" w14:textId="77777777" w:rsidTr="00303C7A">
        <w:tc>
          <w:tcPr>
            <w:tcW w:w="4962" w:type="dxa"/>
          </w:tcPr>
          <w:p w14:paraId="1C380510" w14:textId="5030D831" w:rsidR="004F7097" w:rsidRPr="00D7321D" w:rsidRDefault="004F7097" w:rsidP="00F27B1D">
            <w:pPr>
              <w:rPr>
                <w:sz w:val="24"/>
                <w:szCs w:val="24"/>
              </w:rPr>
            </w:pPr>
            <w:r w:rsidRPr="00B5326E">
              <w:t>Provincial Government Agency applicants</w:t>
            </w:r>
          </w:p>
        </w:tc>
        <w:tc>
          <w:tcPr>
            <w:tcW w:w="3118" w:type="dxa"/>
          </w:tcPr>
          <w:p w14:paraId="2C270527" w14:textId="77777777" w:rsidR="004F7097" w:rsidRPr="00D7321D" w:rsidRDefault="004F7097" w:rsidP="0039030D">
            <w:pPr>
              <w:ind w:right="318"/>
              <w:jc w:val="center"/>
              <w:rPr>
                <w:sz w:val="24"/>
                <w:szCs w:val="24"/>
              </w:rPr>
            </w:pPr>
            <w:r w:rsidRPr="00B5326E">
              <w:t>4.5</w:t>
            </w:r>
          </w:p>
        </w:tc>
      </w:tr>
      <w:tr w:rsidR="004F7097" w:rsidRPr="00B5326E" w14:paraId="7ADC64D4" w14:textId="77777777" w:rsidTr="00303C7A">
        <w:tc>
          <w:tcPr>
            <w:tcW w:w="4962" w:type="dxa"/>
          </w:tcPr>
          <w:p w14:paraId="682C6CC7" w14:textId="218C87FB" w:rsidR="004F7097" w:rsidRPr="00D7321D" w:rsidRDefault="004F7097" w:rsidP="00F27B1D">
            <w:pPr>
              <w:rPr>
                <w:sz w:val="24"/>
                <w:szCs w:val="24"/>
              </w:rPr>
            </w:pPr>
            <w:r w:rsidRPr="00B5326E">
              <w:t>Major City University applicants</w:t>
            </w:r>
          </w:p>
        </w:tc>
        <w:tc>
          <w:tcPr>
            <w:tcW w:w="3118" w:type="dxa"/>
          </w:tcPr>
          <w:p w14:paraId="0B55EFC7" w14:textId="77777777" w:rsidR="004F7097" w:rsidRPr="00D7321D" w:rsidRDefault="004F7097" w:rsidP="0039030D">
            <w:pPr>
              <w:ind w:right="318"/>
              <w:jc w:val="center"/>
              <w:rPr>
                <w:sz w:val="24"/>
                <w:szCs w:val="24"/>
              </w:rPr>
            </w:pPr>
            <w:r w:rsidRPr="00B5326E">
              <w:t>6.5</w:t>
            </w:r>
          </w:p>
        </w:tc>
      </w:tr>
      <w:tr w:rsidR="004F7097" w:rsidRPr="00B5326E" w14:paraId="5B35300A" w14:textId="77777777" w:rsidTr="00303C7A">
        <w:tc>
          <w:tcPr>
            <w:tcW w:w="4962" w:type="dxa"/>
          </w:tcPr>
          <w:p w14:paraId="74151A6A" w14:textId="77777777" w:rsidR="004F7097" w:rsidRPr="00D7321D" w:rsidRDefault="004F7097" w:rsidP="00F27B1D">
            <w:pPr>
              <w:rPr>
                <w:sz w:val="24"/>
                <w:szCs w:val="24"/>
              </w:rPr>
            </w:pPr>
            <w:r w:rsidRPr="00B5326E">
              <w:t xml:space="preserve">Regional University applicants </w:t>
            </w:r>
          </w:p>
        </w:tc>
        <w:tc>
          <w:tcPr>
            <w:tcW w:w="3118" w:type="dxa"/>
          </w:tcPr>
          <w:p w14:paraId="68A34905" w14:textId="77777777" w:rsidR="004F7097" w:rsidRPr="00D7321D" w:rsidRDefault="004F7097" w:rsidP="0039030D">
            <w:pPr>
              <w:ind w:right="318"/>
              <w:jc w:val="center"/>
              <w:rPr>
                <w:sz w:val="24"/>
                <w:szCs w:val="24"/>
              </w:rPr>
            </w:pPr>
            <w:r w:rsidRPr="00B5326E">
              <w:t>5.5</w:t>
            </w:r>
          </w:p>
        </w:tc>
      </w:tr>
      <w:tr w:rsidR="004F7097" w:rsidRPr="00B5326E" w14:paraId="3FCAC3EC" w14:textId="77777777" w:rsidTr="00303C7A">
        <w:tc>
          <w:tcPr>
            <w:tcW w:w="4962" w:type="dxa"/>
          </w:tcPr>
          <w:p w14:paraId="2280C6B4" w14:textId="77777777" w:rsidR="004F7097" w:rsidRPr="00D7321D" w:rsidRDefault="004F7097" w:rsidP="00F27B1D">
            <w:pPr>
              <w:rPr>
                <w:sz w:val="24"/>
                <w:szCs w:val="24"/>
              </w:rPr>
            </w:pPr>
            <w:r w:rsidRPr="00B5326E">
              <w:t>Domestic NGO applicants</w:t>
            </w:r>
          </w:p>
        </w:tc>
        <w:tc>
          <w:tcPr>
            <w:tcW w:w="3118" w:type="dxa"/>
          </w:tcPr>
          <w:p w14:paraId="41539D6A" w14:textId="77777777" w:rsidR="004F7097" w:rsidRPr="00D7321D" w:rsidRDefault="004F7097" w:rsidP="0039030D">
            <w:pPr>
              <w:ind w:right="318"/>
              <w:jc w:val="center"/>
              <w:rPr>
                <w:sz w:val="24"/>
                <w:szCs w:val="24"/>
              </w:rPr>
            </w:pPr>
            <w:r w:rsidRPr="00B5326E">
              <w:t>5.5</w:t>
            </w:r>
          </w:p>
        </w:tc>
      </w:tr>
      <w:tr w:rsidR="004F7097" w:rsidRPr="00B5326E" w14:paraId="1501AA7D" w14:textId="77777777" w:rsidTr="00303C7A">
        <w:tc>
          <w:tcPr>
            <w:tcW w:w="4962" w:type="dxa"/>
          </w:tcPr>
          <w:p w14:paraId="60CB1B76" w14:textId="77777777" w:rsidR="004F7097" w:rsidRPr="00D7321D" w:rsidRDefault="004F7097" w:rsidP="00F27B1D">
            <w:pPr>
              <w:rPr>
                <w:sz w:val="24"/>
                <w:szCs w:val="24"/>
              </w:rPr>
            </w:pPr>
            <w:r w:rsidRPr="00B5326E">
              <w:t>International NGO applicants</w:t>
            </w:r>
          </w:p>
        </w:tc>
        <w:tc>
          <w:tcPr>
            <w:tcW w:w="3118" w:type="dxa"/>
          </w:tcPr>
          <w:p w14:paraId="6AE958D4" w14:textId="77777777" w:rsidR="004F7097" w:rsidRPr="00D7321D" w:rsidRDefault="004F7097" w:rsidP="0039030D">
            <w:pPr>
              <w:ind w:right="318"/>
              <w:jc w:val="center"/>
              <w:rPr>
                <w:sz w:val="24"/>
                <w:szCs w:val="24"/>
              </w:rPr>
            </w:pPr>
            <w:r w:rsidRPr="00B5326E">
              <w:t>6.0</w:t>
            </w:r>
          </w:p>
        </w:tc>
      </w:tr>
      <w:tr w:rsidR="004F7097" w:rsidRPr="00B5326E" w14:paraId="65F1C4E4" w14:textId="77777777" w:rsidTr="00303C7A">
        <w:trPr>
          <w:trHeight w:val="70"/>
        </w:trPr>
        <w:tc>
          <w:tcPr>
            <w:tcW w:w="4962" w:type="dxa"/>
          </w:tcPr>
          <w:p w14:paraId="7BF63F6B" w14:textId="77777777" w:rsidR="004F7097" w:rsidRPr="00D7321D" w:rsidRDefault="004F7097" w:rsidP="00F27B1D">
            <w:pPr>
              <w:rPr>
                <w:sz w:val="24"/>
                <w:szCs w:val="24"/>
              </w:rPr>
            </w:pPr>
            <w:r w:rsidRPr="00B5326E">
              <w:t xml:space="preserve">Private sector applicants </w:t>
            </w:r>
          </w:p>
        </w:tc>
        <w:tc>
          <w:tcPr>
            <w:tcW w:w="3118" w:type="dxa"/>
          </w:tcPr>
          <w:p w14:paraId="30EBED0C" w14:textId="77777777" w:rsidR="004F7097" w:rsidRPr="00D7321D" w:rsidRDefault="004F7097" w:rsidP="0039030D">
            <w:pPr>
              <w:ind w:right="318"/>
              <w:jc w:val="center"/>
              <w:rPr>
                <w:sz w:val="24"/>
                <w:szCs w:val="24"/>
              </w:rPr>
            </w:pPr>
            <w:r w:rsidRPr="00B5326E">
              <w:t>6.5</w:t>
            </w:r>
          </w:p>
        </w:tc>
      </w:tr>
      <w:tr w:rsidR="004F7097" w:rsidRPr="00B5326E" w14:paraId="26F69F02" w14:textId="77777777" w:rsidTr="00303C7A">
        <w:tc>
          <w:tcPr>
            <w:tcW w:w="4962" w:type="dxa"/>
          </w:tcPr>
          <w:p w14:paraId="071B4F60" w14:textId="2FDA43D5" w:rsidR="004F7097" w:rsidRPr="00D7321D" w:rsidRDefault="009D41BC" w:rsidP="00F27B1D">
            <w:pPr>
              <w:rPr>
                <w:sz w:val="24"/>
                <w:szCs w:val="24"/>
              </w:rPr>
            </w:pPr>
            <w:r w:rsidRPr="00B5326E">
              <w:t xml:space="preserve">Equity of Access </w:t>
            </w:r>
            <w:r w:rsidR="004F7097" w:rsidRPr="00B5326E">
              <w:t xml:space="preserve">applicants </w:t>
            </w:r>
          </w:p>
        </w:tc>
        <w:tc>
          <w:tcPr>
            <w:tcW w:w="3118" w:type="dxa"/>
          </w:tcPr>
          <w:p w14:paraId="3DC0C29C" w14:textId="77777777" w:rsidR="004F7097" w:rsidRPr="00D7321D" w:rsidRDefault="004F7097" w:rsidP="0039030D">
            <w:pPr>
              <w:ind w:right="318"/>
              <w:jc w:val="center"/>
              <w:rPr>
                <w:sz w:val="24"/>
                <w:szCs w:val="24"/>
              </w:rPr>
            </w:pPr>
            <w:r w:rsidRPr="00B5326E">
              <w:t>4.5</w:t>
            </w:r>
          </w:p>
        </w:tc>
      </w:tr>
    </w:tbl>
    <w:p w14:paraId="1C60ACB6" w14:textId="1C8AC21F" w:rsidR="00EC65B5" w:rsidRPr="00B5326E" w:rsidRDefault="00CA446E" w:rsidP="00C227BA">
      <w:pPr>
        <w:spacing w:before="120" w:after="120"/>
        <w:rPr>
          <w:rFonts w:eastAsia="Calibri"/>
        </w:rPr>
      </w:pPr>
      <w:r w:rsidRPr="00044586">
        <w:rPr>
          <w:rFonts w:eastAsia="Calibri"/>
        </w:rPr>
        <w:t>Conditional awardees</w:t>
      </w:r>
      <w:r>
        <w:rPr>
          <w:rFonts w:eastAsia="Calibri"/>
        </w:rPr>
        <w:t xml:space="preserve"> </w:t>
      </w:r>
      <w:r w:rsidRPr="00044586">
        <w:rPr>
          <w:rFonts w:eastAsia="Calibri"/>
        </w:rPr>
        <w:t xml:space="preserve">(a) whose IELTS score meets </w:t>
      </w:r>
      <w:proofErr w:type="gramStart"/>
      <w:r w:rsidRPr="00044586">
        <w:rPr>
          <w:rFonts w:eastAsia="Calibri"/>
        </w:rPr>
        <w:t xml:space="preserve">the minimum </w:t>
      </w:r>
      <w:r>
        <w:rPr>
          <w:rFonts w:eastAsia="Calibri"/>
        </w:rPr>
        <w:t>requirement,</w:t>
      </w:r>
      <w:r w:rsidRPr="00044586">
        <w:rPr>
          <w:rFonts w:eastAsia="Calibri"/>
        </w:rPr>
        <w:t xml:space="preserve"> and (b) whose requested university will accept the awardee’s English language levels</w:t>
      </w:r>
      <w:proofErr w:type="gramEnd"/>
      <w:r w:rsidRPr="00044586">
        <w:rPr>
          <w:rFonts w:eastAsia="Calibri"/>
        </w:rPr>
        <w:t xml:space="preserve"> are classified as “Direct-Entry” awardees </w:t>
      </w:r>
      <w:r>
        <w:rPr>
          <w:rFonts w:eastAsia="Calibri"/>
        </w:rPr>
        <w:t xml:space="preserve">and can be </w:t>
      </w:r>
      <w:r w:rsidRPr="00044586">
        <w:rPr>
          <w:rFonts w:eastAsia="Calibri"/>
        </w:rPr>
        <w:t>mobilised for a Semester 1 start to their studies.</w:t>
      </w:r>
      <w:r w:rsidRPr="00B5326E">
        <w:rPr>
          <w:rFonts w:eastAsia="Calibri"/>
        </w:rPr>
        <w:t xml:space="preserve"> </w:t>
      </w:r>
    </w:p>
    <w:p w14:paraId="131233C6" w14:textId="4D9793BF" w:rsidR="00EF6959" w:rsidRPr="00044586" w:rsidRDefault="0037171E" w:rsidP="00C227BA">
      <w:pPr>
        <w:spacing w:before="120" w:after="120"/>
        <w:rPr>
          <w:rFonts w:eastAsia="Calibri"/>
        </w:rPr>
      </w:pPr>
      <w:r>
        <w:rPr>
          <w:rFonts w:eastAsia="Calibri"/>
        </w:rPr>
        <w:t>Conditional</w:t>
      </w:r>
      <w:r w:rsidR="00044586" w:rsidRPr="00044586">
        <w:rPr>
          <w:rFonts w:eastAsia="Calibri"/>
        </w:rPr>
        <w:t xml:space="preserve"> award</w:t>
      </w:r>
      <w:r>
        <w:rPr>
          <w:rFonts w:eastAsia="Calibri"/>
        </w:rPr>
        <w:t>ees</w:t>
      </w:r>
      <w:r w:rsidR="00044586" w:rsidRPr="00044586">
        <w:rPr>
          <w:rFonts w:eastAsia="Calibri"/>
        </w:rPr>
        <w:t xml:space="preserve"> </w:t>
      </w:r>
      <w:r w:rsidR="001954F0" w:rsidRPr="00044586">
        <w:rPr>
          <w:rFonts w:eastAsia="Calibri"/>
        </w:rPr>
        <w:t xml:space="preserve">who </w:t>
      </w:r>
      <w:r w:rsidRPr="00044586">
        <w:rPr>
          <w:rFonts w:eastAsia="Calibri"/>
        </w:rPr>
        <w:t>do not meet the English language requirement of their chosen course at an Australian university</w:t>
      </w:r>
      <w:r w:rsidR="001954F0" w:rsidRPr="00044586">
        <w:rPr>
          <w:rFonts w:eastAsia="Calibri"/>
        </w:rPr>
        <w:t xml:space="preserve"> </w:t>
      </w:r>
      <w:r w:rsidR="00247581">
        <w:rPr>
          <w:rFonts w:eastAsia="Calibri"/>
        </w:rPr>
        <w:t>will</w:t>
      </w:r>
      <w:r w:rsidR="00247581" w:rsidRPr="00044586">
        <w:rPr>
          <w:rFonts w:eastAsia="Calibri"/>
        </w:rPr>
        <w:t xml:space="preserve"> </w:t>
      </w:r>
      <w:r w:rsidR="001954F0" w:rsidRPr="00044586">
        <w:rPr>
          <w:rFonts w:eastAsia="Calibri"/>
        </w:rPr>
        <w:t>undertake pre-departure English Language Training</w:t>
      </w:r>
      <w:r>
        <w:rPr>
          <w:rFonts w:eastAsia="Calibri"/>
        </w:rPr>
        <w:t xml:space="preserve"> </w:t>
      </w:r>
      <w:r w:rsidR="001954F0" w:rsidRPr="00044586">
        <w:rPr>
          <w:rFonts w:eastAsia="Calibri"/>
        </w:rPr>
        <w:t xml:space="preserve">in Vietnam of up to 12 months. </w:t>
      </w:r>
      <w:r w:rsidR="00512E94" w:rsidRPr="00044586">
        <w:rPr>
          <w:rFonts w:eastAsia="Calibri"/>
        </w:rPr>
        <w:t>Conditional awardees with IELTS of 4.5 (Equity of Access applicants) would likely require more than 12 months ELT</w:t>
      </w:r>
      <w:r>
        <w:rPr>
          <w:rStyle w:val="FootnoteReference"/>
          <w:rFonts w:eastAsia="Calibri"/>
        </w:rPr>
        <w:footnoteReference w:id="49"/>
      </w:r>
      <w:r w:rsidR="00512E94" w:rsidRPr="00044586">
        <w:rPr>
          <w:rFonts w:eastAsia="Calibri"/>
        </w:rPr>
        <w:t xml:space="preserve">. </w:t>
      </w:r>
      <w:r w:rsidR="005A29C1">
        <w:rPr>
          <w:rFonts w:eastAsia="Calibri"/>
        </w:rPr>
        <w:t xml:space="preserve">In-Australia ELT will be considered additionally to in-Vietnam ELT for disadvantaged conditional awardees on a case by case basis. </w:t>
      </w:r>
    </w:p>
    <w:p w14:paraId="7CF6A0BA" w14:textId="51A373C4" w:rsidR="001954F0" w:rsidRPr="00044586" w:rsidRDefault="001954F0" w:rsidP="00C227BA">
      <w:pPr>
        <w:spacing w:before="120" w:after="120"/>
        <w:rPr>
          <w:rFonts w:eastAsia="Calibri"/>
        </w:rPr>
      </w:pPr>
      <w:r w:rsidRPr="00044586">
        <w:rPr>
          <w:rFonts w:eastAsia="Calibri"/>
        </w:rPr>
        <w:t xml:space="preserve">Where it reduces program costs and inconvenience to the candidate, the Contractor will arrange for </w:t>
      </w:r>
      <w:r w:rsidR="00247581">
        <w:rPr>
          <w:rFonts w:eastAsia="Calibri"/>
        </w:rPr>
        <w:t>ELT</w:t>
      </w:r>
      <w:r w:rsidRPr="00044586">
        <w:rPr>
          <w:rFonts w:eastAsia="Calibri"/>
        </w:rPr>
        <w:t xml:space="preserve"> to be undertaken in accredited training facilities in the candidate’s home location.</w:t>
      </w:r>
    </w:p>
    <w:p w14:paraId="1D6B331A" w14:textId="46B82EB3" w:rsidR="001954F0" w:rsidRPr="001A0CDA" w:rsidRDefault="005C6F13" w:rsidP="00C227BA">
      <w:pPr>
        <w:pStyle w:val="Heading2"/>
        <w:numPr>
          <w:ilvl w:val="0"/>
          <w:numId w:val="0"/>
        </w:numPr>
        <w:spacing w:before="120"/>
        <w:ind w:left="567" w:hanging="567"/>
        <w:rPr>
          <w:rFonts w:asciiTheme="minorHAnsi" w:eastAsia="SimSun" w:hAnsiTheme="minorHAnsi"/>
          <w:color w:val="548DD4" w:themeColor="text2" w:themeTint="99"/>
          <w:szCs w:val="24"/>
          <w:lang w:eastAsia="en-US"/>
        </w:rPr>
      </w:pPr>
      <w:r w:rsidRPr="00314297">
        <w:rPr>
          <w:rFonts w:asciiTheme="minorHAnsi" w:eastAsia="SimSun" w:hAnsiTheme="minorHAnsi"/>
          <w:color w:val="548DD4" w:themeColor="text2" w:themeTint="99"/>
          <w:szCs w:val="24"/>
          <w:lang w:eastAsia="en-US"/>
        </w:rPr>
        <w:t>Placement and M</w:t>
      </w:r>
      <w:r w:rsidR="001954F0" w:rsidRPr="00B42B3E">
        <w:rPr>
          <w:rFonts w:asciiTheme="minorHAnsi" w:eastAsia="SimSun" w:hAnsiTheme="minorHAnsi"/>
          <w:color w:val="548DD4" w:themeColor="text2" w:themeTint="99"/>
          <w:szCs w:val="24"/>
          <w:lang w:eastAsia="en-US"/>
        </w:rPr>
        <w:t>obilisation</w:t>
      </w:r>
    </w:p>
    <w:p w14:paraId="0048B4F5" w14:textId="3B01E08A" w:rsidR="0048086B" w:rsidRPr="00B379A4" w:rsidRDefault="001954F0" w:rsidP="00C227BA">
      <w:pPr>
        <w:spacing w:before="120" w:after="120"/>
      </w:pPr>
      <w:r w:rsidRPr="004E1408">
        <w:rPr>
          <w:rFonts w:eastAsia="Calibri"/>
        </w:rPr>
        <w:t xml:space="preserve">Following participation by Direct-Entry awardees (and those awardees from the previous year who have successfully completed their English Language Training) in the awardee Placement Briefings and University Open Days (in July-August), the Contractor will </w:t>
      </w:r>
      <w:r w:rsidRPr="007A6D7C">
        <w:t>request placement at an Australian institution fo</w:t>
      </w:r>
      <w:r w:rsidRPr="00D9325F">
        <w:t>r each candidate</w:t>
      </w:r>
      <w:r w:rsidR="000A309B">
        <w:t>.</w:t>
      </w:r>
    </w:p>
    <w:p w14:paraId="34943580" w14:textId="5BE7B153" w:rsidR="001954F0" w:rsidRPr="00EA76FF" w:rsidRDefault="001954F0" w:rsidP="00C227BA">
      <w:pPr>
        <w:spacing w:before="120" w:after="120"/>
      </w:pPr>
      <w:r w:rsidRPr="00602A77">
        <w:t>The Contractor will arrange for candidate</w:t>
      </w:r>
      <w:r w:rsidR="000A309B">
        <w:t>s</w:t>
      </w:r>
      <w:r w:rsidRPr="00602A77">
        <w:t xml:space="preserve"> to complete an Australian student visa application, including medical test, for su</w:t>
      </w:r>
      <w:r w:rsidRPr="00FA40AE">
        <w:t xml:space="preserve">bmission to </w:t>
      </w:r>
      <w:r w:rsidR="000A309B">
        <w:t xml:space="preserve">the </w:t>
      </w:r>
      <w:r w:rsidRPr="00FA40AE">
        <w:t>D</w:t>
      </w:r>
      <w:r w:rsidR="000A309B">
        <w:t>epartment of Immigration and Border protection (D</w:t>
      </w:r>
      <w:r w:rsidRPr="00FA40AE">
        <w:t>IBP</w:t>
      </w:r>
      <w:r w:rsidR="000A309B">
        <w:t>)</w:t>
      </w:r>
      <w:r w:rsidRPr="00FA40AE">
        <w:t xml:space="preserve">. Staged mobilisation of candidates will then </w:t>
      </w:r>
      <w:r w:rsidR="000A309B">
        <w:t>proceed</w:t>
      </w:r>
      <w:r w:rsidRPr="00FA40AE">
        <w:t>, including arrangements to participate in a pre-departure briefing (PDB) in early December</w:t>
      </w:r>
      <w:r w:rsidRPr="003B74ED">
        <w:rPr>
          <w:rStyle w:val="FootnoteReference"/>
        </w:rPr>
        <w:footnoteReference w:id="50"/>
      </w:r>
      <w:r w:rsidRPr="003B74ED">
        <w:t>, at agreed locations in Vietnam</w:t>
      </w:r>
      <w:r w:rsidR="000A309B">
        <w:t>,</w:t>
      </w:r>
      <w:r w:rsidRPr="003B74ED">
        <w:t xml:space="preserve"> as is cost-effective</w:t>
      </w:r>
      <w:r w:rsidR="000A309B">
        <w:t>.</w:t>
      </w:r>
    </w:p>
    <w:p w14:paraId="3AD96674" w14:textId="77777777" w:rsidR="00EF6959" w:rsidRPr="001A0CDA" w:rsidRDefault="001954F0" w:rsidP="00C227BA">
      <w:pPr>
        <w:spacing w:before="120" w:after="120"/>
      </w:pPr>
      <w:r w:rsidRPr="00B42B3E">
        <w:t xml:space="preserve">The Contractor will ensure that awardees </w:t>
      </w:r>
      <w:r w:rsidRPr="008C2305">
        <w:t xml:space="preserve">are provided with sufficient information to prepare them for their studies and living experience in Australia. This involves conducting comprehensive PDBs, as well as encouraging awardees to undertake extensive research and connecting with alumni or on-award scholars. </w:t>
      </w:r>
    </w:p>
    <w:p w14:paraId="3E375327" w14:textId="1E007365" w:rsidR="00EF6959" w:rsidRPr="003B74ED" w:rsidRDefault="0091110E" w:rsidP="00C227BA">
      <w:pPr>
        <w:spacing w:before="120" w:after="120"/>
      </w:pPr>
      <w:r w:rsidRPr="001A0CDA">
        <w:t xml:space="preserve">The involvement of spouses in workshops </w:t>
      </w:r>
      <w:r w:rsidR="001D1DFA">
        <w:t xml:space="preserve">is a key </w:t>
      </w:r>
      <w:r w:rsidRPr="001A0CDA">
        <w:t>strategy for supporting the reintegration of female alumni</w:t>
      </w:r>
      <w:r w:rsidR="001D1DFA">
        <w:t>. The Contractor will include sessions in the PDB on achieving a</w:t>
      </w:r>
      <w:r w:rsidRPr="001A0CDA">
        <w:t xml:space="preserve"> better balanc</w:t>
      </w:r>
      <w:r w:rsidR="001D1DFA">
        <w:t xml:space="preserve">e </w:t>
      </w:r>
      <w:r w:rsidRPr="001A0CDA">
        <w:t xml:space="preserve">of work and home responsibilities to enable </w:t>
      </w:r>
      <w:r w:rsidR="001D1DFA">
        <w:t>and encourage women</w:t>
      </w:r>
      <w:r w:rsidRPr="001A0CDA">
        <w:t xml:space="preserve"> to pursue their professi</w:t>
      </w:r>
      <w:r w:rsidRPr="004E1408">
        <w:t>onal and leadership potential.</w:t>
      </w:r>
    </w:p>
    <w:p w14:paraId="34D54D29" w14:textId="413C37D9" w:rsidR="001954F0" w:rsidRPr="00B42B3E" w:rsidRDefault="001954F0" w:rsidP="00C227BA">
      <w:pPr>
        <w:spacing w:before="120" w:after="120"/>
      </w:pPr>
      <w:r w:rsidRPr="00EA76FF">
        <w:t>The PDBs (which must involve alumni presenters and extensive opportunities for interaction with program personnel and earlier graduates) are expected to help awardees to settle quickly into Australia and the institution</w:t>
      </w:r>
      <w:r w:rsidRPr="00314297">
        <w:t>, thereby enhancing their ability to complete their studies within the duration of their award.</w:t>
      </w:r>
    </w:p>
    <w:p w14:paraId="75FDF9AE" w14:textId="30389EBC" w:rsidR="001954F0" w:rsidRPr="001A0CDA" w:rsidRDefault="005C6F13" w:rsidP="00C227BA">
      <w:pPr>
        <w:pStyle w:val="Heading2"/>
        <w:numPr>
          <w:ilvl w:val="0"/>
          <w:numId w:val="0"/>
        </w:numPr>
        <w:spacing w:before="120"/>
        <w:ind w:left="567" w:hanging="567"/>
        <w:rPr>
          <w:rFonts w:asciiTheme="minorHAnsi" w:eastAsia="SimSun" w:hAnsiTheme="minorHAnsi"/>
          <w:color w:val="548DD4" w:themeColor="text2" w:themeTint="99"/>
          <w:szCs w:val="24"/>
          <w:lang w:eastAsia="en-US"/>
        </w:rPr>
      </w:pPr>
      <w:r w:rsidRPr="008C2305">
        <w:rPr>
          <w:rFonts w:asciiTheme="minorHAnsi" w:eastAsia="SimSun" w:hAnsiTheme="minorHAnsi"/>
          <w:color w:val="548DD4" w:themeColor="text2" w:themeTint="99"/>
          <w:szCs w:val="24"/>
          <w:lang w:eastAsia="en-US"/>
        </w:rPr>
        <w:t>On-Award S</w:t>
      </w:r>
      <w:r w:rsidR="001954F0" w:rsidRPr="001A0CDA">
        <w:rPr>
          <w:rFonts w:asciiTheme="minorHAnsi" w:eastAsia="SimSun" w:hAnsiTheme="minorHAnsi"/>
          <w:color w:val="548DD4" w:themeColor="text2" w:themeTint="99"/>
          <w:szCs w:val="24"/>
          <w:lang w:eastAsia="en-US"/>
        </w:rPr>
        <w:t>upport</w:t>
      </w:r>
    </w:p>
    <w:p w14:paraId="013A74E1" w14:textId="77777777" w:rsidR="0048086B" w:rsidRPr="004E1408" w:rsidRDefault="001954F0" w:rsidP="00C227BA">
      <w:pPr>
        <w:spacing w:before="120" w:after="120"/>
      </w:pPr>
      <w:r w:rsidRPr="004E1408">
        <w:t xml:space="preserve">Once awardees arrive at their institution in Australia, their academic support and pastoral care is the responsibility of the host institution as part of each institution’s service contracts with DFAT. </w:t>
      </w:r>
    </w:p>
    <w:p w14:paraId="066624CD" w14:textId="77777777" w:rsidR="0048086B" w:rsidRPr="007A6D7C" w:rsidRDefault="0048086B" w:rsidP="00C227BA">
      <w:pPr>
        <w:spacing w:before="120" w:after="120"/>
      </w:pPr>
    </w:p>
    <w:p w14:paraId="179E7264" w14:textId="65FA521F" w:rsidR="0048086B" w:rsidRPr="00EA76FF" w:rsidRDefault="001954F0" w:rsidP="00C227BA">
      <w:pPr>
        <w:spacing w:before="120" w:after="120"/>
      </w:pPr>
      <w:r w:rsidRPr="00D9325F">
        <w:t>However</w:t>
      </w:r>
      <w:r w:rsidRPr="00E27B90">
        <w:rPr>
          <w:i/>
        </w:rPr>
        <w:t xml:space="preserve">, </w:t>
      </w:r>
      <w:r w:rsidRPr="00B379A4">
        <w:t>the Contractor</w:t>
      </w:r>
      <w:r w:rsidRPr="00602A77">
        <w:rPr>
          <w:i/>
        </w:rPr>
        <w:t xml:space="preserve"> </w:t>
      </w:r>
      <w:r w:rsidRPr="00FA40AE">
        <w:t>will liaise with institutions and DFAT regarding award variations, support reintegration and facilitate reporting of welfare incidents. Subject to DFAT approval and funding availability, the Contractor will develop initiatives to enhance the awardees’ in-Australia experience and support achievement of the program’s development outcomes. Such activities may include: targeted work placements</w:t>
      </w:r>
      <w:r w:rsidR="00493DA2">
        <w:t xml:space="preserve"> </w:t>
      </w:r>
      <w:r w:rsidR="000F09FE">
        <w:t>(</w:t>
      </w:r>
      <w:r w:rsidR="00493DA2">
        <w:t>where po</w:t>
      </w:r>
      <w:r w:rsidR="000F09FE">
        <w:t>ssible within Australia Awards P</w:t>
      </w:r>
      <w:r w:rsidR="00493DA2">
        <w:t>olicy</w:t>
      </w:r>
      <w:r w:rsidR="000F09FE">
        <w:t>)</w:t>
      </w:r>
      <w:r w:rsidR="00493DA2">
        <w:rPr>
          <w:rStyle w:val="FootnoteReference"/>
        </w:rPr>
        <w:footnoteReference w:id="51"/>
      </w:r>
      <w:r w:rsidRPr="003B74ED">
        <w:t xml:space="preserve">; industry networking; and building more meaningful links between the awardees and Australians. </w:t>
      </w:r>
    </w:p>
    <w:p w14:paraId="2B60759C" w14:textId="3675191D" w:rsidR="001954F0" w:rsidRPr="00EA76FF" w:rsidRDefault="00967E9B" w:rsidP="00C227BA">
      <w:pPr>
        <w:spacing w:before="120" w:after="120"/>
      </w:pPr>
      <w:r w:rsidRPr="00B42B3E">
        <w:t>M</w:t>
      </w:r>
      <w:r w:rsidR="001954F0" w:rsidRPr="008C2305">
        <w:t>any awardees do not necessarily form or maintain linkages with Australian students or their institution’s staff. While this is a challe</w:t>
      </w:r>
      <w:r w:rsidR="004C55CF" w:rsidRPr="001A0CDA">
        <w:t>nge facing Australia Awardees from</w:t>
      </w:r>
      <w:r w:rsidR="001954F0" w:rsidRPr="004E1408">
        <w:t xml:space="preserve"> many countries, the Contractor</w:t>
      </w:r>
      <w:r w:rsidR="00B1289E">
        <w:t xml:space="preserve"> </w:t>
      </w:r>
      <w:r w:rsidR="00B1289E" w:rsidRPr="003B74ED">
        <w:t>should</w:t>
      </w:r>
      <w:r w:rsidR="00B1289E">
        <w:t xml:space="preserve"> support receiving universities – where possible and realistic - to encourage the institutions to </w:t>
      </w:r>
      <w:r w:rsidR="001954F0" w:rsidRPr="003B74ED">
        <w:t>identify and implement strategies to increase the Vietnamese awardees’ engagements with a broader range of Australian students than at present.</w:t>
      </w:r>
    </w:p>
    <w:p w14:paraId="2E8C9CA4" w14:textId="3DF7F464" w:rsidR="001954F0" w:rsidRPr="007A6D7C" w:rsidRDefault="001954F0" w:rsidP="00C227BA">
      <w:pPr>
        <w:spacing w:before="120" w:after="120"/>
      </w:pPr>
      <w:r w:rsidRPr="00B42B3E">
        <w:t xml:space="preserve">The Contractor will work with alumni and their local </w:t>
      </w:r>
      <w:r w:rsidRPr="008C2305">
        <w:t>Vietnamese student organisations in individual universities to support the graduates’ re-entry to Vietnam</w:t>
      </w:r>
      <w:r w:rsidR="008979FC">
        <w:t xml:space="preserve">. </w:t>
      </w:r>
      <w:r w:rsidRPr="008C2305">
        <w:t>An essential component of this re-entry support will be a serie</w:t>
      </w:r>
      <w:r w:rsidRPr="001A0CDA">
        <w:t xml:space="preserve">s of </w:t>
      </w:r>
      <w:r w:rsidRPr="001A0CDA">
        <w:rPr>
          <w:i/>
        </w:rPr>
        <w:t>Reintegration Seminars</w:t>
      </w:r>
      <w:r w:rsidRPr="004E1408">
        <w:t xml:space="preserve"> conducted in multiple locations (potentially Sydney, Melbourne, Adelaide, </w:t>
      </w:r>
      <w:proofErr w:type="gramStart"/>
      <w:r w:rsidRPr="004E1408">
        <w:t>Brisbane</w:t>
      </w:r>
      <w:proofErr w:type="gramEnd"/>
      <w:r w:rsidRPr="004E1408">
        <w:t xml:space="preserve">) </w:t>
      </w:r>
      <w:r w:rsidR="008979FC">
        <w:t>within the</w:t>
      </w:r>
      <w:r w:rsidRPr="004E1408">
        <w:t xml:space="preserve"> six months prior to their return. Such Seminars will form the first part of a two-part reintegration program, with the second part being held in Vietnam (again in multiple</w:t>
      </w:r>
      <w:r w:rsidR="008979FC">
        <w:t xml:space="preserve"> </w:t>
      </w:r>
      <w:r w:rsidRPr="004E1408">
        <w:t>locations) within the first six months of the graduates’ retu</w:t>
      </w:r>
      <w:r w:rsidRPr="007A6D7C">
        <w:t xml:space="preserve">rn. </w:t>
      </w:r>
    </w:p>
    <w:p w14:paraId="6362178B" w14:textId="5BFE80ED" w:rsidR="001954F0" w:rsidRPr="00B379A4" w:rsidRDefault="001954F0" w:rsidP="00C227BA">
      <w:pPr>
        <w:spacing w:before="120" w:after="120"/>
      </w:pPr>
      <w:r w:rsidRPr="00E27B90">
        <w:t>For those awardees who committed to develop and maintain a Re-entry Action Plan (REAP)</w:t>
      </w:r>
      <w:r w:rsidR="000E6677">
        <w:t>,</w:t>
      </w:r>
      <w:r w:rsidRPr="00E27B90">
        <w:t xml:space="preserve"> the in-Australia and in-Vietnam Seminars will provide the</w:t>
      </w:r>
      <w:r w:rsidRPr="00B379A4">
        <w:t xml:space="preserve"> opportunity to discuss their REAPS with </w:t>
      </w:r>
      <w:r w:rsidR="000E6677">
        <w:t>C</w:t>
      </w:r>
      <w:r w:rsidRPr="00B379A4">
        <w:t>ontractor representatives, supervisors, and other awardees/ graduates – and adjust them to reflect any changed workplace or sector environments.</w:t>
      </w:r>
    </w:p>
    <w:p w14:paraId="452E12C7" w14:textId="6A9E0FCD" w:rsidR="001954F0" w:rsidRPr="00B379A4" w:rsidRDefault="005C6F13" w:rsidP="00C227BA">
      <w:pPr>
        <w:pStyle w:val="Heading2"/>
        <w:numPr>
          <w:ilvl w:val="0"/>
          <w:numId w:val="0"/>
        </w:numPr>
        <w:spacing w:before="120"/>
        <w:ind w:left="567" w:hanging="567"/>
        <w:rPr>
          <w:rFonts w:asciiTheme="minorHAnsi" w:eastAsia="SimSun" w:hAnsiTheme="minorHAnsi"/>
          <w:color w:val="548DD4" w:themeColor="text2" w:themeTint="99"/>
          <w:szCs w:val="24"/>
          <w:lang w:eastAsia="en-US"/>
        </w:rPr>
      </w:pPr>
      <w:r w:rsidRPr="00B379A4">
        <w:rPr>
          <w:rFonts w:asciiTheme="minorHAnsi" w:eastAsia="SimSun" w:hAnsiTheme="minorHAnsi"/>
          <w:color w:val="548DD4" w:themeColor="text2" w:themeTint="99"/>
          <w:szCs w:val="24"/>
          <w:lang w:eastAsia="en-US"/>
        </w:rPr>
        <w:t>Post-Award S</w:t>
      </w:r>
      <w:r w:rsidR="001954F0" w:rsidRPr="00B379A4">
        <w:rPr>
          <w:rFonts w:asciiTheme="minorHAnsi" w:eastAsia="SimSun" w:hAnsiTheme="minorHAnsi"/>
          <w:color w:val="548DD4" w:themeColor="text2" w:themeTint="99"/>
          <w:szCs w:val="24"/>
          <w:lang w:eastAsia="en-US"/>
        </w:rPr>
        <w:t>upport</w:t>
      </w:r>
    </w:p>
    <w:p w14:paraId="1393299F" w14:textId="6C7FE5F7" w:rsidR="001954F0" w:rsidRPr="00FA40AE" w:rsidRDefault="001954F0" w:rsidP="00C227BA">
      <w:pPr>
        <w:spacing w:before="120" w:after="120"/>
      </w:pPr>
      <w:r w:rsidRPr="00602A77">
        <w:t xml:space="preserve">Data from the Vietnam program </w:t>
      </w:r>
      <w:r w:rsidRPr="00FA40AE">
        <w:t>indicate</w:t>
      </w:r>
      <w:r w:rsidR="00A34E3A">
        <w:t>s</w:t>
      </w:r>
      <w:r w:rsidRPr="00FA40AE">
        <w:t xml:space="preserve"> the overwhelmingly positive perceptions of alumni’s Australian experience after they return home. </w:t>
      </w:r>
    </w:p>
    <w:p w14:paraId="1AEB8EE8" w14:textId="1E279B17" w:rsidR="0048086B" w:rsidRPr="00F233A7" w:rsidRDefault="002A03DD" w:rsidP="00C227BA">
      <w:pPr>
        <w:spacing w:before="120" w:after="120"/>
      </w:pPr>
      <w:r>
        <w:t>Following return to the workplace, s</w:t>
      </w:r>
      <w:r w:rsidR="001954F0" w:rsidRPr="00F4554A">
        <w:t xml:space="preserve">ome challenges facing alumni skills’ </w:t>
      </w:r>
      <w:r w:rsidR="00A34E3A">
        <w:t xml:space="preserve">utilisation </w:t>
      </w:r>
      <w:r w:rsidR="001954F0" w:rsidRPr="00F4554A">
        <w:t xml:space="preserve">may be beyond the program’s influence, e.g. </w:t>
      </w:r>
      <w:r w:rsidR="007308A8" w:rsidRPr="00F4554A">
        <w:t xml:space="preserve">unsupportive </w:t>
      </w:r>
      <w:r w:rsidR="001954F0" w:rsidRPr="00B31B3E">
        <w:t>ministry</w:t>
      </w:r>
      <w:r w:rsidR="001954F0" w:rsidRPr="00274EF2">
        <w:t xml:space="preserve"> or employer</w:t>
      </w:r>
      <w:r>
        <w:t xml:space="preserve">. However, the Contractor </w:t>
      </w:r>
      <w:r w:rsidR="001954F0" w:rsidRPr="00274EF2">
        <w:t xml:space="preserve">has an obligation to </w:t>
      </w:r>
      <w:r w:rsidR="00A34E3A">
        <w:t xml:space="preserve">endeavour to </w:t>
      </w:r>
      <w:r w:rsidR="001954F0" w:rsidRPr="00274EF2">
        <w:t xml:space="preserve">ensure that the GoA investment results in continuing positive outcomes. </w:t>
      </w:r>
    </w:p>
    <w:p w14:paraId="7D286028" w14:textId="20D34736" w:rsidR="00241B75" w:rsidRPr="00FE136A" w:rsidRDefault="001954F0" w:rsidP="00C227BA">
      <w:pPr>
        <w:spacing w:before="120" w:after="120"/>
      </w:pPr>
      <w:r w:rsidRPr="00AF245E">
        <w:t>Welcome Back (or “graduation” ceremonies) should be held in selected population centres, and graduates from the pr</w:t>
      </w:r>
      <w:r w:rsidRPr="00816AF1">
        <w:t>evious 12-month period supported to participate in these events. Wherever possible, such events should be conducted in concert with other DFAT, alumni or VGAC activities, to achieve a reasonable value for money</w:t>
      </w:r>
      <w:r w:rsidR="002A03DD" w:rsidRPr="002A03DD">
        <w:t xml:space="preserve"> </w:t>
      </w:r>
      <w:r w:rsidR="002A03DD" w:rsidRPr="00816AF1">
        <w:t>outcome</w:t>
      </w:r>
      <w:r w:rsidRPr="00816AF1">
        <w:t xml:space="preserve">. </w:t>
      </w:r>
    </w:p>
    <w:p w14:paraId="0FB07DA0" w14:textId="4A5DF163" w:rsidR="001954F0" w:rsidRPr="00B5326E" w:rsidRDefault="001954F0" w:rsidP="00C227BA">
      <w:pPr>
        <w:spacing w:before="120" w:after="120"/>
      </w:pPr>
      <w:r w:rsidRPr="005C0E3B">
        <w:t>Invitations shoul</w:t>
      </w:r>
      <w:r w:rsidRPr="00FA5F0F">
        <w:t xml:space="preserve">d include alumni </w:t>
      </w:r>
      <w:r w:rsidR="00F42FFB" w:rsidRPr="00FA5F0F">
        <w:t xml:space="preserve">spouses, </w:t>
      </w:r>
      <w:r w:rsidRPr="00B5326E">
        <w:t>families, employers/ supervisors, and relevant stakeholders</w:t>
      </w:r>
      <w:r w:rsidR="007308A8" w:rsidRPr="00B5326E">
        <w:t>, as appropriate</w:t>
      </w:r>
      <w:r w:rsidRPr="00B5326E">
        <w:t xml:space="preserve">. Involvement of local media should be encouraged in the event, and wherever possible, senior DFAT Post personnel </w:t>
      </w:r>
      <w:r w:rsidR="004C55CF" w:rsidRPr="00B5326E">
        <w:t xml:space="preserve">and GoV officials should also be encouraged to </w:t>
      </w:r>
      <w:r w:rsidRPr="00B5326E">
        <w:t>participate.</w:t>
      </w:r>
    </w:p>
    <w:p w14:paraId="32A48FEA" w14:textId="1A4ACFF5" w:rsidR="00FD5E92" w:rsidRDefault="002A03DD" w:rsidP="00C227BA">
      <w:pPr>
        <w:spacing w:before="120" w:after="120"/>
      </w:pPr>
      <w:r>
        <w:t>R</w:t>
      </w:r>
      <w:r w:rsidR="001954F0" w:rsidRPr="00B5326E">
        <w:t>esearch on the Australia Awards</w:t>
      </w:r>
      <w:r w:rsidR="003D5F5E">
        <w:t>-Vietnam</w:t>
      </w:r>
      <w:r w:rsidR="001954F0" w:rsidRPr="00B5326E">
        <w:t xml:space="preserve"> program suggests that graduates use a range of reintegration strategies to assist their re-entry into their home country work, social and community environments</w:t>
      </w:r>
      <w:r>
        <w:t>.</w:t>
      </w:r>
      <w:r w:rsidR="001954F0" w:rsidRPr="00B5326E">
        <w:t xml:space="preserve"> </w:t>
      </w:r>
      <w:r>
        <w:t>Where REAPs have been applied, graduates should produce an updated plan</w:t>
      </w:r>
      <w:r w:rsidR="007A4708" w:rsidRPr="007308A8">
        <w:t xml:space="preserve"> within three months of return to their workplace. </w:t>
      </w:r>
      <w:r>
        <w:t xml:space="preserve">The Contractor </w:t>
      </w:r>
      <w:r w:rsidR="0010296B">
        <w:t>should evaluate the effectiveness of REAPs and consider</w:t>
      </w:r>
      <w:r w:rsidR="007A4708" w:rsidRPr="007308A8">
        <w:t xml:space="preserve"> </w:t>
      </w:r>
      <w:r w:rsidR="007A4708">
        <w:t xml:space="preserve">complementary </w:t>
      </w:r>
      <w:r w:rsidR="007A4708" w:rsidRPr="007308A8">
        <w:t xml:space="preserve">strategies to engage </w:t>
      </w:r>
      <w:r w:rsidR="0010296B">
        <w:t xml:space="preserve">with supervisors and </w:t>
      </w:r>
      <w:r w:rsidR="007A4708" w:rsidRPr="007308A8">
        <w:t xml:space="preserve">employers </w:t>
      </w:r>
      <w:r w:rsidR="0010296B">
        <w:t xml:space="preserve">to support </w:t>
      </w:r>
      <w:r w:rsidR="007A4708" w:rsidRPr="007308A8">
        <w:t xml:space="preserve">alumni in </w:t>
      </w:r>
      <w:r w:rsidR="00AC1269">
        <w:t>utilising</w:t>
      </w:r>
      <w:r w:rsidR="0010296B">
        <w:t xml:space="preserve"> and </w:t>
      </w:r>
      <w:r w:rsidR="007A4708" w:rsidRPr="007308A8">
        <w:t>transferring the</w:t>
      </w:r>
      <w:r w:rsidR="0010296B">
        <w:t>ir</w:t>
      </w:r>
      <w:r w:rsidR="007A4708" w:rsidRPr="007308A8">
        <w:t xml:space="preserve"> newly acquired skills. </w:t>
      </w:r>
    </w:p>
    <w:p w14:paraId="06588AB4" w14:textId="77777777" w:rsidR="00FD5E92" w:rsidRPr="00FC2999" w:rsidRDefault="00FD5E92" w:rsidP="00C227BA">
      <w:pPr>
        <w:pStyle w:val="Heading2"/>
        <w:numPr>
          <w:ilvl w:val="0"/>
          <w:numId w:val="0"/>
        </w:numPr>
        <w:spacing w:before="120"/>
        <w:ind w:left="567" w:hanging="567"/>
        <w:rPr>
          <w:rFonts w:asciiTheme="minorHAnsi" w:eastAsia="SimSun" w:hAnsiTheme="minorHAnsi"/>
          <w:color w:val="548DD4" w:themeColor="text2" w:themeTint="99"/>
          <w:szCs w:val="24"/>
          <w:lang w:eastAsia="en-US"/>
        </w:rPr>
      </w:pPr>
      <w:r w:rsidRPr="00FC2999">
        <w:rPr>
          <w:rFonts w:asciiTheme="minorHAnsi" w:eastAsia="SimSun" w:hAnsiTheme="minorHAnsi"/>
          <w:color w:val="548DD4" w:themeColor="text2" w:themeTint="99"/>
          <w:szCs w:val="24"/>
          <w:lang w:eastAsia="en-US"/>
        </w:rPr>
        <w:t>Australia Awards - Fellowships</w:t>
      </w:r>
    </w:p>
    <w:p w14:paraId="0DCDC9C6" w14:textId="4318AF76" w:rsidR="00FD5E92" w:rsidRPr="00F233A7" w:rsidRDefault="00FD5E92" w:rsidP="00C227BA">
      <w:pPr>
        <w:spacing w:before="120" w:after="120"/>
      </w:pPr>
      <w:r w:rsidRPr="00FC2999">
        <w:t>The Contractor may be required to promote the availability of globally funded AAF in priority sectors and targeted organisations, as advised by DFAT – and for other AAF local support activities. AAF alumni will be eligible to access all Australia Award</w:t>
      </w:r>
      <w:r w:rsidR="003D5F5E">
        <w:t>s</w:t>
      </w:r>
      <w:r w:rsidRPr="00FC2999">
        <w:t xml:space="preserve"> alumni services and support (Table 3.3,</w:t>
      </w:r>
      <w:r w:rsidRPr="00FC2999">
        <w:rPr>
          <w:i/>
        </w:rPr>
        <w:t xml:space="preserve"> </w:t>
      </w:r>
      <w:r w:rsidRPr="00FC2999">
        <w:t>Column A).</w:t>
      </w:r>
      <w:r w:rsidRPr="00274EF2">
        <w:rPr>
          <w:i/>
        </w:rPr>
        <w:t xml:space="preserve"> </w:t>
      </w:r>
    </w:p>
    <w:p w14:paraId="4ACC7092" w14:textId="5ECF76DD" w:rsidR="009956EB" w:rsidRPr="00F27B1D" w:rsidRDefault="009956EB" w:rsidP="00C227BA">
      <w:pPr>
        <w:pStyle w:val="Heading3"/>
        <w:spacing w:before="120"/>
        <w:rPr>
          <w:rFonts w:asciiTheme="minorHAnsi" w:hAnsiTheme="minorHAnsi"/>
          <w:i/>
          <w:color w:val="548DD4" w:themeColor="text2" w:themeTint="99"/>
          <w:sz w:val="24"/>
          <w:szCs w:val="24"/>
        </w:rPr>
      </w:pPr>
      <w:r w:rsidRPr="00F27B1D">
        <w:rPr>
          <w:rFonts w:asciiTheme="minorHAnsi" w:hAnsiTheme="minorHAnsi"/>
          <w:i/>
          <w:color w:val="548DD4" w:themeColor="text2" w:themeTint="99"/>
          <w:sz w:val="24"/>
          <w:szCs w:val="24"/>
        </w:rPr>
        <w:t>Australia Award</w:t>
      </w:r>
      <w:r w:rsidR="0048086B" w:rsidRPr="00F27B1D">
        <w:rPr>
          <w:rFonts w:asciiTheme="minorHAnsi" w:hAnsiTheme="minorHAnsi"/>
          <w:i/>
          <w:color w:val="548DD4" w:themeColor="text2" w:themeTint="99"/>
          <w:sz w:val="24"/>
          <w:szCs w:val="24"/>
        </w:rPr>
        <w:t>s - A</w:t>
      </w:r>
      <w:r w:rsidRPr="00F27B1D">
        <w:rPr>
          <w:rFonts w:asciiTheme="minorHAnsi" w:hAnsiTheme="minorHAnsi"/>
          <w:i/>
          <w:color w:val="548DD4" w:themeColor="text2" w:themeTint="99"/>
          <w:sz w:val="24"/>
          <w:szCs w:val="24"/>
        </w:rPr>
        <w:t xml:space="preserve">lumni </w:t>
      </w:r>
    </w:p>
    <w:p w14:paraId="71A2B74F" w14:textId="7438B0CD" w:rsidR="0065708E" w:rsidRPr="003B74ED" w:rsidRDefault="0065708E" w:rsidP="00C227BA">
      <w:pPr>
        <w:autoSpaceDE w:val="0"/>
        <w:autoSpaceDN w:val="0"/>
        <w:adjustRightInd w:val="0"/>
        <w:spacing w:before="120" w:after="120"/>
      </w:pPr>
      <w:r w:rsidRPr="003B74ED">
        <w:t xml:space="preserve">Since the mid-1970’s, approximately 4000 Australia Awards Scholarship alumni have returned to Vietnam after successfully completing their tertiary studies in Australia. </w:t>
      </w:r>
      <w:r w:rsidRPr="003B74ED">
        <w:rPr>
          <w:color w:val="262626"/>
        </w:rPr>
        <w:t>Perhaps another 40,000 alumni have been privately funded.</w:t>
      </w:r>
      <w:r w:rsidRPr="003B74ED">
        <w:t xml:space="preserve"> </w:t>
      </w:r>
      <w:r>
        <w:t>These</w:t>
      </w:r>
      <w:r w:rsidRPr="00D65AD4">
        <w:t xml:space="preserve"> alumni </w:t>
      </w:r>
      <w:r>
        <w:t>are</w:t>
      </w:r>
      <w:r w:rsidRPr="00D65AD4">
        <w:t xml:space="preserve"> </w:t>
      </w:r>
      <w:r>
        <w:t xml:space="preserve">a potentially significant resource </w:t>
      </w:r>
      <w:r w:rsidRPr="00D65AD4">
        <w:t xml:space="preserve">for strengthening Australia’s economic, </w:t>
      </w:r>
      <w:r w:rsidR="00AA2020">
        <w:t>diplomatic</w:t>
      </w:r>
      <w:r w:rsidRPr="00D65AD4">
        <w:t xml:space="preserve"> and social engagement with Vietnam.</w:t>
      </w:r>
    </w:p>
    <w:p w14:paraId="4BD9043D" w14:textId="5F8487BA" w:rsidR="00FD5E92" w:rsidRPr="00FC2999" w:rsidRDefault="00FD5E92" w:rsidP="00C227BA">
      <w:pPr>
        <w:spacing w:before="120" w:after="120"/>
        <w:rPr>
          <w:b/>
          <w:i/>
          <w:color w:val="548DD4" w:themeColor="text2" w:themeTint="99"/>
        </w:rPr>
      </w:pPr>
      <w:r w:rsidRPr="00FC2999">
        <w:rPr>
          <w:b/>
          <w:i/>
          <w:color w:val="548DD4" w:themeColor="text2" w:themeTint="99"/>
        </w:rPr>
        <w:t>Alumni Engagement</w:t>
      </w:r>
    </w:p>
    <w:p w14:paraId="3C06DBD7" w14:textId="485A320E" w:rsidR="0029625A" w:rsidRPr="00B5326E" w:rsidRDefault="00AA062A" w:rsidP="00C227BA">
      <w:pPr>
        <w:spacing w:before="120" w:after="120"/>
        <w:rPr>
          <w:bCs/>
        </w:rPr>
      </w:pPr>
      <w:r w:rsidRPr="001A0CDA">
        <w:t>Alumni engagement is an integral component of the program design</w:t>
      </w:r>
      <w:r w:rsidR="00302056">
        <w:rPr>
          <w:rFonts w:eastAsia="Calibri"/>
        </w:rPr>
        <w:t>;</w:t>
      </w:r>
      <w:r w:rsidR="0029625A">
        <w:rPr>
          <w:rFonts w:eastAsia="Calibri"/>
        </w:rPr>
        <w:t xml:space="preserve"> although </w:t>
      </w:r>
      <w:r w:rsidR="0029625A" w:rsidRPr="00B5326E">
        <w:rPr>
          <w:bCs/>
        </w:rPr>
        <w:t xml:space="preserve">it should not be </w:t>
      </w:r>
      <w:r w:rsidR="0029625A">
        <w:rPr>
          <w:bCs/>
        </w:rPr>
        <w:t>assumed</w:t>
      </w:r>
      <w:r w:rsidR="0029625A" w:rsidRPr="00B5326E">
        <w:rPr>
          <w:bCs/>
        </w:rPr>
        <w:t xml:space="preserve"> alumni will necessarily prioritise Australia Awards alumni association a</w:t>
      </w:r>
      <w:r w:rsidR="0029625A">
        <w:rPr>
          <w:bCs/>
        </w:rPr>
        <w:t>ctivities, as</w:t>
      </w:r>
      <w:r w:rsidR="0029625A" w:rsidRPr="00B5326E">
        <w:rPr>
          <w:bCs/>
        </w:rPr>
        <w:t xml:space="preserve"> most alumni </w:t>
      </w:r>
      <w:r w:rsidR="0029625A">
        <w:rPr>
          <w:bCs/>
        </w:rPr>
        <w:t>might be expected to focus on</w:t>
      </w:r>
      <w:r w:rsidR="0029625A" w:rsidRPr="00B5326E">
        <w:rPr>
          <w:bCs/>
        </w:rPr>
        <w:t xml:space="preserve"> work, community and family commitments once they return home</w:t>
      </w:r>
      <w:r w:rsidR="0029625A">
        <w:rPr>
          <w:bCs/>
        </w:rPr>
        <w:t>.</w:t>
      </w:r>
    </w:p>
    <w:p w14:paraId="03EB86F1" w14:textId="46BC6698" w:rsidR="00B32A87" w:rsidRPr="00FA40AE" w:rsidRDefault="004C55CF" w:rsidP="00C227BA">
      <w:pPr>
        <w:spacing w:before="120" w:after="120"/>
        <w:rPr>
          <w:rFonts w:eastAsia="Calibri"/>
        </w:rPr>
      </w:pPr>
      <w:r w:rsidRPr="004E1408">
        <w:rPr>
          <w:rFonts w:eastAsia="Calibri"/>
        </w:rPr>
        <w:t>A</w:t>
      </w:r>
      <w:r w:rsidR="00B32A87" w:rsidRPr="007A6D7C">
        <w:rPr>
          <w:rFonts w:eastAsia="Calibri"/>
        </w:rPr>
        <w:t xml:space="preserve">lumni of STT courses, Fellowships and </w:t>
      </w:r>
      <w:r w:rsidR="00F02FCD" w:rsidRPr="00D9325F">
        <w:rPr>
          <w:rFonts w:eastAsia="Calibri"/>
        </w:rPr>
        <w:t xml:space="preserve">global </w:t>
      </w:r>
      <w:r w:rsidR="00B32A87" w:rsidRPr="00E27B90">
        <w:rPr>
          <w:rFonts w:eastAsia="Calibri"/>
        </w:rPr>
        <w:t>Short Course Awards (if re-established) wil</w:t>
      </w:r>
      <w:r w:rsidR="00B32A87" w:rsidRPr="00B379A4">
        <w:rPr>
          <w:rFonts w:eastAsia="Calibri"/>
        </w:rPr>
        <w:t xml:space="preserve">l be able to register as Australia Awards </w:t>
      </w:r>
      <w:proofErr w:type="gramStart"/>
      <w:r w:rsidR="00B32A87" w:rsidRPr="00B379A4">
        <w:rPr>
          <w:rFonts w:eastAsia="Calibri"/>
        </w:rPr>
        <w:t>alumni,</w:t>
      </w:r>
      <w:proofErr w:type="gramEnd"/>
      <w:r w:rsidR="00B32A87" w:rsidRPr="00B379A4">
        <w:rPr>
          <w:rFonts w:eastAsia="Calibri"/>
        </w:rPr>
        <w:t xml:space="preserve"> provided the program they undertook was delivered by a registered Australian </w:t>
      </w:r>
      <w:r w:rsidRPr="00B379A4">
        <w:rPr>
          <w:rFonts w:eastAsia="Calibri"/>
        </w:rPr>
        <w:t>Training O</w:t>
      </w:r>
      <w:r w:rsidR="00B32A87" w:rsidRPr="00602A77">
        <w:rPr>
          <w:rFonts w:eastAsia="Calibri"/>
        </w:rPr>
        <w:t>rganisation</w:t>
      </w:r>
      <w:r w:rsidRPr="00FA40AE">
        <w:rPr>
          <w:rFonts w:eastAsia="Calibri"/>
        </w:rPr>
        <w:t>.</w:t>
      </w:r>
    </w:p>
    <w:p w14:paraId="2CEEA718" w14:textId="0D20435A" w:rsidR="00B32A87" w:rsidRPr="00AF245E" w:rsidRDefault="00B32A87" w:rsidP="00C227BA">
      <w:pPr>
        <w:spacing w:before="120" w:after="120"/>
        <w:rPr>
          <w:bCs/>
        </w:rPr>
      </w:pPr>
      <w:r w:rsidRPr="00F4554A">
        <w:rPr>
          <w:bCs/>
        </w:rPr>
        <w:t>While Vietnam’s decentralised nature, with a number of large population centres</w:t>
      </w:r>
      <w:r w:rsidR="004C55CF" w:rsidRPr="00B31B3E">
        <w:rPr>
          <w:bCs/>
        </w:rPr>
        <w:t xml:space="preserve"> – H</w:t>
      </w:r>
      <w:r w:rsidR="004C55CF" w:rsidRPr="00274EF2">
        <w:rPr>
          <w:bCs/>
        </w:rPr>
        <w:t>anoi, HCM City, Danang, Hue</w:t>
      </w:r>
      <w:r w:rsidR="003D5F5E">
        <w:rPr>
          <w:bCs/>
        </w:rPr>
        <w:t xml:space="preserve"> </w:t>
      </w:r>
      <w:r w:rsidR="003D5F5E" w:rsidRPr="00B31B3E">
        <w:rPr>
          <w:bCs/>
        </w:rPr>
        <w:t>–</w:t>
      </w:r>
      <w:r w:rsidR="003D5F5E">
        <w:rPr>
          <w:bCs/>
        </w:rPr>
        <w:t xml:space="preserve"> </w:t>
      </w:r>
      <w:r w:rsidRPr="00AF245E">
        <w:rPr>
          <w:bCs/>
        </w:rPr>
        <w:t xml:space="preserve">presents challenges in reaching many alumni, the geographic-chapter organisation of the current VGAC body does allow for some services to be offered to provincial graduates of Australian institutions. </w:t>
      </w:r>
    </w:p>
    <w:p w14:paraId="6041F3C6" w14:textId="385855E5" w:rsidR="00211C8C" w:rsidRPr="00B5326E" w:rsidRDefault="009956EB" w:rsidP="00C227BA">
      <w:pPr>
        <w:spacing w:before="120" w:after="120"/>
        <w:rPr>
          <w:bCs/>
        </w:rPr>
      </w:pPr>
      <w:r w:rsidRPr="00FE136A">
        <w:rPr>
          <w:rFonts w:eastAsia="Calibri"/>
        </w:rPr>
        <w:t xml:space="preserve">The Contractor will provide a dedicated staff member, responsible for Australia </w:t>
      </w:r>
      <w:r w:rsidRPr="005C0E3B">
        <w:rPr>
          <w:rFonts w:eastAsia="Calibri"/>
        </w:rPr>
        <w:t>Award</w:t>
      </w:r>
      <w:r w:rsidR="00FE44F9" w:rsidRPr="005C0E3B">
        <w:rPr>
          <w:rFonts w:eastAsia="Calibri"/>
        </w:rPr>
        <w:t>s</w:t>
      </w:r>
      <w:r w:rsidRPr="00FA5F0F">
        <w:rPr>
          <w:rFonts w:eastAsia="Calibri"/>
        </w:rPr>
        <w:t xml:space="preserve"> alumni activities, including: association support, alumni database updating; alumni communications, networking and professional development. </w:t>
      </w:r>
    </w:p>
    <w:p w14:paraId="037A13E2" w14:textId="305ABAD9" w:rsidR="00A01833" w:rsidRPr="00B5326E" w:rsidRDefault="00A01833" w:rsidP="00C227BA">
      <w:pPr>
        <w:spacing w:before="120" w:after="120"/>
        <w:rPr>
          <w:bCs/>
        </w:rPr>
      </w:pPr>
      <w:r w:rsidRPr="00F2009D">
        <w:rPr>
          <w:bCs/>
        </w:rPr>
        <w:t>VGAC is accessible to all Australian alumni</w:t>
      </w:r>
      <w:r>
        <w:rPr>
          <w:bCs/>
        </w:rPr>
        <w:t>; and w</w:t>
      </w:r>
      <w:r w:rsidRPr="00F2009D">
        <w:rPr>
          <w:bCs/>
        </w:rPr>
        <w:t xml:space="preserve">hile it is not planned to formally support establishment of a separate Australia Awards alumni organisation, any decision </w:t>
      </w:r>
      <w:r w:rsidRPr="009146F8">
        <w:rPr>
          <w:bCs/>
        </w:rPr>
        <w:t xml:space="preserve">to </w:t>
      </w:r>
      <w:r w:rsidRPr="00A262E1">
        <w:rPr>
          <w:bCs/>
        </w:rPr>
        <w:t xml:space="preserve">do so, rests with the alumni concerned. </w:t>
      </w:r>
    </w:p>
    <w:p w14:paraId="1C494763" w14:textId="54A7064C" w:rsidR="00F2009D" w:rsidRDefault="003E08A8" w:rsidP="00C227BA">
      <w:pPr>
        <w:spacing w:before="120" w:after="120"/>
        <w:rPr>
          <w:bCs/>
        </w:rPr>
      </w:pPr>
      <w:r>
        <w:rPr>
          <w:bCs/>
        </w:rPr>
        <w:t xml:space="preserve">Australia’s alumni networks consist of potentially </w:t>
      </w:r>
      <w:r w:rsidR="00BB01BF">
        <w:rPr>
          <w:bCs/>
        </w:rPr>
        <w:t>disparate</w:t>
      </w:r>
      <w:r>
        <w:rPr>
          <w:bCs/>
        </w:rPr>
        <w:t xml:space="preserve"> groups with varying levels of engagement and interest. </w:t>
      </w:r>
      <w:r w:rsidR="00BB01BF">
        <w:rPr>
          <w:bCs/>
        </w:rPr>
        <w:t xml:space="preserve">Establishing new, or strengthening and expanding existing alumni networks of scholarship and private alumni is critical to the success of a global alumni approach. </w:t>
      </w:r>
      <w:r w:rsidR="00BB01BF">
        <w:rPr>
          <w:rStyle w:val="FootnoteReference"/>
          <w:bCs/>
        </w:rPr>
        <w:footnoteReference w:id="52"/>
      </w:r>
      <w:r w:rsidR="00BB01BF">
        <w:rPr>
          <w:bCs/>
        </w:rPr>
        <w:t xml:space="preserve">On this basis, </w:t>
      </w:r>
      <w:r w:rsidR="005364BE">
        <w:rPr>
          <w:bCs/>
        </w:rPr>
        <w:t>specific</w:t>
      </w:r>
      <w:r w:rsidR="0060586F">
        <w:rPr>
          <w:bCs/>
        </w:rPr>
        <w:t xml:space="preserve"> support</w:t>
      </w:r>
      <w:r w:rsidR="00A01833">
        <w:rPr>
          <w:bCs/>
        </w:rPr>
        <w:t xml:space="preserve"> </w:t>
      </w:r>
      <w:r w:rsidR="00BB01BF">
        <w:rPr>
          <w:bCs/>
        </w:rPr>
        <w:t>will be</w:t>
      </w:r>
      <w:r w:rsidR="00A01833">
        <w:rPr>
          <w:bCs/>
        </w:rPr>
        <w:t xml:space="preserve"> </w:t>
      </w:r>
      <w:r w:rsidR="005364BE">
        <w:rPr>
          <w:bCs/>
        </w:rPr>
        <w:t>primarily</w:t>
      </w:r>
      <w:r w:rsidR="00A01833">
        <w:rPr>
          <w:bCs/>
        </w:rPr>
        <w:t xml:space="preserve"> provided to </w:t>
      </w:r>
      <w:r w:rsidR="008B1008">
        <w:rPr>
          <w:bCs/>
        </w:rPr>
        <w:t>A</w:t>
      </w:r>
      <w:r w:rsidR="005364BE">
        <w:rPr>
          <w:bCs/>
        </w:rPr>
        <w:t>ustralia Awards</w:t>
      </w:r>
      <w:r w:rsidR="008B1008">
        <w:rPr>
          <w:bCs/>
        </w:rPr>
        <w:t xml:space="preserve"> </w:t>
      </w:r>
      <w:r w:rsidR="005364BE">
        <w:rPr>
          <w:bCs/>
        </w:rPr>
        <w:t>S</w:t>
      </w:r>
      <w:r w:rsidR="00A01833">
        <w:rPr>
          <w:bCs/>
        </w:rPr>
        <w:t>cholarship</w:t>
      </w:r>
      <w:r w:rsidR="0060586F">
        <w:rPr>
          <w:bCs/>
        </w:rPr>
        <w:t>s</w:t>
      </w:r>
      <w:r w:rsidR="00A01833">
        <w:rPr>
          <w:bCs/>
        </w:rPr>
        <w:t xml:space="preserve"> alumni</w:t>
      </w:r>
      <w:r w:rsidR="00ED2B13">
        <w:rPr>
          <w:bCs/>
        </w:rPr>
        <w:t>. However, e</w:t>
      </w:r>
      <w:r w:rsidR="00BB2D10">
        <w:rPr>
          <w:bCs/>
        </w:rPr>
        <w:t>ncouraging privately-funded graduates to participate in alumni</w:t>
      </w:r>
      <w:r w:rsidR="0060586F">
        <w:rPr>
          <w:bCs/>
        </w:rPr>
        <w:t xml:space="preserve"> </w:t>
      </w:r>
      <w:r w:rsidR="00BB2D10">
        <w:rPr>
          <w:bCs/>
        </w:rPr>
        <w:t xml:space="preserve">networks </w:t>
      </w:r>
      <w:r w:rsidR="003B0C93" w:rsidRPr="001571FA">
        <w:rPr>
          <w:bCs/>
        </w:rPr>
        <w:t xml:space="preserve">has the potential </w:t>
      </w:r>
      <w:r w:rsidR="003B0C93" w:rsidRPr="00C876ED">
        <w:rPr>
          <w:bCs/>
        </w:rPr>
        <w:t xml:space="preserve">to significantly expand the </w:t>
      </w:r>
      <w:r w:rsidR="00BB2D10">
        <w:rPr>
          <w:bCs/>
        </w:rPr>
        <w:t>reach and scope for engagement on economic and diplomatic issues of benefit to both countries.</w:t>
      </w:r>
    </w:p>
    <w:p w14:paraId="02BFBBC7" w14:textId="4B837859" w:rsidR="00C7406B" w:rsidRPr="00F5552D" w:rsidRDefault="00F2009D" w:rsidP="00C227BA">
      <w:pPr>
        <w:spacing w:before="120" w:after="120"/>
        <w:rPr>
          <w:bCs/>
        </w:rPr>
      </w:pPr>
      <w:r>
        <w:rPr>
          <w:bCs/>
        </w:rPr>
        <w:t>T</w:t>
      </w:r>
      <w:r w:rsidR="00E40380">
        <w:rPr>
          <w:bCs/>
        </w:rPr>
        <w:t xml:space="preserve">he issue </w:t>
      </w:r>
      <w:r w:rsidR="00C7406B">
        <w:rPr>
          <w:bCs/>
        </w:rPr>
        <w:t>of using GoA funds to support n</w:t>
      </w:r>
      <w:r w:rsidR="00E40380">
        <w:rPr>
          <w:bCs/>
        </w:rPr>
        <w:t xml:space="preserve">on-Australia Awards alumni with </w:t>
      </w:r>
      <w:r w:rsidR="00C7406B">
        <w:rPr>
          <w:bCs/>
        </w:rPr>
        <w:t>reintegration</w:t>
      </w:r>
      <w:r w:rsidR="003C780E">
        <w:rPr>
          <w:bCs/>
        </w:rPr>
        <w:t>,</w:t>
      </w:r>
      <w:r w:rsidR="00C7406B">
        <w:rPr>
          <w:bCs/>
        </w:rPr>
        <w:t xml:space="preserve"> further professional development </w:t>
      </w:r>
      <w:r w:rsidR="003C780E">
        <w:rPr>
          <w:bCs/>
        </w:rPr>
        <w:t xml:space="preserve">and </w:t>
      </w:r>
      <w:r>
        <w:rPr>
          <w:bCs/>
        </w:rPr>
        <w:t xml:space="preserve">through </w:t>
      </w:r>
      <w:r w:rsidR="003C780E">
        <w:rPr>
          <w:bCs/>
        </w:rPr>
        <w:t xml:space="preserve">support to VGAC, </w:t>
      </w:r>
      <w:r w:rsidR="00C7406B">
        <w:rPr>
          <w:bCs/>
        </w:rPr>
        <w:t>is yet t</w:t>
      </w:r>
      <w:r>
        <w:rPr>
          <w:bCs/>
        </w:rPr>
        <w:t>o be resolved at a global level; however,</w:t>
      </w:r>
      <w:r w:rsidR="00C7406B">
        <w:rPr>
          <w:bCs/>
        </w:rPr>
        <w:t xml:space="preserve"> t</w:t>
      </w:r>
      <w:r>
        <w:rPr>
          <w:bCs/>
        </w:rPr>
        <w:t>he Contractor should</w:t>
      </w:r>
      <w:r w:rsidR="00C876ED">
        <w:rPr>
          <w:bCs/>
        </w:rPr>
        <w:t xml:space="preserve"> </w:t>
      </w:r>
      <w:r w:rsidR="003C780E">
        <w:rPr>
          <w:bCs/>
        </w:rPr>
        <w:t xml:space="preserve">develop strategies for consideration by DFAT Hanoi that </w:t>
      </w:r>
      <w:r w:rsidR="00C7406B">
        <w:rPr>
          <w:bCs/>
        </w:rPr>
        <w:t xml:space="preserve">includes opportunities </w:t>
      </w:r>
      <w:r w:rsidR="00ED2B13">
        <w:rPr>
          <w:bCs/>
        </w:rPr>
        <w:t xml:space="preserve">to support the VGAC and </w:t>
      </w:r>
      <w:r w:rsidR="00C7406B">
        <w:rPr>
          <w:bCs/>
        </w:rPr>
        <w:t xml:space="preserve">for non-Award graduates </w:t>
      </w:r>
      <w:r w:rsidR="003C780E">
        <w:rPr>
          <w:bCs/>
        </w:rPr>
        <w:t>to participate</w:t>
      </w:r>
      <w:r w:rsidR="00ED2B13">
        <w:rPr>
          <w:bCs/>
        </w:rPr>
        <w:t xml:space="preserve"> in DFAT-funded activities</w:t>
      </w:r>
      <w:r>
        <w:rPr>
          <w:bCs/>
        </w:rPr>
        <w:t>,</w:t>
      </w:r>
      <w:r w:rsidR="003C780E">
        <w:rPr>
          <w:bCs/>
        </w:rPr>
        <w:t xml:space="preserve"> </w:t>
      </w:r>
      <w:r w:rsidR="009904EE">
        <w:rPr>
          <w:bCs/>
        </w:rPr>
        <w:t>perhaps</w:t>
      </w:r>
      <w:r w:rsidR="003C780E">
        <w:rPr>
          <w:bCs/>
        </w:rPr>
        <w:t xml:space="preserve"> including through cost sharing</w:t>
      </w:r>
      <w:r w:rsidR="00C7406B">
        <w:rPr>
          <w:bCs/>
        </w:rPr>
        <w:t xml:space="preserve"> </w:t>
      </w:r>
      <w:r w:rsidR="003C780E">
        <w:rPr>
          <w:bCs/>
        </w:rPr>
        <w:t>arrangements</w:t>
      </w:r>
      <w:r w:rsidR="00C7406B">
        <w:rPr>
          <w:bCs/>
        </w:rPr>
        <w:t>.</w:t>
      </w:r>
      <w:r w:rsidR="00C7406B" w:rsidRPr="003B0C93">
        <w:rPr>
          <w:bCs/>
        </w:rPr>
        <w:t xml:space="preserve"> </w:t>
      </w:r>
    </w:p>
    <w:p w14:paraId="3B059810" w14:textId="44290AB3" w:rsidR="00AE7537" w:rsidRPr="00602A77" w:rsidRDefault="004C55CF" w:rsidP="00C227BA">
      <w:pPr>
        <w:pStyle w:val="Heading2"/>
        <w:numPr>
          <w:ilvl w:val="0"/>
          <w:numId w:val="0"/>
        </w:numPr>
        <w:spacing w:before="120"/>
        <w:ind w:left="567" w:hanging="567"/>
        <w:rPr>
          <w:rFonts w:asciiTheme="minorHAnsi" w:eastAsia="SimSun" w:hAnsiTheme="minorHAnsi"/>
          <w:color w:val="548DD4" w:themeColor="text2" w:themeTint="99"/>
          <w:szCs w:val="24"/>
          <w:lang w:eastAsia="en-US"/>
        </w:rPr>
      </w:pPr>
      <w:r w:rsidRPr="00D9325F">
        <w:rPr>
          <w:rFonts w:asciiTheme="minorHAnsi" w:eastAsia="SimSun" w:hAnsiTheme="minorHAnsi"/>
          <w:color w:val="548DD4" w:themeColor="text2" w:themeTint="99"/>
          <w:szCs w:val="24"/>
          <w:lang w:eastAsia="en-US"/>
        </w:rPr>
        <w:t>A</w:t>
      </w:r>
      <w:r w:rsidR="00AE7537" w:rsidRPr="00E27B90">
        <w:rPr>
          <w:rFonts w:asciiTheme="minorHAnsi" w:eastAsia="SimSun" w:hAnsiTheme="minorHAnsi"/>
          <w:color w:val="548DD4" w:themeColor="text2" w:themeTint="99"/>
          <w:szCs w:val="24"/>
          <w:lang w:eastAsia="en-US"/>
        </w:rPr>
        <w:t xml:space="preserve">lumni </w:t>
      </w:r>
      <w:r w:rsidR="005C6F13" w:rsidRPr="00B379A4">
        <w:rPr>
          <w:rFonts w:asciiTheme="minorHAnsi" w:eastAsia="SimSun" w:hAnsiTheme="minorHAnsi"/>
          <w:color w:val="548DD4" w:themeColor="text2" w:themeTint="99"/>
          <w:szCs w:val="24"/>
          <w:lang w:eastAsia="en-US"/>
        </w:rPr>
        <w:t>D</w:t>
      </w:r>
      <w:r w:rsidR="00AE7537" w:rsidRPr="00602A77">
        <w:rPr>
          <w:rFonts w:asciiTheme="minorHAnsi" w:eastAsia="SimSun" w:hAnsiTheme="minorHAnsi"/>
          <w:color w:val="548DD4" w:themeColor="text2" w:themeTint="99"/>
          <w:szCs w:val="24"/>
          <w:lang w:eastAsia="en-US"/>
        </w:rPr>
        <w:t>atabase</w:t>
      </w:r>
    </w:p>
    <w:p w14:paraId="60A783B7" w14:textId="6E06A636" w:rsidR="00AE7537" w:rsidRPr="00314297" w:rsidRDefault="00AE7537" w:rsidP="00C227BA">
      <w:pPr>
        <w:spacing w:before="120" w:after="120"/>
        <w:rPr>
          <w:rFonts w:eastAsia="Calibri"/>
        </w:rPr>
      </w:pPr>
      <w:r w:rsidRPr="00FA40AE">
        <w:rPr>
          <w:rFonts w:eastAsia="Calibri"/>
        </w:rPr>
        <w:t xml:space="preserve">DFAT Canberra has developed </w:t>
      </w:r>
      <w:r w:rsidR="0060586F">
        <w:rPr>
          <w:rFonts w:eastAsia="Calibri"/>
        </w:rPr>
        <w:t>the</w:t>
      </w:r>
      <w:r w:rsidRPr="00FA40AE">
        <w:rPr>
          <w:rFonts w:eastAsia="Calibri"/>
        </w:rPr>
        <w:t xml:space="preserve"> Australian Global Alumni Network</w:t>
      </w:r>
      <w:r w:rsidRPr="003B74ED">
        <w:rPr>
          <w:rStyle w:val="FootnoteReference"/>
          <w:rFonts w:eastAsia="Calibri"/>
        </w:rPr>
        <w:footnoteReference w:id="53"/>
      </w:r>
      <w:r w:rsidRPr="003B74ED">
        <w:rPr>
          <w:rFonts w:eastAsia="Calibri"/>
        </w:rPr>
        <w:t xml:space="preserve"> to support an interactive global network of alumni and provide up-to-date details on alumni for DFAT Canberra, Posts and implementing agencies. The Network database currently holds more than 40,000 alumni records through an automatic data transfer of comp</w:t>
      </w:r>
      <w:r w:rsidRPr="00EA76FF">
        <w:rPr>
          <w:rFonts w:eastAsia="Calibri"/>
        </w:rPr>
        <w:t>lete student records from on-award student management systems. The Network not only records Australia Awards alumni but also other GoA-sponsored alumni (such as Endeavour and ACIAR program alumni)</w:t>
      </w:r>
      <w:r w:rsidR="0060586F">
        <w:rPr>
          <w:rFonts w:eastAsia="Calibri"/>
        </w:rPr>
        <w:t>.</w:t>
      </w:r>
    </w:p>
    <w:p w14:paraId="1574DE85" w14:textId="3005F6A7" w:rsidR="00AE7537" w:rsidRPr="004E1408" w:rsidRDefault="00AE7537" w:rsidP="00C227BA">
      <w:pPr>
        <w:spacing w:before="120" w:after="120"/>
        <w:rPr>
          <w:rFonts w:eastAsia="Calibri"/>
        </w:rPr>
      </w:pPr>
      <w:r w:rsidRPr="008C2305">
        <w:rPr>
          <w:rFonts w:eastAsia="Calibri"/>
        </w:rPr>
        <w:t>The global network’s other key features are expected to in</w:t>
      </w:r>
      <w:r w:rsidRPr="001A0CDA">
        <w:rPr>
          <w:rFonts w:eastAsia="Calibri"/>
        </w:rPr>
        <w:t>clude: alumni personal profiles, the ability to capture alumni biography, identify high-profile alumni, capture alumni used for media purposes, and access to operational and statistical reporting, including dashboard reports. The ultimate goal of the program is to “allow all Australia Award</w:t>
      </w:r>
      <w:r w:rsidR="0060586F">
        <w:rPr>
          <w:rFonts w:eastAsia="Calibri"/>
        </w:rPr>
        <w:t>s</w:t>
      </w:r>
      <w:r w:rsidRPr="001A0CDA">
        <w:rPr>
          <w:rFonts w:eastAsia="Calibri"/>
        </w:rPr>
        <w:t xml:space="preserve"> alumni to interact with each other in a dig</w:t>
      </w:r>
      <w:r w:rsidR="0060586F">
        <w:rPr>
          <w:rFonts w:eastAsia="Calibri"/>
        </w:rPr>
        <w:t>ital environment”</w:t>
      </w:r>
      <w:proofErr w:type="gramStart"/>
      <w:r w:rsidR="0060586F">
        <w:rPr>
          <w:rFonts w:eastAsia="Calibri"/>
        </w:rPr>
        <w:t>,</w:t>
      </w:r>
      <w:proofErr w:type="gramEnd"/>
      <w:r w:rsidR="0060586F">
        <w:rPr>
          <w:rFonts w:eastAsia="Calibri"/>
        </w:rPr>
        <w:t xml:space="preserve"> while the on</w:t>
      </w:r>
      <w:r w:rsidRPr="001A0CDA">
        <w:rPr>
          <w:rFonts w:eastAsia="Calibri"/>
        </w:rPr>
        <w:t>line tool is expected to be used also to publish information related to Australia Awards activities such as conferences, professional development</w:t>
      </w:r>
      <w:r w:rsidRPr="004E1408">
        <w:rPr>
          <w:rFonts w:eastAsia="Calibri"/>
        </w:rPr>
        <w:t xml:space="preserve"> workshops and other Australia Awards news.</w:t>
      </w:r>
    </w:p>
    <w:p w14:paraId="3F896264" w14:textId="6FD42255" w:rsidR="00AE7537" w:rsidRPr="00B379A4" w:rsidRDefault="0035067F" w:rsidP="00C227BA">
      <w:pPr>
        <w:spacing w:before="120" w:after="120"/>
        <w:rPr>
          <w:rFonts w:eastAsia="Calibri"/>
        </w:rPr>
      </w:pPr>
      <w:r w:rsidRPr="004E1408">
        <w:rPr>
          <w:rFonts w:eastAsia="Calibri"/>
        </w:rPr>
        <w:t>Until</w:t>
      </w:r>
      <w:r w:rsidR="00AE7537" w:rsidRPr="007A6D7C">
        <w:rPr>
          <w:rFonts w:eastAsia="Calibri"/>
        </w:rPr>
        <w:t xml:space="preserve"> the Australian Global Alumni Network is operating t</w:t>
      </w:r>
      <w:r w:rsidR="00AE7537" w:rsidRPr="00D9325F">
        <w:rPr>
          <w:rFonts w:eastAsia="Calibri"/>
        </w:rPr>
        <w:t xml:space="preserve">o its planned full capacity, the </w:t>
      </w:r>
      <w:r w:rsidR="00AE7537" w:rsidRPr="00E27B90">
        <w:t>Contractor will manage a Vietnam-specific Australia Award</w:t>
      </w:r>
      <w:r w:rsidR="0060586F">
        <w:t>s</w:t>
      </w:r>
      <w:r w:rsidR="00AE7537" w:rsidRPr="00E27B90">
        <w:t xml:space="preserve"> program alumni database, with the capacity for the data to be migrated to the global network once it is fully operational.</w:t>
      </w:r>
      <w:r w:rsidR="00AE7537" w:rsidRPr="00B379A4">
        <w:rPr>
          <w:rFonts w:eastAsia="Calibri"/>
        </w:rPr>
        <w:t xml:space="preserve"> </w:t>
      </w:r>
    </w:p>
    <w:p w14:paraId="14907A83" w14:textId="33250BBB" w:rsidR="00AE7537" w:rsidRPr="00FA40AE" w:rsidRDefault="005C6F13" w:rsidP="00C227BA">
      <w:pPr>
        <w:pStyle w:val="Heading2"/>
        <w:numPr>
          <w:ilvl w:val="0"/>
          <w:numId w:val="0"/>
        </w:numPr>
        <w:spacing w:before="120"/>
        <w:ind w:left="567" w:hanging="567"/>
        <w:rPr>
          <w:rFonts w:asciiTheme="minorHAnsi" w:eastAsia="SimSun" w:hAnsiTheme="minorHAnsi"/>
          <w:color w:val="548DD4" w:themeColor="text2" w:themeTint="99"/>
          <w:szCs w:val="24"/>
          <w:lang w:eastAsia="en-US"/>
        </w:rPr>
      </w:pPr>
      <w:r w:rsidRPr="00FA40AE">
        <w:rPr>
          <w:rFonts w:asciiTheme="minorHAnsi" w:eastAsia="SimSun" w:hAnsiTheme="minorHAnsi"/>
          <w:color w:val="548DD4" w:themeColor="text2" w:themeTint="99"/>
          <w:szCs w:val="24"/>
          <w:lang w:eastAsia="en-US"/>
        </w:rPr>
        <w:t>Tracing A</w:t>
      </w:r>
      <w:r w:rsidR="00AE7537" w:rsidRPr="00FA40AE">
        <w:rPr>
          <w:rFonts w:asciiTheme="minorHAnsi" w:eastAsia="SimSun" w:hAnsiTheme="minorHAnsi"/>
          <w:color w:val="548DD4" w:themeColor="text2" w:themeTint="99"/>
          <w:szCs w:val="24"/>
          <w:lang w:eastAsia="en-US"/>
        </w:rPr>
        <w:t>lumni</w:t>
      </w:r>
    </w:p>
    <w:p w14:paraId="5A8D0248" w14:textId="449371D6" w:rsidR="00B32A87" w:rsidRPr="00816AF1" w:rsidRDefault="00AE7537" w:rsidP="00C227BA">
      <w:pPr>
        <w:spacing w:before="120" w:after="120"/>
        <w:rPr>
          <w:rFonts w:eastAsia="Calibri"/>
        </w:rPr>
      </w:pPr>
      <w:r w:rsidRPr="00F4554A">
        <w:rPr>
          <w:rFonts w:eastAsia="Calibri"/>
        </w:rPr>
        <w:t xml:space="preserve">Strategies to assist in maintaining </w:t>
      </w:r>
      <w:r w:rsidR="00B32A87" w:rsidRPr="00B31B3E">
        <w:rPr>
          <w:rFonts w:eastAsia="Calibri"/>
        </w:rPr>
        <w:t xml:space="preserve">up-to-date alumni </w:t>
      </w:r>
      <w:r w:rsidRPr="00274EF2">
        <w:rPr>
          <w:rFonts w:eastAsia="Calibri"/>
        </w:rPr>
        <w:t xml:space="preserve">contact </w:t>
      </w:r>
      <w:r w:rsidR="00B32A87" w:rsidRPr="00F233A7">
        <w:rPr>
          <w:rFonts w:eastAsia="Calibri"/>
        </w:rPr>
        <w:t xml:space="preserve">details </w:t>
      </w:r>
      <w:r w:rsidRPr="004744D3">
        <w:rPr>
          <w:rFonts w:eastAsia="Calibri"/>
        </w:rPr>
        <w:t>include: improving access to continuing professional development for registered alumni, such as through online resources; access to a small-grants program; and no- or low-cost participation in post-award conferen</w:t>
      </w:r>
      <w:r w:rsidRPr="00AF245E">
        <w:rPr>
          <w:rFonts w:eastAsia="Calibri"/>
        </w:rPr>
        <w:t>ces and workshop</w:t>
      </w:r>
      <w:r w:rsidR="001D05F2">
        <w:rPr>
          <w:rFonts w:eastAsia="Calibri"/>
        </w:rPr>
        <w:t>s</w:t>
      </w:r>
      <w:r w:rsidRPr="00AF245E">
        <w:rPr>
          <w:rFonts w:eastAsia="Calibri"/>
        </w:rPr>
        <w:t xml:space="preserve">. </w:t>
      </w:r>
    </w:p>
    <w:p w14:paraId="4DA56F6C" w14:textId="276A5396" w:rsidR="009956EB" w:rsidRPr="00EA76FF" w:rsidRDefault="00AE7537" w:rsidP="00C227BA">
      <w:pPr>
        <w:spacing w:before="120" w:after="120"/>
        <w:rPr>
          <w:rFonts w:eastAsia="Calibri"/>
        </w:rPr>
      </w:pPr>
      <w:r w:rsidRPr="00FE136A">
        <w:rPr>
          <w:rFonts w:eastAsia="Calibri"/>
        </w:rPr>
        <w:t xml:space="preserve">In maintaining and utilising alumni data, DFAT and </w:t>
      </w:r>
      <w:r w:rsidR="001D05F2">
        <w:rPr>
          <w:rFonts w:eastAsia="Calibri"/>
        </w:rPr>
        <w:t xml:space="preserve">the </w:t>
      </w:r>
      <w:r w:rsidRPr="00FE136A">
        <w:rPr>
          <w:rFonts w:eastAsia="Calibri"/>
        </w:rPr>
        <w:t>Contractor should be cognisant of the 2014 GoA legislative changes in relation to individual and organisational privacy</w:t>
      </w:r>
      <w:r w:rsidR="00241B75" w:rsidRPr="003B74ED">
        <w:rPr>
          <w:rStyle w:val="FootnoteReference"/>
          <w:rFonts w:eastAsia="Calibri"/>
        </w:rPr>
        <w:footnoteReference w:id="54"/>
      </w:r>
      <w:r w:rsidR="00241B75" w:rsidRPr="003B74ED">
        <w:rPr>
          <w:rFonts w:eastAsia="Calibri"/>
        </w:rPr>
        <w:t>.</w:t>
      </w:r>
    </w:p>
    <w:p w14:paraId="70887CA1" w14:textId="31E0CEF7" w:rsidR="005C6F13" w:rsidRPr="004E1408" w:rsidRDefault="000E42F8" w:rsidP="00C227BA">
      <w:pPr>
        <w:spacing w:before="120" w:after="120"/>
        <w:rPr>
          <w:rFonts w:eastAsia="Calibri"/>
        </w:rPr>
      </w:pPr>
      <w:r w:rsidRPr="00B42B3E">
        <w:rPr>
          <w:rFonts w:eastAsia="Calibri"/>
        </w:rPr>
        <w:t>T</w:t>
      </w:r>
      <w:r w:rsidR="009956EB" w:rsidRPr="008C2305">
        <w:rPr>
          <w:rFonts w:eastAsia="Calibri"/>
        </w:rPr>
        <w:t>he Contractor will ensure that Australia Award</w:t>
      </w:r>
      <w:r w:rsidR="001D05F2">
        <w:rPr>
          <w:rFonts w:eastAsia="Calibri"/>
        </w:rPr>
        <w:t>s</w:t>
      </w:r>
      <w:r w:rsidR="009956EB" w:rsidRPr="008C2305">
        <w:rPr>
          <w:rFonts w:eastAsia="Calibri"/>
        </w:rPr>
        <w:t xml:space="preserve"> alumni can access a range of services, which should include those identified in </w:t>
      </w:r>
      <w:r w:rsidR="007C497D" w:rsidRPr="001A0CDA">
        <w:rPr>
          <w:rFonts w:eastAsia="Calibri"/>
        </w:rPr>
        <w:t>T</w:t>
      </w:r>
      <w:r w:rsidR="006B28D2" w:rsidRPr="001A0CDA">
        <w:rPr>
          <w:rFonts w:eastAsia="Calibri"/>
        </w:rPr>
        <w:t xml:space="preserve">able 3.3 </w:t>
      </w:r>
      <w:r w:rsidR="009956EB" w:rsidRPr="004E1408">
        <w:rPr>
          <w:rFonts w:eastAsia="Calibri"/>
        </w:rPr>
        <w:t>Column A.</w:t>
      </w:r>
    </w:p>
    <w:p w14:paraId="71668EAD" w14:textId="53E886EF" w:rsidR="0099450E" w:rsidRPr="00AF245E" w:rsidRDefault="006B28D2" w:rsidP="00C227BA">
      <w:pPr>
        <w:pStyle w:val="Heading2"/>
        <w:numPr>
          <w:ilvl w:val="0"/>
          <w:numId w:val="0"/>
        </w:numPr>
        <w:spacing w:before="120"/>
        <w:ind w:left="567" w:hanging="567"/>
        <w:rPr>
          <w:rFonts w:asciiTheme="minorHAnsi" w:eastAsia="SimSun" w:hAnsiTheme="minorHAnsi"/>
          <w:color w:val="548DD4" w:themeColor="text2" w:themeTint="99"/>
          <w:szCs w:val="24"/>
          <w:lang w:eastAsia="en-US"/>
        </w:rPr>
      </w:pPr>
      <w:r w:rsidRPr="004744D3">
        <w:rPr>
          <w:rFonts w:asciiTheme="minorHAnsi" w:eastAsia="SimSun" w:hAnsiTheme="minorHAnsi"/>
          <w:color w:val="548DD4" w:themeColor="text2" w:themeTint="99"/>
          <w:szCs w:val="24"/>
          <w:lang w:eastAsia="en-US"/>
        </w:rPr>
        <w:t>Contractor Alumni Services</w:t>
      </w:r>
    </w:p>
    <w:p w14:paraId="38B3B020" w14:textId="2B255548" w:rsidR="006B28D2" w:rsidRPr="00FE136A" w:rsidRDefault="00D756E3" w:rsidP="00C227BA">
      <w:pPr>
        <w:spacing w:before="120" w:after="120"/>
      </w:pPr>
      <w:r w:rsidRPr="00816AF1">
        <w:t>T</w:t>
      </w:r>
      <w:r w:rsidR="006B28D2" w:rsidRPr="00FE136A">
        <w:t xml:space="preserve">he Contractor will have the following responsibilities for alumni support under the program: </w:t>
      </w:r>
    </w:p>
    <w:p w14:paraId="361CE040" w14:textId="30E06F45" w:rsidR="009956EB" w:rsidRPr="00B5326E" w:rsidRDefault="009956EB" w:rsidP="00C227BA">
      <w:pPr>
        <w:spacing w:before="120" w:after="120"/>
      </w:pPr>
      <w:r w:rsidRPr="005C0E3B">
        <w:t xml:space="preserve">Table </w:t>
      </w:r>
      <w:r w:rsidR="00056160" w:rsidRPr="005C0E3B">
        <w:t>3.3</w:t>
      </w:r>
      <w:r w:rsidRPr="00FA5F0F">
        <w:t>:</w:t>
      </w:r>
      <w:r w:rsidR="00056160" w:rsidRPr="00FA5F0F">
        <w:t xml:space="preserve"> Contractor Alumni S</w:t>
      </w:r>
      <w:r w:rsidRPr="00B5326E">
        <w:t>ervices</w:t>
      </w:r>
    </w:p>
    <w:tbl>
      <w:tblPr>
        <w:tblStyle w:val="TableGrid"/>
        <w:tblW w:w="0" w:type="auto"/>
        <w:tblLook w:val="04A0" w:firstRow="1" w:lastRow="0" w:firstColumn="1" w:lastColumn="0" w:noHBand="0" w:noVBand="1"/>
      </w:tblPr>
      <w:tblGrid>
        <w:gridCol w:w="4630"/>
        <w:gridCol w:w="2991"/>
      </w:tblGrid>
      <w:tr w:rsidR="003A3920" w:rsidRPr="00B5326E" w14:paraId="014A0DA6" w14:textId="77777777" w:rsidTr="001D05F2">
        <w:tc>
          <w:tcPr>
            <w:tcW w:w="4630" w:type="dxa"/>
            <w:shd w:val="clear" w:color="auto" w:fill="D9D9D9" w:themeFill="background1" w:themeFillShade="D9"/>
          </w:tcPr>
          <w:p w14:paraId="0CD3BDD6" w14:textId="77777777" w:rsidR="003A3920" w:rsidRPr="002F4AB1" w:rsidRDefault="003A3920" w:rsidP="00F27B1D">
            <w:pPr>
              <w:jc w:val="center"/>
              <w:rPr>
                <w:b/>
                <w:sz w:val="24"/>
                <w:szCs w:val="24"/>
              </w:rPr>
            </w:pPr>
            <w:r w:rsidRPr="00B5326E">
              <w:rPr>
                <w:b/>
              </w:rPr>
              <w:t xml:space="preserve">A: Contractor services &amp; support to </w:t>
            </w:r>
          </w:p>
          <w:p w14:paraId="32267244" w14:textId="77777777" w:rsidR="003A3920" w:rsidRPr="002F4AB1" w:rsidRDefault="003A3920" w:rsidP="00F27B1D">
            <w:pPr>
              <w:jc w:val="center"/>
              <w:rPr>
                <w:b/>
                <w:sz w:val="24"/>
                <w:szCs w:val="24"/>
              </w:rPr>
            </w:pPr>
            <w:r w:rsidRPr="00B5326E">
              <w:rPr>
                <w:b/>
              </w:rPr>
              <w:t>Australia Award Alumni</w:t>
            </w:r>
          </w:p>
        </w:tc>
        <w:tc>
          <w:tcPr>
            <w:tcW w:w="2991" w:type="dxa"/>
            <w:shd w:val="clear" w:color="auto" w:fill="D9D9D9" w:themeFill="background1" w:themeFillShade="D9"/>
          </w:tcPr>
          <w:p w14:paraId="2C02C4F1" w14:textId="1C8F4DEE" w:rsidR="003A3920" w:rsidRPr="002F4AB1" w:rsidRDefault="003A3920" w:rsidP="00F27B1D">
            <w:pPr>
              <w:jc w:val="center"/>
              <w:rPr>
                <w:b/>
                <w:sz w:val="24"/>
                <w:szCs w:val="24"/>
              </w:rPr>
            </w:pPr>
            <w:r>
              <w:rPr>
                <w:b/>
              </w:rPr>
              <w:t>B</w:t>
            </w:r>
            <w:r w:rsidRPr="00B5326E">
              <w:rPr>
                <w:b/>
              </w:rPr>
              <w:t xml:space="preserve">:  Contractor support available to </w:t>
            </w:r>
            <w:r w:rsidRPr="00B5326E">
              <w:rPr>
                <w:b/>
                <w:i/>
              </w:rPr>
              <w:t xml:space="preserve">non-Award </w:t>
            </w:r>
            <w:r w:rsidRPr="00B5326E">
              <w:rPr>
                <w:b/>
              </w:rPr>
              <w:t xml:space="preserve">VGAC members </w:t>
            </w:r>
            <w:r w:rsidRPr="00B5326E">
              <w:rPr>
                <w:b/>
                <w:i/>
              </w:rPr>
              <w:t>at cost</w:t>
            </w:r>
          </w:p>
        </w:tc>
      </w:tr>
      <w:tr w:rsidR="003A3920" w:rsidRPr="00B5326E" w14:paraId="3E22361C" w14:textId="77777777" w:rsidTr="001D05F2">
        <w:tc>
          <w:tcPr>
            <w:tcW w:w="4630" w:type="dxa"/>
          </w:tcPr>
          <w:p w14:paraId="10FA4058" w14:textId="77777777" w:rsidR="003A3920" w:rsidRPr="002F4AB1" w:rsidRDefault="003A3920" w:rsidP="00F27B1D">
            <w:pPr>
              <w:rPr>
                <w:sz w:val="24"/>
                <w:szCs w:val="24"/>
              </w:rPr>
            </w:pPr>
            <w:r w:rsidRPr="00B5326E">
              <w:t>Liaison with VGAC re Award alumni members of VGAC</w:t>
            </w:r>
          </w:p>
        </w:tc>
        <w:tc>
          <w:tcPr>
            <w:tcW w:w="2991" w:type="dxa"/>
            <w:vMerge w:val="restart"/>
            <w:vAlign w:val="center"/>
          </w:tcPr>
          <w:p w14:paraId="2499DF8F" w14:textId="77777777" w:rsidR="003A3920" w:rsidRPr="001D05F2" w:rsidRDefault="003A3920" w:rsidP="00F27B1D">
            <w:r w:rsidRPr="001D05F2">
              <w:t>Participation in soft-skills seminars</w:t>
            </w:r>
          </w:p>
        </w:tc>
      </w:tr>
      <w:tr w:rsidR="003A3920" w:rsidRPr="00B5326E" w14:paraId="2F4271C5" w14:textId="77777777" w:rsidTr="001D05F2">
        <w:tc>
          <w:tcPr>
            <w:tcW w:w="4630" w:type="dxa"/>
          </w:tcPr>
          <w:p w14:paraId="41829CC0" w14:textId="77777777" w:rsidR="003A3920" w:rsidRPr="002F4AB1" w:rsidRDefault="003A3920" w:rsidP="00F27B1D">
            <w:pPr>
              <w:rPr>
                <w:sz w:val="24"/>
                <w:szCs w:val="24"/>
              </w:rPr>
            </w:pPr>
            <w:r w:rsidRPr="00B5326E">
              <w:t>Contractor staff position for Award alumni support</w:t>
            </w:r>
          </w:p>
        </w:tc>
        <w:tc>
          <w:tcPr>
            <w:tcW w:w="2991" w:type="dxa"/>
            <w:vMerge/>
          </w:tcPr>
          <w:p w14:paraId="657E0994" w14:textId="77777777" w:rsidR="003A3920" w:rsidRPr="002F4AB1" w:rsidRDefault="003A3920" w:rsidP="00F27B1D">
            <w:pPr>
              <w:rPr>
                <w:sz w:val="24"/>
                <w:szCs w:val="24"/>
              </w:rPr>
            </w:pPr>
          </w:p>
        </w:tc>
      </w:tr>
      <w:tr w:rsidR="003A3920" w:rsidRPr="00B5326E" w14:paraId="22C87D44" w14:textId="77777777" w:rsidTr="001D05F2">
        <w:tc>
          <w:tcPr>
            <w:tcW w:w="4630" w:type="dxa"/>
          </w:tcPr>
          <w:p w14:paraId="231367D6" w14:textId="77777777" w:rsidR="003A3920" w:rsidRPr="002F4AB1" w:rsidRDefault="003A3920" w:rsidP="00F27B1D">
            <w:pPr>
              <w:rPr>
                <w:sz w:val="24"/>
                <w:szCs w:val="24"/>
              </w:rPr>
            </w:pPr>
            <w:r w:rsidRPr="00B5326E">
              <w:t>Database management and maintenance</w:t>
            </w:r>
          </w:p>
        </w:tc>
        <w:tc>
          <w:tcPr>
            <w:tcW w:w="2991" w:type="dxa"/>
            <w:vMerge/>
          </w:tcPr>
          <w:p w14:paraId="59EE3733" w14:textId="77777777" w:rsidR="003A3920" w:rsidRPr="002F4AB1" w:rsidRDefault="003A3920" w:rsidP="00F27B1D">
            <w:pPr>
              <w:rPr>
                <w:sz w:val="24"/>
                <w:szCs w:val="24"/>
              </w:rPr>
            </w:pPr>
          </w:p>
        </w:tc>
      </w:tr>
      <w:tr w:rsidR="003A3920" w:rsidRPr="00B5326E" w14:paraId="3240012B" w14:textId="77777777" w:rsidTr="001D05F2">
        <w:trPr>
          <w:trHeight w:val="70"/>
        </w:trPr>
        <w:tc>
          <w:tcPr>
            <w:tcW w:w="4630" w:type="dxa"/>
          </w:tcPr>
          <w:p w14:paraId="007A5619" w14:textId="77777777" w:rsidR="003A3920" w:rsidRPr="002F4AB1" w:rsidRDefault="003A3920" w:rsidP="00F27B1D">
            <w:pPr>
              <w:rPr>
                <w:sz w:val="24"/>
                <w:szCs w:val="24"/>
              </w:rPr>
            </w:pPr>
            <w:r w:rsidRPr="00B5326E">
              <w:t>Reintegration Seminar</w:t>
            </w:r>
          </w:p>
        </w:tc>
        <w:tc>
          <w:tcPr>
            <w:tcW w:w="2991" w:type="dxa"/>
            <w:vMerge/>
          </w:tcPr>
          <w:p w14:paraId="3EE354FB" w14:textId="77777777" w:rsidR="003A3920" w:rsidRPr="002F4AB1" w:rsidRDefault="003A3920" w:rsidP="00F27B1D">
            <w:pPr>
              <w:rPr>
                <w:sz w:val="24"/>
                <w:szCs w:val="24"/>
              </w:rPr>
            </w:pPr>
          </w:p>
        </w:tc>
      </w:tr>
      <w:tr w:rsidR="003A3920" w:rsidRPr="00B5326E" w14:paraId="77D4A4DA" w14:textId="77777777" w:rsidTr="001D05F2">
        <w:tc>
          <w:tcPr>
            <w:tcW w:w="4630" w:type="dxa"/>
          </w:tcPr>
          <w:p w14:paraId="5C799C3F" w14:textId="77777777" w:rsidR="003A3920" w:rsidRPr="002F4AB1" w:rsidRDefault="003A3920" w:rsidP="00F27B1D">
            <w:pPr>
              <w:rPr>
                <w:sz w:val="24"/>
                <w:szCs w:val="24"/>
              </w:rPr>
            </w:pPr>
            <w:r w:rsidRPr="00B5326E">
              <w:t>Welcome back / graduation events</w:t>
            </w:r>
          </w:p>
        </w:tc>
        <w:tc>
          <w:tcPr>
            <w:tcW w:w="2991" w:type="dxa"/>
            <w:vMerge w:val="restart"/>
          </w:tcPr>
          <w:p w14:paraId="09ED8359" w14:textId="0E66AB00" w:rsidR="003A3920" w:rsidRPr="002F4AB1" w:rsidRDefault="001D05F2" w:rsidP="00F27B1D">
            <w:pPr>
              <w:rPr>
                <w:sz w:val="24"/>
                <w:szCs w:val="24"/>
              </w:rPr>
            </w:pPr>
            <w:r>
              <w:t>Access to on</w:t>
            </w:r>
            <w:r w:rsidR="003A3920" w:rsidRPr="00B5326E">
              <w:t>line Journals</w:t>
            </w:r>
          </w:p>
        </w:tc>
      </w:tr>
      <w:tr w:rsidR="003A3920" w:rsidRPr="00B5326E" w14:paraId="50EC4E9E" w14:textId="77777777" w:rsidTr="001D05F2">
        <w:tc>
          <w:tcPr>
            <w:tcW w:w="4630" w:type="dxa"/>
          </w:tcPr>
          <w:p w14:paraId="33C52FE3" w14:textId="77777777" w:rsidR="003A3920" w:rsidRPr="002F4AB1" w:rsidRDefault="003A3920" w:rsidP="00F27B1D">
            <w:pPr>
              <w:rPr>
                <w:sz w:val="24"/>
                <w:szCs w:val="24"/>
              </w:rPr>
            </w:pPr>
            <w:r w:rsidRPr="00B5326E">
              <w:t>Annual or Biennial Conference participation at no cost</w:t>
            </w:r>
          </w:p>
        </w:tc>
        <w:tc>
          <w:tcPr>
            <w:tcW w:w="2991" w:type="dxa"/>
            <w:vMerge/>
          </w:tcPr>
          <w:p w14:paraId="3BAC0298" w14:textId="77777777" w:rsidR="003A3920" w:rsidRPr="002F4AB1" w:rsidRDefault="003A3920" w:rsidP="00F27B1D">
            <w:pPr>
              <w:rPr>
                <w:sz w:val="24"/>
                <w:szCs w:val="24"/>
              </w:rPr>
            </w:pPr>
          </w:p>
        </w:tc>
      </w:tr>
      <w:tr w:rsidR="003A3920" w:rsidRPr="00B5326E" w14:paraId="4F0207B1" w14:textId="77777777" w:rsidTr="001D05F2">
        <w:tc>
          <w:tcPr>
            <w:tcW w:w="4630" w:type="dxa"/>
          </w:tcPr>
          <w:p w14:paraId="1490F598" w14:textId="77777777" w:rsidR="003A3920" w:rsidRPr="002F4AB1" w:rsidRDefault="003A3920" w:rsidP="00F27B1D">
            <w:pPr>
              <w:rPr>
                <w:sz w:val="24"/>
                <w:szCs w:val="24"/>
              </w:rPr>
            </w:pPr>
            <w:r w:rsidRPr="00B5326E">
              <w:t>Soft-skills seminars</w:t>
            </w:r>
          </w:p>
        </w:tc>
        <w:tc>
          <w:tcPr>
            <w:tcW w:w="2991" w:type="dxa"/>
            <w:vMerge/>
          </w:tcPr>
          <w:p w14:paraId="2FCFB93C" w14:textId="77777777" w:rsidR="003A3920" w:rsidRPr="002F4AB1" w:rsidRDefault="003A3920" w:rsidP="00F27B1D">
            <w:pPr>
              <w:rPr>
                <w:sz w:val="24"/>
                <w:szCs w:val="24"/>
              </w:rPr>
            </w:pPr>
          </w:p>
        </w:tc>
      </w:tr>
      <w:tr w:rsidR="003A3920" w:rsidRPr="00B5326E" w14:paraId="6C7EAE6A" w14:textId="77777777" w:rsidTr="001D05F2">
        <w:tc>
          <w:tcPr>
            <w:tcW w:w="4630" w:type="dxa"/>
          </w:tcPr>
          <w:p w14:paraId="1BEDE36D" w14:textId="77777777" w:rsidR="003A3920" w:rsidRPr="003A3920" w:rsidRDefault="003A3920" w:rsidP="00F27B1D">
            <w:pPr>
              <w:rPr>
                <w:sz w:val="24"/>
                <w:szCs w:val="24"/>
              </w:rPr>
            </w:pPr>
            <w:r w:rsidRPr="00B5326E">
              <w:t>Small grant scheme for individuals and groups</w:t>
            </w:r>
          </w:p>
        </w:tc>
        <w:tc>
          <w:tcPr>
            <w:tcW w:w="2991" w:type="dxa"/>
            <w:vMerge/>
          </w:tcPr>
          <w:p w14:paraId="2FC32567" w14:textId="77777777" w:rsidR="003A3920" w:rsidRPr="003A3920" w:rsidRDefault="003A3920" w:rsidP="00F27B1D">
            <w:pPr>
              <w:rPr>
                <w:sz w:val="24"/>
                <w:szCs w:val="24"/>
              </w:rPr>
            </w:pPr>
          </w:p>
        </w:tc>
      </w:tr>
      <w:tr w:rsidR="003A3920" w:rsidRPr="00B5326E" w14:paraId="32B60048" w14:textId="77777777" w:rsidTr="001D05F2">
        <w:tc>
          <w:tcPr>
            <w:tcW w:w="4630" w:type="dxa"/>
          </w:tcPr>
          <w:p w14:paraId="52F61C15" w14:textId="77777777" w:rsidR="003A3920" w:rsidRPr="003A3920" w:rsidRDefault="003A3920" w:rsidP="00F27B1D">
            <w:pPr>
              <w:rPr>
                <w:sz w:val="24"/>
                <w:szCs w:val="24"/>
              </w:rPr>
            </w:pPr>
            <w:r w:rsidRPr="00B5326E">
              <w:t>Podcasts, webinars, on-line forums</w:t>
            </w:r>
          </w:p>
        </w:tc>
        <w:tc>
          <w:tcPr>
            <w:tcW w:w="2991" w:type="dxa"/>
          </w:tcPr>
          <w:p w14:paraId="0976EEDB" w14:textId="77777777" w:rsidR="003A3920" w:rsidRPr="003A3920" w:rsidRDefault="003A3920" w:rsidP="00F27B1D">
            <w:pPr>
              <w:rPr>
                <w:sz w:val="24"/>
                <w:szCs w:val="24"/>
              </w:rPr>
            </w:pPr>
          </w:p>
        </w:tc>
      </w:tr>
      <w:tr w:rsidR="003A3920" w:rsidRPr="00B5326E" w14:paraId="4C81C3E0" w14:textId="77777777" w:rsidTr="001D05F2">
        <w:tc>
          <w:tcPr>
            <w:tcW w:w="4630" w:type="dxa"/>
          </w:tcPr>
          <w:p w14:paraId="0B3590E4" w14:textId="3507A97E" w:rsidR="003A3920" w:rsidRPr="003A3920" w:rsidRDefault="001D05F2" w:rsidP="00F27B1D">
            <w:pPr>
              <w:rPr>
                <w:sz w:val="24"/>
                <w:szCs w:val="24"/>
              </w:rPr>
            </w:pPr>
            <w:r>
              <w:t>On</w:t>
            </w:r>
            <w:r w:rsidR="003A3920" w:rsidRPr="00B5326E">
              <w:t>line Journals within the graduate’s discipline area</w:t>
            </w:r>
          </w:p>
        </w:tc>
        <w:tc>
          <w:tcPr>
            <w:tcW w:w="2991" w:type="dxa"/>
            <w:vMerge w:val="restart"/>
          </w:tcPr>
          <w:p w14:paraId="3B2318F8" w14:textId="77777777" w:rsidR="003A3920" w:rsidRPr="003A3920" w:rsidRDefault="003A3920" w:rsidP="00F27B1D">
            <w:pPr>
              <w:rPr>
                <w:sz w:val="24"/>
                <w:szCs w:val="24"/>
              </w:rPr>
            </w:pPr>
            <w:r w:rsidRPr="00B5326E">
              <w:t>Participation in Annual or Biennial Alumni Conference</w:t>
            </w:r>
          </w:p>
        </w:tc>
      </w:tr>
      <w:tr w:rsidR="003A3920" w:rsidRPr="00B5326E" w14:paraId="64D512EE" w14:textId="77777777" w:rsidTr="001D05F2">
        <w:tc>
          <w:tcPr>
            <w:tcW w:w="4630" w:type="dxa"/>
          </w:tcPr>
          <w:p w14:paraId="294443CA" w14:textId="77777777" w:rsidR="003A3920" w:rsidRPr="003A3920" w:rsidRDefault="003A3920" w:rsidP="00F27B1D">
            <w:pPr>
              <w:rPr>
                <w:sz w:val="24"/>
                <w:szCs w:val="24"/>
              </w:rPr>
            </w:pPr>
            <w:r w:rsidRPr="00B5326E">
              <w:t>Alumni networking events</w:t>
            </w:r>
          </w:p>
        </w:tc>
        <w:tc>
          <w:tcPr>
            <w:tcW w:w="2991" w:type="dxa"/>
            <w:vMerge/>
          </w:tcPr>
          <w:p w14:paraId="271ED4C3" w14:textId="77777777" w:rsidR="003A3920" w:rsidRPr="003A3920" w:rsidRDefault="003A3920" w:rsidP="00F27B1D">
            <w:pPr>
              <w:rPr>
                <w:sz w:val="24"/>
                <w:szCs w:val="24"/>
              </w:rPr>
            </w:pPr>
          </w:p>
        </w:tc>
      </w:tr>
      <w:tr w:rsidR="003A3920" w:rsidRPr="00B5326E" w14:paraId="5FC1C44D" w14:textId="77777777" w:rsidTr="001D05F2">
        <w:tc>
          <w:tcPr>
            <w:tcW w:w="4630" w:type="dxa"/>
          </w:tcPr>
          <w:p w14:paraId="5D442959" w14:textId="77777777" w:rsidR="003A3920" w:rsidRPr="003A3920" w:rsidRDefault="003A3920" w:rsidP="00F27B1D">
            <w:pPr>
              <w:rPr>
                <w:sz w:val="24"/>
                <w:szCs w:val="24"/>
              </w:rPr>
            </w:pPr>
            <w:r w:rsidRPr="00B5326E">
              <w:t>Tracer Study liaison</w:t>
            </w:r>
          </w:p>
        </w:tc>
        <w:tc>
          <w:tcPr>
            <w:tcW w:w="2991" w:type="dxa"/>
            <w:vMerge/>
          </w:tcPr>
          <w:p w14:paraId="7C90F2DB" w14:textId="77777777" w:rsidR="003A3920" w:rsidRPr="003A3920" w:rsidRDefault="003A3920" w:rsidP="00F27B1D">
            <w:pPr>
              <w:rPr>
                <w:sz w:val="24"/>
                <w:szCs w:val="24"/>
              </w:rPr>
            </w:pPr>
          </w:p>
        </w:tc>
      </w:tr>
      <w:tr w:rsidR="003A3920" w:rsidRPr="00B5326E" w14:paraId="58D6462A" w14:textId="77777777" w:rsidTr="001D05F2">
        <w:tc>
          <w:tcPr>
            <w:tcW w:w="4630" w:type="dxa"/>
          </w:tcPr>
          <w:p w14:paraId="2794AAD8" w14:textId="77777777" w:rsidR="003A3920" w:rsidRPr="003A3920" w:rsidRDefault="003A3920" w:rsidP="00F27B1D">
            <w:pPr>
              <w:rPr>
                <w:sz w:val="24"/>
                <w:szCs w:val="24"/>
              </w:rPr>
            </w:pPr>
            <w:r w:rsidRPr="00B5326E">
              <w:t>Alumni employer  liaison</w:t>
            </w:r>
          </w:p>
        </w:tc>
        <w:tc>
          <w:tcPr>
            <w:tcW w:w="2991" w:type="dxa"/>
            <w:vMerge/>
          </w:tcPr>
          <w:p w14:paraId="5BA15F6A" w14:textId="77777777" w:rsidR="003A3920" w:rsidRPr="003A3920" w:rsidRDefault="003A3920" w:rsidP="00F27B1D">
            <w:pPr>
              <w:rPr>
                <w:sz w:val="24"/>
                <w:szCs w:val="24"/>
              </w:rPr>
            </w:pPr>
          </w:p>
        </w:tc>
      </w:tr>
      <w:tr w:rsidR="003A3920" w:rsidRPr="00B5326E" w14:paraId="25876403" w14:textId="77777777" w:rsidTr="001D05F2">
        <w:tc>
          <w:tcPr>
            <w:tcW w:w="4630" w:type="dxa"/>
          </w:tcPr>
          <w:p w14:paraId="2F4E9F3D" w14:textId="77777777" w:rsidR="003A3920" w:rsidRPr="003A3920" w:rsidRDefault="003A3920" w:rsidP="00F27B1D">
            <w:pPr>
              <w:rPr>
                <w:sz w:val="24"/>
                <w:szCs w:val="24"/>
              </w:rPr>
            </w:pPr>
            <w:r w:rsidRPr="00B5326E">
              <w:t>Liaison with Australian Global Alumni Network</w:t>
            </w:r>
          </w:p>
        </w:tc>
        <w:tc>
          <w:tcPr>
            <w:tcW w:w="2991" w:type="dxa"/>
            <w:vMerge/>
          </w:tcPr>
          <w:p w14:paraId="025582CB" w14:textId="77777777" w:rsidR="003A3920" w:rsidRPr="003A3920" w:rsidRDefault="003A3920" w:rsidP="00F27B1D">
            <w:pPr>
              <w:rPr>
                <w:sz w:val="24"/>
                <w:szCs w:val="24"/>
              </w:rPr>
            </w:pPr>
          </w:p>
        </w:tc>
      </w:tr>
    </w:tbl>
    <w:p w14:paraId="194E78B1" w14:textId="099D754F" w:rsidR="00FD5E92" w:rsidRPr="0055083A" w:rsidRDefault="00960279" w:rsidP="00C227BA">
      <w:pPr>
        <w:pStyle w:val="Heading3"/>
        <w:spacing w:before="120"/>
        <w:rPr>
          <w:rFonts w:asciiTheme="minorHAnsi" w:hAnsiTheme="minorHAnsi"/>
          <w:i/>
          <w:color w:val="548DD4" w:themeColor="text2" w:themeTint="99"/>
          <w:sz w:val="24"/>
          <w:szCs w:val="24"/>
        </w:rPr>
      </w:pPr>
      <w:bookmarkStart w:id="10" w:name="_Toc390417023"/>
      <w:bookmarkStart w:id="11" w:name="_Toc264903560"/>
      <w:r w:rsidRPr="0055083A">
        <w:rPr>
          <w:rFonts w:asciiTheme="minorHAnsi" w:hAnsiTheme="minorHAnsi"/>
          <w:i/>
          <w:color w:val="548DD4" w:themeColor="text2" w:themeTint="99"/>
          <w:sz w:val="24"/>
          <w:szCs w:val="24"/>
        </w:rPr>
        <w:t>HRD Activity Implementation</w:t>
      </w:r>
    </w:p>
    <w:p w14:paraId="34EEF573" w14:textId="0D6013DB" w:rsidR="008F0F1F" w:rsidRPr="000D39EC" w:rsidRDefault="00960279" w:rsidP="00C227BA">
      <w:pPr>
        <w:spacing w:before="120" w:after="120"/>
        <w:rPr>
          <w:rFonts w:eastAsia="SimSun"/>
          <w:color w:val="000000" w:themeColor="text1"/>
        </w:rPr>
      </w:pPr>
      <w:r w:rsidRPr="000D39EC">
        <w:rPr>
          <w:rFonts w:eastAsia="SimSun"/>
          <w:color w:val="000000" w:themeColor="text1"/>
        </w:rPr>
        <w:t xml:space="preserve">Based on the </w:t>
      </w:r>
      <w:r w:rsidR="00D60690">
        <w:rPr>
          <w:rFonts w:eastAsia="SimSun"/>
          <w:color w:val="000000" w:themeColor="text1"/>
        </w:rPr>
        <w:t xml:space="preserve">current (2015) </w:t>
      </w:r>
      <w:r w:rsidRPr="000D39EC">
        <w:rPr>
          <w:rFonts w:eastAsia="SimSun"/>
          <w:color w:val="000000" w:themeColor="text1"/>
        </w:rPr>
        <w:t>indicative budget, aside from AAS and alumni activities, it is expected there will be limited scope for new activities in the first two years of</w:t>
      </w:r>
      <w:r w:rsidR="00D60690">
        <w:rPr>
          <w:rFonts w:eastAsia="SimSun"/>
          <w:color w:val="000000" w:themeColor="text1"/>
        </w:rPr>
        <w:t xml:space="preserve"> </w:t>
      </w:r>
      <w:r w:rsidR="001129B6">
        <w:rPr>
          <w:rFonts w:eastAsia="SimSun"/>
          <w:color w:val="000000" w:themeColor="text1"/>
        </w:rPr>
        <w:t>Program</w:t>
      </w:r>
      <w:r w:rsidRPr="000D39EC">
        <w:rPr>
          <w:rFonts w:eastAsia="SimSun"/>
          <w:color w:val="000000" w:themeColor="text1"/>
        </w:rPr>
        <w:t xml:space="preserve"> implementation. </w:t>
      </w:r>
      <w:r w:rsidR="00A92FFC" w:rsidRPr="000D39EC">
        <w:rPr>
          <w:rFonts w:eastAsia="SimSun"/>
          <w:color w:val="000000" w:themeColor="text1"/>
        </w:rPr>
        <w:t xml:space="preserve">However, this provides </w:t>
      </w:r>
      <w:r w:rsidRPr="000D39EC">
        <w:rPr>
          <w:rFonts w:eastAsia="SimSun"/>
          <w:color w:val="000000" w:themeColor="text1"/>
        </w:rPr>
        <w:t>opportunity for detailed investigation and preparation of sub programs</w:t>
      </w:r>
      <w:r w:rsidR="008F0F1F" w:rsidRPr="000D39EC">
        <w:rPr>
          <w:rFonts w:eastAsia="SimSun"/>
          <w:color w:val="000000" w:themeColor="text1"/>
        </w:rPr>
        <w:t xml:space="preserve"> and consideration of </w:t>
      </w:r>
      <w:r w:rsidR="00A92FFC" w:rsidRPr="000D39EC">
        <w:rPr>
          <w:rFonts w:eastAsia="SimSun"/>
          <w:color w:val="000000" w:themeColor="text1"/>
        </w:rPr>
        <w:t>STT</w:t>
      </w:r>
      <w:r w:rsidRPr="000D39EC">
        <w:rPr>
          <w:rFonts w:eastAsia="SimSun"/>
          <w:color w:val="000000" w:themeColor="text1"/>
        </w:rPr>
        <w:t xml:space="preserve"> </w:t>
      </w:r>
      <w:r w:rsidR="008F0F1F" w:rsidRPr="000D39EC">
        <w:rPr>
          <w:rFonts w:eastAsia="SimSun"/>
          <w:color w:val="000000" w:themeColor="text1"/>
        </w:rPr>
        <w:t xml:space="preserve">options. </w:t>
      </w:r>
    </w:p>
    <w:p w14:paraId="37EE025D" w14:textId="3D86E1A1" w:rsidR="00960279" w:rsidRPr="000D39EC" w:rsidRDefault="008F0F1F" w:rsidP="00C227BA">
      <w:pPr>
        <w:spacing w:before="120" w:after="120"/>
        <w:rPr>
          <w:rFonts w:eastAsia="SimSun"/>
          <w:color w:val="000000" w:themeColor="text1"/>
        </w:rPr>
      </w:pPr>
      <w:r w:rsidRPr="000D39EC">
        <w:rPr>
          <w:rFonts w:eastAsia="SimSun"/>
          <w:color w:val="000000" w:themeColor="text1"/>
        </w:rPr>
        <w:t xml:space="preserve">Implementation of smaller responsive ad hoc activities, involving non-formal training, seminars/workshops and short term technical assistance would proceed depending on sector program demands </w:t>
      </w:r>
      <w:r w:rsidR="00960279" w:rsidRPr="000D39EC">
        <w:rPr>
          <w:rFonts w:eastAsia="SimSun"/>
          <w:color w:val="000000" w:themeColor="text1"/>
        </w:rPr>
        <w:t xml:space="preserve">and </w:t>
      </w:r>
      <w:r w:rsidRPr="000D39EC">
        <w:rPr>
          <w:rFonts w:eastAsia="SimSun"/>
          <w:color w:val="000000" w:themeColor="text1"/>
        </w:rPr>
        <w:t>available budget</w:t>
      </w:r>
      <w:r w:rsidR="00960279" w:rsidRPr="000D39EC">
        <w:rPr>
          <w:rFonts w:eastAsia="SimSun"/>
          <w:color w:val="000000" w:themeColor="text1"/>
        </w:rPr>
        <w:t>.</w:t>
      </w:r>
    </w:p>
    <w:p w14:paraId="0A422F80" w14:textId="204D3054" w:rsidR="00A92FFC" w:rsidRPr="000D39EC" w:rsidRDefault="00A92FFC" w:rsidP="00C227BA">
      <w:pPr>
        <w:spacing w:before="120" w:after="120"/>
        <w:rPr>
          <w:rFonts w:eastAsia="SimSun"/>
          <w:color w:val="000000" w:themeColor="text1"/>
        </w:rPr>
      </w:pPr>
      <w:r w:rsidRPr="000D39EC">
        <w:rPr>
          <w:rFonts w:eastAsia="SimSun"/>
          <w:color w:val="000000" w:themeColor="text1"/>
        </w:rPr>
        <w:t xml:space="preserve">As part of the Inception Report due within 6 months of mobilisation, the Contractor will prepare an initial assessment of STT options (including priority sectors, key institutions, subject focus and potential demand) as well as a plan for investigating sub program options (including key issues, methodology, resourcing, costs and timing). </w:t>
      </w:r>
    </w:p>
    <w:p w14:paraId="7278E794" w14:textId="6FFA45EB" w:rsidR="00FD5E92" w:rsidRDefault="006C2E7A" w:rsidP="00C227BA">
      <w:pPr>
        <w:spacing w:before="120" w:after="120"/>
        <w:rPr>
          <w:rFonts w:eastAsia="SimSun"/>
          <w:color w:val="000000" w:themeColor="text1"/>
        </w:rPr>
      </w:pPr>
      <w:r w:rsidRPr="000D39EC">
        <w:rPr>
          <w:rFonts w:eastAsia="SimSun"/>
          <w:color w:val="000000" w:themeColor="text1"/>
        </w:rPr>
        <w:t>Following DFAT Hanoi acceptance of the proposed approach i</w:t>
      </w:r>
      <w:r w:rsidR="00A92FFC" w:rsidRPr="000D39EC">
        <w:rPr>
          <w:rFonts w:eastAsia="SimSun"/>
          <w:color w:val="000000" w:themeColor="text1"/>
        </w:rPr>
        <w:t xml:space="preserve">t is envisaged that </w:t>
      </w:r>
      <w:r w:rsidRPr="000D39EC">
        <w:rPr>
          <w:rFonts w:eastAsia="SimSun"/>
          <w:color w:val="000000" w:themeColor="text1"/>
        </w:rPr>
        <w:t>the Contractor</w:t>
      </w:r>
      <w:r w:rsidRPr="000D39EC">
        <w:rPr>
          <w:rStyle w:val="FootnoteReference"/>
          <w:rFonts w:eastAsia="SimSun"/>
          <w:color w:val="000000" w:themeColor="text1"/>
        </w:rPr>
        <w:footnoteReference w:id="55"/>
      </w:r>
      <w:r w:rsidRPr="000D39EC">
        <w:rPr>
          <w:rFonts w:eastAsia="SimSun"/>
          <w:color w:val="000000" w:themeColor="text1"/>
        </w:rPr>
        <w:t xml:space="preserve"> </w:t>
      </w:r>
      <w:r w:rsidR="00A92FFC" w:rsidRPr="000D39EC">
        <w:rPr>
          <w:rFonts w:eastAsia="SimSun"/>
          <w:color w:val="000000" w:themeColor="text1"/>
        </w:rPr>
        <w:t xml:space="preserve">analysis of STT options and sub program options would be completed </w:t>
      </w:r>
      <w:r w:rsidR="00D60690">
        <w:rPr>
          <w:rFonts w:eastAsia="SimSun"/>
          <w:color w:val="000000" w:themeColor="text1"/>
        </w:rPr>
        <w:t>and a R</w:t>
      </w:r>
      <w:r w:rsidRPr="000D39EC">
        <w:rPr>
          <w:rFonts w:eastAsia="SimSun"/>
          <w:color w:val="000000" w:themeColor="text1"/>
        </w:rPr>
        <w:t xml:space="preserve">eport submitted to DFAT Hanoi </w:t>
      </w:r>
      <w:r w:rsidR="00A92FFC" w:rsidRPr="000D39EC">
        <w:rPr>
          <w:rFonts w:eastAsia="SimSun"/>
          <w:color w:val="000000" w:themeColor="text1"/>
        </w:rPr>
        <w:t>by the end of 2016</w:t>
      </w:r>
      <w:r w:rsidRPr="000D39EC">
        <w:rPr>
          <w:rFonts w:eastAsia="SimSun"/>
          <w:color w:val="000000" w:themeColor="text1"/>
        </w:rPr>
        <w:t xml:space="preserve">. </w:t>
      </w:r>
      <w:r w:rsidR="00D60690">
        <w:rPr>
          <w:rFonts w:eastAsia="SimSun"/>
          <w:color w:val="000000" w:themeColor="text1"/>
        </w:rPr>
        <w:t>This</w:t>
      </w:r>
      <w:r w:rsidRPr="000D39EC">
        <w:rPr>
          <w:rFonts w:eastAsia="SimSun"/>
          <w:color w:val="000000" w:themeColor="text1"/>
        </w:rPr>
        <w:t xml:space="preserve"> represents a “stop-go’ point and </w:t>
      </w:r>
      <w:r w:rsidR="00D60690">
        <w:rPr>
          <w:rFonts w:eastAsia="SimSun"/>
          <w:color w:val="000000" w:themeColor="text1"/>
        </w:rPr>
        <w:t>the Report sh</w:t>
      </w:r>
      <w:r w:rsidRPr="000D39EC">
        <w:rPr>
          <w:rFonts w:eastAsia="SimSun"/>
          <w:color w:val="000000" w:themeColor="text1"/>
        </w:rPr>
        <w:t>ould include a recommendation to</w:t>
      </w:r>
      <w:r w:rsidR="00D60690">
        <w:rPr>
          <w:rFonts w:eastAsia="SimSun"/>
          <w:color w:val="000000" w:themeColor="text1"/>
        </w:rPr>
        <w:t xml:space="preserve"> DFAT Hanoi to</w:t>
      </w:r>
      <w:r w:rsidRPr="000D39EC">
        <w:rPr>
          <w:rFonts w:eastAsia="SimSun"/>
          <w:color w:val="000000" w:themeColor="text1"/>
        </w:rPr>
        <w:t xml:space="preserve"> proceed</w:t>
      </w:r>
      <w:r w:rsidR="00D60690">
        <w:rPr>
          <w:rFonts w:eastAsia="SimSun"/>
          <w:color w:val="000000" w:themeColor="text1"/>
        </w:rPr>
        <w:t xml:space="preserve"> (or not)</w:t>
      </w:r>
      <w:r w:rsidRPr="000D39EC">
        <w:rPr>
          <w:rFonts w:eastAsia="SimSun"/>
          <w:color w:val="000000" w:themeColor="text1"/>
        </w:rPr>
        <w:t xml:space="preserve"> with the design of one or more STT courses and sub programs. Subject to DFAT Hanoi approval of budget and timing, the Contractor would proceed to design</w:t>
      </w:r>
      <w:r w:rsidR="00D60690">
        <w:rPr>
          <w:rFonts w:eastAsia="SimSun"/>
          <w:color w:val="000000" w:themeColor="text1"/>
        </w:rPr>
        <w:t xml:space="preserve"> the agreed programs.</w:t>
      </w:r>
    </w:p>
    <w:p w14:paraId="4C43D830" w14:textId="77777777" w:rsidR="00F27B1D" w:rsidRPr="008F0F1F" w:rsidRDefault="00F27B1D" w:rsidP="00C227BA">
      <w:pPr>
        <w:spacing w:before="120" w:after="120"/>
        <w:rPr>
          <w:rFonts w:eastAsia="SimSun"/>
          <w:color w:val="000000" w:themeColor="text1"/>
        </w:rPr>
      </w:pPr>
    </w:p>
    <w:p w14:paraId="447BA18F" w14:textId="21B9A638" w:rsidR="003B722E" w:rsidRPr="00B5326E" w:rsidRDefault="00EF4549" w:rsidP="00C227BA">
      <w:pPr>
        <w:pStyle w:val="Heading2"/>
        <w:spacing w:before="120"/>
        <w:rPr>
          <w:rFonts w:asciiTheme="minorHAnsi" w:hAnsiTheme="minorHAnsi"/>
          <w:i w:val="0"/>
          <w:color w:val="548DD4" w:themeColor="text2" w:themeTint="99"/>
          <w:szCs w:val="24"/>
        </w:rPr>
      </w:pPr>
      <w:r w:rsidRPr="00B5326E">
        <w:rPr>
          <w:rFonts w:asciiTheme="minorHAnsi" w:hAnsiTheme="minorHAnsi"/>
          <w:i w:val="0"/>
          <w:color w:val="548DD4" w:themeColor="text2" w:themeTint="99"/>
          <w:szCs w:val="24"/>
        </w:rPr>
        <w:t xml:space="preserve">Monitoring and Evaluation </w:t>
      </w:r>
    </w:p>
    <w:p w14:paraId="2B5E5E80" w14:textId="08B01232" w:rsidR="00EF4549" w:rsidRPr="00F27B1D" w:rsidRDefault="00EF4549" w:rsidP="00C227BA">
      <w:pPr>
        <w:pStyle w:val="Heading3"/>
        <w:spacing w:before="120"/>
        <w:rPr>
          <w:rFonts w:asciiTheme="minorHAnsi" w:hAnsiTheme="minorHAnsi"/>
          <w:i/>
          <w:color w:val="548DD4" w:themeColor="text2" w:themeTint="99"/>
          <w:sz w:val="24"/>
          <w:szCs w:val="24"/>
        </w:rPr>
      </w:pPr>
      <w:r w:rsidRPr="00F27B1D">
        <w:rPr>
          <w:rFonts w:asciiTheme="minorHAnsi" w:hAnsiTheme="minorHAnsi"/>
          <w:i/>
          <w:color w:val="548DD4" w:themeColor="text2" w:themeTint="99"/>
          <w:sz w:val="24"/>
          <w:szCs w:val="24"/>
        </w:rPr>
        <w:t>M&amp;E Overview</w:t>
      </w:r>
    </w:p>
    <w:p w14:paraId="6379022C" w14:textId="57DED428" w:rsidR="00EF4549" w:rsidRPr="00EA76FF" w:rsidRDefault="002D584F" w:rsidP="00C227BA">
      <w:pPr>
        <w:spacing w:before="120" w:after="120"/>
      </w:pPr>
      <w:r w:rsidRPr="00B5326E">
        <w:t>M</w:t>
      </w:r>
      <w:r w:rsidR="00EF4549" w:rsidRPr="00B5326E">
        <w:t xml:space="preserve">onitoring and evaluation </w:t>
      </w:r>
      <w:r w:rsidRPr="00B5326E">
        <w:t xml:space="preserve">(M&amp;E) </w:t>
      </w:r>
      <w:r w:rsidR="00EF4549" w:rsidRPr="00B5326E">
        <w:t>provides information required for DFAT, contractors and stakeholders to make day-to-day and strategic management decisions</w:t>
      </w:r>
      <w:r w:rsidRPr="00B5326E">
        <w:t xml:space="preserve">; </w:t>
      </w:r>
      <w:r w:rsidR="00EF4549" w:rsidRPr="00B5326E">
        <w:t>supports accountability</w:t>
      </w:r>
      <w:r w:rsidRPr="00B5326E">
        <w:t>; and</w:t>
      </w:r>
      <w:r w:rsidR="00EF4549" w:rsidRPr="00B5326E">
        <w:t xml:space="preserve"> enables program stakeholders to learn from the program and apply that learning to other relevant investments</w:t>
      </w:r>
      <w:r w:rsidRPr="003B74ED">
        <w:rPr>
          <w:rStyle w:val="FootnoteReference"/>
        </w:rPr>
        <w:footnoteReference w:id="56"/>
      </w:r>
      <w:r w:rsidRPr="003B74ED">
        <w:rPr>
          <w:rFonts w:ascii="Arial" w:hAnsi="Arial" w:cs="Arial"/>
        </w:rPr>
        <w:t>.</w:t>
      </w:r>
    </w:p>
    <w:p w14:paraId="46E2FCC2" w14:textId="2DDDBD51" w:rsidR="00EF4549" w:rsidRPr="00FA40AE" w:rsidRDefault="002D584F" w:rsidP="00C227BA">
      <w:pPr>
        <w:spacing w:before="120" w:after="120"/>
      </w:pPr>
      <w:r w:rsidRPr="00314297">
        <w:t>M&amp;E</w:t>
      </w:r>
      <w:r w:rsidR="00EF4549" w:rsidRPr="00B42B3E">
        <w:t xml:space="preserve"> </w:t>
      </w:r>
      <w:r w:rsidR="003853A6" w:rsidRPr="008C2305">
        <w:t xml:space="preserve">for the 2016-20 HRD program will </w:t>
      </w:r>
      <w:r w:rsidR="00EF4549" w:rsidRPr="001A0CDA">
        <w:t xml:space="preserve">build on </w:t>
      </w:r>
      <w:r w:rsidR="003853A6" w:rsidRPr="001A0CDA">
        <w:t>th</w:t>
      </w:r>
      <w:r w:rsidR="003853A6" w:rsidRPr="004E1408">
        <w:t>e</w:t>
      </w:r>
      <w:r w:rsidR="00EF4549" w:rsidRPr="004E1408">
        <w:t xml:space="preserve"> </w:t>
      </w:r>
      <w:r w:rsidR="00366E2C" w:rsidRPr="003D5F5E">
        <w:t xml:space="preserve">disaggregated </w:t>
      </w:r>
      <w:r w:rsidR="00EF4549" w:rsidRPr="003D5F5E">
        <w:t>b</w:t>
      </w:r>
      <w:r w:rsidR="00EF4549" w:rsidRPr="004E1408">
        <w:t xml:space="preserve">aseline data available from the current </w:t>
      </w:r>
      <w:r w:rsidR="003853A6" w:rsidRPr="007A6D7C">
        <w:t>C</w:t>
      </w:r>
      <w:r w:rsidR="00EF4549" w:rsidRPr="00D9325F">
        <w:t xml:space="preserve">ontractor’s records, and subsequently, from the </w:t>
      </w:r>
      <w:r w:rsidR="00FF53B5" w:rsidRPr="00E27B90">
        <w:t>regularly updated</w:t>
      </w:r>
      <w:r w:rsidR="00EF4549" w:rsidRPr="00B379A4">
        <w:t xml:space="preserve"> MIS. In summary, the delivery of the M&amp;E within t</w:t>
      </w:r>
      <w:r w:rsidR="00EF4549" w:rsidRPr="00FA40AE">
        <w:t>he program will require the following platforms:</w:t>
      </w:r>
    </w:p>
    <w:p w14:paraId="0D0777CB" w14:textId="77777777" w:rsidR="00EF4549" w:rsidRPr="00FA40AE" w:rsidRDefault="00EF4549" w:rsidP="00C227BA">
      <w:pPr>
        <w:pStyle w:val="ListParagraph"/>
        <w:numPr>
          <w:ilvl w:val="0"/>
          <w:numId w:val="4"/>
        </w:numPr>
        <w:spacing w:line="240" w:lineRule="auto"/>
        <w:contextualSpacing w:val="0"/>
        <w:rPr>
          <w:rFonts w:asciiTheme="minorHAnsi" w:hAnsiTheme="minorHAnsi"/>
          <w:sz w:val="24"/>
          <w:szCs w:val="24"/>
          <w:lang w:val="en-AU"/>
        </w:rPr>
      </w:pPr>
      <w:r w:rsidRPr="00FA40AE">
        <w:rPr>
          <w:rFonts w:asciiTheme="minorHAnsi" w:hAnsiTheme="minorHAnsi"/>
          <w:sz w:val="24"/>
          <w:szCs w:val="24"/>
          <w:lang w:val="en-AU"/>
        </w:rPr>
        <w:t>the theory of change which links and justifies program assumptions, inputs and outputs against the program outcomes and goal;</w:t>
      </w:r>
    </w:p>
    <w:p w14:paraId="728B6E00" w14:textId="2C8E57D5" w:rsidR="00EF4549" w:rsidRPr="00FE136A" w:rsidRDefault="00EF4549" w:rsidP="00C227BA">
      <w:pPr>
        <w:pStyle w:val="ListParagraph"/>
        <w:numPr>
          <w:ilvl w:val="0"/>
          <w:numId w:val="4"/>
        </w:numPr>
        <w:spacing w:line="240" w:lineRule="auto"/>
        <w:contextualSpacing w:val="0"/>
        <w:rPr>
          <w:rFonts w:asciiTheme="minorHAnsi" w:hAnsiTheme="minorHAnsi"/>
          <w:sz w:val="24"/>
          <w:szCs w:val="24"/>
          <w:lang w:val="en-AU"/>
        </w:rPr>
      </w:pPr>
      <w:r w:rsidRPr="00F4554A">
        <w:rPr>
          <w:rFonts w:asciiTheme="minorHAnsi" w:hAnsiTheme="minorHAnsi"/>
          <w:sz w:val="24"/>
          <w:szCs w:val="24"/>
          <w:lang w:val="en-AU"/>
        </w:rPr>
        <w:t>the Monitoring and Evaluation Framework (MEF)</w:t>
      </w:r>
      <w:r w:rsidR="00303C7A" w:rsidRPr="00F4554A">
        <w:rPr>
          <w:rFonts w:asciiTheme="minorHAnsi" w:hAnsiTheme="minorHAnsi"/>
          <w:sz w:val="24"/>
          <w:szCs w:val="24"/>
          <w:lang w:val="en-AU"/>
        </w:rPr>
        <w:t xml:space="preserve">, </w:t>
      </w:r>
      <w:r w:rsidR="00303C7A" w:rsidRPr="00B31B3E">
        <w:rPr>
          <w:rFonts w:asciiTheme="minorHAnsi" w:hAnsiTheme="minorHAnsi"/>
          <w:sz w:val="24"/>
          <w:lang w:val="en-AU"/>
        </w:rPr>
        <w:t xml:space="preserve">Annex </w:t>
      </w:r>
      <w:r w:rsidR="003D5F5E">
        <w:rPr>
          <w:rFonts w:asciiTheme="minorHAnsi" w:hAnsiTheme="minorHAnsi"/>
          <w:sz w:val="24"/>
          <w:lang w:val="en-AU"/>
        </w:rPr>
        <w:t>10</w:t>
      </w:r>
      <w:r w:rsidR="00DA0A2D" w:rsidRPr="00F233A7">
        <w:rPr>
          <w:rFonts w:asciiTheme="minorHAnsi" w:hAnsiTheme="minorHAnsi"/>
          <w:sz w:val="24"/>
          <w:lang w:val="en-AU"/>
        </w:rPr>
        <w:t>,</w:t>
      </w:r>
      <w:r w:rsidRPr="004744D3">
        <w:rPr>
          <w:rFonts w:asciiTheme="minorHAnsi" w:hAnsiTheme="minorHAnsi"/>
          <w:sz w:val="24"/>
          <w:szCs w:val="24"/>
          <w:lang w:val="en-AU"/>
        </w:rPr>
        <w:t xml:space="preserve"> which specifies output an</w:t>
      </w:r>
      <w:r w:rsidRPr="00AF245E">
        <w:rPr>
          <w:rFonts w:asciiTheme="minorHAnsi" w:hAnsiTheme="minorHAnsi"/>
          <w:sz w:val="24"/>
          <w:szCs w:val="24"/>
          <w:lang w:val="en-AU"/>
        </w:rPr>
        <w:t>d outcome performance indicators</w:t>
      </w:r>
      <w:r w:rsidR="00C40EA7" w:rsidRPr="00816AF1">
        <w:rPr>
          <w:rFonts w:asciiTheme="minorHAnsi" w:hAnsiTheme="minorHAnsi"/>
          <w:sz w:val="24"/>
          <w:szCs w:val="24"/>
          <w:lang w:val="en-AU"/>
        </w:rPr>
        <w:t>, baselines,</w:t>
      </w:r>
      <w:r w:rsidRPr="00816AF1">
        <w:rPr>
          <w:rFonts w:asciiTheme="minorHAnsi" w:hAnsiTheme="minorHAnsi"/>
          <w:sz w:val="24"/>
          <w:szCs w:val="24"/>
          <w:lang w:val="en-AU"/>
        </w:rPr>
        <w:t xml:space="preserve"> and </w:t>
      </w:r>
      <w:r w:rsidR="00C40EA7" w:rsidRPr="00816AF1">
        <w:rPr>
          <w:rFonts w:asciiTheme="minorHAnsi" w:hAnsiTheme="minorHAnsi"/>
          <w:sz w:val="24"/>
          <w:szCs w:val="24"/>
          <w:lang w:val="en-AU"/>
        </w:rPr>
        <w:t xml:space="preserve">sources </w:t>
      </w:r>
      <w:r w:rsidRPr="00FE136A">
        <w:rPr>
          <w:rFonts w:asciiTheme="minorHAnsi" w:hAnsiTheme="minorHAnsi"/>
          <w:sz w:val="24"/>
          <w:szCs w:val="24"/>
          <w:lang w:val="en-AU"/>
        </w:rPr>
        <w:t>of verification in draft form, for furthe</w:t>
      </w:r>
      <w:r w:rsidR="003D5F5E">
        <w:rPr>
          <w:rFonts w:asciiTheme="minorHAnsi" w:hAnsiTheme="minorHAnsi"/>
          <w:sz w:val="24"/>
          <w:szCs w:val="24"/>
          <w:lang w:val="en-AU"/>
        </w:rPr>
        <w:t>r development by the contractor</w:t>
      </w:r>
      <w:r w:rsidRPr="00FE136A">
        <w:rPr>
          <w:rFonts w:asciiTheme="minorHAnsi" w:hAnsiTheme="minorHAnsi"/>
          <w:sz w:val="24"/>
          <w:szCs w:val="24"/>
          <w:lang w:val="en-AU"/>
        </w:rPr>
        <w:t>;</w:t>
      </w:r>
    </w:p>
    <w:p w14:paraId="6A07EC3C" w14:textId="3E1AEC46" w:rsidR="00EF4549" w:rsidRPr="005C0E3B" w:rsidRDefault="00EF4549" w:rsidP="00C227BA">
      <w:pPr>
        <w:pStyle w:val="ListParagraph"/>
        <w:numPr>
          <w:ilvl w:val="0"/>
          <w:numId w:val="4"/>
        </w:numPr>
        <w:spacing w:line="240" w:lineRule="auto"/>
        <w:contextualSpacing w:val="0"/>
        <w:rPr>
          <w:rFonts w:asciiTheme="minorHAnsi" w:hAnsiTheme="minorHAnsi"/>
          <w:sz w:val="24"/>
          <w:szCs w:val="24"/>
          <w:lang w:val="en-AU"/>
        </w:rPr>
      </w:pPr>
      <w:r w:rsidRPr="005C0E3B">
        <w:rPr>
          <w:rFonts w:asciiTheme="minorHAnsi" w:hAnsiTheme="minorHAnsi"/>
          <w:sz w:val="24"/>
          <w:szCs w:val="24"/>
          <w:lang w:val="en-AU"/>
        </w:rPr>
        <w:t>approaches to measuring program implementation effectiveness at a range of levels, presented in the design as a series of process-ordered questions, with indicators and data sources proposed</w:t>
      </w:r>
      <w:r w:rsidR="001D05F2">
        <w:rPr>
          <w:rFonts w:asciiTheme="minorHAnsi" w:hAnsiTheme="minorHAnsi"/>
          <w:sz w:val="24"/>
          <w:szCs w:val="24"/>
          <w:lang w:val="en-AU"/>
        </w:rPr>
        <w:t>;</w:t>
      </w:r>
    </w:p>
    <w:p w14:paraId="4CFEABEA" w14:textId="22DAB8B8" w:rsidR="00EF4549" w:rsidRPr="00B5326E" w:rsidRDefault="00EF4549" w:rsidP="00C227BA">
      <w:pPr>
        <w:pStyle w:val="ListParagraph"/>
        <w:numPr>
          <w:ilvl w:val="0"/>
          <w:numId w:val="4"/>
        </w:numPr>
        <w:spacing w:line="240" w:lineRule="auto"/>
        <w:contextualSpacing w:val="0"/>
        <w:rPr>
          <w:rFonts w:asciiTheme="minorHAnsi" w:hAnsiTheme="minorHAnsi"/>
          <w:sz w:val="24"/>
          <w:szCs w:val="24"/>
          <w:lang w:val="en-AU"/>
        </w:rPr>
      </w:pPr>
      <w:r w:rsidRPr="00FA5F0F">
        <w:rPr>
          <w:rFonts w:asciiTheme="minorHAnsi" w:hAnsiTheme="minorHAnsi"/>
          <w:sz w:val="24"/>
          <w:szCs w:val="24"/>
          <w:lang w:val="en-AU"/>
        </w:rPr>
        <w:t xml:space="preserve">a Management Information System </w:t>
      </w:r>
      <w:r w:rsidR="00DA1AB3" w:rsidRPr="00FA5F0F">
        <w:rPr>
          <w:rFonts w:asciiTheme="minorHAnsi" w:hAnsiTheme="minorHAnsi"/>
          <w:sz w:val="24"/>
          <w:szCs w:val="24"/>
          <w:lang w:val="en-AU"/>
        </w:rPr>
        <w:t xml:space="preserve">(MIS) </w:t>
      </w:r>
      <w:r w:rsidRPr="00B5326E">
        <w:rPr>
          <w:rFonts w:asciiTheme="minorHAnsi" w:hAnsiTheme="minorHAnsi"/>
          <w:sz w:val="24"/>
          <w:szCs w:val="24"/>
          <w:lang w:val="en-AU"/>
        </w:rPr>
        <w:t>which supports delivery of the Australia Award</w:t>
      </w:r>
      <w:r w:rsidR="001D05F2">
        <w:rPr>
          <w:rFonts w:asciiTheme="minorHAnsi" w:hAnsiTheme="minorHAnsi"/>
          <w:sz w:val="24"/>
          <w:szCs w:val="24"/>
          <w:lang w:val="en-AU"/>
        </w:rPr>
        <w:t>s</w:t>
      </w:r>
      <w:r w:rsidRPr="00B5326E">
        <w:rPr>
          <w:rFonts w:asciiTheme="minorHAnsi" w:hAnsiTheme="minorHAnsi"/>
          <w:sz w:val="24"/>
          <w:szCs w:val="24"/>
          <w:lang w:val="en-AU"/>
        </w:rPr>
        <w:t xml:space="preserve"> modalities, </w:t>
      </w:r>
      <w:r w:rsidR="003069D3" w:rsidRPr="00B5326E">
        <w:rPr>
          <w:rFonts w:asciiTheme="minorHAnsi" w:hAnsiTheme="minorHAnsi"/>
          <w:sz w:val="24"/>
          <w:szCs w:val="24"/>
          <w:lang w:val="en-AU"/>
        </w:rPr>
        <w:t>sub programs</w:t>
      </w:r>
      <w:r w:rsidRPr="00B5326E">
        <w:rPr>
          <w:rFonts w:asciiTheme="minorHAnsi" w:hAnsiTheme="minorHAnsi"/>
          <w:sz w:val="24"/>
          <w:szCs w:val="24"/>
          <w:lang w:val="en-AU"/>
        </w:rPr>
        <w:t xml:space="preserve">, </w:t>
      </w:r>
      <w:r w:rsidR="003069D3" w:rsidRPr="00B5326E">
        <w:rPr>
          <w:rFonts w:asciiTheme="minorHAnsi" w:hAnsiTheme="minorHAnsi"/>
          <w:sz w:val="24"/>
          <w:szCs w:val="24"/>
          <w:lang w:val="en-AU"/>
        </w:rPr>
        <w:t xml:space="preserve">responsive HRD support, and </w:t>
      </w:r>
      <w:r w:rsidRPr="00B5326E">
        <w:rPr>
          <w:rFonts w:asciiTheme="minorHAnsi" w:hAnsiTheme="minorHAnsi"/>
          <w:sz w:val="24"/>
          <w:szCs w:val="24"/>
          <w:lang w:val="en-AU"/>
        </w:rPr>
        <w:t>the women’s leadership program, providing standard management records</w:t>
      </w:r>
      <w:r w:rsidR="003069D3" w:rsidRPr="00B5326E">
        <w:rPr>
          <w:rFonts w:asciiTheme="minorHAnsi" w:hAnsiTheme="minorHAnsi"/>
          <w:sz w:val="24"/>
          <w:szCs w:val="24"/>
          <w:lang w:val="en-AU"/>
        </w:rPr>
        <w:t xml:space="preserve"> and</w:t>
      </w:r>
      <w:r w:rsidRPr="00B5326E">
        <w:rPr>
          <w:rFonts w:asciiTheme="minorHAnsi" w:hAnsiTheme="minorHAnsi"/>
          <w:sz w:val="24"/>
          <w:szCs w:val="24"/>
          <w:lang w:val="en-AU"/>
        </w:rPr>
        <w:t xml:space="preserve"> indicators</w:t>
      </w:r>
      <w:r w:rsidR="001D05F2">
        <w:rPr>
          <w:rFonts w:asciiTheme="minorHAnsi" w:hAnsiTheme="minorHAnsi"/>
          <w:sz w:val="24"/>
          <w:szCs w:val="24"/>
          <w:lang w:val="en-AU"/>
        </w:rPr>
        <w:t>;</w:t>
      </w:r>
    </w:p>
    <w:p w14:paraId="6115FBFC" w14:textId="1220EE38" w:rsidR="00EF4549" w:rsidRPr="00B5326E" w:rsidRDefault="00EF4549" w:rsidP="00C227BA">
      <w:pPr>
        <w:pStyle w:val="ListParagraph"/>
        <w:numPr>
          <w:ilvl w:val="0"/>
          <w:numId w:val="4"/>
        </w:numPr>
        <w:spacing w:line="240" w:lineRule="auto"/>
        <w:contextualSpacing w:val="0"/>
        <w:rPr>
          <w:rFonts w:asciiTheme="minorHAnsi" w:hAnsiTheme="minorHAnsi"/>
          <w:sz w:val="24"/>
          <w:szCs w:val="24"/>
          <w:lang w:val="en-AU"/>
        </w:rPr>
      </w:pPr>
      <w:proofErr w:type="gramStart"/>
      <w:r w:rsidRPr="00B5326E">
        <w:rPr>
          <w:rFonts w:asciiTheme="minorHAnsi" w:hAnsiTheme="minorHAnsi"/>
          <w:sz w:val="24"/>
          <w:szCs w:val="24"/>
          <w:lang w:val="en-AU"/>
        </w:rPr>
        <w:t>a</w:t>
      </w:r>
      <w:proofErr w:type="gramEnd"/>
      <w:r w:rsidRPr="00B5326E">
        <w:rPr>
          <w:rFonts w:asciiTheme="minorHAnsi" w:hAnsiTheme="minorHAnsi"/>
          <w:sz w:val="24"/>
          <w:szCs w:val="24"/>
          <w:lang w:val="en-AU"/>
        </w:rPr>
        <w:t xml:space="preserve"> reporting framework which ensures that all reports necessary for management and accountability purposes are prepared and available to DFAT, clients and stakeholders.</w:t>
      </w:r>
    </w:p>
    <w:p w14:paraId="2370D36E" w14:textId="31887AAF" w:rsidR="00EF4549" w:rsidRPr="00B5326E" w:rsidRDefault="00EF4549" w:rsidP="00C227BA">
      <w:pPr>
        <w:spacing w:before="120" w:after="120"/>
      </w:pPr>
      <w:r w:rsidRPr="00B5326E">
        <w:t xml:space="preserve">Combined, these platforms provide the contractor and DFAT with: </w:t>
      </w:r>
    </w:p>
    <w:p w14:paraId="3A6BF77B" w14:textId="77777777" w:rsidR="00EF4549" w:rsidRPr="00B5326E" w:rsidRDefault="00EF4549" w:rsidP="00C227BA">
      <w:pPr>
        <w:pStyle w:val="ListParagraph"/>
        <w:numPr>
          <w:ilvl w:val="0"/>
          <w:numId w:val="4"/>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 xml:space="preserve">evidence in relation to outputs and outcomes, and encourage the consideration of whether the logical framework is robust and fit for purpose; </w:t>
      </w:r>
    </w:p>
    <w:p w14:paraId="214E890D" w14:textId="73425B03" w:rsidR="006B3834" w:rsidRPr="00B5326E" w:rsidRDefault="006B3834" w:rsidP="00C227BA">
      <w:pPr>
        <w:pStyle w:val="ListParagraph"/>
        <w:numPr>
          <w:ilvl w:val="0"/>
          <w:numId w:val="4"/>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insights into any divergent outcomes between male and female alumni, and Equity of Access alumni;</w:t>
      </w:r>
    </w:p>
    <w:p w14:paraId="5B01FF53" w14:textId="144739EA" w:rsidR="00EF4549" w:rsidRPr="00B5326E" w:rsidRDefault="00EF4549" w:rsidP="00C227BA">
      <w:pPr>
        <w:pStyle w:val="ListParagraph"/>
        <w:numPr>
          <w:ilvl w:val="0"/>
          <w:numId w:val="4"/>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 xml:space="preserve">a </w:t>
      </w:r>
      <w:r w:rsidR="003069D3" w:rsidRPr="00B5326E">
        <w:rPr>
          <w:rFonts w:asciiTheme="minorHAnsi" w:hAnsiTheme="minorHAnsi"/>
          <w:sz w:val="24"/>
          <w:szCs w:val="24"/>
          <w:lang w:val="en-AU"/>
        </w:rPr>
        <w:t xml:space="preserve">comprehensive approach and </w:t>
      </w:r>
      <w:r w:rsidRPr="00B5326E">
        <w:rPr>
          <w:rFonts w:asciiTheme="minorHAnsi" w:hAnsiTheme="minorHAnsi"/>
          <w:sz w:val="24"/>
          <w:szCs w:val="24"/>
          <w:lang w:val="en-AU"/>
        </w:rPr>
        <w:t xml:space="preserve">technical basis for consistent monitoring and reporting; </w:t>
      </w:r>
    </w:p>
    <w:p w14:paraId="66961535" w14:textId="77777777" w:rsidR="00EF4549" w:rsidRPr="00B5326E" w:rsidRDefault="00EF4549" w:rsidP="00C227BA">
      <w:pPr>
        <w:pStyle w:val="ListParagraph"/>
        <w:numPr>
          <w:ilvl w:val="0"/>
          <w:numId w:val="4"/>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the mechanisms to use IT effectively to promote efficiencies in data entry, management and analysis; and</w:t>
      </w:r>
    </w:p>
    <w:p w14:paraId="0FC9F50E" w14:textId="1C1081D7" w:rsidR="00D756E3" w:rsidRPr="00B5326E" w:rsidRDefault="00DA1AB3" w:rsidP="00C227BA">
      <w:pPr>
        <w:pStyle w:val="ListParagraph"/>
        <w:numPr>
          <w:ilvl w:val="0"/>
          <w:numId w:val="4"/>
        </w:numPr>
        <w:spacing w:line="240" w:lineRule="auto"/>
        <w:contextualSpacing w:val="0"/>
        <w:rPr>
          <w:rFonts w:asciiTheme="minorHAnsi" w:hAnsiTheme="minorHAnsi"/>
          <w:sz w:val="24"/>
          <w:szCs w:val="24"/>
          <w:lang w:val="en-AU"/>
        </w:rPr>
      </w:pPr>
      <w:proofErr w:type="gramStart"/>
      <w:r w:rsidRPr="00B5326E">
        <w:rPr>
          <w:rFonts w:asciiTheme="minorHAnsi" w:hAnsiTheme="minorHAnsi"/>
          <w:sz w:val="24"/>
          <w:szCs w:val="24"/>
          <w:lang w:val="en-AU"/>
        </w:rPr>
        <w:t>timely</w:t>
      </w:r>
      <w:proofErr w:type="gramEnd"/>
      <w:r w:rsidRPr="00B5326E">
        <w:rPr>
          <w:rFonts w:asciiTheme="minorHAnsi" w:hAnsiTheme="minorHAnsi"/>
          <w:sz w:val="24"/>
          <w:szCs w:val="24"/>
          <w:lang w:val="en-AU"/>
        </w:rPr>
        <w:t xml:space="preserve"> and </w:t>
      </w:r>
      <w:r w:rsidR="00EF4549" w:rsidRPr="00B5326E">
        <w:rPr>
          <w:rFonts w:asciiTheme="minorHAnsi" w:hAnsiTheme="minorHAnsi"/>
          <w:sz w:val="24"/>
          <w:szCs w:val="24"/>
          <w:lang w:val="en-AU"/>
        </w:rPr>
        <w:t>quality reports for DFAT to monitor progress, and for partners and stakeholders to ensure their contributions are acknowledged and valued.</w:t>
      </w:r>
    </w:p>
    <w:p w14:paraId="3085F26F" w14:textId="39E67686" w:rsidR="001A1F30" w:rsidRPr="00B5326E" w:rsidRDefault="003069D3" w:rsidP="00C227BA">
      <w:pPr>
        <w:spacing w:before="120" w:after="120"/>
      </w:pPr>
      <w:r w:rsidRPr="00B5326E">
        <w:t xml:space="preserve">The M&amp;E requirements of the </w:t>
      </w:r>
      <w:r w:rsidR="001129B6">
        <w:t>Program</w:t>
      </w:r>
      <w:r w:rsidRPr="00B5326E">
        <w:t xml:space="preserve"> are broader than in the past</w:t>
      </w:r>
      <w:r w:rsidR="001A1F30" w:rsidRPr="00B5326E">
        <w:t xml:space="preserve"> </w:t>
      </w:r>
      <w:r w:rsidRPr="00B5326E">
        <w:t>and will likely require additional</w:t>
      </w:r>
      <w:r w:rsidR="0033649F" w:rsidRPr="00B5326E">
        <w:t xml:space="preserve">/ dedicated local </w:t>
      </w:r>
      <w:r w:rsidRPr="00B5326E">
        <w:t xml:space="preserve">staff inputs. </w:t>
      </w:r>
    </w:p>
    <w:p w14:paraId="757F40C3" w14:textId="5E4D0DEB" w:rsidR="001A1F30" w:rsidRPr="00B5326E" w:rsidRDefault="001A1F30" w:rsidP="00C227BA">
      <w:pPr>
        <w:spacing w:before="120" w:after="120"/>
      </w:pPr>
      <w:r w:rsidRPr="00B5326E">
        <w:t>Reporting by the contractor will focus on data analysis and program impacts</w:t>
      </w:r>
      <w:r w:rsidR="00562E51" w:rsidRPr="00B5326E">
        <w:t xml:space="preserve"> in accord with DFAT requirements</w:t>
      </w:r>
      <w:r w:rsidRPr="00B5326E">
        <w:t xml:space="preserve"> although numerical reports will continue to be </w:t>
      </w:r>
      <w:r w:rsidR="00562E51" w:rsidRPr="00B5326E">
        <w:t xml:space="preserve">available </w:t>
      </w:r>
      <w:r w:rsidRPr="00B5326E">
        <w:t xml:space="preserve">in a summary and user-friendly format. </w:t>
      </w:r>
    </w:p>
    <w:p w14:paraId="35706B1F" w14:textId="06152A49" w:rsidR="00EF4549" w:rsidRPr="00F27B1D" w:rsidRDefault="00EF4549" w:rsidP="00C227BA">
      <w:pPr>
        <w:pStyle w:val="Heading3"/>
        <w:spacing w:before="120"/>
        <w:rPr>
          <w:rFonts w:asciiTheme="minorHAnsi" w:hAnsiTheme="minorHAnsi"/>
          <w:i/>
          <w:color w:val="548DD4" w:themeColor="text2" w:themeTint="99"/>
          <w:sz w:val="24"/>
          <w:szCs w:val="24"/>
        </w:rPr>
      </w:pPr>
      <w:r w:rsidRPr="00F27B1D">
        <w:rPr>
          <w:rFonts w:asciiTheme="minorHAnsi" w:hAnsiTheme="minorHAnsi"/>
          <w:i/>
          <w:color w:val="548DD4" w:themeColor="text2" w:themeTint="99"/>
          <w:sz w:val="24"/>
          <w:szCs w:val="24"/>
        </w:rPr>
        <w:t>Australia Awards – Scholarships</w:t>
      </w:r>
      <w:r w:rsidR="006478E0" w:rsidRPr="00F27B1D">
        <w:rPr>
          <w:rFonts w:asciiTheme="minorHAnsi" w:hAnsiTheme="minorHAnsi"/>
          <w:i/>
          <w:color w:val="548DD4" w:themeColor="text2" w:themeTint="99"/>
          <w:sz w:val="24"/>
          <w:szCs w:val="24"/>
        </w:rPr>
        <w:t>/</w:t>
      </w:r>
      <w:r w:rsidRPr="00F27B1D">
        <w:rPr>
          <w:rFonts w:asciiTheme="minorHAnsi" w:hAnsiTheme="minorHAnsi"/>
          <w:i/>
          <w:color w:val="548DD4" w:themeColor="text2" w:themeTint="99"/>
          <w:sz w:val="24"/>
          <w:szCs w:val="24"/>
        </w:rPr>
        <w:t>Alumni M&amp;E</w:t>
      </w:r>
    </w:p>
    <w:p w14:paraId="4A89342F" w14:textId="77777777" w:rsidR="00C74EA5" w:rsidRPr="00B5326E" w:rsidRDefault="00EF4549" w:rsidP="00C227BA">
      <w:pPr>
        <w:spacing w:before="120" w:after="120"/>
      </w:pPr>
      <w:r w:rsidRPr="00B5326E">
        <w:t xml:space="preserve">While promoting individual alumni reporting through submission of Reintegration Action Plans (REAPs) to the </w:t>
      </w:r>
      <w:r w:rsidR="00C74EA5" w:rsidRPr="00B5326E">
        <w:t>C</w:t>
      </w:r>
      <w:r w:rsidRPr="00B5326E">
        <w:t>ontractor, the design acknowledges the demands on new graduates and establishes realistic expectations on alumni concerning preparing, updating and reporting on REAPs.</w:t>
      </w:r>
      <w:r w:rsidR="00486803" w:rsidRPr="00B5326E">
        <w:t xml:space="preserve"> </w:t>
      </w:r>
    </w:p>
    <w:p w14:paraId="34CA54A9" w14:textId="62017711" w:rsidR="00EF4549" w:rsidRPr="00B5326E" w:rsidRDefault="00486803" w:rsidP="00C227BA">
      <w:pPr>
        <w:spacing w:before="120" w:after="120"/>
      </w:pPr>
      <w:r w:rsidRPr="00B5326E">
        <w:t>Where commitment of an employer / supervisor to an indivi</w:t>
      </w:r>
      <w:r w:rsidR="007E0B9C" w:rsidRPr="00B5326E">
        <w:t>dual’s proposed Award is</w:t>
      </w:r>
      <w:r w:rsidRPr="00B5326E">
        <w:t xml:space="preserve"> demonstrated in the application</w:t>
      </w:r>
      <w:r w:rsidR="0033649F" w:rsidRPr="00B5326E">
        <w:t>,</w:t>
      </w:r>
      <w:r w:rsidRPr="00B5326E">
        <w:t xml:space="preserve"> and this</w:t>
      </w:r>
      <w:r w:rsidR="007E0B9C" w:rsidRPr="00B5326E">
        <w:t xml:space="preserve"> commitment is supported by </w:t>
      </w:r>
      <w:r w:rsidRPr="00B5326E">
        <w:t>perceptions of the i</w:t>
      </w:r>
      <w:r w:rsidR="007E0B9C" w:rsidRPr="00B5326E">
        <w:t>nterview panel,</w:t>
      </w:r>
      <w:r w:rsidRPr="00B5326E">
        <w:t xml:space="preserve"> the Contractor </w:t>
      </w:r>
      <w:r w:rsidR="007E0B9C" w:rsidRPr="00B5326E">
        <w:t xml:space="preserve">should exercise judgement </w:t>
      </w:r>
      <w:r w:rsidR="007860D3" w:rsidRPr="00B5326E">
        <w:t xml:space="preserve">whether to </w:t>
      </w:r>
      <w:r w:rsidRPr="00B5326E">
        <w:t xml:space="preserve">recommend that a REAP, </w:t>
      </w:r>
      <w:r w:rsidRPr="00B5326E">
        <w:rPr>
          <w:i/>
        </w:rPr>
        <w:t xml:space="preserve">supported by continuous communication while on Award, </w:t>
      </w:r>
      <w:r w:rsidRPr="00B5326E">
        <w:t>be developed by the Awardee and her/his supervisor</w:t>
      </w:r>
      <w:r w:rsidR="0033649F" w:rsidRPr="00B5326E">
        <w:t xml:space="preserve"> -</w:t>
      </w:r>
      <w:r w:rsidRPr="00B5326E">
        <w:t xml:space="preserve"> with the support of Contractor personnel. However, REAPS should not be compulsory for all Awardees.</w:t>
      </w:r>
    </w:p>
    <w:p w14:paraId="511EAD69" w14:textId="58657C24" w:rsidR="00EF4549" w:rsidRPr="00B5326E" w:rsidRDefault="00EF4549" w:rsidP="00C227BA">
      <w:pPr>
        <w:spacing w:before="120" w:after="120"/>
      </w:pPr>
      <w:r w:rsidRPr="00B5326E">
        <w:t>The results of the comprehensive 2014 Tracer Study will be available for wider distribution in 2015. The Study results will provide useful information</w:t>
      </w:r>
      <w:r w:rsidR="00C74EA5" w:rsidRPr="00B5326E">
        <w:t xml:space="preserve"> </w:t>
      </w:r>
      <w:r w:rsidRPr="00B5326E">
        <w:t xml:space="preserve">for long-term strategic planning for HRD in Vietnam.  From 2015, annual outcomes studies (as negotiated with DFAT) will assume greater importance, while Tracer Studies are expected to continue to be conducted (periodically, globally) by DFAT Canberra; data resulting from these will be used to inform </w:t>
      </w:r>
      <w:r w:rsidR="00C74EA5" w:rsidRPr="00B5326E">
        <w:t>p</w:t>
      </w:r>
      <w:r w:rsidRPr="00B5326E">
        <w:t xml:space="preserve">rogram planning. </w:t>
      </w:r>
    </w:p>
    <w:p w14:paraId="20EF8311" w14:textId="746428E1" w:rsidR="00EF4549" w:rsidRPr="00EA76FF" w:rsidRDefault="00F6410E" w:rsidP="00C227BA">
      <w:pPr>
        <w:spacing w:before="120" w:after="120"/>
      </w:pPr>
      <w:r w:rsidRPr="00B5326E">
        <w:t xml:space="preserve">To record </w:t>
      </w:r>
      <w:r w:rsidR="004745FC">
        <w:t>Australia Awards</w:t>
      </w:r>
      <w:r w:rsidRPr="00B5326E">
        <w:t xml:space="preserve"> information, th</w:t>
      </w:r>
      <w:r w:rsidR="00ED1FBD">
        <w:t>e C</w:t>
      </w:r>
      <w:r w:rsidR="00EF4549" w:rsidRPr="00B5326E">
        <w:t>ontractor will develop a Management Information System (MIS), which will align/communicate with both OASIS and other program databases as necessary. All alumni</w:t>
      </w:r>
      <w:r w:rsidR="00EF4549" w:rsidRPr="003B74ED">
        <w:t xml:space="preserve"> </w:t>
      </w:r>
      <w:r w:rsidR="00767631" w:rsidRPr="003B74ED">
        <w:t>data</w:t>
      </w:r>
      <w:r w:rsidR="00767631">
        <w:t xml:space="preserve"> (for both Scholarship and Fellowship graduates)</w:t>
      </w:r>
      <w:r w:rsidR="00EF4549" w:rsidRPr="003B74ED">
        <w:t xml:space="preserve"> contained in the MIS (and eventually in the DFAT Canberra global alumni network database) will</w:t>
      </w:r>
      <w:r w:rsidR="004745FC">
        <w:t xml:space="preserve"> also</w:t>
      </w:r>
      <w:r w:rsidR="00EF4549" w:rsidRPr="003B74ED">
        <w:t xml:space="preserve"> include information about graduates of formal Australia </w:t>
      </w:r>
      <w:r w:rsidR="00C50A62">
        <w:t>A</w:t>
      </w:r>
      <w:r w:rsidR="00EF4549" w:rsidRPr="003B74ED">
        <w:t xml:space="preserve">wards Short-term Training (STT) courses. </w:t>
      </w:r>
    </w:p>
    <w:p w14:paraId="1F83E890" w14:textId="6BCC4577" w:rsidR="00EF4549" w:rsidRPr="001A0CDA" w:rsidRDefault="00EF4549" w:rsidP="00C227BA">
      <w:pPr>
        <w:spacing w:before="120" w:after="120"/>
      </w:pPr>
      <w:r w:rsidRPr="00314297">
        <w:t>The (Alumni) Cluster Studies conducted to date should be replaced by Thematic Studies, e.g. by discipline, such as Agriculture or Wat</w:t>
      </w:r>
      <w:r w:rsidR="00C74EA5" w:rsidRPr="00B42B3E">
        <w:t>er</w:t>
      </w:r>
      <w:r w:rsidRPr="008C2305">
        <w:t>; while Organisational Case Studies</w:t>
      </w:r>
      <w:r w:rsidR="009873F4" w:rsidRPr="003B74ED">
        <w:rPr>
          <w:rStyle w:val="FootnoteReference"/>
        </w:rPr>
        <w:footnoteReference w:id="57"/>
      </w:r>
      <w:r w:rsidRPr="003B74ED">
        <w:t xml:space="preserve"> will continue to attempt to determine the extent of </w:t>
      </w:r>
      <w:r w:rsidR="00F13B4F" w:rsidRPr="00EA76FF">
        <w:t>influence</w:t>
      </w:r>
      <w:r w:rsidRPr="00314297">
        <w:t xml:space="preserve"> that a critical mass </w:t>
      </w:r>
      <w:r w:rsidRPr="00B42B3E">
        <w:t xml:space="preserve">in any single organisation or country has had. The Impact Studies conducted to date may be subsumed within the above Organisational Case Studies, or be implemented separately, and will assist in informing deeper analysis of organisational or sector impact </w:t>
      </w:r>
      <w:r w:rsidRPr="008C2305">
        <w:t xml:space="preserve">by </w:t>
      </w:r>
      <w:r w:rsidR="00B4633D" w:rsidRPr="003D5F5E">
        <w:t>male and female alumni</w:t>
      </w:r>
      <w:r w:rsidRPr="003D5F5E">
        <w:t>.</w:t>
      </w:r>
    </w:p>
    <w:p w14:paraId="2F163174" w14:textId="15612C1B" w:rsidR="00ED1FBD" w:rsidRDefault="00ED1FBD" w:rsidP="00C227BA">
      <w:pPr>
        <w:spacing w:before="120" w:after="120"/>
      </w:pPr>
      <w:r>
        <w:t>The following on</w:t>
      </w:r>
      <w:r w:rsidR="00EF4549" w:rsidRPr="001A0CDA">
        <w:t>line surveys will be distributed to candidates /awardees / alumni to gain the opinions of a wider</w:t>
      </w:r>
      <w:r>
        <w:t xml:space="preserve"> group of program participants:</w:t>
      </w:r>
    </w:p>
    <w:p w14:paraId="1DD00F56" w14:textId="77777777" w:rsidR="00ED1FBD" w:rsidRPr="00E27B90" w:rsidRDefault="00ED1FBD" w:rsidP="00C227BA">
      <w:pPr>
        <w:pStyle w:val="ListParagraph"/>
        <w:numPr>
          <w:ilvl w:val="0"/>
          <w:numId w:val="6"/>
        </w:numPr>
        <w:spacing w:line="240" w:lineRule="auto"/>
        <w:contextualSpacing w:val="0"/>
        <w:rPr>
          <w:rFonts w:asciiTheme="minorHAnsi" w:hAnsiTheme="minorHAnsi"/>
          <w:sz w:val="24"/>
          <w:szCs w:val="24"/>
          <w:lang w:val="en-AU"/>
        </w:rPr>
      </w:pPr>
      <w:r w:rsidRPr="00E27B90">
        <w:rPr>
          <w:rFonts w:asciiTheme="minorHAnsi" w:hAnsiTheme="minorHAnsi"/>
          <w:sz w:val="24"/>
          <w:szCs w:val="24"/>
          <w:lang w:val="en-AU"/>
        </w:rPr>
        <w:t>Pre-departure Survey (in the month prior to mobilisation);</w:t>
      </w:r>
    </w:p>
    <w:p w14:paraId="51E91867" w14:textId="77777777" w:rsidR="00ED1FBD" w:rsidRPr="00B379A4" w:rsidRDefault="00ED1FBD" w:rsidP="00C227BA">
      <w:pPr>
        <w:pStyle w:val="ListParagraph"/>
        <w:numPr>
          <w:ilvl w:val="0"/>
          <w:numId w:val="6"/>
        </w:numPr>
        <w:spacing w:line="240" w:lineRule="auto"/>
        <w:contextualSpacing w:val="0"/>
        <w:rPr>
          <w:rFonts w:asciiTheme="minorHAnsi" w:hAnsiTheme="minorHAnsi"/>
          <w:sz w:val="24"/>
          <w:szCs w:val="24"/>
          <w:lang w:val="en-AU"/>
        </w:rPr>
      </w:pPr>
      <w:r w:rsidRPr="00B379A4">
        <w:rPr>
          <w:rFonts w:asciiTheme="minorHAnsi" w:hAnsiTheme="minorHAnsi"/>
          <w:sz w:val="24"/>
          <w:szCs w:val="24"/>
          <w:lang w:val="en-AU"/>
        </w:rPr>
        <w:t>Completion Survey (within one month of graduating);</w:t>
      </w:r>
    </w:p>
    <w:p w14:paraId="765A102A" w14:textId="77777777" w:rsidR="00ED1FBD" w:rsidRPr="00FA40AE" w:rsidRDefault="00ED1FBD" w:rsidP="00C227BA">
      <w:pPr>
        <w:pStyle w:val="ListParagraph"/>
        <w:numPr>
          <w:ilvl w:val="0"/>
          <w:numId w:val="6"/>
        </w:numPr>
        <w:spacing w:line="240" w:lineRule="auto"/>
        <w:contextualSpacing w:val="0"/>
        <w:rPr>
          <w:rFonts w:asciiTheme="minorHAnsi" w:hAnsiTheme="minorHAnsi"/>
          <w:sz w:val="24"/>
          <w:szCs w:val="24"/>
          <w:lang w:val="en-AU"/>
        </w:rPr>
      </w:pPr>
      <w:r w:rsidRPr="00FA40AE">
        <w:rPr>
          <w:rFonts w:asciiTheme="minorHAnsi" w:hAnsiTheme="minorHAnsi"/>
          <w:sz w:val="24"/>
          <w:szCs w:val="24"/>
          <w:lang w:val="en-AU"/>
        </w:rPr>
        <w:t>One-year Survey (within 12-18 months of return);</w:t>
      </w:r>
    </w:p>
    <w:p w14:paraId="782B18E9" w14:textId="77777777" w:rsidR="00ED1FBD" w:rsidRPr="00F4554A" w:rsidRDefault="00ED1FBD" w:rsidP="00C227BA">
      <w:pPr>
        <w:pStyle w:val="ListParagraph"/>
        <w:numPr>
          <w:ilvl w:val="0"/>
          <w:numId w:val="6"/>
        </w:numPr>
        <w:spacing w:line="240" w:lineRule="auto"/>
        <w:contextualSpacing w:val="0"/>
        <w:rPr>
          <w:rFonts w:asciiTheme="minorHAnsi" w:hAnsiTheme="minorHAnsi"/>
          <w:sz w:val="24"/>
          <w:szCs w:val="24"/>
          <w:lang w:val="en-AU"/>
        </w:rPr>
      </w:pPr>
      <w:r w:rsidRPr="00F4554A">
        <w:rPr>
          <w:rFonts w:asciiTheme="minorHAnsi" w:hAnsiTheme="minorHAnsi"/>
          <w:sz w:val="24"/>
          <w:szCs w:val="24"/>
          <w:lang w:val="en-AU"/>
        </w:rPr>
        <w:t>Two-year Survey (with 2-4 years of return).</w:t>
      </w:r>
    </w:p>
    <w:p w14:paraId="227D976F" w14:textId="017406BC" w:rsidR="00EF4549" w:rsidRPr="00D9325F" w:rsidRDefault="00EF4549" w:rsidP="00C227BA">
      <w:pPr>
        <w:spacing w:before="120" w:after="120"/>
      </w:pPr>
      <w:r w:rsidRPr="001A0CDA">
        <w:t>Analysis of the results of these surveys will inform program ope</w:t>
      </w:r>
      <w:r w:rsidR="009D0452" w:rsidRPr="004E1408">
        <w:t>rational and strategic decision-</w:t>
      </w:r>
      <w:r w:rsidRPr="004E1408">
        <w:t>making; assist in reporting to DFAT and key partners, and (for Surveys (b), (c), and (d)), identify potential individuals or cohorts for further investigation through cas</w:t>
      </w:r>
      <w:r w:rsidRPr="007A6D7C">
        <w:t>e studies or longitudinal case histories. Th</w:t>
      </w:r>
      <w:r w:rsidR="00ED1FBD">
        <w:t>is</w:t>
      </w:r>
      <w:r w:rsidRPr="007A6D7C">
        <w:t xml:space="preserve"> survey data, supported by targeted interviews, will also provide the background information needed for the development of alumni promot</w:t>
      </w:r>
      <w:r w:rsidR="00ED1FBD">
        <w:t>ional profiles, for use by DFAT</w:t>
      </w:r>
      <w:r w:rsidRPr="00D9325F">
        <w:t>.</w:t>
      </w:r>
    </w:p>
    <w:p w14:paraId="3A2EE9B9" w14:textId="77777777" w:rsidR="00562C96" w:rsidRPr="00816AF1" w:rsidRDefault="00EF4549" w:rsidP="00C227BA">
      <w:pPr>
        <w:spacing w:before="120" w:after="120"/>
      </w:pPr>
      <w:r w:rsidRPr="00B31B3E">
        <w:rPr>
          <w:rFonts w:eastAsia="Calibri" w:cs="Arial"/>
          <w:lang w:eastAsia="en-AU"/>
        </w:rPr>
        <w:t>The Reintegration Workshops (Seminars) curre</w:t>
      </w:r>
      <w:r w:rsidRPr="00274EF2">
        <w:rPr>
          <w:rFonts w:eastAsia="Calibri" w:cs="Arial"/>
          <w:lang w:eastAsia="en-AU"/>
        </w:rPr>
        <w:t>ntly conducted in Australia</w:t>
      </w:r>
      <w:r w:rsidRPr="00F233A7">
        <w:t xml:space="preserve"> during the final six months of Australian studies, followed up with a second Reintegration Workshop within the first six months of a graduate’s return will continue. However, in addition to the support such workshops are intende</w:t>
      </w:r>
      <w:r w:rsidRPr="004744D3">
        <w:t>d to perform to assist awardees and alumni to return to the Vietnam environment, the Reintegration Workshops will assume a stronger monitoring and evaluation role.</w:t>
      </w:r>
      <w:r w:rsidR="00C74EA5" w:rsidRPr="00AF245E">
        <w:t xml:space="preserve"> </w:t>
      </w:r>
    </w:p>
    <w:p w14:paraId="547A182A" w14:textId="2F8905EB" w:rsidR="00064E53" w:rsidRPr="00B5326E" w:rsidRDefault="00064E53" w:rsidP="00C227BA">
      <w:pPr>
        <w:spacing w:before="120" w:after="120"/>
      </w:pPr>
      <w:r w:rsidRPr="00816AF1">
        <w:rPr>
          <w:rFonts w:eastAsia="Calibri" w:cs="Arial"/>
          <w:lang w:eastAsia="en-AU"/>
        </w:rPr>
        <w:t xml:space="preserve">This will be achieved by the inclusion in the Reintegration (#2) Workshop of </w:t>
      </w:r>
      <w:r w:rsidR="00562C96" w:rsidRPr="00FE136A">
        <w:rPr>
          <w:rFonts w:eastAsia="Calibri" w:cs="Arial"/>
          <w:lang w:eastAsia="en-AU"/>
        </w:rPr>
        <w:t xml:space="preserve">qualitative </w:t>
      </w:r>
      <w:r w:rsidRPr="00FE136A">
        <w:rPr>
          <w:rFonts w:eastAsia="Calibri" w:cs="Arial"/>
          <w:lang w:eastAsia="en-AU"/>
        </w:rPr>
        <w:t>qu</w:t>
      </w:r>
      <w:r w:rsidRPr="005C0E3B">
        <w:rPr>
          <w:rFonts w:eastAsia="Calibri" w:cs="Arial"/>
          <w:lang w:eastAsia="en-AU"/>
        </w:rPr>
        <w:t xml:space="preserve">estions </w:t>
      </w:r>
      <w:r w:rsidR="00C74EA5" w:rsidRPr="005C0E3B">
        <w:rPr>
          <w:rFonts w:eastAsia="Calibri" w:cs="Arial"/>
          <w:lang w:eastAsia="en-AU"/>
        </w:rPr>
        <w:t xml:space="preserve">that </w:t>
      </w:r>
      <w:r w:rsidRPr="00FA5F0F">
        <w:rPr>
          <w:rFonts w:eastAsia="Calibri" w:cs="Arial"/>
          <w:lang w:eastAsia="en-AU"/>
        </w:rPr>
        <w:t xml:space="preserve">seek feedback on program effectiveness, </w:t>
      </w:r>
      <w:r w:rsidR="00562C96" w:rsidRPr="00FA5F0F">
        <w:rPr>
          <w:rFonts w:eastAsia="Calibri" w:cs="Arial"/>
          <w:lang w:eastAsia="en-AU"/>
        </w:rPr>
        <w:t>including factors assisting/constraining</w:t>
      </w:r>
      <w:r w:rsidRPr="00B5326E">
        <w:rPr>
          <w:rFonts w:eastAsia="Calibri" w:cs="Arial"/>
          <w:lang w:eastAsia="en-AU"/>
        </w:rPr>
        <w:t xml:space="preserve"> return to a productive role in the workforce</w:t>
      </w:r>
      <w:r w:rsidR="00562C96" w:rsidRPr="00B5326E">
        <w:rPr>
          <w:rFonts w:eastAsia="Calibri" w:cs="Arial"/>
          <w:lang w:eastAsia="en-AU"/>
        </w:rPr>
        <w:t>; and the relevance and extent to which</w:t>
      </w:r>
      <w:r w:rsidRPr="00B5326E">
        <w:rPr>
          <w:rFonts w:eastAsia="Calibri" w:cs="Arial"/>
          <w:lang w:eastAsia="en-AU"/>
        </w:rPr>
        <w:t xml:space="preserve"> knowledge and skills gained in Australia </w:t>
      </w:r>
      <w:r w:rsidR="00562C96" w:rsidRPr="00B5326E">
        <w:rPr>
          <w:rFonts w:eastAsia="Calibri" w:cs="Arial"/>
          <w:lang w:eastAsia="en-AU"/>
        </w:rPr>
        <w:t xml:space="preserve">contribute </w:t>
      </w:r>
      <w:r w:rsidRPr="00B5326E">
        <w:rPr>
          <w:rFonts w:eastAsia="Calibri" w:cs="Arial"/>
          <w:lang w:eastAsia="en-AU"/>
        </w:rPr>
        <w:t>to your working life in Vietnam</w:t>
      </w:r>
      <w:r w:rsidR="00562C96" w:rsidRPr="00B5326E">
        <w:rPr>
          <w:rFonts w:eastAsia="Calibri" w:cs="Arial"/>
          <w:lang w:eastAsia="en-AU"/>
        </w:rPr>
        <w:t>.</w:t>
      </w:r>
    </w:p>
    <w:p w14:paraId="4520C2BA" w14:textId="4BE5D090" w:rsidR="00EF4549" w:rsidRPr="00B5326E" w:rsidRDefault="00EF4549" w:rsidP="00C227BA">
      <w:pPr>
        <w:spacing w:before="120" w:after="120"/>
      </w:pPr>
      <w:r w:rsidRPr="00B5326E">
        <w:t xml:space="preserve">While the Reintegration Workshops will perform a dual role – alumni support and data gathering and analysis, Review Workshops, (in </w:t>
      </w:r>
      <w:r w:rsidR="00ED1FBD">
        <w:t xml:space="preserve">a </w:t>
      </w:r>
      <w:r w:rsidRPr="00B5326E">
        <w:t>structured focus group format) involving graduates who have been back in Vietnam for a minimum of two years, will provide data about the perceptions of the program by “experienced” alumni – those who have had the opportunity to return to their social, employment and community networks – and to reflect on their Australia Award and its implications for them as individuals – both professionally and socially. The annual on-arrival and on-award surveys, managed by DFAT Canberra, will support local data gathering and analysis.</w:t>
      </w:r>
    </w:p>
    <w:p w14:paraId="14DB3523" w14:textId="0EF3791B" w:rsidR="0039030D" w:rsidRDefault="00ED1FBD" w:rsidP="00C227BA">
      <w:pPr>
        <w:spacing w:before="120" w:after="120"/>
      </w:pPr>
      <w:r>
        <w:t xml:space="preserve">The Global Australia Awards Program Logic and Monitoring and Evaluation Framework </w:t>
      </w:r>
      <w:r w:rsidR="00EF4549" w:rsidRPr="00B5326E">
        <w:t xml:space="preserve">provide the framework for all program </w:t>
      </w:r>
      <w:r w:rsidR="002D5375" w:rsidRPr="00B5326E">
        <w:t>M&amp;E</w:t>
      </w:r>
      <w:r w:rsidR="00EF4549" w:rsidRPr="00B5326E">
        <w:t xml:space="preserve">, planning, review and implementation by the </w:t>
      </w:r>
      <w:r w:rsidR="002D5375" w:rsidRPr="00B5326E">
        <w:t>C</w:t>
      </w:r>
      <w:r w:rsidR="00EF4549" w:rsidRPr="00B5326E">
        <w:t xml:space="preserve">ontractor. </w:t>
      </w:r>
    </w:p>
    <w:p w14:paraId="2D79C691" w14:textId="77777777" w:rsidR="0039030D" w:rsidRDefault="0039030D">
      <w:r>
        <w:br w:type="page"/>
      </w:r>
    </w:p>
    <w:p w14:paraId="32EB7BA7" w14:textId="77777777" w:rsidR="00EF4549" w:rsidRPr="00B5326E" w:rsidRDefault="00EF4549" w:rsidP="00C227BA">
      <w:pPr>
        <w:spacing w:before="120" w:after="120"/>
      </w:pPr>
    </w:p>
    <w:p w14:paraId="389231D8" w14:textId="77777777" w:rsidR="00EF4549" w:rsidRPr="00F27B1D" w:rsidRDefault="00EF4549" w:rsidP="00C227BA">
      <w:pPr>
        <w:pStyle w:val="Heading3"/>
        <w:spacing w:before="120"/>
        <w:rPr>
          <w:rFonts w:asciiTheme="minorHAnsi" w:hAnsiTheme="minorHAnsi"/>
          <w:i/>
          <w:color w:val="548DD4" w:themeColor="text2" w:themeTint="99"/>
          <w:sz w:val="24"/>
          <w:szCs w:val="24"/>
        </w:rPr>
      </w:pPr>
      <w:r w:rsidRPr="00F27B1D">
        <w:rPr>
          <w:rFonts w:asciiTheme="minorHAnsi" w:hAnsiTheme="minorHAnsi"/>
          <w:i/>
          <w:color w:val="548DD4" w:themeColor="text2" w:themeTint="99"/>
          <w:sz w:val="24"/>
          <w:szCs w:val="24"/>
        </w:rPr>
        <w:t>Australia Awards – Short-term Training M&amp;E</w:t>
      </w:r>
    </w:p>
    <w:p w14:paraId="43F8BA99" w14:textId="33C386A3" w:rsidR="0049312C" w:rsidRPr="00B5326E" w:rsidRDefault="00EF4549" w:rsidP="00C227BA">
      <w:pPr>
        <w:spacing w:before="120" w:after="120"/>
      </w:pPr>
      <w:r w:rsidRPr="00B5326E">
        <w:t xml:space="preserve">Short-term training course design and delivery will be sub-contracted to Australian institutions identified by the Contractor and agreed by DFAT. </w:t>
      </w:r>
      <w:r w:rsidR="002D5375" w:rsidRPr="00B5326E">
        <w:t>P</w:t>
      </w:r>
      <w:r w:rsidRPr="00B5326E">
        <w:t xml:space="preserve">reference will be given to Australian </w:t>
      </w:r>
      <w:r w:rsidR="002D5375" w:rsidRPr="00B5326E">
        <w:t xml:space="preserve">providers </w:t>
      </w:r>
      <w:r w:rsidRPr="00B5326E">
        <w:t>with knowledge and experience of the sectoral context in Vietnam, and established linkages with Vietnamese organisations</w:t>
      </w:r>
      <w:r w:rsidR="002D5375" w:rsidRPr="00B5326E">
        <w:t>. C</w:t>
      </w:r>
      <w:r w:rsidRPr="00B5326E">
        <w:t>ontracts will clearly delineate the responsibilities and resourcing of both the provider (including local partners in delivering the program)</w:t>
      </w:r>
      <w:r w:rsidR="005B79E6" w:rsidRPr="00B5326E">
        <w:t xml:space="preserve">, </w:t>
      </w:r>
      <w:r w:rsidRPr="00B5326E">
        <w:t xml:space="preserve">and the (Program) </w:t>
      </w:r>
      <w:r w:rsidR="002D5375" w:rsidRPr="00B5326E">
        <w:t>C</w:t>
      </w:r>
      <w:r w:rsidRPr="00B5326E">
        <w:t>ontractor</w:t>
      </w:r>
      <w:r w:rsidR="005B79E6" w:rsidRPr="00B5326E">
        <w:t>. STT providers will be responsible for the design and conduct of M&amp;E</w:t>
      </w:r>
      <w:r w:rsidR="002D5375" w:rsidRPr="00B5326E">
        <w:t xml:space="preserve"> </w:t>
      </w:r>
      <w:r w:rsidR="005B79E6" w:rsidRPr="00B5326E">
        <w:t>for courses delivered</w:t>
      </w:r>
      <w:r w:rsidR="002D5375" w:rsidRPr="00B5326E">
        <w:t>.</w:t>
      </w:r>
      <w:r w:rsidRPr="00B5326E">
        <w:t xml:space="preserve"> </w:t>
      </w:r>
    </w:p>
    <w:p w14:paraId="16057951" w14:textId="6F10EC82" w:rsidR="00EF4549" w:rsidRPr="00B5326E" w:rsidRDefault="005B79E6" w:rsidP="00C227BA">
      <w:pPr>
        <w:spacing w:before="120" w:after="120"/>
      </w:pPr>
      <w:r w:rsidRPr="00B5326E">
        <w:t>T</w:t>
      </w:r>
      <w:r w:rsidR="006027E3" w:rsidRPr="00B5326E">
        <w:t>he C</w:t>
      </w:r>
      <w:r w:rsidR="00EF4549" w:rsidRPr="00B5326E">
        <w:t>ontractor will continuously monitor the quality of short-term traini</w:t>
      </w:r>
      <w:r w:rsidR="006027E3" w:rsidRPr="00B5326E">
        <w:t xml:space="preserve">ng </w:t>
      </w:r>
      <w:r w:rsidRPr="00B5326E">
        <w:t>to ensure</w:t>
      </w:r>
      <w:r w:rsidR="00EF4549" w:rsidRPr="00B5326E">
        <w:t xml:space="preserve"> </w:t>
      </w:r>
      <w:r w:rsidRPr="00B5326E">
        <w:t xml:space="preserve">courses are effective in </w:t>
      </w:r>
      <w:r w:rsidR="00EF4549" w:rsidRPr="00B5326E">
        <w:t>contribut</w:t>
      </w:r>
      <w:r w:rsidRPr="00B5326E">
        <w:t>ing</w:t>
      </w:r>
      <w:r w:rsidR="00EF4549" w:rsidRPr="00B5326E">
        <w:t xml:space="preserve"> to program outputs and outcomes</w:t>
      </w:r>
      <w:r w:rsidRPr="00B5326E">
        <w:t>; and</w:t>
      </w:r>
      <w:r w:rsidR="00EF4549" w:rsidRPr="00B5326E">
        <w:t xml:space="preserve"> consult with DFAT and partners (including MoET and </w:t>
      </w:r>
      <w:r w:rsidRPr="00B5326E">
        <w:t>beneficiary agencies</w:t>
      </w:r>
      <w:r w:rsidR="00EF4549" w:rsidRPr="00B5326E">
        <w:t xml:space="preserve">) to ensure that training is continuing to meet </w:t>
      </w:r>
      <w:r w:rsidRPr="00B5326E">
        <w:t>demand.</w:t>
      </w:r>
      <w:r w:rsidR="00EF4549" w:rsidRPr="00B5326E">
        <w:t xml:space="preserve"> </w:t>
      </w:r>
      <w:r w:rsidRPr="00B5326E">
        <w:t>A</w:t>
      </w:r>
      <w:r w:rsidR="00EF4549" w:rsidRPr="00B5326E">
        <w:t>ssessments will be reported in each An</w:t>
      </w:r>
      <w:r w:rsidR="008D26E7" w:rsidRPr="00B5326E">
        <w:t>nual Report for the Program.</w:t>
      </w:r>
    </w:p>
    <w:bookmarkEnd w:id="10"/>
    <w:bookmarkEnd w:id="11"/>
    <w:p w14:paraId="6B0BDFE8" w14:textId="26C0DA80" w:rsidR="00EF4549" w:rsidRPr="00F27B1D" w:rsidRDefault="00EF4549" w:rsidP="00C227BA">
      <w:pPr>
        <w:pStyle w:val="Heading3"/>
        <w:spacing w:before="120"/>
        <w:rPr>
          <w:rFonts w:asciiTheme="minorHAnsi" w:hAnsiTheme="minorHAnsi"/>
          <w:i/>
          <w:color w:val="548DD4" w:themeColor="text2" w:themeTint="99"/>
          <w:sz w:val="24"/>
          <w:szCs w:val="24"/>
        </w:rPr>
      </w:pPr>
      <w:r w:rsidRPr="00F27B1D">
        <w:rPr>
          <w:rFonts w:asciiTheme="minorHAnsi" w:hAnsiTheme="minorHAnsi"/>
          <w:i/>
          <w:color w:val="548DD4" w:themeColor="text2" w:themeTint="99"/>
          <w:sz w:val="24"/>
          <w:szCs w:val="24"/>
        </w:rPr>
        <w:t>HRD support M&amp;E</w:t>
      </w:r>
    </w:p>
    <w:p w14:paraId="454B567A" w14:textId="399B380E" w:rsidR="00CD52A6" w:rsidRPr="00B5326E" w:rsidRDefault="0080537A" w:rsidP="00C227BA">
      <w:pPr>
        <w:spacing w:before="120" w:after="120"/>
      </w:pPr>
      <w:r w:rsidRPr="00B5326E">
        <w:t xml:space="preserve">Appropriate M&amp;E frameworks should reflect the scale and type of interventions and be cost effective. </w:t>
      </w:r>
      <w:r w:rsidR="006D4A55" w:rsidRPr="00B5326E">
        <w:t xml:space="preserve">The design of sub programs </w:t>
      </w:r>
      <w:r w:rsidRPr="00B5326E">
        <w:t>(and the Women in Leadership program), should</w:t>
      </w:r>
      <w:r w:rsidR="006D4A55" w:rsidRPr="00B5326E">
        <w:t xml:space="preserve"> </w:t>
      </w:r>
      <w:r w:rsidRPr="00B5326E">
        <w:t>build in M&amp;E arrangements; these</w:t>
      </w:r>
      <w:r w:rsidR="006D4A55" w:rsidRPr="00B5326E">
        <w:t xml:space="preserve"> </w:t>
      </w:r>
      <w:r w:rsidRPr="00B5326E">
        <w:t>will likely</w:t>
      </w:r>
      <w:r w:rsidR="006D4A55" w:rsidRPr="00B5326E">
        <w:t xml:space="preserve"> differ depending on the form of the </w:t>
      </w:r>
      <w:r w:rsidR="00CD52A6" w:rsidRPr="00B5326E">
        <w:t>sub program</w:t>
      </w:r>
      <w:r w:rsidRPr="00B5326E">
        <w:t xml:space="preserve"> </w:t>
      </w:r>
      <w:r w:rsidR="00CD52A6" w:rsidRPr="00B5326E">
        <w:t>implemented and the delivery modalities involved.</w:t>
      </w:r>
      <w:r w:rsidR="006D4A55" w:rsidRPr="00B5326E">
        <w:t xml:space="preserve"> If the sub program is contra</w:t>
      </w:r>
      <w:r w:rsidR="00CD52A6" w:rsidRPr="00B5326E">
        <w:t xml:space="preserve">cted to a single provider it would normally be </w:t>
      </w:r>
      <w:r w:rsidR="006D4A55" w:rsidRPr="00B5326E">
        <w:t xml:space="preserve">the responsibility of that provider to implement M&amp;E; if the sub program involves a rolling program of integrated but separately </w:t>
      </w:r>
      <w:r w:rsidR="00CD52A6" w:rsidRPr="00B5326E">
        <w:t xml:space="preserve">contracted and </w:t>
      </w:r>
      <w:r w:rsidR="006D4A55" w:rsidRPr="00B5326E">
        <w:t xml:space="preserve">delivered activities </w:t>
      </w:r>
      <w:r w:rsidR="00CD52A6" w:rsidRPr="00B5326E">
        <w:t>it may be more appropriate for the head Contractor to assume</w:t>
      </w:r>
      <w:r w:rsidR="006D4A55" w:rsidRPr="00B5326E">
        <w:t xml:space="preserve"> </w:t>
      </w:r>
      <w:r w:rsidR="00CD52A6" w:rsidRPr="00B5326E">
        <w:t>responsibility for M&amp;E.</w:t>
      </w:r>
    </w:p>
    <w:p w14:paraId="3466C0B4" w14:textId="12D7ABAE" w:rsidR="00EF4549" w:rsidRPr="00B5326E" w:rsidRDefault="00CD52A6" w:rsidP="00C227BA">
      <w:pPr>
        <w:spacing w:before="120" w:after="120"/>
      </w:pPr>
      <w:r w:rsidRPr="00B5326E">
        <w:t xml:space="preserve">Either way, M&amp;E should include </w:t>
      </w:r>
      <w:r w:rsidR="00EF4549" w:rsidRPr="00B5326E">
        <w:t xml:space="preserve">assessment of the extent to which the target </w:t>
      </w:r>
      <w:r w:rsidRPr="00B5326E">
        <w:t xml:space="preserve">institutions </w:t>
      </w:r>
      <w:r w:rsidR="00EF4549" w:rsidRPr="00B5326E">
        <w:t xml:space="preserve">were able to participate </w:t>
      </w:r>
      <w:r w:rsidRPr="00B5326E">
        <w:t xml:space="preserve">effectively </w:t>
      </w:r>
      <w:r w:rsidR="00EF4549" w:rsidRPr="00B5326E">
        <w:t xml:space="preserve">in the identification of training needs; the extent to which </w:t>
      </w:r>
      <w:r w:rsidRPr="00B5326E">
        <w:t>individual</w:t>
      </w:r>
      <w:r w:rsidR="00EF4549" w:rsidRPr="00B5326E">
        <w:t xml:space="preserve"> beneficiaries of HRD intervention</w:t>
      </w:r>
      <w:r w:rsidRPr="00B5326E">
        <w:t>s</w:t>
      </w:r>
      <w:r w:rsidR="00EF4549" w:rsidRPr="00B5326E">
        <w:t xml:space="preserve"> have been able to contribute subsequently to </w:t>
      </w:r>
      <w:r w:rsidRPr="00B5326E">
        <w:t xml:space="preserve">the workplace; and the extent </w:t>
      </w:r>
      <w:r w:rsidR="0080537A" w:rsidRPr="00B5326E">
        <w:t>and ways in</w:t>
      </w:r>
      <w:r w:rsidRPr="00B5326E">
        <w:t xml:space="preserve"> which the institution has benefited.</w:t>
      </w:r>
    </w:p>
    <w:p w14:paraId="76E1E0AA" w14:textId="0676B292" w:rsidR="0080537A" w:rsidRDefault="00CD52A6" w:rsidP="00C227BA">
      <w:pPr>
        <w:spacing w:before="120" w:after="120"/>
      </w:pPr>
      <w:r w:rsidRPr="00B5326E">
        <w:t>For ad hoc interventions addressing current or emerging issues identified by sector programs</w:t>
      </w:r>
      <w:r w:rsidR="00B1540F" w:rsidRPr="00B5326E">
        <w:t>,</w:t>
      </w:r>
      <w:r w:rsidRPr="00B5326E">
        <w:t xml:space="preserve"> </w:t>
      </w:r>
      <w:r w:rsidR="0080537A" w:rsidRPr="00B5326E">
        <w:t>judgment should be exercised in determining the type of M&amp;E required.</w:t>
      </w:r>
    </w:p>
    <w:p w14:paraId="16450074" w14:textId="77777777" w:rsidR="00F27B1D" w:rsidRPr="00B5326E" w:rsidRDefault="00F27B1D" w:rsidP="00C227BA">
      <w:pPr>
        <w:spacing w:before="120" w:after="120"/>
      </w:pPr>
    </w:p>
    <w:p w14:paraId="385A379F" w14:textId="66527A4A" w:rsidR="00EF4549" w:rsidRPr="00B5326E" w:rsidRDefault="0049312C" w:rsidP="00C227BA">
      <w:pPr>
        <w:pStyle w:val="Heading2"/>
        <w:spacing w:before="120"/>
        <w:rPr>
          <w:rFonts w:asciiTheme="minorHAnsi" w:hAnsiTheme="minorHAnsi"/>
          <w:i w:val="0"/>
          <w:color w:val="548DD4" w:themeColor="text2" w:themeTint="99"/>
          <w:szCs w:val="24"/>
        </w:rPr>
      </w:pPr>
      <w:bookmarkStart w:id="12" w:name="_Toc388202038"/>
      <w:r w:rsidRPr="00B5326E">
        <w:rPr>
          <w:rFonts w:asciiTheme="minorHAnsi" w:hAnsiTheme="minorHAnsi"/>
          <w:i w:val="0"/>
          <w:color w:val="548DD4" w:themeColor="text2" w:themeTint="99"/>
          <w:szCs w:val="24"/>
        </w:rPr>
        <w:t>Reporting and Data D</w:t>
      </w:r>
      <w:r w:rsidR="00EF4549" w:rsidRPr="00B5326E">
        <w:rPr>
          <w:rFonts w:asciiTheme="minorHAnsi" w:hAnsiTheme="minorHAnsi"/>
          <w:i w:val="0"/>
          <w:color w:val="548DD4" w:themeColor="text2" w:themeTint="99"/>
          <w:szCs w:val="24"/>
        </w:rPr>
        <w:t>issemination</w:t>
      </w:r>
      <w:bookmarkEnd w:id="12"/>
    </w:p>
    <w:p w14:paraId="7814A513" w14:textId="176DEB4F" w:rsidR="00EF4549" w:rsidRPr="00F27B1D" w:rsidRDefault="00EF4549" w:rsidP="00C227BA">
      <w:pPr>
        <w:pStyle w:val="Heading3"/>
        <w:spacing w:before="120"/>
        <w:rPr>
          <w:rFonts w:asciiTheme="minorHAnsi" w:hAnsiTheme="minorHAnsi"/>
          <w:i/>
          <w:color w:val="548DD4" w:themeColor="text2" w:themeTint="99"/>
          <w:sz w:val="24"/>
          <w:szCs w:val="24"/>
        </w:rPr>
      </w:pPr>
      <w:bookmarkStart w:id="13" w:name="_Toc388202039"/>
      <w:bookmarkStart w:id="14" w:name="_Toc364693993"/>
      <w:bookmarkStart w:id="15" w:name="_Toc366230724"/>
      <w:bookmarkStart w:id="16" w:name="_Toc364694007"/>
      <w:bookmarkStart w:id="17" w:name="_Toc366230738"/>
      <w:r w:rsidRPr="00F27B1D">
        <w:rPr>
          <w:rFonts w:asciiTheme="minorHAnsi" w:hAnsiTheme="minorHAnsi"/>
          <w:i/>
          <w:color w:val="548DD4" w:themeColor="text2" w:themeTint="99"/>
          <w:sz w:val="24"/>
          <w:szCs w:val="24"/>
        </w:rPr>
        <w:t>Reporting schedule</w:t>
      </w:r>
      <w:bookmarkEnd w:id="13"/>
    </w:p>
    <w:p w14:paraId="4B0DD3B2" w14:textId="523EC021" w:rsidR="00EF4549" w:rsidRPr="00B5326E" w:rsidRDefault="00EF4549" w:rsidP="00C227BA">
      <w:pPr>
        <w:spacing w:before="120" w:after="120"/>
      </w:pPr>
      <w:r w:rsidRPr="00B5326E">
        <w:t>When reported in language appropriate to contractor personnel and clients, M&amp;E processes and outcomes help identify learning about a range of program areas, including good practice, effective strategies and tools, and information about specific implementation issues. As noted earlier, team members share M&amp;E responsibilities; reporting, dissemination and learning are inter-related functions. Program reports must capture progress, results and lessons, to be disseminated using a variety of media and strategies; further, feedback from clients and stakeholders about results serve to reinforce program learning</w:t>
      </w:r>
      <w:r w:rsidR="0053261B" w:rsidRPr="00B5326E">
        <w:t>; and</w:t>
      </w:r>
      <w:r w:rsidRPr="00B5326E">
        <w:t xml:space="preserve"> </w:t>
      </w:r>
      <w:r w:rsidR="008A0841" w:rsidRPr="00B5326E">
        <w:t>will assist DFAT in making necessary adjustments to the program (e.g. targets) and, where necessary</w:t>
      </w:r>
      <w:r w:rsidR="0053261B" w:rsidRPr="00B5326E">
        <w:t>,</w:t>
      </w:r>
      <w:r w:rsidR="008A0841" w:rsidRPr="00B5326E">
        <w:t xml:space="preserve"> arranging contract variations.</w:t>
      </w:r>
    </w:p>
    <w:p w14:paraId="6C7F2F00" w14:textId="26C03C59" w:rsidR="00EF4549" w:rsidRPr="00B5326E" w:rsidRDefault="00EF4549" w:rsidP="00C227BA">
      <w:pPr>
        <w:spacing w:before="120" w:after="120"/>
      </w:pPr>
      <w:r w:rsidRPr="00B5326E">
        <w:t xml:space="preserve">Program reporting schedules, when confirmed, will provide timely, formative, summary data (disaggregated by activity, gender, </w:t>
      </w:r>
      <w:r w:rsidR="007F78C8" w:rsidRPr="00B5326E">
        <w:t xml:space="preserve">disability, rural disadvantage, </w:t>
      </w:r>
      <w:r w:rsidRPr="00B5326E">
        <w:t xml:space="preserve">sector, etc.) to support the efficient implementation and review of the program. As noted above, reporting will focus on data analysis and program impacts rather than on presenting detailed quantitative data – although numerical reports will continue to be directed to the relevant DFAT officers in a summary, user-friendly format. </w:t>
      </w:r>
    </w:p>
    <w:p w14:paraId="663AFCF2" w14:textId="6B833DD5" w:rsidR="00EF4549" w:rsidRPr="00B5326E" w:rsidRDefault="00EF4549" w:rsidP="00C227BA">
      <w:pPr>
        <w:spacing w:before="120" w:after="120"/>
      </w:pPr>
      <w:r w:rsidRPr="00B5326E">
        <w:t xml:space="preserve">The </w:t>
      </w:r>
      <w:r w:rsidR="0039030D">
        <w:t xml:space="preserve">Program </w:t>
      </w:r>
      <w:r w:rsidRPr="00B5326E">
        <w:t xml:space="preserve">design also requires a Mid-Term Review (MTR) (or Independent Progress Report (IPR)) to be completed approximately 30 months after mobilisation. The independent </w:t>
      </w:r>
      <w:proofErr w:type="gramStart"/>
      <w:r w:rsidRPr="00B5326E">
        <w:t>MTR,</w:t>
      </w:r>
      <w:proofErr w:type="gramEnd"/>
      <w:r w:rsidRPr="00B5326E">
        <w:t xml:space="preserve"> commissioned and funded by DFAT, will consider program outcomes and managing contractor (and subcontractors’) performance; its findings will help inform the remaining 2.5 years of the program. Specifically, the Review will provide advice on ways to improve the impact and/or sustainability of the program for the remainder of its implementation period, and possibly beyond. It will also provide an opportunity to update risk and sustainability assessments and management.</w:t>
      </w:r>
    </w:p>
    <w:p w14:paraId="0006CA20" w14:textId="2BF881E7" w:rsidR="00EF4549" w:rsidRPr="00314297" w:rsidRDefault="00F668C6" w:rsidP="00C227BA">
      <w:pPr>
        <w:spacing w:before="120" w:after="120"/>
      </w:pPr>
      <w:r>
        <w:t>The Contractor will cooperate in the conduct of an independent</w:t>
      </w:r>
      <w:r w:rsidR="00EF4549" w:rsidRPr="00B5326E">
        <w:t xml:space="preserve"> End-of-Program </w:t>
      </w:r>
      <w:r>
        <w:t xml:space="preserve">Completion Report undertaken around </w:t>
      </w:r>
      <w:r w:rsidR="0039388C">
        <w:t>3-</w:t>
      </w:r>
      <w:r>
        <w:t xml:space="preserve">6 months prior to program completion. This </w:t>
      </w:r>
      <w:r w:rsidR="00EF4549" w:rsidRPr="003B74ED">
        <w:t>will provide the opportunity for a comprehensive and independent assessment of the success or otherwise of the program in me</w:t>
      </w:r>
      <w:r w:rsidR="00EF4549" w:rsidRPr="00EA76FF">
        <w:t xml:space="preserve">eting its stated outcomes and outputs.  </w:t>
      </w:r>
    </w:p>
    <w:p w14:paraId="4FB6BB4F" w14:textId="4B94C771" w:rsidR="00527042" w:rsidRPr="007A6D7C" w:rsidRDefault="0039030D" w:rsidP="00C227BA">
      <w:pPr>
        <w:spacing w:before="120" w:after="120"/>
      </w:pPr>
      <w:r w:rsidRPr="00E27B90">
        <w:t xml:space="preserve">Annex </w:t>
      </w:r>
      <w:r w:rsidRPr="00B379A4">
        <w:t>1</w:t>
      </w:r>
      <w:r>
        <w:t>2</w:t>
      </w:r>
      <w:r w:rsidRPr="00FA40AE">
        <w:t xml:space="preserve"> identifies all </w:t>
      </w:r>
      <w:r>
        <w:t xml:space="preserve">Contractor </w:t>
      </w:r>
      <w:r w:rsidRPr="00FA40AE">
        <w:t>reports required and explains their purpose.</w:t>
      </w:r>
      <w:r>
        <w:t xml:space="preserve"> </w:t>
      </w:r>
    </w:p>
    <w:p w14:paraId="6FACA310" w14:textId="7F003808" w:rsidR="00EF4549" w:rsidRPr="00F27B1D" w:rsidRDefault="00EF4549" w:rsidP="00C227BA">
      <w:pPr>
        <w:pStyle w:val="Heading3"/>
        <w:spacing w:before="120"/>
        <w:rPr>
          <w:rFonts w:asciiTheme="minorHAnsi" w:hAnsiTheme="minorHAnsi"/>
          <w:i/>
          <w:color w:val="548DD4" w:themeColor="text2" w:themeTint="99"/>
          <w:sz w:val="24"/>
          <w:szCs w:val="24"/>
        </w:rPr>
      </w:pPr>
      <w:bookmarkStart w:id="18" w:name="_Toc388202040"/>
      <w:r w:rsidRPr="00F27B1D">
        <w:rPr>
          <w:rFonts w:asciiTheme="minorHAnsi" w:hAnsiTheme="minorHAnsi"/>
          <w:i/>
          <w:color w:val="548DD4" w:themeColor="text2" w:themeTint="99"/>
          <w:sz w:val="24"/>
          <w:szCs w:val="24"/>
        </w:rPr>
        <w:t>Management Information System</w:t>
      </w:r>
      <w:bookmarkEnd w:id="18"/>
      <w:r w:rsidRPr="00F27B1D">
        <w:rPr>
          <w:rFonts w:asciiTheme="minorHAnsi" w:hAnsiTheme="minorHAnsi"/>
          <w:i/>
          <w:color w:val="548DD4" w:themeColor="text2" w:themeTint="99"/>
          <w:sz w:val="24"/>
          <w:szCs w:val="24"/>
        </w:rPr>
        <w:t xml:space="preserve"> </w:t>
      </w:r>
    </w:p>
    <w:p w14:paraId="4CF896A5" w14:textId="03D89106" w:rsidR="00EF4549" w:rsidRPr="00B5326E" w:rsidRDefault="00EF4549" w:rsidP="00C227BA">
      <w:pPr>
        <w:spacing w:before="120" w:after="120"/>
      </w:pPr>
      <w:r w:rsidRPr="00B5326E">
        <w:t>The Program MIS will support delivery of the complete range of program initiatives - Australia Award</w:t>
      </w:r>
      <w:r w:rsidR="0043614F">
        <w:t>s</w:t>
      </w:r>
      <w:r w:rsidRPr="00B5326E">
        <w:t xml:space="preserve"> Scholarships and Short-term Training, Alumni management, Engagement with Targeted agencies and organisations, the Women in Leadership Program, and TVET engagement.</w:t>
      </w:r>
    </w:p>
    <w:p w14:paraId="77B81F44" w14:textId="21C7DD1E" w:rsidR="00EF4549" w:rsidRPr="00B5326E" w:rsidRDefault="00EF4549" w:rsidP="00C227BA">
      <w:pPr>
        <w:spacing w:before="120" w:after="120"/>
      </w:pPr>
      <w:r w:rsidRPr="00B5326E">
        <w:t xml:space="preserve">It will also provide data to confirm or otherwise the achievement of indicators included in the Monitoring and Evaluation Framework (MEF). Basic information will come from implementation records or reports, including data such as number of Award applications received (disaggregated by award type, organisation, level, sector, </w:t>
      </w:r>
      <w:r w:rsidR="00163CD9">
        <w:t xml:space="preserve">gender, </w:t>
      </w:r>
      <w:r w:rsidRPr="00B5326E">
        <w:t>and equity group); number of terminations/variations, course pass rates, returns to workplaces, and REAP reports received.</w:t>
      </w:r>
    </w:p>
    <w:p w14:paraId="6D94600C" w14:textId="7568BD35" w:rsidR="00EF4549" w:rsidRPr="00B5326E" w:rsidRDefault="00EF4549" w:rsidP="00C227BA">
      <w:pPr>
        <w:spacing w:before="120" w:after="120"/>
      </w:pPr>
      <w:r w:rsidRPr="00B5326E">
        <w:t>However, the (global) OASIS Australia Award</w:t>
      </w:r>
      <w:r w:rsidR="00163CD9">
        <w:t>s</w:t>
      </w:r>
      <w:r w:rsidRPr="00B5326E">
        <w:t xml:space="preserve"> system will continue to provide the major source of all Australia Award</w:t>
      </w:r>
      <w:r w:rsidR="00163CD9">
        <w:t>s</w:t>
      </w:r>
      <w:r w:rsidRPr="00B5326E">
        <w:t xml:space="preserve"> Scholarships initial management data for individual applicants and conditional awardees.</w:t>
      </w:r>
    </w:p>
    <w:p w14:paraId="70359F5F" w14:textId="061A2980" w:rsidR="00EF4549" w:rsidRPr="00B5326E" w:rsidRDefault="00EF4549" w:rsidP="00C227BA">
      <w:pPr>
        <w:spacing w:before="120" w:after="120"/>
      </w:pPr>
      <w:r w:rsidRPr="00B5326E">
        <w:t>The DFAT Australian Global Alumni Network - an interactive global MIS supporting a network of up-to-date details on alumni</w:t>
      </w:r>
      <w:r w:rsidR="0043614F">
        <w:t xml:space="preserve"> - </w:t>
      </w:r>
      <w:r w:rsidRPr="00B5326E">
        <w:t xml:space="preserve">currently holds more than 40,000 alumni records, including </w:t>
      </w:r>
      <w:r w:rsidR="003D3FF2" w:rsidRPr="00B5326E">
        <w:t>around</w:t>
      </w:r>
      <w:r w:rsidR="0043614F">
        <w:t xml:space="preserve"> 4,000 from Vietnam. This</w:t>
      </w:r>
      <w:r w:rsidRPr="00B5326E">
        <w:t xml:space="preserve"> data will support greater access to longitudinal data and analysis of the extended impact of program initiatives on human resource development in Vietnam</w:t>
      </w:r>
      <w:r w:rsidR="0043614F">
        <w:t>.</w:t>
      </w:r>
    </w:p>
    <w:p w14:paraId="542FF8D2" w14:textId="77777777" w:rsidR="00EF4549" w:rsidRPr="00B5326E" w:rsidRDefault="00EF4549" w:rsidP="00C227BA">
      <w:pPr>
        <w:spacing w:before="120" w:after="120"/>
      </w:pPr>
      <w:r w:rsidRPr="00B5326E">
        <w:t>As noted previously, within the constraints of the GoA 2014 Privacy Legislation, the key features of the Global Network will assist Hanoi Post and contractor personnel to access alumni personal profiles, capture alumni biographies, identify high-profile alumni, and provide access to operational and statistical reporting.</w:t>
      </w:r>
    </w:p>
    <w:p w14:paraId="4F696D20" w14:textId="34B6C63A" w:rsidR="00EF4549" w:rsidRPr="00B5326E" w:rsidRDefault="00EF4549" w:rsidP="00C227BA">
      <w:pPr>
        <w:spacing w:before="120" w:after="120"/>
      </w:pPr>
      <w:r w:rsidRPr="00B5326E">
        <w:t>In addition to standard search requests by DFAT relating to Australia Award</w:t>
      </w:r>
      <w:r w:rsidR="0043614F">
        <w:t>s</w:t>
      </w:r>
      <w:r w:rsidRPr="00B5326E">
        <w:t xml:space="preserve"> applications received, awardee academic progress, costs of variations, etc., the MIS developed by the contractor should also have the potential for web-based, real-time access to its data/reports by approved Hanoi- and Canberra-based DFAT personnel. </w:t>
      </w:r>
    </w:p>
    <w:p w14:paraId="1A8C407D" w14:textId="04B42BC3" w:rsidR="00EF4549" w:rsidRPr="00F27B1D" w:rsidRDefault="00EF4549" w:rsidP="00C227BA">
      <w:pPr>
        <w:pStyle w:val="Heading3"/>
        <w:spacing w:before="120"/>
        <w:rPr>
          <w:rFonts w:asciiTheme="minorHAnsi" w:hAnsiTheme="minorHAnsi"/>
          <w:i/>
          <w:color w:val="548DD4" w:themeColor="text2" w:themeTint="99"/>
          <w:sz w:val="24"/>
          <w:szCs w:val="24"/>
        </w:rPr>
      </w:pPr>
      <w:bookmarkStart w:id="19" w:name="_Toc364694009"/>
      <w:bookmarkStart w:id="20" w:name="_Toc366230740"/>
      <w:bookmarkStart w:id="21" w:name="_Toc388202041"/>
      <w:bookmarkEnd w:id="14"/>
      <w:bookmarkEnd w:id="15"/>
      <w:bookmarkEnd w:id="16"/>
      <w:bookmarkEnd w:id="17"/>
      <w:r w:rsidRPr="00F27B1D">
        <w:rPr>
          <w:rFonts w:asciiTheme="minorHAnsi" w:hAnsiTheme="minorHAnsi"/>
          <w:i/>
          <w:color w:val="548DD4" w:themeColor="text2" w:themeTint="99"/>
          <w:sz w:val="24"/>
          <w:szCs w:val="24"/>
        </w:rPr>
        <w:t>Data records</w:t>
      </w:r>
      <w:bookmarkEnd w:id="19"/>
      <w:bookmarkEnd w:id="20"/>
      <w:bookmarkEnd w:id="21"/>
    </w:p>
    <w:p w14:paraId="206A5D6E" w14:textId="6BE9EC7F" w:rsidR="00EF4549" w:rsidRDefault="00EF4549" w:rsidP="00C227BA">
      <w:pPr>
        <w:spacing w:before="120" w:after="120"/>
      </w:pPr>
      <w:r w:rsidRPr="00B5326E">
        <w:t>While quantitative information will be captured mainly on activities implemented within activities relating to Australia Award</w:t>
      </w:r>
      <w:r w:rsidR="0043614F">
        <w:t>s</w:t>
      </w:r>
      <w:r w:rsidRPr="00B5326E">
        <w:t xml:space="preserve"> Scholarships and Alumni, and Short-term Training, all </w:t>
      </w:r>
      <w:r w:rsidR="0039030D">
        <w:t>P</w:t>
      </w:r>
      <w:r w:rsidRPr="00B5326E">
        <w:t xml:space="preserve">rogram components require accurate and current recording of (qualitative and quantitative) process and outcome data – for reporting, and to inform program planning. </w:t>
      </w:r>
    </w:p>
    <w:p w14:paraId="226C6588" w14:textId="77777777" w:rsidR="004C0865" w:rsidRDefault="004C0865" w:rsidP="00C227BA">
      <w:pPr>
        <w:spacing w:before="120" w:after="120"/>
      </w:pPr>
    </w:p>
    <w:p w14:paraId="25EDD880" w14:textId="68E72B51" w:rsidR="00F31612" w:rsidRPr="00B5326E" w:rsidRDefault="007B592F" w:rsidP="00C227BA">
      <w:pPr>
        <w:pStyle w:val="Heading2"/>
        <w:spacing w:before="120"/>
        <w:rPr>
          <w:rFonts w:asciiTheme="minorHAnsi" w:hAnsiTheme="minorHAnsi"/>
          <w:i w:val="0"/>
          <w:color w:val="548DD4" w:themeColor="text2" w:themeTint="99"/>
          <w:szCs w:val="24"/>
        </w:rPr>
      </w:pPr>
      <w:r w:rsidRPr="00B5326E">
        <w:rPr>
          <w:rFonts w:asciiTheme="minorHAnsi" w:hAnsiTheme="minorHAnsi"/>
          <w:i w:val="0"/>
          <w:color w:val="548DD4" w:themeColor="text2" w:themeTint="99"/>
          <w:szCs w:val="24"/>
        </w:rPr>
        <w:t>Sustainability</w:t>
      </w:r>
    </w:p>
    <w:p w14:paraId="3A72DF8A" w14:textId="3460D97F" w:rsidR="007B592F" w:rsidRPr="00B5326E" w:rsidRDefault="007B592F" w:rsidP="00C227BA">
      <w:pPr>
        <w:spacing w:before="120" w:after="120"/>
      </w:pPr>
      <w:r w:rsidRPr="00B5326E">
        <w:t xml:space="preserve">In </w:t>
      </w:r>
      <w:r w:rsidR="001C5676" w:rsidRPr="00B5326E">
        <w:t>a</w:t>
      </w:r>
      <w:r w:rsidRPr="00B5326E">
        <w:t xml:space="preserve"> development context, sustainability can be defined as the continuation of benefits after major assistance from a donor has been completed, with a concurrent focus on maintaining the flow of benefits into the future. Given this, the results and impact of the </w:t>
      </w:r>
      <w:r w:rsidR="0039030D">
        <w:t>P</w:t>
      </w:r>
      <w:r w:rsidRPr="00B5326E">
        <w:t>rogram should not necessarily be determined by the number of Australia Award</w:t>
      </w:r>
      <w:r w:rsidR="0043614F">
        <w:t>s</w:t>
      </w:r>
      <w:r w:rsidRPr="00B5326E">
        <w:t xml:space="preserve"> </w:t>
      </w:r>
      <w:r w:rsidR="0043614F">
        <w:t>S</w:t>
      </w:r>
      <w:r w:rsidRPr="00B5326E">
        <w:t>cholarships, Sh</w:t>
      </w:r>
      <w:r w:rsidR="009C2402" w:rsidRPr="00B5326E">
        <w:t>ort-term Training Courses, or T</w:t>
      </w:r>
      <w:r w:rsidRPr="00B5326E">
        <w:t>V</w:t>
      </w:r>
      <w:r w:rsidR="009C2402" w:rsidRPr="00B5326E">
        <w:t>E</w:t>
      </w:r>
      <w:r w:rsidRPr="00B5326E">
        <w:t xml:space="preserve">T opportunities offered, or by the number of agencies supported with HRD technical advice, volunteers, or partnerships with Australian institutions, but rather by the extent of contributions by individuals to the </w:t>
      </w:r>
      <w:r w:rsidR="00C864A3" w:rsidRPr="00B5326E">
        <w:t xml:space="preserve">increasing economic and social </w:t>
      </w:r>
      <w:r w:rsidRPr="00B5326E">
        <w:t xml:space="preserve">development of Vietnam. </w:t>
      </w:r>
    </w:p>
    <w:p w14:paraId="4C8F9D15" w14:textId="77777777" w:rsidR="00F27B1D" w:rsidRDefault="007B592F" w:rsidP="00C227BA">
      <w:pPr>
        <w:spacing w:before="120" w:after="120"/>
      </w:pPr>
      <w:r w:rsidRPr="00B5326E">
        <w:t>Such contributions are expected to have an ongoing, multiplying and life-long effect on a far wider range of colleagues and contacts – than on individual participants alone</w:t>
      </w:r>
      <w:r w:rsidR="0043614F">
        <w:t xml:space="preserve">. However, </w:t>
      </w:r>
      <w:r w:rsidRPr="00B5326E">
        <w:t>finding evidence for the broader organisational or sector impact arising from an individual’s improved capacity and skills and knowledge, is particularly challenging</w:t>
      </w:r>
      <w:r w:rsidR="0043614F">
        <w:t>.</w:t>
      </w:r>
    </w:p>
    <w:p w14:paraId="2AAF4438" w14:textId="3C8A1582" w:rsidR="007B592F" w:rsidRPr="00B5326E" w:rsidRDefault="007B592F" w:rsidP="00C227BA">
      <w:pPr>
        <w:spacing w:before="120" w:after="120"/>
      </w:pPr>
      <w:r w:rsidRPr="00B5326E">
        <w:t xml:space="preserve">Nevertheless, sustainability for the Australia Awards aspects of the Vietnam HRD program can be viewed in terms of the capacity of the awardees to use and transfer their new knowledge, and for the Awardees’ skills to be used effectively by their employing organisations. More efficient organisations will lead to stronger economic growth, better delivery of services to the population and a more resilient society. </w:t>
      </w:r>
    </w:p>
    <w:p w14:paraId="20D8E273" w14:textId="53CCA2DB" w:rsidR="007B592F" w:rsidRPr="00B5326E" w:rsidRDefault="0039030D" w:rsidP="00C227BA">
      <w:pPr>
        <w:spacing w:before="120" w:after="120"/>
      </w:pPr>
      <w:r>
        <w:t>Accordingly, the P</w:t>
      </w:r>
      <w:r w:rsidR="007B592F" w:rsidRPr="00B5326E">
        <w:t xml:space="preserve">rogram design includes strengthened approaches for: </w:t>
      </w:r>
    </w:p>
    <w:p w14:paraId="3B7421E8" w14:textId="76F46E6D" w:rsidR="007B592F" w:rsidRPr="00B5326E" w:rsidRDefault="007B592F" w:rsidP="00C227BA">
      <w:pPr>
        <w:pStyle w:val="ListParagraph"/>
        <w:numPr>
          <w:ilvl w:val="0"/>
          <w:numId w:val="14"/>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better targeting of Australia Award</w:t>
      </w:r>
      <w:r w:rsidR="0043614F">
        <w:rPr>
          <w:rFonts w:asciiTheme="minorHAnsi" w:hAnsiTheme="minorHAnsi"/>
          <w:sz w:val="24"/>
          <w:szCs w:val="24"/>
          <w:lang w:val="en-AU"/>
        </w:rPr>
        <w:t>s</w:t>
      </w:r>
      <w:r w:rsidRPr="00B5326E">
        <w:rPr>
          <w:rFonts w:asciiTheme="minorHAnsi" w:hAnsiTheme="minorHAnsi"/>
          <w:sz w:val="24"/>
          <w:szCs w:val="24"/>
          <w:lang w:val="en-AU"/>
        </w:rPr>
        <w:t xml:space="preserve"> candidates, and improved prioritisation of target agencies and organisations and priority sectors; </w:t>
      </w:r>
    </w:p>
    <w:p w14:paraId="714589BC" w14:textId="77777777" w:rsidR="007B592F" w:rsidRPr="00B5326E" w:rsidRDefault="007B592F" w:rsidP="00C227BA">
      <w:pPr>
        <w:pStyle w:val="ListParagraph"/>
        <w:numPr>
          <w:ilvl w:val="0"/>
          <w:numId w:val="14"/>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 xml:space="preserve">consultations with NGOs/ CSOs and the private sector to identify their priority areas of need, thus helping to increase the relevance of the training provided for the whole of society; </w:t>
      </w:r>
    </w:p>
    <w:p w14:paraId="13C1E3F1" w14:textId="77777777" w:rsidR="007B592F" w:rsidRPr="00B5326E" w:rsidRDefault="007B592F" w:rsidP="00C227BA">
      <w:pPr>
        <w:pStyle w:val="ListParagraph"/>
        <w:numPr>
          <w:ilvl w:val="0"/>
          <w:numId w:val="14"/>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 xml:space="preserve">structuring individual support for alumni prior to and once they return to the workforce; </w:t>
      </w:r>
    </w:p>
    <w:p w14:paraId="105244BC" w14:textId="050F0584" w:rsidR="007B592F" w:rsidRPr="00B5326E" w:rsidRDefault="007B592F" w:rsidP="00C227BA">
      <w:pPr>
        <w:pStyle w:val="ListParagraph"/>
        <w:numPr>
          <w:ilvl w:val="0"/>
          <w:numId w:val="14"/>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targeting organisations for direct HRD support which have a clear and proactive enabling environment for skill utilisation, particularly for (currently undervalued and underused human resources) – women</w:t>
      </w:r>
      <w:r w:rsidR="00163CD9">
        <w:rPr>
          <w:rFonts w:asciiTheme="minorHAnsi" w:hAnsiTheme="minorHAnsi"/>
          <w:sz w:val="24"/>
          <w:szCs w:val="24"/>
          <w:lang w:val="en-AU"/>
        </w:rPr>
        <w:t xml:space="preserve"> and people with disability; </w:t>
      </w:r>
    </w:p>
    <w:p w14:paraId="3F238BE8" w14:textId="65978553" w:rsidR="007B592F" w:rsidRPr="00B5326E" w:rsidRDefault="007B592F" w:rsidP="00C227BA">
      <w:pPr>
        <w:pStyle w:val="ListParagraph"/>
        <w:numPr>
          <w:ilvl w:val="0"/>
          <w:numId w:val="14"/>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offering support for other alumni activities that provide professional development opportunities and enable / encourage alumni to maintain professional and social networks and</w:t>
      </w:r>
      <w:r w:rsidR="00163CD9">
        <w:rPr>
          <w:rFonts w:asciiTheme="minorHAnsi" w:hAnsiTheme="minorHAnsi"/>
          <w:sz w:val="24"/>
          <w:szCs w:val="24"/>
          <w:lang w:val="en-AU"/>
        </w:rPr>
        <w:t xml:space="preserve"> linkages across organisations; and</w:t>
      </w:r>
    </w:p>
    <w:p w14:paraId="002F5DBB" w14:textId="7F59D1B0" w:rsidR="00A4302F" w:rsidRPr="00B5326E" w:rsidRDefault="00A4302F" w:rsidP="00C227BA">
      <w:pPr>
        <w:pStyle w:val="ListParagraph"/>
        <w:numPr>
          <w:ilvl w:val="0"/>
          <w:numId w:val="14"/>
        </w:numPr>
        <w:spacing w:line="240" w:lineRule="auto"/>
        <w:contextualSpacing w:val="0"/>
        <w:rPr>
          <w:rFonts w:asciiTheme="minorHAnsi" w:hAnsiTheme="minorHAnsi"/>
          <w:sz w:val="24"/>
          <w:szCs w:val="24"/>
          <w:lang w:val="en-AU"/>
        </w:rPr>
      </w:pPr>
      <w:r w:rsidRPr="00B5326E">
        <w:rPr>
          <w:rFonts w:asciiTheme="minorHAnsi" w:hAnsiTheme="minorHAnsi"/>
          <w:sz w:val="24"/>
          <w:szCs w:val="24"/>
          <w:lang w:val="en-AU"/>
        </w:rPr>
        <w:t>w</w:t>
      </w:r>
      <w:r w:rsidR="007B592F" w:rsidRPr="00B5326E">
        <w:rPr>
          <w:rFonts w:asciiTheme="minorHAnsi" w:hAnsiTheme="minorHAnsi"/>
          <w:sz w:val="24"/>
          <w:szCs w:val="24"/>
          <w:lang w:val="en-AU"/>
        </w:rPr>
        <w:t xml:space="preserve">ithin the agreed priority sectors, the program will also work towards achieving overall sustainability goals, through providing industry-based and-specific training on the sustainable management of </w:t>
      </w:r>
      <w:r w:rsidR="00B1540F" w:rsidRPr="00B5326E">
        <w:rPr>
          <w:rFonts w:asciiTheme="minorHAnsi" w:hAnsiTheme="minorHAnsi"/>
          <w:sz w:val="24"/>
          <w:szCs w:val="24"/>
          <w:lang w:val="en-AU"/>
        </w:rPr>
        <w:t xml:space="preserve">Vietnam’s human and natural </w:t>
      </w:r>
      <w:r w:rsidR="007B592F" w:rsidRPr="00B5326E">
        <w:rPr>
          <w:rFonts w:asciiTheme="minorHAnsi" w:hAnsiTheme="minorHAnsi"/>
          <w:sz w:val="24"/>
          <w:szCs w:val="24"/>
          <w:lang w:val="en-AU"/>
        </w:rPr>
        <w:t xml:space="preserve">resources, as a key factor critical to successful, long-term development. </w:t>
      </w:r>
    </w:p>
    <w:p w14:paraId="7480A9DD" w14:textId="63D9C411" w:rsidR="0043614F" w:rsidRDefault="007B592F" w:rsidP="00F27B1D">
      <w:pPr>
        <w:spacing w:before="120" w:after="120"/>
        <w:ind w:left="360"/>
      </w:pPr>
      <w:r w:rsidRPr="00B5326E">
        <w:t xml:space="preserve">Across all </w:t>
      </w:r>
      <w:r w:rsidR="005A7F62" w:rsidRPr="00B5326E">
        <w:t xml:space="preserve">priority </w:t>
      </w:r>
      <w:r w:rsidRPr="00B5326E">
        <w:t xml:space="preserve">sectors, the program aims to develop skills and systems that support greater and more equitable benefits of an increasingly robust Vietnamese economy, in ways that provide greater social and community benefits.  </w:t>
      </w:r>
    </w:p>
    <w:p w14:paraId="3443A93A" w14:textId="77777777" w:rsidR="00F27B1D" w:rsidRDefault="00F27B1D" w:rsidP="00F27B1D">
      <w:pPr>
        <w:spacing w:before="120" w:after="120"/>
        <w:ind w:left="360"/>
      </w:pPr>
    </w:p>
    <w:p w14:paraId="6BAB5472" w14:textId="5F1B8768" w:rsidR="00F31612" w:rsidRPr="00B5326E" w:rsidRDefault="00F31612" w:rsidP="00C227BA">
      <w:pPr>
        <w:pStyle w:val="Heading2"/>
        <w:spacing w:before="120"/>
        <w:rPr>
          <w:rFonts w:asciiTheme="minorHAnsi" w:hAnsiTheme="minorHAnsi"/>
          <w:i w:val="0"/>
          <w:color w:val="548DD4" w:themeColor="text2" w:themeTint="99"/>
          <w:szCs w:val="24"/>
        </w:rPr>
      </w:pPr>
      <w:r w:rsidRPr="00B5326E">
        <w:rPr>
          <w:rFonts w:asciiTheme="minorHAnsi" w:hAnsiTheme="minorHAnsi"/>
          <w:i w:val="0"/>
          <w:color w:val="548DD4" w:themeColor="text2" w:themeTint="99"/>
          <w:szCs w:val="24"/>
        </w:rPr>
        <w:t>Inclusiveness</w:t>
      </w:r>
    </w:p>
    <w:p w14:paraId="4B9E542B" w14:textId="2A8E336E" w:rsidR="0079601C" w:rsidRPr="00B5326E" w:rsidRDefault="0079601C" w:rsidP="00C227BA">
      <w:pPr>
        <w:spacing w:before="120" w:after="120"/>
      </w:pPr>
      <w:r w:rsidRPr="00B5326E">
        <w:t>The current phase of the Vietnam HRD Program has been justly praised for its achievements in promoting equity, and for ensuring that its rhetoric is matched by adequate resourcing and well considered procedures. The new phase will institutionali</w:t>
      </w:r>
      <w:r w:rsidR="00902E16">
        <w:t>s</w:t>
      </w:r>
      <w:r w:rsidRPr="00B5326E">
        <w:t>e a number of measures to ensure the ongoing commitment to the participation and positive outcomes for women on equal terms to men, people with disability and people from ethnic minority groups:</w:t>
      </w:r>
    </w:p>
    <w:p w14:paraId="140FC2CD" w14:textId="668CC141" w:rsidR="0079601C" w:rsidRPr="00B5326E" w:rsidRDefault="0079601C" w:rsidP="00C227BA">
      <w:pPr>
        <w:pStyle w:val="ListParagraph"/>
        <w:numPr>
          <w:ilvl w:val="0"/>
          <w:numId w:val="15"/>
        </w:numPr>
        <w:spacing w:line="240" w:lineRule="auto"/>
        <w:contextualSpacing w:val="0"/>
        <w:rPr>
          <w:rFonts w:asciiTheme="minorHAnsi" w:eastAsiaTheme="minorEastAsia" w:hAnsiTheme="minorHAnsi" w:cstheme="minorBidi"/>
          <w:sz w:val="24"/>
          <w:szCs w:val="24"/>
          <w:lang w:val="en-AU" w:eastAsia="en-US"/>
        </w:rPr>
      </w:pPr>
      <w:r w:rsidRPr="00B5326E">
        <w:rPr>
          <w:rFonts w:asciiTheme="minorHAnsi" w:eastAsiaTheme="minorEastAsia" w:hAnsiTheme="minorHAnsi" w:cstheme="minorBidi"/>
          <w:sz w:val="24"/>
          <w:szCs w:val="24"/>
          <w:lang w:val="en-AU" w:eastAsia="en-US"/>
        </w:rPr>
        <w:t xml:space="preserve">The introduction of a Gender Equality and Social Inclusion Adviser as a formal member of the </w:t>
      </w:r>
      <w:r w:rsidR="002147BF" w:rsidRPr="00B5326E">
        <w:rPr>
          <w:rFonts w:asciiTheme="minorHAnsi" w:eastAsiaTheme="minorEastAsia" w:hAnsiTheme="minorHAnsi" w:cstheme="minorBidi"/>
          <w:sz w:val="24"/>
          <w:szCs w:val="24"/>
          <w:lang w:val="en-AU" w:eastAsia="en-US"/>
        </w:rPr>
        <w:t>C</w:t>
      </w:r>
      <w:r w:rsidRPr="00B5326E">
        <w:rPr>
          <w:rFonts w:asciiTheme="minorHAnsi" w:eastAsiaTheme="minorEastAsia" w:hAnsiTheme="minorHAnsi" w:cstheme="minorBidi"/>
          <w:sz w:val="24"/>
          <w:szCs w:val="24"/>
          <w:lang w:val="en-AU" w:eastAsia="en-US"/>
        </w:rPr>
        <w:t>ontractor</w:t>
      </w:r>
      <w:r w:rsidR="002147BF" w:rsidRPr="00B5326E">
        <w:rPr>
          <w:rFonts w:asciiTheme="minorHAnsi" w:eastAsiaTheme="minorEastAsia" w:hAnsiTheme="minorHAnsi" w:cstheme="minorBidi"/>
          <w:sz w:val="24"/>
          <w:szCs w:val="24"/>
          <w:lang w:val="en-AU" w:eastAsia="en-US"/>
        </w:rPr>
        <w:t>’s</w:t>
      </w:r>
      <w:r w:rsidRPr="00B5326E">
        <w:rPr>
          <w:rFonts w:asciiTheme="minorHAnsi" w:eastAsiaTheme="minorEastAsia" w:hAnsiTheme="minorHAnsi" w:cstheme="minorBidi"/>
          <w:sz w:val="24"/>
          <w:szCs w:val="24"/>
          <w:lang w:val="en-AU" w:eastAsia="en-US"/>
        </w:rPr>
        <w:t xml:space="preserve"> team.</w:t>
      </w:r>
    </w:p>
    <w:p w14:paraId="3BB0E965" w14:textId="77774B13" w:rsidR="0079601C" w:rsidRPr="00B5326E" w:rsidRDefault="0079601C" w:rsidP="00C227BA">
      <w:pPr>
        <w:pStyle w:val="ListParagraph"/>
        <w:numPr>
          <w:ilvl w:val="0"/>
          <w:numId w:val="15"/>
        </w:numPr>
        <w:spacing w:line="240" w:lineRule="auto"/>
        <w:contextualSpacing w:val="0"/>
        <w:rPr>
          <w:rFonts w:asciiTheme="minorHAnsi" w:eastAsiaTheme="minorEastAsia" w:hAnsiTheme="minorHAnsi" w:cstheme="minorBidi"/>
          <w:sz w:val="24"/>
          <w:szCs w:val="24"/>
          <w:lang w:val="en-AU" w:eastAsia="en-US"/>
        </w:rPr>
      </w:pPr>
      <w:r w:rsidRPr="00B5326E">
        <w:rPr>
          <w:rFonts w:asciiTheme="minorHAnsi" w:eastAsiaTheme="minorEastAsia" w:hAnsiTheme="minorHAnsi" w:cstheme="minorBidi"/>
          <w:sz w:val="24"/>
          <w:szCs w:val="24"/>
          <w:lang w:val="en-AU" w:eastAsia="en-US"/>
        </w:rPr>
        <w:t xml:space="preserve">The maintenance of the Equity of Access Fund, and corresponding support </w:t>
      </w:r>
      <w:r w:rsidR="00C227BA">
        <w:rPr>
          <w:rFonts w:asciiTheme="minorHAnsi" w:eastAsiaTheme="minorEastAsia" w:hAnsiTheme="minorHAnsi" w:cstheme="minorBidi"/>
          <w:sz w:val="24"/>
          <w:szCs w:val="24"/>
          <w:lang w:val="en-AU" w:eastAsia="en-US"/>
        </w:rPr>
        <w:t>to help achieve 2</w:t>
      </w:r>
      <w:r w:rsidRPr="00B5326E">
        <w:rPr>
          <w:rFonts w:asciiTheme="minorHAnsi" w:eastAsiaTheme="minorEastAsia" w:hAnsiTheme="minorHAnsi" w:cstheme="minorBidi"/>
          <w:sz w:val="24"/>
          <w:szCs w:val="24"/>
          <w:lang w:val="en-AU" w:eastAsia="en-US"/>
        </w:rPr>
        <w:t xml:space="preserve">0% </w:t>
      </w:r>
      <w:r w:rsidR="00C227BA">
        <w:rPr>
          <w:rFonts w:asciiTheme="minorHAnsi" w:eastAsiaTheme="minorEastAsia" w:hAnsiTheme="minorHAnsi" w:cstheme="minorBidi"/>
          <w:sz w:val="24"/>
          <w:szCs w:val="24"/>
          <w:lang w:val="en-AU" w:eastAsia="en-US"/>
        </w:rPr>
        <w:t xml:space="preserve">representation of people with disability and rural disadvantaged </w:t>
      </w:r>
      <w:r w:rsidRPr="00B5326E">
        <w:rPr>
          <w:rFonts w:asciiTheme="minorHAnsi" w:eastAsiaTheme="minorEastAsia" w:hAnsiTheme="minorHAnsi" w:cstheme="minorBidi"/>
          <w:sz w:val="24"/>
          <w:szCs w:val="24"/>
          <w:lang w:val="en-AU" w:eastAsia="en-US"/>
        </w:rPr>
        <w:t>of total awardees.</w:t>
      </w:r>
    </w:p>
    <w:p w14:paraId="0CF6A701" w14:textId="25B7E1F8" w:rsidR="0079601C" w:rsidRPr="00B5326E" w:rsidRDefault="0079601C" w:rsidP="00C227BA">
      <w:pPr>
        <w:pStyle w:val="ListParagraph"/>
        <w:numPr>
          <w:ilvl w:val="0"/>
          <w:numId w:val="15"/>
        </w:numPr>
        <w:spacing w:line="240" w:lineRule="auto"/>
        <w:contextualSpacing w:val="0"/>
        <w:rPr>
          <w:rFonts w:asciiTheme="minorHAnsi" w:eastAsiaTheme="minorEastAsia" w:hAnsiTheme="minorHAnsi" w:cstheme="minorBidi"/>
          <w:sz w:val="24"/>
          <w:szCs w:val="24"/>
          <w:lang w:val="en-AU" w:eastAsia="en-US"/>
        </w:rPr>
      </w:pPr>
      <w:r w:rsidRPr="00B5326E">
        <w:rPr>
          <w:rFonts w:asciiTheme="minorHAnsi" w:eastAsiaTheme="minorEastAsia" w:hAnsiTheme="minorHAnsi" w:cstheme="minorBidi"/>
          <w:sz w:val="24"/>
          <w:szCs w:val="24"/>
          <w:lang w:val="en-AU" w:eastAsia="en-US"/>
        </w:rPr>
        <w:t>Disaggregation of core program objectives and indicators so that results can be tracked by sex, disability, rural location</w:t>
      </w:r>
      <w:r w:rsidR="00C227BA">
        <w:rPr>
          <w:rFonts w:asciiTheme="minorHAnsi" w:eastAsiaTheme="minorEastAsia" w:hAnsiTheme="minorHAnsi" w:cstheme="minorBidi"/>
          <w:sz w:val="24"/>
          <w:szCs w:val="24"/>
          <w:lang w:val="en-AU" w:eastAsia="en-US"/>
        </w:rPr>
        <w:t>, and ethnic group</w:t>
      </w:r>
      <w:r w:rsidRPr="00B5326E">
        <w:rPr>
          <w:rFonts w:asciiTheme="minorHAnsi" w:eastAsiaTheme="minorEastAsia" w:hAnsiTheme="minorHAnsi" w:cstheme="minorBidi"/>
          <w:sz w:val="24"/>
          <w:szCs w:val="24"/>
          <w:lang w:val="en-AU" w:eastAsia="en-US"/>
        </w:rPr>
        <w:t xml:space="preserve">. </w:t>
      </w:r>
    </w:p>
    <w:p w14:paraId="6D7186A3" w14:textId="77777777" w:rsidR="0079601C" w:rsidRPr="00B5326E" w:rsidRDefault="0079601C" w:rsidP="00C227BA">
      <w:pPr>
        <w:pStyle w:val="ListParagraph"/>
        <w:numPr>
          <w:ilvl w:val="0"/>
          <w:numId w:val="15"/>
        </w:numPr>
        <w:spacing w:line="240" w:lineRule="auto"/>
        <w:contextualSpacing w:val="0"/>
        <w:rPr>
          <w:rFonts w:asciiTheme="minorHAnsi" w:eastAsiaTheme="minorEastAsia" w:hAnsiTheme="minorHAnsi" w:cstheme="minorBidi"/>
          <w:sz w:val="24"/>
          <w:szCs w:val="24"/>
          <w:lang w:val="en-AU" w:eastAsia="en-US"/>
        </w:rPr>
      </w:pPr>
      <w:r w:rsidRPr="00B5326E">
        <w:rPr>
          <w:rFonts w:asciiTheme="minorHAnsi" w:eastAsiaTheme="minorEastAsia" w:hAnsiTheme="minorHAnsi" w:cstheme="minorBidi"/>
          <w:sz w:val="24"/>
          <w:szCs w:val="24"/>
          <w:lang w:val="en-AU" w:eastAsia="en-US"/>
        </w:rPr>
        <w:t>Consideration of support to the Center for Women in Politics and Public Administration (WiPPA) to promote gender equitable leadership in public sector organisational culture within the premier political academy in Vietnam.</w:t>
      </w:r>
    </w:p>
    <w:p w14:paraId="3746FAAD" w14:textId="77777777" w:rsidR="0079601C" w:rsidRPr="00B5326E" w:rsidRDefault="0079601C" w:rsidP="00C227BA">
      <w:pPr>
        <w:pStyle w:val="ListParagraph"/>
        <w:numPr>
          <w:ilvl w:val="0"/>
          <w:numId w:val="15"/>
        </w:numPr>
        <w:spacing w:line="240" w:lineRule="auto"/>
        <w:contextualSpacing w:val="0"/>
        <w:rPr>
          <w:rFonts w:asciiTheme="minorHAnsi" w:eastAsiaTheme="minorEastAsia" w:hAnsiTheme="minorHAnsi" w:cstheme="minorBidi"/>
          <w:sz w:val="24"/>
          <w:szCs w:val="24"/>
          <w:lang w:val="en-AU" w:eastAsia="en-US"/>
        </w:rPr>
      </w:pPr>
      <w:r w:rsidRPr="00B5326E">
        <w:rPr>
          <w:rFonts w:asciiTheme="minorHAnsi" w:eastAsiaTheme="minorEastAsia" w:hAnsiTheme="minorHAnsi" w:cstheme="minorBidi"/>
          <w:sz w:val="24"/>
          <w:szCs w:val="24"/>
          <w:lang w:val="en-AU" w:eastAsia="en-US"/>
        </w:rPr>
        <w:t>The involvement of spouses and families in pre-departure and reintegration activities to support family adjustment and shared responsibilities, and positive perceptions of women’s career and leadership pursuits.</w:t>
      </w:r>
    </w:p>
    <w:p w14:paraId="4091C610" w14:textId="77777777" w:rsidR="00B4633D" w:rsidRDefault="0079601C" w:rsidP="00C227BA">
      <w:pPr>
        <w:pStyle w:val="ListParagraph"/>
        <w:numPr>
          <w:ilvl w:val="0"/>
          <w:numId w:val="15"/>
        </w:numPr>
        <w:spacing w:line="240" w:lineRule="auto"/>
        <w:contextualSpacing w:val="0"/>
        <w:rPr>
          <w:rFonts w:asciiTheme="minorHAnsi" w:eastAsiaTheme="minorEastAsia" w:hAnsiTheme="minorHAnsi" w:cstheme="minorBidi"/>
          <w:sz w:val="24"/>
          <w:szCs w:val="24"/>
          <w:lang w:val="en-AU" w:eastAsia="en-US"/>
        </w:rPr>
      </w:pPr>
      <w:r w:rsidRPr="00B5326E">
        <w:rPr>
          <w:rFonts w:asciiTheme="minorHAnsi" w:eastAsiaTheme="minorEastAsia" w:hAnsiTheme="minorHAnsi" w:cstheme="minorBidi"/>
          <w:sz w:val="24"/>
          <w:szCs w:val="24"/>
          <w:lang w:val="en-AU" w:eastAsia="en-US"/>
        </w:rPr>
        <w:t>The delivery of short courses on leadership for men and women, to promote experiential learning of unconscious bias and gender equitable leadership.</w:t>
      </w:r>
    </w:p>
    <w:p w14:paraId="73BD5583" w14:textId="33683C0A" w:rsidR="00B4633D" w:rsidRDefault="00B4633D" w:rsidP="00C227BA">
      <w:pPr>
        <w:spacing w:before="120" w:after="120"/>
      </w:pPr>
      <w:r w:rsidRPr="00C227BA">
        <w:t>Given the new phase will be more closely aligned with the AIP sectors, a review of the sex ratio of awards will be undertaken at the end of the 2016 round and consideration be given to setting a minimum threshold (e.g. 30%) for both male or female applicants.</w:t>
      </w:r>
    </w:p>
    <w:p w14:paraId="22BFE2E0" w14:textId="77777777" w:rsidR="00F27B1D" w:rsidRPr="00B4633D" w:rsidRDefault="00F27B1D" w:rsidP="00C227BA">
      <w:pPr>
        <w:spacing w:before="120" w:after="120"/>
      </w:pPr>
    </w:p>
    <w:p w14:paraId="2B829D2A" w14:textId="77777777" w:rsidR="006C2B73" w:rsidRPr="00B5326E" w:rsidRDefault="006C2B73" w:rsidP="00C227BA">
      <w:pPr>
        <w:pStyle w:val="Heading2"/>
        <w:spacing w:before="120"/>
        <w:rPr>
          <w:rFonts w:asciiTheme="minorHAnsi" w:hAnsiTheme="minorHAnsi"/>
          <w:i w:val="0"/>
          <w:color w:val="548DD4" w:themeColor="text2" w:themeTint="99"/>
          <w:szCs w:val="24"/>
        </w:rPr>
      </w:pPr>
      <w:r w:rsidRPr="00B5326E">
        <w:rPr>
          <w:rFonts w:asciiTheme="minorHAnsi" w:hAnsiTheme="minorHAnsi"/>
          <w:i w:val="0"/>
          <w:color w:val="548DD4" w:themeColor="text2" w:themeTint="99"/>
          <w:szCs w:val="24"/>
        </w:rPr>
        <w:t>Environmental Management</w:t>
      </w:r>
    </w:p>
    <w:p w14:paraId="7FA66D08" w14:textId="34F48C0A" w:rsidR="006C2B73" w:rsidRPr="00B5326E" w:rsidRDefault="00050917" w:rsidP="00C227BA">
      <w:pPr>
        <w:spacing w:before="120" w:after="120"/>
      </w:pPr>
      <w:r w:rsidRPr="00B5326E">
        <w:t>I</w:t>
      </w:r>
      <w:r w:rsidR="006C2B73" w:rsidRPr="00B5326E">
        <w:t>t is unlikely the Contractor</w:t>
      </w:r>
      <w:r w:rsidRPr="00B5326E">
        <w:t xml:space="preserve"> will have direct involvement with </w:t>
      </w:r>
      <w:r w:rsidR="006C2B73" w:rsidRPr="00B5326E">
        <w:t xml:space="preserve">activities </w:t>
      </w:r>
      <w:r w:rsidRPr="00B5326E">
        <w:t xml:space="preserve">that have </w:t>
      </w:r>
      <w:r w:rsidR="006C2B73" w:rsidRPr="00B5326E">
        <w:t>significant environmental impact</w:t>
      </w:r>
      <w:r w:rsidRPr="00B5326E">
        <w:t xml:space="preserve">. Nevertheless, the Contractor is expected to be cognisant of DFAT’s </w:t>
      </w:r>
      <w:r w:rsidRPr="00B5326E">
        <w:rPr>
          <w:i/>
        </w:rPr>
        <w:t>Environmental Management Guide for Australia’s Aid Program, 2012</w:t>
      </w:r>
      <w:r w:rsidRPr="00B5326E">
        <w:t xml:space="preserve">, which provides for the assessment, management and mitigation of potential environmental impacts to be incorporated into Australia’s aid activities. </w:t>
      </w:r>
    </w:p>
    <w:p w14:paraId="2E16EC43" w14:textId="603A7853" w:rsidR="00050917" w:rsidRDefault="00050917" w:rsidP="00C227BA">
      <w:pPr>
        <w:spacing w:before="120" w:after="120"/>
      </w:pPr>
      <w:r w:rsidRPr="00902E16">
        <w:t xml:space="preserve">The most likely instance might occur in the design and content of STT </w:t>
      </w:r>
      <w:proofErr w:type="gramStart"/>
      <w:r w:rsidRPr="00902E16">
        <w:t>courses</w:t>
      </w:r>
      <w:r w:rsidR="000958AD" w:rsidRPr="00902E16">
        <w:t>,</w:t>
      </w:r>
      <w:proofErr w:type="gramEnd"/>
      <w:r w:rsidR="000958AD" w:rsidRPr="00902E16">
        <w:t xml:space="preserve"> particularly training that has</w:t>
      </w:r>
      <w:r w:rsidRPr="00902E16">
        <w:t xml:space="preserve"> relevance</w:t>
      </w:r>
      <w:r w:rsidR="000958AD" w:rsidRPr="00902E16">
        <w:t>, for example,</w:t>
      </w:r>
      <w:r w:rsidRPr="00902E16">
        <w:t xml:space="preserve"> to disaster </w:t>
      </w:r>
      <w:r w:rsidR="000958AD" w:rsidRPr="00902E16">
        <w:t>risk management, climate change and agriculture.</w:t>
      </w:r>
    </w:p>
    <w:p w14:paraId="366F65D2" w14:textId="77777777" w:rsidR="00F27B1D" w:rsidRPr="00902E16" w:rsidRDefault="00F27B1D" w:rsidP="00C227BA">
      <w:pPr>
        <w:spacing w:before="120" w:after="120"/>
      </w:pPr>
    </w:p>
    <w:p w14:paraId="1BCDB5C6" w14:textId="77777777" w:rsidR="00F31612" w:rsidRPr="00EA76FF" w:rsidRDefault="00F31612" w:rsidP="00C227BA">
      <w:pPr>
        <w:pStyle w:val="Heading2"/>
        <w:spacing w:before="120"/>
        <w:rPr>
          <w:rFonts w:asciiTheme="minorHAnsi" w:hAnsiTheme="minorHAnsi"/>
          <w:i w:val="0"/>
          <w:color w:val="548DD4" w:themeColor="text2" w:themeTint="99"/>
          <w:szCs w:val="24"/>
        </w:rPr>
      </w:pPr>
      <w:r w:rsidRPr="003B74ED">
        <w:rPr>
          <w:rFonts w:asciiTheme="minorHAnsi" w:hAnsiTheme="minorHAnsi"/>
          <w:i w:val="0"/>
          <w:color w:val="548DD4" w:themeColor="text2" w:themeTint="99"/>
          <w:szCs w:val="24"/>
        </w:rPr>
        <w:t>Risk Management</w:t>
      </w:r>
    </w:p>
    <w:p w14:paraId="720974C6" w14:textId="15F50FEC" w:rsidR="002F0CC5" w:rsidRPr="007A6D7C" w:rsidRDefault="00BD1CA0" w:rsidP="00C227BA">
      <w:pPr>
        <w:spacing w:before="120" w:after="120"/>
      </w:pPr>
      <w:r w:rsidRPr="00314297">
        <w:t xml:space="preserve">There are a number of risks associated with the </w:t>
      </w:r>
      <w:r w:rsidR="0039030D">
        <w:t>Program</w:t>
      </w:r>
      <w:r w:rsidR="0039388C" w:rsidRPr="00B42B3E">
        <w:t xml:space="preserve"> </w:t>
      </w:r>
      <w:r w:rsidRPr="008C2305">
        <w:t xml:space="preserve">listed in the Risk </w:t>
      </w:r>
      <w:r w:rsidR="0039388C">
        <w:t>Register</w:t>
      </w:r>
      <w:r w:rsidRPr="008C2305">
        <w:t>, Annex 1</w:t>
      </w:r>
      <w:r w:rsidR="00C227BA">
        <w:t>4</w:t>
      </w:r>
      <w:r w:rsidRPr="008C2305">
        <w:t xml:space="preserve">.  </w:t>
      </w:r>
      <w:r w:rsidR="00D64982" w:rsidRPr="001A0CDA">
        <w:t>Risks</w:t>
      </w:r>
      <w:r w:rsidR="0016743C" w:rsidRPr="001A0CDA">
        <w:t xml:space="preserve"> need to be monitored regularly, balanc</w:t>
      </w:r>
      <w:r w:rsidR="0016743C" w:rsidRPr="004E1408">
        <w:t xml:space="preserve">ed against the likely benefits, </w:t>
      </w:r>
      <w:r w:rsidR="00D64982" w:rsidRPr="004E1408">
        <w:t>and risk levels and/or strategies adjusted accordingly.</w:t>
      </w:r>
      <w:r w:rsidR="002F0CC5" w:rsidRPr="007A6D7C">
        <w:t xml:space="preserve"> </w:t>
      </w:r>
    </w:p>
    <w:p w14:paraId="62876FDE" w14:textId="77777777" w:rsidR="00F27B1D" w:rsidRDefault="0099706A" w:rsidP="00C227BA">
      <w:pPr>
        <w:spacing w:before="120" w:after="120"/>
      </w:pPr>
      <w:r w:rsidRPr="00B379A4">
        <w:t xml:space="preserve">During the </w:t>
      </w:r>
      <w:r w:rsidR="002F0CC5" w:rsidRPr="00FA40AE">
        <w:t>I</w:t>
      </w:r>
      <w:r w:rsidRPr="00F4554A">
        <w:t>nception phase the Contractor will develop a more comprehensive risk management plan. That risk management plan will be reviewed an</w:t>
      </w:r>
      <w:r w:rsidR="0016743C" w:rsidRPr="00B31B3E">
        <w:t>d</w:t>
      </w:r>
      <w:r w:rsidRPr="00274EF2">
        <w:t xml:space="preserve"> updated annually as part of the annual planning process.</w:t>
      </w:r>
      <w:r w:rsidR="00F6410E" w:rsidRPr="00F233A7">
        <w:t xml:space="preserve"> </w:t>
      </w:r>
      <w:r w:rsidR="002F0CC5" w:rsidRPr="004744D3">
        <w:t>Potential r</w:t>
      </w:r>
      <w:r w:rsidR="00F31612" w:rsidRPr="00AF245E">
        <w:t>isks include developmental risks where the program’s development goals are not achieved, risks to DFAT</w:t>
      </w:r>
      <w:r w:rsidR="005D114B" w:rsidRPr="00816AF1">
        <w:t xml:space="preserve"> and Australia’</w:t>
      </w:r>
      <w:r w:rsidR="00F31612" w:rsidRPr="00FE136A">
        <w:t xml:space="preserve">s reputation locally and internationally and fiduciary risks. </w:t>
      </w:r>
    </w:p>
    <w:p w14:paraId="37663674" w14:textId="1949E56A" w:rsidR="0039388C" w:rsidRDefault="002F0CC5" w:rsidP="00C227BA">
      <w:pPr>
        <w:spacing w:before="120" w:after="120"/>
      </w:pPr>
      <w:r w:rsidRPr="00FA5F0F">
        <w:t>The design focuses on in-Vietnam activities, cost and risk</w:t>
      </w:r>
      <w:r w:rsidRPr="00C227BA">
        <w:rPr>
          <w:sz w:val="16"/>
          <w:szCs w:val="16"/>
        </w:rPr>
        <w:footnoteReference w:id="58"/>
      </w:r>
      <w:r w:rsidRPr="003B74ED">
        <w:t xml:space="preserve">. Overall, the risk assessment of </w:t>
      </w:r>
      <w:r w:rsidR="0039030D">
        <w:t>Program</w:t>
      </w:r>
      <w:r w:rsidRPr="003B74ED">
        <w:t xml:space="preserve"> is low. Australia Awards, accou</w:t>
      </w:r>
      <w:r w:rsidR="0016743C" w:rsidRPr="00EA76FF">
        <w:t>n</w:t>
      </w:r>
      <w:r w:rsidRPr="00314297">
        <w:t xml:space="preserve">ting for </w:t>
      </w:r>
      <w:r w:rsidR="00BA54C7">
        <w:t xml:space="preserve">around </w:t>
      </w:r>
      <w:r w:rsidRPr="00314297">
        <w:t>80</w:t>
      </w:r>
      <w:r w:rsidR="00BA54C7">
        <w:t xml:space="preserve"> per cent</w:t>
      </w:r>
      <w:r w:rsidRPr="00314297">
        <w:t xml:space="preserve"> of the program, are delivered through well-established procedures, and a transparent tender process will source an </w:t>
      </w:r>
      <w:r w:rsidRPr="00B42B3E">
        <w:t>experienced contractor, with quality assurance proces</w:t>
      </w:r>
      <w:r w:rsidR="0016743C" w:rsidRPr="008C2305">
        <w:t xml:space="preserve">ses in place.  </w:t>
      </w:r>
      <w:r w:rsidR="004B2414" w:rsidRPr="001A0CDA">
        <w:t>Provided</w:t>
      </w:r>
      <w:r w:rsidR="0016743C" w:rsidRPr="001A0CDA">
        <w:t xml:space="preserve"> senior Contractor management ensure adherence to practices formali</w:t>
      </w:r>
      <w:r w:rsidR="00902E16">
        <w:t>s</w:t>
      </w:r>
      <w:r w:rsidR="0016743C" w:rsidRPr="001A0CDA">
        <w:t xml:space="preserve">ed </w:t>
      </w:r>
      <w:r w:rsidR="00F31612" w:rsidRPr="004E1408">
        <w:t>in th</w:t>
      </w:r>
      <w:r w:rsidR="004B2414" w:rsidRPr="004E1408">
        <w:t>e Finance and Operations Manual, financial risk to th</w:t>
      </w:r>
      <w:r w:rsidR="004B2414" w:rsidRPr="007A6D7C">
        <w:t>e management and operation of the program is likely to be minimal.</w:t>
      </w:r>
    </w:p>
    <w:p w14:paraId="07AD0912" w14:textId="36ADA93B" w:rsidR="00D37F22" w:rsidRPr="00F4554A" w:rsidRDefault="00D37F22" w:rsidP="00C227BA">
      <w:pPr>
        <w:spacing w:before="120" w:after="120"/>
      </w:pPr>
      <w:r w:rsidRPr="00B379A4">
        <w:t>The Contractor will develop and update as necessary, the Promotions and Communications Plan, as well as purpose-specific communications / media management plans for any substantial initiati</w:t>
      </w:r>
      <w:r w:rsidRPr="00FA40AE">
        <w:t>ves. Such plans will provide the framework and guidance for managing any potential GoA profiling risks to the intended public diplomacy outcomes of the program</w:t>
      </w:r>
      <w:r w:rsidR="00F35240" w:rsidRPr="00F4554A">
        <w:t>, and will align with the overall DFAT Post and Global communications</w:t>
      </w:r>
      <w:r w:rsidR="00BA54C7">
        <w:t>/public diplomacy</w:t>
      </w:r>
      <w:r w:rsidR="00F35240" w:rsidRPr="00F4554A">
        <w:t xml:space="preserve"> strategies.</w:t>
      </w:r>
    </w:p>
    <w:p w14:paraId="0251A0DD" w14:textId="753DD97F" w:rsidR="00F31612" w:rsidRPr="00816AF1" w:rsidRDefault="00F31612" w:rsidP="00C227BA">
      <w:pPr>
        <w:spacing w:before="120" w:after="120"/>
      </w:pPr>
      <w:r w:rsidRPr="00B31B3E">
        <w:t>As a relatively</w:t>
      </w:r>
      <w:r w:rsidRPr="00274EF2">
        <w:t xml:space="preserve"> secure country, Vietnam offers a safe working environment</w:t>
      </w:r>
      <w:r w:rsidR="0016743C" w:rsidRPr="00F233A7">
        <w:t>, and</w:t>
      </w:r>
      <w:r w:rsidRPr="004744D3">
        <w:t xml:space="preserve"> therefore</w:t>
      </w:r>
      <w:r w:rsidR="0016743C" w:rsidRPr="00AF245E">
        <w:t>,</w:t>
      </w:r>
      <w:r w:rsidRPr="00816AF1">
        <w:t xml:space="preserve"> it is unlikely that safety and security risks will be a major determinant in achieving successful program operations.</w:t>
      </w:r>
    </w:p>
    <w:p w14:paraId="724D399C" w14:textId="3AA606E2" w:rsidR="007A5227" w:rsidRPr="00B5326E" w:rsidRDefault="0016743C" w:rsidP="00C227BA">
      <w:pPr>
        <w:spacing w:before="120" w:after="120"/>
      </w:pPr>
      <w:r w:rsidRPr="00816AF1">
        <w:t>Any</w:t>
      </w:r>
      <w:r w:rsidR="00F31612" w:rsidRPr="00FE136A">
        <w:t xml:space="preserve"> change in perceptions of the Vietnamese Government </w:t>
      </w:r>
      <w:r w:rsidRPr="00FE136A">
        <w:t>in relat</w:t>
      </w:r>
      <w:r w:rsidRPr="005C0E3B">
        <w:t xml:space="preserve">ion to </w:t>
      </w:r>
      <w:r w:rsidR="004B2414" w:rsidRPr="005C0E3B">
        <w:t>the reduction in Award numbers over the period 2014-2016, or strategic direction of the program, should be undertaken as part of regular discussions and through the PCC to avoid potential relationships risks between both partners.</w:t>
      </w:r>
      <w:r w:rsidR="00C027EB" w:rsidRPr="00FA5F0F">
        <w:t xml:space="preserve"> </w:t>
      </w:r>
      <w:r w:rsidR="004B2414" w:rsidRPr="00FA5F0F">
        <w:t>P</w:t>
      </w:r>
      <w:r w:rsidR="00F31612" w:rsidRPr="00B5326E">
        <w:t>otential risk</w:t>
      </w:r>
      <w:r w:rsidR="004B2414" w:rsidRPr="00B5326E">
        <w:t>, particularly in relation to TVET</w:t>
      </w:r>
      <w:r w:rsidR="00C027EB" w:rsidRPr="00B5326E">
        <w:t>,</w:t>
      </w:r>
      <w:r w:rsidR="00F31612" w:rsidRPr="00B5326E">
        <w:t xml:space="preserve"> could be exacerbated by </w:t>
      </w:r>
      <w:r w:rsidR="004B2414" w:rsidRPr="00B5326E">
        <w:t>any</w:t>
      </w:r>
      <w:r w:rsidR="00F31612" w:rsidRPr="00B5326E">
        <w:t xml:space="preserve"> continuing confl</w:t>
      </w:r>
      <w:r w:rsidR="00C864A3" w:rsidRPr="00B5326E">
        <w:t xml:space="preserve">ict between MoET and MoLISA in </w:t>
      </w:r>
      <w:r w:rsidR="00F31612" w:rsidRPr="00B5326E">
        <w:t>relation to roles</w:t>
      </w:r>
      <w:r w:rsidR="004B2414" w:rsidRPr="00B5326E">
        <w:t xml:space="preserve"> and responsibilities.</w:t>
      </w:r>
    </w:p>
    <w:p w14:paraId="54F9B819" w14:textId="4227FBA8" w:rsidR="007A5227" w:rsidRPr="00B5326E" w:rsidRDefault="007A5227" w:rsidP="00C227BA">
      <w:pPr>
        <w:spacing w:before="120" w:after="120"/>
      </w:pPr>
      <w:r w:rsidRPr="00B5326E">
        <w:t xml:space="preserve">The fundamental </w:t>
      </w:r>
      <w:r w:rsidR="00B1540F" w:rsidRPr="00B5326E">
        <w:t xml:space="preserve">program </w:t>
      </w:r>
      <w:r w:rsidRPr="00B5326E">
        <w:t xml:space="preserve">risk </w:t>
      </w:r>
      <w:r w:rsidR="00B1540F" w:rsidRPr="00B5326E">
        <w:t xml:space="preserve">for scholarships </w:t>
      </w:r>
      <w:r w:rsidRPr="00B5326E">
        <w:t>is that alumni are unable to utili</w:t>
      </w:r>
      <w:r w:rsidR="00B1540F" w:rsidRPr="00B5326E">
        <w:t>s</w:t>
      </w:r>
      <w:r w:rsidRPr="00B5326E">
        <w:t xml:space="preserve">e their skills and knowledge due to personal, institutional and cultural barriers; and the risk associated with sustaining and building links with Australia after return.  </w:t>
      </w:r>
    </w:p>
    <w:p w14:paraId="153BB364" w14:textId="2E5DBE4C" w:rsidR="003918B9" w:rsidRDefault="007A5227" w:rsidP="00C227BA">
      <w:pPr>
        <w:spacing w:before="120" w:after="120"/>
      </w:pPr>
      <w:r w:rsidRPr="00B5326E">
        <w:t>The design places increasing emphasis on selecting the ‘right’ awardees from the ‘right’ organisations and providing additional support to improve workplace productivity. The enhancements in the design offer a range of modalities and sub programs to address ‘</w:t>
      </w:r>
      <w:r w:rsidR="00B1540F" w:rsidRPr="00B5326E">
        <w:t xml:space="preserve">utilisation’ </w:t>
      </w:r>
      <w:r w:rsidRPr="00B5326E">
        <w:t>risks through a more strategic and focused approach, working with target organisations to offer a suite of short</w:t>
      </w:r>
      <w:r w:rsidR="00B1540F" w:rsidRPr="00B5326E">
        <w:t>-</w:t>
      </w:r>
      <w:r w:rsidRPr="00B5326E">
        <w:t xml:space="preserve"> and </w:t>
      </w:r>
      <w:r w:rsidR="00B1540F" w:rsidRPr="00B5326E">
        <w:t>long-</w:t>
      </w:r>
      <w:r w:rsidRPr="00B5326E">
        <w:t xml:space="preserve">term training options, so that organisations are better positioned to reintegrate and utilise alumni. </w:t>
      </w:r>
    </w:p>
    <w:p w14:paraId="3D876871" w14:textId="43F12E07" w:rsidR="00D37F22" w:rsidRPr="00B5326E" w:rsidRDefault="007A5227" w:rsidP="00C227BA">
      <w:pPr>
        <w:spacing w:before="120" w:after="120"/>
      </w:pPr>
      <w:r w:rsidRPr="00B5326E">
        <w:t xml:space="preserve">However, with innovation comes increased uncertainty. As lessons are learnt iteratively with new modalities, the future program must ensure a timely and appropriate response to any emerging risks. </w:t>
      </w:r>
    </w:p>
    <w:p w14:paraId="72DCEA82" w14:textId="1B440EF5" w:rsidR="00D42BB1" w:rsidRPr="00F27B1D" w:rsidRDefault="004D0113" w:rsidP="00C227BA">
      <w:pPr>
        <w:spacing w:before="120" w:after="120"/>
      </w:pPr>
      <w:r w:rsidRPr="00B5326E">
        <w:t>A reduction in funding and resources</w:t>
      </w:r>
      <w:r w:rsidR="00D37F22" w:rsidRPr="00B5326E">
        <w:t xml:space="preserve"> </w:t>
      </w:r>
      <w:r w:rsidR="007A5227" w:rsidRPr="00B5326E">
        <w:t>represent</w:t>
      </w:r>
      <w:r w:rsidR="00D37F22" w:rsidRPr="00B5326E">
        <w:t>s</w:t>
      </w:r>
      <w:r w:rsidR="004B2414" w:rsidRPr="00B5326E">
        <w:t xml:space="preserve"> a </w:t>
      </w:r>
      <w:r w:rsidR="007A5227" w:rsidRPr="00B5326E">
        <w:t xml:space="preserve">potential </w:t>
      </w:r>
      <w:r w:rsidRPr="00B5326E">
        <w:rPr>
          <w:i/>
        </w:rPr>
        <w:t xml:space="preserve">operational risk </w:t>
      </w:r>
      <w:r w:rsidR="004B2414" w:rsidRPr="00B5326E">
        <w:t>to successful implementation o</w:t>
      </w:r>
      <w:r w:rsidR="007121E5">
        <w:t>f the P</w:t>
      </w:r>
      <w:r w:rsidR="00D37F22" w:rsidRPr="00B5326E">
        <w:t xml:space="preserve">rogram. The design has </w:t>
      </w:r>
      <w:r w:rsidR="00B1540F" w:rsidRPr="00B5326E">
        <w:t xml:space="preserve">emphasised </w:t>
      </w:r>
      <w:r w:rsidR="00D37F22" w:rsidRPr="00B5326E">
        <w:t>the outsourcing of administrative tasks to the Contractor to allow DFAT resources to focus on policy, analysis and monitoring. In support of this</w:t>
      </w:r>
      <w:r w:rsidR="007121E5">
        <w:t>,</w:t>
      </w:r>
      <w:r w:rsidR="00D37F22" w:rsidRPr="00B5326E">
        <w:t xml:space="preserve"> c</w:t>
      </w:r>
      <w:r w:rsidR="004B2414" w:rsidRPr="00B5326E">
        <w:t xml:space="preserve">lear responsibilities for program personnel </w:t>
      </w:r>
      <w:r w:rsidR="00D37F22" w:rsidRPr="00B5326E">
        <w:t>will</w:t>
      </w:r>
      <w:r w:rsidR="004B2414" w:rsidRPr="00B5326E">
        <w:t xml:space="preserve"> be defined in the current restructuring of Post personnel.</w:t>
      </w:r>
      <w:r w:rsidR="00F27B1D">
        <w:t xml:space="preserve"> </w:t>
      </w:r>
    </w:p>
    <w:sectPr w:rsidR="00D42BB1" w:rsidRPr="00F27B1D" w:rsidSect="006133A2">
      <w:footerReference w:type="default" r:id="rId25"/>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3314D" w14:textId="77777777" w:rsidR="001129B6" w:rsidRDefault="001129B6" w:rsidP="009956EB">
      <w:r>
        <w:separator/>
      </w:r>
    </w:p>
  </w:endnote>
  <w:endnote w:type="continuationSeparator" w:id="0">
    <w:p w14:paraId="622BDE4A" w14:textId="77777777" w:rsidR="001129B6" w:rsidRDefault="001129B6" w:rsidP="009956EB">
      <w:r>
        <w:continuationSeparator/>
      </w:r>
    </w:p>
  </w:endnote>
  <w:endnote w:type="continuationNotice" w:id="1">
    <w:p w14:paraId="19C96945" w14:textId="77777777" w:rsidR="001129B6" w:rsidRDefault="00112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B2B3C" w14:textId="77777777" w:rsidR="001129B6" w:rsidRDefault="001129B6" w:rsidP="004055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315E0" w14:textId="77777777" w:rsidR="001129B6" w:rsidRDefault="001129B6" w:rsidP="009D04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0DDA9" w14:textId="77777777" w:rsidR="001129B6" w:rsidRDefault="001129B6" w:rsidP="009D045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AA2F7" w14:textId="77777777" w:rsidR="003B0A62" w:rsidRDefault="003B0A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E2999" w14:textId="77777777" w:rsidR="001129B6" w:rsidRDefault="001129B6" w:rsidP="004B1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0A62">
      <w:rPr>
        <w:rStyle w:val="PageNumber"/>
        <w:noProof/>
      </w:rPr>
      <w:t>48</w:t>
    </w:r>
    <w:r>
      <w:rPr>
        <w:rStyle w:val="PageNumber"/>
      </w:rPr>
      <w:fldChar w:fldCharType="end"/>
    </w:r>
  </w:p>
  <w:p w14:paraId="0C51E1E9" w14:textId="77777777" w:rsidR="001129B6" w:rsidRDefault="001129B6" w:rsidP="009D04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E760D" w14:textId="77777777" w:rsidR="001129B6" w:rsidRDefault="001129B6" w:rsidP="009956EB">
      <w:r>
        <w:separator/>
      </w:r>
    </w:p>
  </w:footnote>
  <w:footnote w:type="continuationSeparator" w:id="0">
    <w:p w14:paraId="3E3FA660" w14:textId="77777777" w:rsidR="001129B6" w:rsidRDefault="001129B6" w:rsidP="009956EB">
      <w:r>
        <w:continuationSeparator/>
      </w:r>
    </w:p>
  </w:footnote>
  <w:footnote w:type="continuationNotice" w:id="1">
    <w:p w14:paraId="37D270C3" w14:textId="77777777" w:rsidR="001129B6" w:rsidRDefault="001129B6"/>
  </w:footnote>
  <w:footnote w:id="2">
    <w:p w14:paraId="396BFF30" w14:textId="77777777" w:rsidR="001129B6" w:rsidRPr="009D099A" w:rsidRDefault="001129B6" w:rsidP="009D099A">
      <w:pPr>
        <w:pStyle w:val="FootnoteText"/>
        <w:rPr>
          <w:rFonts w:asciiTheme="minorHAnsi" w:hAnsiTheme="minorHAnsi"/>
          <w:sz w:val="16"/>
          <w:szCs w:val="16"/>
        </w:rPr>
      </w:pPr>
      <w:r w:rsidRPr="009D099A">
        <w:rPr>
          <w:rFonts w:asciiTheme="minorHAnsi" w:hAnsiTheme="minorHAnsi"/>
          <w:sz w:val="16"/>
          <w:szCs w:val="16"/>
          <w:lang w:val="en-US"/>
        </w:rPr>
        <w:footnoteRef/>
      </w:r>
      <w:r w:rsidRPr="009D099A">
        <w:rPr>
          <w:rFonts w:asciiTheme="minorHAnsi" w:hAnsiTheme="minorHAnsi"/>
          <w:sz w:val="16"/>
          <w:szCs w:val="16"/>
          <w:lang w:val="en-US"/>
        </w:rPr>
        <w:t xml:space="preserve"> </w:t>
      </w:r>
      <w:proofErr w:type="gramStart"/>
      <w:r w:rsidRPr="009D099A">
        <w:rPr>
          <w:rFonts w:asciiTheme="minorHAnsi" w:hAnsiTheme="minorHAnsi"/>
          <w:sz w:val="16"/>
          <w:szCs w:val="16"/>
          <w:lang w:val="en-US"/>
        </w:rPr>
        <w:t>World Bank.</w:t>
      </w:r>
      <w:proofErr w:type="gramEnd"/>
      <w:r w:rsidRPr="009D099A">
        <w:rPr>
          <w:rFonts w:asciiTheme="minorHAnsi" w:hAnsiTheme="minorHAnsi"/>
          <w:sz w:val="16"/>
          <w:szCs w:val="16"/>
          <w:lang w:val="en-US"/>
        </w:rPr>
        <w:t xml:space="preserve"> (2011). Vietnam Country Gender Assessment: 29.</w:t>
      </w:r>
      <w:r w:rsidRPr="009D099A">
        <w:rPr>
          <w:rFonts w:asciiTheme="minorHAnsi" w:hAnsiTheme="minorHAnsi"/>
          <w:sz w:val="16"/>
          <w:szCs w:val="16"/>
        </w:rPr>
        <w:t xml:space="preserve"> </w:t>
      </w:r>
    </w:p>
  </w:footnote>
  <w:footnote w:id="3">
    <w:p w14:paraId="5B005317" w14:textId="77777777" w:rsidR="001129B6" w:rsidRPr="009D099A" w:rsidRDefault="001129B6" w:rsidP="002E33C6">
      <w:pPr>
        <w:pStyle w:val="FootnoteText"/>
        <w:rPr>
          <w:rFonts w:asciiTheme="minorHAnsi" w:hAnsiTheme="minorHAnsi"/>
          <w:sz w:val="16"/>
          <w:szCs w:val="16"/>
          <w:lang w:val="en-US"/>
        </w:rPr>
      </w:pPr>
      <w:r w:rsidRPr="009D099A">
        <w:rPr>
          <w:rStyle w:val="FootnoteReference"/>
          <w:rFonts w:asciiTheme="minorHAnsi" w:hAnsiTheme="minorHAnsi"/>
          <w:sz w:val="16"/>
          <w:szCs w:val="16"/>
        </w:rPr>
        <w:footnoteRef/>
      </w:r>
      <w:r w:rsidRPr="009D099A">
        <w:rPr>
          <w:rFonts w:asciiTheme="minorHAnsi" w:hAnsiTheme="minorHAnsi"/>
          <w:sz w:val="16"/>
          <w:szCs w:val="16"/>
        </w:rPr>
        <w:t xml:space="preserve"> </w:t>
      </w:r>
      <w:r w:rsidRPr="009D099A">
        <w:rPr>
          <w:rFonts w:asciiTheme="minorHAnsi" w:hAnsiTheme="minorHAnsi"/>
          <w:sz w:val="16"/>
          <w:szCs w:val="16"/>
          <w:lang w:val="en-US"/>
        </w:rPr>
        <w:t>Skills Development Report, World Bank, 2014.</w:t>
      </w:r>
    </w:p>
  </w:footnote>
  <w:footnote w:id="4">
    <w:p w14:paraId="4AAC97F6" w14:textId="631FB104" w:rsidR="001129B6" w:rsidRPr="009D099A" w:rsidRDefault="001129B6" w:rsidP="00AE63D2">
      <w:pPr>
        <w:pStyle w:val="FootnoteText"/>
        <w:rPr>
          <w:rFonts w:asciiTheme="minorHAnsi" w:hAnsiTheme="minorHAnsi"/>
          <w:sz w:val="16"/>
          <w:szCs w:val="16"/>
        </w:rPr>
      </w:pPr>
      <w:r w:rsidRPr="009D099A">
        <w:rPr>
          <w:rStyle w:val="FootnoteReference"/>
          <w:rFonts w:asciiTheme="minorHAnsi" w:hAnsiTheme="minorHAnsi"/>
          <w:sz w:val="16"/>
          <w:szCs w:val="16"/>
        </w:rPr>
        <w:footnoteRef/>
      </w:r>
      <w:r w:rsidRPr="009D099A">
        <w:rPr>
          <w:rFonts w:asciiTheme="minorHAnsi" w:hAnsiTheme="minorHAnsi"/>
          <w:sz w:val="16"/>
          <w:szCs w:val="16"/>
        </w:rPr>
        <w:t xml:space="preserve"> Gender disaggregation of these</w:t>
      </w:r>
      <w:r w:rsidRPr="009D099A">
        <w:rPr>
          <w:rFonts w:asciiTheme="minorHAnsi" w:hAnsiTheme="minorHAnsi"/>
          <w:sz w:val="16"/>
          <w:szCs w:val="16"/>
          <w:lang w:val="en-AU"/>
        </w:rPr>
        <w:t xml:space="preserve"> figures was not available.</w:t>
      </w:r>
    </w:p>
  </w:footnote>
  <w:footnote w:id="5">
    <w:p w14:paraId="36808840" w14:textId="77777777" w:rsidR="001129B6" w:rsidRPr="009D099A" w:rsidRDefault="001129B6" w:rsidP="002E33C6">
      <w:pPr>
        <w:pStyle w:val="FootnoteText"/>
        <w:rPr>
          <w:rFonts w:asciiTheme="minorHAnsi" w:hAnsiTheme="minorHAnsi"/>
          <w:sz w:val="16"/>
          <w:szCs w:val="16"/>
          <w:lang w:val="en-US"/>
        </w:rPr>
      </w:pPr>
      <w:r w:rsidRPr="009D099A">
        <w:rPr>
          <w:rStyle w:val="FootnoteReference"/>
          <w:rFonts w:asciiTheme="minorHAnsi" w:hAnsiTheme="minorHAnsi"/>
          <w:sz w:val="16"/>
          <w:szCs w:val="16"/>
        </w:rPr>
        <w:footnoteRef/>
      </w:r>
      <w:r w:rsidRPr="009D099A">
        <w:rPr>
          <w:rFonts w:asciiTheme="minorHAnsi" w:hAnsiTheme="minorHAnsi"/>
          <w:sz w:val="16"/>
          <w:szCs w:val="16"/>
        </w:rPr>
        <w:t xml:space="preserve"> In accord with the Manpower Development Master Plan the second phase of the project continues until 2020.</w:t>
      </w:r>
    </w:p>
  </w:footnote>
  <w:footnote w:id="6">
    <w:p w14:paraId="7BF7D27E" w14:textId="77777777" w:rsidR="001129B6" w:rsidRPr="009D099A" w:rsidRDefault="001129B6" w:rsidP="002E33C6">
      <w:pPr>
        <w:pStyle w:val="FootnoteText"/>
        <w:rPr>
          <w:rFonts w:asciiTheme="minorHAnsi" w:hAnsiTheme="minorHAnsi"/>
          <w:sz w:val="16"/>
          <w:szCs w:val="16"/>
          <w:lang w:val="en-US"/>
        </w:rPr>
      </w:pPr>
      <w:r w:rsidRPr="009D099A">
        <w:rPr>
          <w:rStyle w:val="FootnoteReference"/>
          <w:rFonts w:asciiTheme="minorHAnsi" w:hAnsiTheme="minorHAnsi"/>
          <w:sz w:val="16"/>
          <w:szCs w:val="16"/>
        </w:rPr>
        <w:footnoteRef/>
      </w:r>
      <w:r w:rsidRPr="009D099A">
        <w:rPr>
          <w:rFonts w:asciiTheme="minorHAnsi" w:hAnsiTheme="minorHAnsi"/>
          <w:sz w:val="16"/>
          <w:szCs w:val="16"/>
        </w:rPr>
        <w:t xml:space="preserve"> </w:t>
      </w:r>
      <w:r w:rsidRPr="009D099A">
        <w:rPr>
          <w:rFonts w:asciiTheme="minorHAnsi" w:hAnsiTheme="minorHAnsi"/>
          <w:sz w:val="16"/>
          <w:szCs w:val="16"/>
          <w:lang w:val="en-US"/>
        </w:rPr>
        <w:t>MoET negotiates cost sharing arrangements with universities in more than 20 countries, including Australia, usually involving the waiving of fees.</w:t>
      </w:r>
    </w:p>
  </w:footnote>
  <w:footnote w:id="7">
    <w:p w14:paraId="714AF106" w14:textId="5A58FF6B" w:rsidR="001129B6" w:rsidRPr="009D099A" w:rsidRDefault="001129B6" w:rsidP="0095627B">
      <w:pPr>
        <w:pStyle w:val="FootnoteText"/>
        <w:rPr>
          <w:rFonts w:asciiTheme="minorHAnsi" w:hAnsiTheme="minorHAnsi"/>
          <w:sz w:val="16"/>
          <w:szCs w:val="16"/>
        </w:rPr>
      </w:pPr>
      <w:r w:rsidRPr="009D099A">
        <w:rPr>
          <w:rStyle w:val="FootnoteReference"/>
          <w:rFonts w:asciiTheme="minorHAnsi" w:hAnsiTheme="minorHAnsi"/>
          <w:sz w:val="16"/>
          <w:szCs w:val="16"/>
        </w:rPr>
        <w:footnoteRef/>
      </w:r>
      <w:r w:rsidRPr="009D099A">
        <w:rPr>
          <w:rFonts w:asciiTheme="minorHAnsi" w:hAnsiTheme="minorHAnsi"/>
          <w:sz w:val="16"/>
          <w:szCs w:val="16"/>
        </w:rPr>
        <w:t xml:space="preserve"> </w:t>
      </w:r>
      <w:r w:rsidRPr="009D099A">
        <w:rPr>
          <w:rFonts w:asciiTheme="minorHAnsi" w:hAnsiTheme="minorHAnsi"/>
          <w:sz w:val="16"/>
          <w:szCs w:val="16"/>
          <w:lang w:val="en-AU"/>
        </w:rPr>
        <w:t xml:space="preserve">Data from </w:t>
      </w:r>
      <w:r w:rsidRPr="009D099A">
        <w:rPr>
          <w:rFonts w:asciiTheme="minorHAnsi" w:hAnsiTheme="minorHAnsi"/>
          <w:i/>
          <w:sz w:val="16"/>
          <w:szCs w:val="16"/>
          <w:lang w:val="en-AU"/>
        </w:rPr>
        <w:t>International Student Data by Nationality, Vietnam, as at year-to-date October 2014</w:t>
      </w:r>
      <w:r w:rsidRPr="009D099A">
        <w:rPr>
          <w:rFonts w:asciiTheme="minorHAnsi" w:hAnsiTheme="minorHAnsi"/>
          <w:sz w:val="16"/>
          <w:szCs w:val="16"/>
          <w:lang w:val="en-AU"/>
        </w:rPr>
        <w:t>, GoA, DoE, pp 7, 8, December 2014</w:t>
      </w:r>
    </w:p>
  </w:footnote>
  <w:footnote w:id="8">
    <w:p w14:paraId="68BA13B0" w14:textId="77777777" w:rsidR="001129B6" w:rsidRPr="00BA6ED4" w:rsidRDefault="001129B6" w:rsidP="00F04EAA">
      <w:pPr>
        <w:rPr>
          <w:rFonts w:eastAsia="Calibri"/>
          <w:sz w:val="16"/>
          <w:szCs w:val="16"/>
        </w:rPr>
      </w:pPr>
      <w:r w:rsidRPr="00BA6ED4">
        <w:rPr>
          <w:rStyle w:val="FootnoteReference"/>
          <w:sz w:val="16"/>
          <w:szCs w:val="16"/>
        </w:rPr>
        <w:footnoteRef/>
      </w:r>
      <w:r w:rsidRPr="00BA6ED4">
        <w:rPr>
          <w:sz w:val="16"/>
          <w:szCs w:val="16"/>
        </w:rPr>
        <w:t xml:space="preserve"> Primary responsibility for higher education, TVET and public service capacity development lies respectively with the Ministry of Education and Training (MOET); the Ministry of Labour, War Invalids and Social Affairs (MOLISA); and the Ministry of Home Affairs (MOHA). </w:t>
      </w:r>
    </w:p>
    <w:p w14:paraId="45922C51" w14:textId="77777777" w:rsidR="001129B6" w:rsidRPr="00BA6ED4" w:rsidRDefault="001129B6" w:rsidP="00F04EAA">
      <w:pPr>
        <w:pStyle w:val="FootnoteText"/>
        <w:rPr>
          <w:sz w:val="16"/>
          <w:szCs w:val="16"/>
          <w:lang w:val="en-US"/>
        </w:rPr>
      </w:pPr>
    </w:p>
  </w:footnote>
  <w:footnote w:id="9">
    <w:p w14:paraId="24B82708" w14:textId="73D2FC1E" w:rsidR="001129B6" w:rsidRPr="008C35AD" w:rsidRDefault="001129B6" w:rsidP="00AE63D2">
      <w:pPr>
        <w:pStyle w:val="FootnoteText"/>
        <w:jc w:val="both"/>
        <w:rPr>
          <w:rFonts w:asciiTheme="minorHAnsi" w:eastAsiaTheme="minorEastAsia" w:hAnsiTheme="minorHAnsi" w:cstheme="minorBidi"/>
          <w:sz w:val="16"/>
          <w:szCs w:val="16"/>
          <w:lang w:val="en-AU" w:eastAsia="en-US"/>
        </w:rPr>
      </w:pPr>
      <w:r w:rsidRPr="008C35AD">
        <w:rPr>
          <w:rStyle w:val="FootnoteReference"/>
          <w:rFonts w:asciiTheme="minorHAnsi" w:hAnsiTheme="minorHAnsi"/>
          <w:sz w:val="16"/>
          <w:szCs w:val="16"/>
          <w:lang w:val="en-AU" w:eastAsia="en-US"/>
        </w:rPr>
        <w:footnoteRef/>
      </w:r>
      <w:r w:rsidRPr="008C35AD">
        <w:rPr>
          <w:rFonts w:asciiTheme="minorHAnsi" w:eastAsiaTheme="minorEastAsia" w:hAnsiTheme="minorHAnsi" w:cstheme="minorBidi"/>
          <w:sz w:val="16"/>
          <w:szCs w:val="16"/>
          <w:lang w:val="en-AU" w:eastAsia="en-US"/>
        </w:rPr>
        <w:t xml:space="preserve"> </w:t>
      </w:r>
      <w:proofErr w:type="gramStart"/>
      <w:r w:rsidRPr="008C35AD">
        <w:rPr>
          <w:rFonts w:asciiTheme="minorHAnsi" w:eastAsiaTheme="minorEastAsia" w:hAnsiTheme="minorHAnsi" w:cstheme="minorBidi"/>
          <w:sz w:val="16"/>
          <w:szCs w:val="16"/>
          <w:lang w:val="en-AU" w:eastAsia="en-US"/>
        </w:rPr>
        <w:t>UNDP.</w:t>
      </w:r>
      <w:proofErr w:type="gramEnd"/>
      <w:r w:rsidRPr="008C35AD">
        <w:rPr>
          <w:rFonts w:asciiTheme="minorHAnsi" w:eastAsiaTheme="minorEastAsia" w:hAnsiTheme="minorHAnsi" w:cstheme="minorBidi"/>
          <w:sz w:val="16"/>
          <w:szCs w:val="16"/>
          <w:lang w:val="en-AU" w:eastAsia="en-US"/>
        </w:rPr>
        <w:t xml:space="preserve"> Women delegates in the Vietnam National Assembly: From Participation to Representation.</w:t>
      </w:r>
      <w:r>
        <w:rPr>
          <w:rFonts w:asciiTheme="minorHAnsi" w:eastAsiaTheme="minorEastAsia" w:hAnsiTheme="minorHAnsi" w:cstheme="minorBidi"/>
          <w:sz w:val="16"/>
          <w:szCs w:val="16"/>
          <w:lang w:val="en-AU" w:eastAsia="en-US"/>
        </w:rPr>
        <w:t xml:space="preserve"> </w:t>
      </w:r>
      <w:r w:rsidRPr="008C35AD">
        <w:rPr>
          <w:rFonts w:asciiTheme="minorHAnsi" w:eastAsiaTheme="minorEastAsia" w:hAnsiTheme="minorHAnsi" w:cstheme="minorBidi"/>
          <w:sz w:val="16"/>
          <w:szCs w:val="16"/>
          <w:lang w:val="en-AU" w:eastAsia="en-US"/>
        </w:rPr>
        <w:t>(2014)</w:t>
      </w:r>
    </w:p>
  </w:footnote>
  <w:footnote w:id="10">
    <w:p w14:paraId="47BE2DBE" w14:textId="77777777" w:rsidR="001129B6" w:rsidRPr="008C35AD" w:rsidRDefault="001129B6" w:rsidP="00AE63D2">
      <w:pPr>
        <w:pStyle w:val="FootnoteText"/>
        <w:jc w:val="both"/>
        <w:rPr>
          <w:rFonts w:asciiTheme="minorHAnsi" w:hAnsiTheme="minorHAnsi"/>
          <w:sz w:val="16"/>
          <w:szCs w:val="16"/>
          <w:lang w:val="en-AU"/>
        </w:rPr>
      </w:pPr>
      <w:r w:rsidRPr="008C35AD">
        <w:rPr>
          <w:rStyle w:val="FootnoteReference"/>
          <w:rFonts w:asciiTheme="minorHAnsi" w:hAnsiTheme="minorHAnsi"/>
          <w:sz w:val="16"/>
          <w:szCs w:val="16"/>
          <w:lang w:val="en-AU" w:eastAsia="en-US"/>
        </w:rPr>
        <w:footnoteRef/>
      </w:r>
      <w:r w:rsidRPr="008C35AD">
        <w:rPr>
          <w:rStyle w:val="FootnoteReference"/>
          <w:rFonts w:asciiTheme="minorHAnsi" w:hAnsiTheme="minorHAnsi"/>
          <w:sz w:val="16"/>
          <w:szCs w:val="16"/>
          <w:lang w:val="en-AU" w:eastAsia="en-US"/>
        </w:rPr>
        <w:t xml:space="preserve"> </w:t>
      </w:r>
      <w:proofErr w:type="gramStart"/>
      <w:r w:rsidRPr="008C35AD">
        <w:rPr>
          <w:rFonts w:asciiTheme="minorHAnsi" w:eastAsiaTheme="minorEastAsia" w:hAnsiTheme="minorHAnsi" w:cstheme="minorBidi"/>
          <w:sz w:val="16"/>
          <w:szCs w:val="16"/>
          <w:lang w:val="en-AU" w:eastAsia="en-US"/>
        </w:rPr>
        <w:t>International Labour Organisation.</w:t>
      </w:r>
      <w:proofErr w:type="gramEnd"/>
      <w:r w:rsidRPr="008C35AD">
        <w:rPr>
          <w:rFonts w:asciiTheme="minorHAnsi" w:eastAsiaTheme="minorEastAsia" w:hAnsiTheme="minorHAnsi" w:cstheme="minorBidi"/>
          <w:sz w:val="16"/>
          <w:szCs w:val="16"/>
          <w:lang w:val="en-AU" w:eastAsia="en-US"/>
        </w:rPr>
        <w:t xml:space="preserve"> </w:t>
      </w:r>
      <w:proofErr w:type="gramStart"/>
      <w:r w:rsidRPr="008C35AD">
        <w:rPr>
          <w:rFonts w:asciiTheme="minorHAnsi" w:eastAsiaTheme="minorEastAsia" w:hAnsiTheme="minorHAnsi" w:cstheme="minorBidi"/>
          <w:sz w:val="16"/>
          <w:szCs w:val="16"/>
          <w:lang w:val="en-AU" w:eastAsia="en-US"/>
        </w:rPr>
        <w:t>Women in Business and Management Gaining Momentum.</w:t>
      </w:r>
      <w:proofErr w:type="gramEnd"/>
      <w:r w:rsidRPr="008C35AD">
        <w:rPr>
          <w:rFonts w:asciiTheme="minorHAnsi" w:eastAsiaTheme="minorEastAsia" w:hAnsiTheme="minorHAnsi" w:cstheme="minorBidi"/>
          <w:sz w:val="16"/>
          <w:szCs w:val="16"/>
          <w:lang w:val="en-AU" w:eastAsia="en-US"/>
        </w:rPr>
        <w:t xml:space="preserve"> (2015)</w:t>
      </w:r>
    </w:p>
  </w:footnote>
  <w:footnote w:id="11">
    <w:p w14:paraId="204F0A55" w14:textId="4DAB85DD" w:rsidR="001129B6" w:rsidRPr="0077298B" w:rsidRDefault="001129B6" w:rsidP="00753F9D">
      <w:pPr>
        <w:widowControl w:val="0"/>
        <w:autoSpaceDE w:val="0"/>
        <w:autoSpaceDN w:val="0"/>
        <w:adjustRightInd w:val="0"/>
        <w:rPr>
          <w:sz w:val="16"/>
          <w:szCs w:val="16"/>
        </w:rPr>
      </w:pPr>
      <w:r w:rsidRPr="0077298B">
        <w:rPr>
          <w:rStyle w:val="FootnoteReference"/>
          <w:sz w:val="16"/>
          <w:szCs w:val="16"/>
        </w:rPr>
        <w:footnoteRef/>
      </w:r>
      <w:r w:rsidRPr="0077298B">
        <w:rPr>
          <w:sz w:val="16"/>
          <w:szCs w:val="16"/>
        </w:rPr>
        <w:t xml:space="preserve"> </w:t>
      </w:r>
      <w:r w:rsidRPr="0077298B">
        <w:rPr>
          <w:color w:val="262626"/>
          <w:sz w:val="16"/>
          <w:szCs w:val="16"/>
        </w:rPr>
        <w:t>In recent years, it has proven difficult to identify sufficient quality candidates from central government agencies and greater emphasis is now placed on working with the more responsive ministries (around 12-14 agencies account for the bulk of central agency awards).</w:t>
      </w:r>
    </w:p>
  </w:footnote>
  <w:footnote w:id="12">
    <w:p w14:paraId="4D50EB29" w14:textId="05952703" w:rsidR="001129B6" w:rsidRPr="0077298B" w:rsidRDefault="001129B6" w:rsidP="00D573EF">
      <w:pPr>
        <w:widowControl w:val="0"/>
        <w:autoSpaceDE w:val="0"/>
        <w:autoSpaceDN w:val="0"/>
        <w:adjustRightInd w:val="0"/>
        <w:rPr>
          <w:sz w:val="16"/>
          <w:szCs w:val="16"/>
        </w:rPr>
      </w:pPr>
      <w:r w:rsidRPr="0077298B">
        <w:rPr>
          <w:rStyle w:val="FootnoteReference"/>
          <w:sz w:val="16"/>
          <w:szCs w:val="16"/>
        </w:rPr>
        <w:footnoteRef/>
      </w:r>
      <w:r w:rsidRPr="0077298B">
        <w:rPr>
          <w:sz w:val="16"/>
          <w:szCs w:val="16"/>
        </w:rPr>
        <w:t xml:space="preserve"> Under the </w:t>
      </w:r>
      <w:r w:rsidRPr="0077298B">
        <w:rPr>
          <w:i/>
          <w:sz w:val="16"/>
          <w:szCs w:val="16"/>
        </w:rPr>
        <w:t>Equity of Access Fund</w:t>
      </w:r>
      <w:r w:rsidRPr="0077298B">
        <w:rPr>
          <w:sz w:val="16"/>
          <w:szCs w:val="16"/>
        </w:rPr>
        <w:t xml:space="preserve"> conditions, the HRD Program definition of “Disadvantaged” includes individuals from one of Vietnam’s listed disadvantaged districts / provinces, or persons with disability.</w:t>
      </w:r>
    </w:p>
  </w:footnote>
  <w:footnote w:id="13">
    <w:p w14:paraId="7D40813A" w14:textId="04B76D33" w:rsidR="001129B6" w:rsidRPr="0077298B" w:rsidRDefault="001129B6" w:rsidP="00EA03F4">
      <w:pPr>
        <w:widowControl w:val="0"/>
        <w:autoSpaceDE w:val="0"/>
        <w:autoSpaceDN w:val="0"/>
        <w:adjustRightInd w:val="0"/>
        <w:rPr>
          <w:sz w:val="16"/>
          <w:szCs w:val="16"/>
        </w:rPr>
      </w:pPr>
      <w:r w:rsidRPr="0077298B">
        <w:rPr>
          <w:rStyle w:val="FootnoteReference"/>
          <w:sz w:val="16"/>
          <w:szCs w:val="16"/>
        </w:rPr>
        <w:footnoteRef/>
      </w:r>
      <w:r w:rsidRPr="0077298B">
        <w:rPr>
          <w:sz w:val="16"/>
          <w:szCs w:val="16"/>
        </w:rPr>
        <w:t xml:space="preserve"> </w:t>
      </w:r>
      <w:r w:rsidRPr="0077298B">
        <w:rPr>
          <w:color w:val="262626"/>
          <w:sz w:val="16"/>
          <w:szCs w:val="16"/>
        </w:rPr>
        <w:t xml:space="preserve">Defined as living in a government designated ‘rural disadvantaged’ district. </w:t>
      </w:r>
    </w:p>
  </w:footnote>
  <w:footnote w:id="14">
    <w:p w14:paraId="7C8F3DD4" w14:textId="5BBA6390" w:rsidR="001129B6" w:rsidRPr="0077298B" w:rsidRDefault="001129B6">
      <w:pPr>
        <w:pStyle w:val="FootnoteText"/>
        <w:rPr>
          <w:rFonts w:asciiTheme="minorHAnsi" w:hAnsiTheme="minorHAnsi"/>
          <w:sz w:val="16"/>
          <w:szCs w:val="16"/>
          <w:lang w:val="en-US"/>
        </w:rPr>
      </w:pPr>
      <w:r w:rsidRPr="0077298B">
        <w:rPr>
          <w:rStyle w:val="FootnoteReference"/>
          <w:rFonts w:asciiTheme="minorHAnsi" w:hAnsiTheme="minorHAnsi"/>
          <w:sz w:val="16"/>
          <w:szCs w:val="16"/>
        </w:rPr>
        <w:footnoteRef/>
      </w:r>
      <w:r w:rsidRPr="0077298B">
        <w:rPr>
          <w:rFonts w:asciiTheme="minorHAnsi" w:hAnsiTheme="minorHAnsi"/>
          <w:sz w:val="16"/>
          <w:szCs w:val="16"/>
        </w:rPr>
        <w:t xml:space="preserve"> To date there have been no DFAT studies in Vietnam or globally, to suggest differences in </w:t>
      </w:r>
      <w:r w:rsidRPr="0077298B">
        <w:rPr>
          <w:rFonts w:asciiTheme="minorHAnsi" w:hAnsiTheme="minorHAnsi"/>
          <w:sz w:val="16"/>
          <w:szCs w:val="16"/>
          <w:lang w:val="en-US"/>
        </w:rPr>
        <w:t>attitude of privately funded alumni versus scholarship awardees, for example, in terms of people-to-people linkages and economic and public diplomacy benefits.</w:t>
      </w:r>
    </w:p>
  </w:footnote>
  <w:footnote w:id="15">
    <w:p w14:paraId="05CFE11E" w14:textId="77777777" w:rsidR="001129B6" w:rsidRPr="006653F0" w:rsidRDefault="001129B6" w:rsidP="002E33C6">
      <w:pPr>
        <w:widowControl w:val="0"/>
        <w:autoSpaceDE w:val="0"/>
        <w:autoSpaceDN w:val="0"/>
        <w:adjustRightInd w:val="0"/>
        <w:rPr>
          <w:sz w:val="16"/>
          <w:szCs w:val="16"/>
        </w:rPr>
      </w:pPr>
      <w:r w:rsidRPr="006653F0">
        <w:rPr>
          <w:rStyle w:val="FootnoteReference"/>
          <w:sz w:val="16"/>
          <w:szCs w:val="16"/>
        </w:rPr>
        <w:footnoteRef/>
      </w:r>
      <w:r w:rsidRPr="006653F0">
        <w:rPr>
          <w:sz w:val="16"/>
          <w:szCs w:val="16"/>
        </w:rPr>
        <w:t xml:space="preserve"> </w:t>
      </w:r>
      <w:r w:rsidRPr="006653F0">
        <w:rPr>
          <w:i/>
          <w:sz w:val="16"/>
          <w:szCs w:val="16"/>
        </w:rPr>
        <w:t>2011 Vietnam Tracer Study of Australian Scholarships Alumni</w:t>
      </w:r>
      <w:r w:rsidRPr="006653F0">
        <w:rPr>
          <w:sz w:val="16"/>
          <w:szCs w:val="16"/>
        </w:rPr>
        <w:t>, March 2014, DFAT.</w:t>
      </w:r>
    </w:p>
  </w:footnote>
  <w:footnote w:id="16">
    <w:p w14:paraId="64381D46" w14:textId="43399FCA" w:rsidR="001129B6" w:rsidRPr="006653F0" w:rsidRDefault="001129B6" w:rsidP="00A7142A">
      <w:pPr>
        <w:widowControl w:val="0"/>
        <w:autoSpaceDE w:val="0"/>
        <w:autoSpaceDN w:val="0"/>
        <w:adjustRightInd w:val="0"/>
        <w:rPr>
          <w:sz w:val="16"/>
          <w:szCs w:val="16"/>
        </w:rPr>
      </w:pPr>
      <w:r w:rsidRPr="006653F0">
        <w:rPr>
          <w:rStyle w:val="FootnoteReference"/>
          <w:sz w:val="16"/>
          <w:szCs w:val="16"/>
        </w:rPr>
        <w:footnoteRef/>
      </w:r>
      <w:r w:rsidRPr="006653F0">
        <w:rPr>
          <w:sz w:val="16"/>
          <w:szCs w:val="16"/>
        </w:rPr>
        <w:t xml:space="preserve"> </w:t>
      </w:r>
      <w:proofErr w:type="gramStart"/>
      <w:r w:rsidRPr="006653F0">
        <w:rPr>
          <w:i/>
          <w:sz w:val="16"/>
          <w:szCs w:val="16"/>
        </w:rPr>
        <w:t>Australia Awards Vietnam - Alumni Tracer Study 2014</w:t>
      </w:r>
      <w:r w:rsidRPr="006653F0">
        <w:rPr>
          <w:sz w:val="16"/>
          <w:szCs w:val="16"/>
        </w:rPr>
        <w:t xml:space="preserve"> (DRAFT), October 2014, DFAT.</w:t>
      </w:r>
      <w:proofErr w:type="gramEnd"/>
      <w:r w:rsidRPr="006653F0">
        <w:rPr>
          <w:sz w:val="16"/>
          <w:szCs w:val="16"/>
        </w:rPr>
        <w:t xml:space="preserve"> </w:t>
      </w:r>
    </w:p>
  </w:footnote>
  <w:footnote w:id="17">
    <w:p w14:paraId="11127C90" w14:textId="54FEFACA" w:rsidR="001129B6" w:rsidRPr="004132CF" w:rsidRDefault="001129B6">
      <w:pPr>
        <w:pStyle w:val="FootnoteText"/>
        <w:rPr>
          <w:rFonts w:asciiTheme="minorHAnsi" w:hAnsiTheme="minorHAnsi"/>
          <w:sz w:val="16"/>
          <w:szCs w:val="16"/>
          <w:lang w:val="en-AU"/>
        </w:rPr>
      </w:pPr>
      <w:r w:rsidRPr="004132CF">
        <w:rPr>
          <w:rStyle w:val="FootnoteReference"/>
          <w:rFonts w:asciiTheme="minorHAnsi" w:hAnsiTheme="minorHAnsi"/>
          <w:sz w:val="16"/>
          <w:szCs w:val="16"/>
        </w:rPr>
        <w:footnoteRef/>
      </w:r>
      <w:r w:rsidRPr="004132CF">
        <w:rPr>
          <w:rFonts w:asciiTheme="minorHAnsi" w:hAnsiTheme="minorHAnsi"/>
          <w:sz w:val="16"/>
          <w:szCs w:val="16"/>
        </w:rPr>
        <w:t xml:space="preserve"> SBV and MPI were the focus of the 2012 central government agency impact study as they are the two central agencies with the greatest number of Australia Award alumni - many of whom are now working in senior and/or management positions within those organisations, and playing a major role in policy development.</w:t>
      </w:r>
    </w:p>
  </w:footnote>
  <w:footnote w:id="18">
    <w:p w14:paraId="641EA16E" w14:textId="77777777" w:rsidR="001129B6" w:rsidRPr="00F465BD" w:rsidRDefault="001129B6" w:rsidP="006527E6">
      <w:pPr>
        <w:pStyle w:val="FootnoteText"/>
        <w:ind w:left="284" w:hanging="284"/>
        <w:rPr>
          <w:rFonts w:asciiTheme="minorHAnsi" w:hAnsiTheme="minorHAnsi" w:cstheme="majorHAnsi"/>
          <w:sz w:val="16"/>
          <w:szCs w:val="16"/>
        </w:rPr>
      </w:pPr>
      <w:r w:rsidRPr="00F465BD">
        <w:rPr>
          <w:rStyle w:val="FootnoteReference"/>
          <w:rFonts w:asciiTheme="minorHAnsi" w:hAnsiTheme="minorHAnsi" w:cstheme="majorHAnsi"/>
          <w:sz w:val="16"/>
          <w:szCs w:val="16"/>
        </w:rPr>
        <w:footnoteRef/>
      </w:r>
      <w:r w:rsidRPr="00F465BD">
        <w:rPr>
          <w:rFonts w:asciiTheme="minorHAnsi" w:hAnsiTheme="minorHAnsi" w:cstheme="majorHAnsi"/>
          <w:sz w:val="16"/>
          <w:szCs w:val="16"/>
        </w:rPr>
        <w:t xml:space="preserve"> </w:t>
      </w:r>
      <w:r w:rsidRPr="00F465BD">
        <w:rPr>
          <w:rFonts w:asciiTheme="minorHAnsi" w:hAnsiTheme="minorHAnsi" w:cstheme="majorHAnsi"/>
          <w:sz w:val="16"/>
          <w:szCs w:val="16"/>
        </w:rPr>
        <w:tab/>
        <w:t>Lessons Learnt in the Scholarships Program in Vietnam –Final Report, Oct 2013, DFAT</w:t>
      </w:r>
    </w:p>
  </w:footnote>
  <w:footnote w:id="19">
    <w:p w14:paraId="0623DB7F" w14:textId="77777777" w:rsidR="001129B6" w:rsidRPr="00F465BD" w:rsidRDefault="001129B6" w:rsidP="006527E6">
      <w:pPr>
        <w:pStyle w:val="FootnoteText"/>
        <w:ind w:left="284" w:hanging="284"/>
        <w:rPr>
          <w:rFonts w:asciiTheme="minorHAnsi" w:hAnsiTheme="minorHAnsi" w:cstheme="majorHAnsi"/>
          <w:sz w:val="16"/>
          <w:szCs w:val="16"/>
        </w:rPr>
      </w:pPr>
      <w:r w:rsidRPr="00F465BD">
        <w:rPr>
          <w:rStyle w:val="FootnoteReference"/>
          <w:rFonts w:asciiTheme="minorHAnsi" w:hAnsiTheme="minorHAnsi" w:cstheme="majorHAnsi"/>
          <w:sz w:val="16"/>
          <w:szCs w:val="16"/>
        </w:rPr>
        <w:footnoteRef/>
      </w:r>
      <w:r w:rsidRPr="00F465BD">
        <w:rPr>
          <w:rFonts w:asciiTheme="minorHAnsi" w:hAnsiTheme="minorHAnsi" w:cstheme="majorHAnsi"/>
          <w:sz w:val="16"/>
          <w:szCs w:val="16"/>
        </w:rPr>
        <w:t xml:space="preserve"> </w:t>
      </w:r>
      <w:r w:rsidRPr="00F465BD">
        <w:rPr>
          <w:rFonts w:asciiTheme="minorHAnsi" w:hAnsiTheme="minorHAnsi" w:cstheme="majorHAnsi"/>
          <w:sz w:val="16"/>
          <w:szCs w:val="16"/>
        </w:rPr>
        <w:tab/>
      </w:r>
      <w:r w:rsidRPr="00F465BD">
        <w:rPr>
          <w:rFonts w:asciiTheme="minorHAnsi" w:hAnsiTheme="minorHAnsi" w:cstheme="majorHAnsi"/>
          <w:i/>
          <w:sz w:val="16"/>
          <w:szCs w:val="16"/>
        </w:rPr>
        <w:t>Situation Analysis for Vietnam HRD Delivery Strategy</w:t>
      </w:r>
      <w:r w:rsidRPr="00F465BD">
        <w:rPr>
          <w:rFonts w:asciiTheme="minorHAnsi" w:hAnsiTheme="minorHAnsi" w:cstheme="majorHAnsi"/>
          <w:sz w:val="16"/>
          <w:szCs w:val="16"/>
        </w:rPr>
        <w:t xml:space="preserve">, November 2013, March 2014. </w:t>
      </w:r>
    </w:p>
  </w:footnote>
  <w:footnote w:id="20">
    <w:p w14:paraId="5F5198D0" w14:textId="6A6E6183" w:rsidR="001129B6" w:rsidRPr="00F465BD" w:rsidRDefault="001129B6" w:rsidP="002E33C6">
      <w:pPr>
        <w:rPr>
          <w:sz w:val="16"/>
          <w:szCs w:val="16"/>
        </w:rPr>
      </w:pPr>
      <w:r w:rsidRPr="00F465BD">
        <w:rPr>
          <w:rStyle w:val="FootnoteReference"/>
          <w:sz w:val="16"/>
          <w:szCs w:val="16"/>
        </w:rPr>
        <w:footnoteRef/>
      </w:r>
      <w:r w:rsidRPr="00F465BD">
        <w:rPr>
          <w:sz w:val="16"/>
          <w:szCs w:val="16"/>
        </w:rPr>
        <w:t xml:space="preserve"> There are already a range of interventions to complement long-term scholarships, including ELT, pre-departure seminars, Equity of Access Fund and alumni support.</w:t>
      </w:r>
    </w:p>
    <w:p w14:paraId="58605873" w14:textId="77777777" w:rsidR="001129B6" w:rsidRPr="00F465BD" w:rsidRDefault="001129B6" w:rsidP="002E33C6">
      <w:pPr>
        <w:pStyle w:val="FootnoteText"/>
        <w:rPr>
          <w:sz w:val="16"/>
          <w:szCs w:val="16"/>
          <w:lang w:val="en-US"/>
        </w:rPr>
      </w:pPr>
    </w:p>
  </w:footnote>
  <w:footnote w:id="21">
    <w:p w14:paraId="29D6A2E7" w14:textId="240CBC19" w:rsidR="001129B6" w:rsidRPr="00F465BD" w:rsidRDefault="001129B6">
      <w:pPr>
        <w:pStyle w:val="FootnoteText"/>
        <w:rPr>
          <w:rFonts w:asciiTheme="minorHAnsi" w:hAnsiTheme="minorHAnsi"/>
          <w:sz w:val="16"/>
          <w:szCs w:val="16"/>
          <w:lang w:val="en-US"/>
        </w:rPr>
      </w:pPr>
      <w:r w:rsidRPr="00603B2E">
        <w:rPr>
          <w:rStyle w:val="FootnoteReference"/>
          <w:rFonts w:asciiTheme="minorHAnsi" w:hAnsiTheme="minorHAnsi"/>
        </w:rPr>
        <w:footnoteRef/>
      </w:r>
      <w:r w:rsidRPr="00603B2E">
        <w:rPr>
          <w:rFonts w:asciiTheme="minorHAnsi" w:hAnsiTheme="minorHAnsi"/>
        </w:rPr>
        <w:t xml:space="preserve"> </w:t>
      </w:r>
      <w:r w:rsidRPr="00F465BD">
        <w:rPr>
          <w:rFonts w:asciiTheme="minorHAnsi" w:hAnsiTheme="minorHAnsi"/>
          <w:sz w:val="16"/>
          <w:szCs w:val="16"/>
        </w:rPr>
        <w:t>Mia Urbano, DFAT Regional Social Development Specialist, 2015.</w:t>
      </w:r>
    </w:p>
  </w:footnote>
  <w:footnote w:id="22">
    <w:p w14:paraId="5A748369" w14:textId="77777777" w:rsidR="001129B6" w:rsidRPr="00F465BD" w:rsidRDefault="001129B6" w:rsidP="00C964EF">
      <w:pPr>
        <w:rPr>
          <w:sz w:val="16"/>
          <w:szCs w:val="16"/>
        </w:rPr>
      </w:pPr>
      <w:r w:rsidRPr="00F465BD">
        <w:rPr>
          <w:rStyle w:val="FootnoteReference"/>
          <w:sz w:val="16"/>
          <w:szCs w:val="16"/>
        </w:rPr>
        <w:footnoteRef/>
      </w:r>
      <w:r w:rsidRPr="00F465BD">
        <w:rPr>
          <w:sz w:val="16"/>
          <w:szCs w:val="16"/>
        </w:rPr>
        <w:t xml:space="preserve"> Disability Policy and Implementation Review of Australia Awards Scholarships, DFAT, December 2014.</w:t>
      </w:r>
    </w:p>
  </w:footnote>
  <w:footnote w:id="23">
    <w:p w14:paraId="032E1B68" w14:textId="77777777" w:rsidR="001129B6" w:rsidRPr="00F465BD" w:rsidRDefault="001129B6" w:rsidP="002E33C6">
      <w:pPr>
        <w:spacing w:before="120" w:after="120"/>
        <w:rPr>
          <w:sz w:val="16"/>
          <w:szCs w:val="16"/>
        </w:rPr>
      </w:pPr>
      <w:r w:rsidRPr="00F465BD">
        <w:rPr>
          <w:rStyle w:val="FootnoteReference"/>
          <w:sz w:val="16"/>
          <w:szCs w:val="16"/>
        </w:rPr>
        <w:footnoteRef/>
      </w:r>
      <w:r w:rsidRPr="00F465BD">
        <w:rPr>
          <w:sz w:val="16"/>
          <w:szCs w:val="16"/>
        </w:rPr>
        <w:t xml:space="preserve"> Some Australian universities and other scholarship providers such as Fulbright and Chevening invest (often heavily) in resourcing local networks and providing funding support for events and activities.</w:t>
      </w:r>
    </w:p>
  </w:footnote>
  <w:footnote w:id="24">
    <w:p w14:paraId="2900B95D" w14:textId="14DD1E1D" w:rsidR="001129B6" w:rsidRPr="00905A4C" w:rsidRDefault="001129B6">
      <w:pPr>
        <w:pStyle w:val="FootnoteText"/>
        <w:rPr>
          <w:rFonts w:asciiTheme="minorHAnsi" w:hAnsiTheme="minorHAnsi"/>
          <w:sz w:val="16"/>
          <w:szCs w:val="16"/>
          <w:lang w:val="en-US"/>
        </w:rPr>
      </w:pPr>
      <w:r w:rsidRPr="00905A4C">
        <w:rPr>
          <w:rStyle w:val="FootnoteReference"/>
          <w:rFonts w:asciiTheme="minorHAnsi" w:hAnsiTheme="minorHAnsi"/>
          <w:sz w:val="16"/>
          <w:szCs w:val="16"/>
        </w:rPr>
        <w:footnoteRef/>
      </w:r>
      <w:r w:rsidRPr="00905A4C">
        <w:rPr>
          <w:rFonts w:asciiTheme="minorHAnsi" w:hAnsiTheme="minorHAnsi"/>
          <w:sz w:val="16"/>
          <w:szCs w:val="16"/>
        </w:rPr>
        <w:t xml:space="preserve"> </w:t>
      </w:r>
      <w:r w:rsidRPr="00905A4C">
        <w:rPr>
          <w:rFonts w:asciiTheme="minorHAnsi" w:hAnsiTheme="minorHAnsi"/>
          <w:sz w:val="16"/>
          <w:szCs w:val="16"/>
          <w:lang w:val="en-US"/>
        </w:rPr>
        <w:t>This still requires a transparent AAS selection process.</w:t>
      </w:r>
    </w:p>
  </w:footnote>
  <w:footnote w:id="25">
    <w:p w14:paraId="374E6A14" w14:textId="7059C4F2" w:rsidR="001129B6" w:rsidRPr="00905A4C" w:rsidRDefault="001129B6">
      <w:pPr>
        <w:pStyle w:val="FootnoteText"/>
        <w:rPr>
          <w:rFonts w:asciiTheme="minorHAnsi" w:hAnsiTheme="minorHAnsi"/>
          <w:sz w:val="16"/>
          <w:szCs w:val="16"/>
          <w:lang w:val="en-US"/>
        </w:rPr>
      </w:pPr>
      <w:r w:rsidRPr="00905A4C">
        <w:rPr>
          <w:rStyle w:val="FootnoteReference"/>
          <w:rFonts w:asciiTheme="minorHAnsi" w:hAnsiTheme="minorHAnsi"/>
          <w:sz w:val="16"/>
          <w:szCs w:val="16"/>
        </w:rPr>
        <w:footnoteRef/>
      </w:r>
      <w:r w:rsidRPr="00905A4C">
        <w:rPr>
          <w:rFonts w:asciiTheme="minorHAnsi" w:hAnsiTheme="minorHAnsi"/>
          <w:sz w:val="16"/>
          <w:szCs w:val="16"/>
        </w:rPr>
        <w:t xml:space="preserve"> </w:t>
      </w:r>
      <w:r w:rsidRPr="00905A4C">
        <w:rPr>
          <w:rFonts w:asciiTheme="minorHAnsi" w:hAnsiTheme="minorHAnsi"/>
          <w:sz w:val="16"/>
          <w:szCs w:val="16"/>
          <w:lang w:val="en-US"/>
        </w:rPr>
        <w:t>Priority in the first month of mobilisation will be ensuring the ASS process is maintained. Further, until target institutions are identified all AAS will be untied.</w:t>
      </w:r>
    </w:p>
  </w:footnote>
  <w:footnote w:id="26">
    <w:p w14:paraId="5984364B" w14:textId="1C6091FD" w:rsidR="001129B6" w:rsidRPr="004602A9" w:rsidRDefault="001129B6">
      <w:pPr>
        <w:pStyle w:val="FootnoteText"/>
        <w:rPr>
          <w:rFonts w:asciiTheme="minorHAnsi" w:hAnsiTheme="minorHAnsi"/>
          <w:sz w:val="16"/>
          <w:szCs w:val="16"/>
          <w:lang w:val="en-US"/>
        </w:rPr>
      </w:pPr>
      <w:r w:rsidRPr="004602A9">
        <w:rPr>
          <w:rStyle w:val="FootnoteReference"/>
          <w:rFonts w:asciiTheme="minorHAnsi" w:hAnsiTheme="minorHAnsi"/>
          <w:sz w:val="16"/>
          <w:szCs w:val="16"/>
        </w:rPr>
        <w:footnoteRef/>
      </w:r>
      <w:r w:rsidRPr="004602A9">
        <w:rPr>
          <w:rFonts w:asciiTheme="minorHAnsi" w:hAnsiTheme="minorHAnsi"/>
          <w:sz w:val="16"/>
          <w:szCs w:val="16"/>
        </w:rPr>
        <w:t xml:space="preserve"> The option of developing a sub program of HRD support to government departments was considered, but for reasons discussed in Annex 3, including already extensive access to support for re-structuring and improving HR practices under the long running UNDP Public Administration (PAR) program, was not deemed an initial priority. Government departments will however, still have access to short term training and other HRD support, on an as needs basis. </w:t>
      </w:r>
    </w:p>
  </w:footnote>
  <w:footnote w:id="27">
    <w:p w14:paraId="7D9841C5" w14:textId="77777777" w:rsidR="001129B6" w:rsidRPr="004602A9" w:rsidRDefault="001129B6" w:rsidP="00B37E9B">
      <w:pPr>
        <w:rPr>
          <w:sz w:val="16"/>
          <w:szCs w:val="16"/>
        </w:rPr>
      </w:pPr>
      <w:r w:rsidRPr="004602A9">
        <w:rPr>
          <w:rStyle w:val="FootnoteReference"/>
          <w:sz w:val="16"/>
          <w:szCs w:val="16"/>
        </w:rPr>
        <w:footnoteRef/>
      </w:r>
      <w:r w:rsidRPr="004602A9">
        <w:rPr>
          <w:sz w:val="16"/>
          <w:szCs w:val="16"/>
        </w:rPr>
        <w:t xml:space="preserve"> RMIT recently completed delivery of a Master of Engineering course in Vietnam, demonstrating a capacity to deliver Australian qualifications in-Vietnam.</w:t>
      </w:r>
    </w:p>
  </w:footnote>
  <w:footnote w:id="28">
    <w:p w14:paraId="4BD75D6A" w14:textId="0FD21117" w:rsidR="001129B6" w:rsidRPr="004602A9" w:rsidRDefault="001129B6" w:rsidP="0092599D">
      <w:pPr>
        <w:rPr>
          <w:sz w:val="16"/>
          <w:szCs w:val="16"/>
        </w:rPr>
      </w:pPr>
      <w:r w:rsidRPr="004602A9">
        <w:rPr>
          <w:rStyle w:val="FootnoteReference"/>
          <w:sz w:val="16"/>
          <w:szCs w:val="16"/>
        </w:rPr>
        <w:footnoteRef/>
      </w:r>
      <w:r w:rsidRPr="004602A9">
        <w:rPr>
          <w:sz w:val="16"/>
          <w:szCs w:val="16"/>
        </w:rPr>
        <w:t xml:space="preserve"> Based on estimates provided by RMIT Hanoi, the cost for providing Cert IV Workplace Training &amp; Assessment training courses would be approximately AUD 3,000 per participant, for a maximum of 20 participants per course. The course could be tailor made to be delivered in Vietnamese by in-country staff, with a course period of 10 days, which could be scheduled in a block (2 weeks x 5 days per week) or on a one-day per week basis. </w:t>
      </w:r>
    </w:p>
  </w:footnote>
  <w:footnote w:id="29">
    <w:p w14:paraId="06A9BE43" w14:textId="74454BD1" w:rsidR="001129B6" w:rsidRPr="004602A9" w:rsidRDefault="001129B6" w:rsidP="006D0A4C">
      <w:pPr>
        <w:pStyle w:val="FootnoteText"/>
        <w:rPr>
          <w:rFonts w:asciiTheme="minorHAnsi" w:hAnsiTheme="minorHAnsi"/>
          <w:sz w:val="16"/>
          <w:szCs w:val="16"/>
          <w:lang w:val="en-US"/>
        </w:rPr>
      </w:pPr>
      <w:r w:rsidRPr="004602A9">
        <w:rPr>
          <w:rStyle w:val="FootnoteReference"/>
          <w:rFonts w:asciiTheme="minorHAnsi" w:hAnsiTheme="minorHAnsi"/>
          <w:sz w:val="16"/>
          <w:szCs w:val="16"/>
        </w:rPr>
        <w:footnoteRef/>
      </w:r>
      <w:r w:rsidRPr="004602A9">
        <w:rPr>
          <w:rFonts w:asciiTheme="minorHAnsi" w:hAnsiTheme="minorHAnsi"/>
          <w:sz w:val="16"/>
          <w:szCs w:val="16"/>
        </w:rPr>
        <w:t xml:space="preserve"> Feasibility Study of Vietnam TVET, November 2014. See Annex 17.</w:t>
      </w:r>
    </w:p>
  </w:footnote>
  <w:footnote w:id="30">
    <w:p w14:paraId="64594036" w14:textId="7909B2D9" w:rsidR="001129B6" w:rsidRPr="004602A9" w:rsidRDefault="001129B6">
      <w:pPr>
        <w:pStyle w:val="FootnoteText"/>
        <w:rPr>
          <w:rFonts w:asciiTheme="minorHAnsi" w:hAnsiTheme="minorHAnsi"/>
          <w:sz w:val="16"/>
          <w:szCs w:val="16"/>
          <w:lang w:val="en-US"/>
        </w:rPr>
      </w:pPr>
      <w:r w:rsidRPr="004602A9">
        <w:rPr>
          <w:rStyle w:val="FootnoteReference"/>
          <w:rFonts w:asciiTheme="minorHAnsi" w:hAnsiTheme="minorHAnsi"/>
          <w:sz w:val="16"/>
          <w:szCs w:val="16"/>
        </w:rPr>
        <w:footnoteRef/>
      </w:r>
      <w:r w:rsidRPr="004602A9">
        <w:rPr>
          <w:rFonts w:asciiTheme="minorHAnsi" w:hAnsiTheme="minorHAnsi"/>
          <w:sz w:val="16"/>
          <w:szCs w:val="16"/>
        </w:rPr>
        <w:t xml:space="preserve"> </w:t>
      </w:r>
      <w:r w:rsidRPr="004602A9">
        <w:rPr>
          <w:rFonts w:asciiTheme="minorHAnsi" w:hAnsiTheme="minorHAnsi"/>
          <w:sz w:val="16"/>
          <w:szCs w:val="16"/>
          <w:lang w:val="en-US"/>
        </w:rPr>
        <w:t>Other opportunities to support private sector development exist through engagement with relevant alumni.</w:t>
      </w:r>
    </w:p>
  </w:footnote>
  <w:footnote w:id="31">
    <w:p w14:paraId="5E1F075C" w14:textId="77777777" w:rsidR="001129B6" w:rsidRPr="004602A9" w:rsidRDefault="001129B6" w:rsidP="00403D06">
      <w:pPr>
        <w:pStyle w:val="FootnoteText"/>
        <w:rPr>
          <w:rFonts w:asciiTheme="minorHAnsi" w:hAnsiTheme="minorHAnsi"/>
          <w:sz w:val="16"/>
          <w:szCs w:val="16"/>
          <w:lang w:val="en-AU"/>
        </w:rPr>
      </w:pPr>
      <w:r w:rsidRPr="004602A9">
        <w:rPr>
          <w:rStyle w:val="FootnoteReference"/>
          <w:rFonts w:asciiTheme="minorHAnsi" w:hAnsiTheme="minorHAnsi"/>
          <w:sz w:val="16"/>
          <w:szCs w:val="16"/>
        </w:rPr>
        <w:footnoteRef/>
      </w:r>
      <w:r w:rsidRPr="004602A9">
        <w:rPr>
          <w:rFonts w:asciiTheme="minorHAnsi" w:hAnsiTheme="minorHAnsi"/>
          <w:sz w:val="16"/>
          <w:szCs w:val="16"/>
        </w:rPr>
        <w:t xml:space="preserve"> </w:t>
      </w:r>
      <w:r w:rsidRPr="004602A9">
        <w:rPr>
          <w:rFonts w:asciiTheme="minorHAnsi" w:hAnsiTheme="minorHAnsi"/>
          <w:sz w:val="16"/>
          <w:szCs w:val="16"/>
          <w:lang w:val="en-AU"/>
        </w:rPr>
        <w:t>Any joint degree program must also align with one of the AIP Priority Sectors</w:t>
      </w:r>
    </w:p>
  </w:footnote>
  <w:footnote w:id="32">
    <w:p w14:paraId="35F9A142" w14:textId="1D0E3A23" w:rsidR="001129B6" w:rsidRPr="004602A9" w:rsidRDefault="001129B6">
      <w:pPr>
        <w:pStyle w:val="FootnoteText"/>
        <w:rPr>
          <w:rFonts w:asciiTheme="minorHAnsi" w:hAnsiTheme="minorHAnsi"/>
          <w:sz w:val="16"/>
          <w:szCs w:val="16"/>
          <w:lang w:val="en-US"/>
        </w:rPr>
      </w:pPr>
      <w:r w:rsidRPr="004602A9">
        <w:rPr>
          <w:rStyle w:val="FootnoteReference"/>
          <w:rFonts w:asciiTheme="minorHAnsi" w:hAnsiTheme="minorHAnsi"/>
          <w:sz w:val="16"/>
          <w:szCs w:val="16"/>
        </w:rPr>
        <w:footnoteRef/>
      </w:r>
      <w:r w:rsidRPr="004602A9">
        <w:rPr>
          <w:rFonts w:asciiTheme="minorHAnsi" w:hAnsiTheme="minorHAnsi"/>
          <w:sz w:val="16"/>
          <w:szCs w:val="16"/>
        </w:rPr>
        <w:t xml:space="preserve"> </w:t>
      </w:r>
      <w:r w:rsidRPr="004602A9">
        <w:rPr>
          <w:rFonts w:asciiTheme="minorHAnsi" w:hAnsiTheme="minorHAnsi"/>
          <w:sz w:val="16"/>
          <w:szCs w:val="16"/>
          <w:lang w:val="en-US"/>
        </w:rPr>
        <w:t>It is unlikely there would be scope or demand for long-term technical assistance.</w:t>
      </w:r>
    </w:p>
  </w:footnote>
  <w:footnote w:id="33">
    <w:p w14:paraId="799B9E66" w14:textId="48686E19" w:rsidR="001129B6" w:rsidRPr="004602A9" w:rsidRDefault="001129B6">
      <w:pPr>
        <w:pStyle w:val="FootnoteText"/>
        <w:rPr>
          <w:rFonts w:asciiTheme="minorHAnsi" w:hAnsiTheme="minorHAnsi"/>
          <w:sz w:val="16"/>
          <w:szCs w:val="16"/>
          <w:lang w:val="en-US"/>
        </w:rPr>
      </w:pPr>
      <w:r w:rsidRPr="004602A9">
        <w:rPr>
          <w:rStyle w:val="FootnoteReference"/>
          <w:rFonts w:asciiTheme="minorHAnsi" w:hAnsiTheme="minorHAnsi"/>
          <w:sz w:val="16"/>
          <w:szCs w:val="16"/>
        </w:rPr>
        <w:footnoteRef/>
      </w:r>
      <w:r w:rsidRPr="004602A9">
        <w:rPr>
          <w:rFonts w:asciiTheme="minorHAnsi" w:hAnsiTheme="minorHAnsi"/>
          <w:sz w:val="16"/>
          <w:szCs w:val="16"/>
        </w:rPr>
        <w:t xml:space="preserve"> </w:t>
      </w:r>
      <w:r w:rsidRPr="004602A9">
        <w:rPr>
          <w:rFonts w:asciiTheme="minorHAnsi" w:hAnsiTheme="minorHAnsi"/>
          <w:sz w:val="16"/>
          <w:szCs w:val="16"/>
          <w:lang w:val="en-US"/>
        </w:rPr>
        <w:t>This may be partially offset by an increase in STT, which to date has not been a significant feature of Australian Government support for HRD in Vietnam.</w:t>
      </w:r>
    </w:p>
  </w:footnote>
  <w:footnote w:id="34">
    <w:p w14:paraId="5349E66D" w14:textId="77777777" w:rsidR="001129B6" w:rsidRPr="004602A9" w:rsidRDefault="001129B6" w:rsidP="00534CE6">
      <w:pPr>
        <w:pStyle w:val="FootnoteText"/>
        <w:rPr>
          <w:rFonts w:asciiTheme="minorHAnsi" w:hAnsiTheme="minorHAnsi"/>
          <w:sz w:val="16"/>
          <w:szCs w:val="16"/>
          <w:lang w:val="en-US"/>
        </w:rPr>
      </w:pPr>
      <w:r w:rsidRPr="004602A9">
        <w:rPr>
          <w:rStyle w:val="FootnoteReference"/>
          <w:rFonts w:asciiTheme="minorHAnsi" w:hAnsiTheme="minorHAnsi"/>
          <w:sz w:val="16"/>
          <w:szCs w:val="16"/>
        </w:rPr>
        <w:footnoteRef/>
      </w:r>
      <w:r w:rsidRPr="004602A9">
        <w:rPr>
          <w:rFonts w:asciiTheme="minorHAnsi" w:hAnsiTheme="minorHAnsi"/>
          <w:sz w:val="16"/>
          <w:szCs w:val="16"/>
        </w:rPr>
        <w:t xml:space="preserve"> </w:t>
      </w:r>
      <w:r w:rsidRPr="004602A9">
        <w:rPr>
          <w:rFonts w:asciiTheme="minorHAnsi" w:hAnsiTheme="minorHAnsi"/>
          <w:sz w:val="16"/>
          <w:szCs w:val="16"/>
          <w:lang w:val="en-US"/>
        </w:rPr>
        <w:t xml:space="preserve">Subject to the annual planning process, the program will allow up to 20% of awards for Doctorate studies. </w:t>
      </w:r>
    </w:p>
  </w:footnote>
  <w:footnote w:id="35">
    <w:p w14:paraId="33C17E59" w14:textId="77777777" w:rsidR="001129B6" w:rsidRPr="004602A9" w:rsidRDefault="001129B6" w:rsidP="00B2247C">
      <w:pPr>
        <w:pStyle w:val="FootnoteText"/>
        <w:rPr>
          <w:rFonts w:asciiTheme="minorHAnsi" w:hAnsiTheme="minorHAnsi"/>
          <w:sz w:val="16"/>
          <w:szCs w:val="16"/>
          <w:lang w:val="en-AU"/>
        </w:rPr>
      </w:pPr>
      <w:r w:rsidRPr="004602A9">
        <w:rPr>
          <w:rStyle w:val="FootnoteReference"/>
          <w:rFonts w:asciiTheme="minorHAnsi" w:hAnsiTheme="minorHAnsi"/>
          <w:sz w:val="16"/>
          <w:szCs w:val="16"/>
        </w:rPr>
        <w:footnoteRef/>
      </w:r>
      <w:r w:rsidRPr="004602A9">
        <w:rPr>
          <w:rFonts w:asciiTheme="minorHAnsi" w:hAnsiTheme="minorHAnsi"/>
          <w:sz w:val="16"/>
          <w:szCs w:val="16"/>
        </w:rPr>
        <w:t xml:space="preserve"> </w:t>
      </w:r>
      <w:r w:rsidRPr="004602A9">
        <w:rPr>
          <w:rFonts w:asciiTheme="minorHAnsi" w:hAnsiTheme="minorHAnsi"/>
          <w:sz w:val="16"/>
          <w:szCs w:val="16"/>
          <w:lang w:val="en-AU"/>
        </w:rPr>
        <w:t xml:space="preserve">Note that any SCA’s undertaken by awardees from Vietnam are to be recorded within overall country and global Australia Awards databases; in contrast, STT activities and other </w:t>
      </w:r>
      <w:r w:rsidRPr="004602A9">
        <w:rPr>
          <w:rFonts w:asciiTheme="minorHAnsi" w:hAnsiTheme="minorHAnsi"/>
          <w:i/>
          <w:sz w:val="16"/>
          <w:szCs w:val="16"/>
          <w:lang w:val="en-AU"/>
        </w:rPr>
        <w:t>ad hoc</w:t>
      </w:r>
      <w:r w:rsidRPr="004602A9">
        <w:rPr>
          <w:rFonts w:asciiTheme="minorHAnsi" w:hAnsiTheme="minorHAnsi"/>
          <w:sz w:val="16"/>
          <w:szCs w:val="16"/>
          <w:lang w:val="en-AU"/>
        </w:rPr>
        <w:t xml:space="preserve"> interventions are not necessarily considered as part of the overall Australia Awards program, for DFAT </w:t>
      </w:r>
      <w:r w:rsidRPr="004602A9">
        <w:rPr>
          <w:rFonts w:asciiTheme="minorHAnsi" w:hAnsiTheme="minorHAnsi"/>
          <w:i/>
          <w:sz w:val="16"/>
          <w:szCs w:val="16"/>
          <w:lang w:val="en-AU"/>
        </w:rPr>
        <w:t>Australia Award data recording</w:t>
      </w:r>
      <w:r w:rsidRPr="004602A9">
        <w:rPr>
          <w:rFonts w:asciiTheme="minorHAnsi" w:hAnsiTheme="minorHAnsi"/>
          <w:sz w:val="16"/>
          <w:szCs w:val="16"/>
          <w:lang w:val="en-AU"/>
        </w:rPr>
        <w:t xml:space="preserve"> purposes. However, in principle and wherever applicable, any short courses are to be identified within and managed under the “Australia Awards” broader global program of SCAs.</w:t>
      </w:r>
    </w:p>
  </w:footnote>
  <w:footnote w:id="36">
    <w:p w14:paraId="6CE6988D" w14:textId="48B16F34" w:rsidR="001129B6" w:rsidRPr="00167A2B" w:rsidRDefault="001129B6" w:rsidP="003A2585">
      <w:pPr>
        <w:pStyle w:val="FootnoteText"/>
        <w:rPr>
          <w:rFonts w:asciiTheme="minorHAnsi" w:hAnsiTheme="minorHAnsi"/>
          <w:lang w:val="en-AU"/>
        </w:rPr>
      </w:pPr>
      <w:r w:rsidRPr="004602A9">
        <w:rPr>
          <w:rStyle w:val="FootnoteReference"/>
          <w:rFonts w:asciiTheme="minorHAnsi" w:hAnsiTheme="minorHAnsi"/>
          <w:sz w:val="16"/>
          <w:szCs w:val="16"/>
        </w:rPr>
        <w:footnoteRef/>
      </w:r>
      <w:r w:rsidRPr="004602A9">
        <w:rPr>
          <w:rFonts w:asciiTheme="minorHAnsi" w:hAnsiTheme="minorHAnsi"/>
          <w:sz w:val="16"/>
          <w:szCs w:val="16"/>
        </w:rPr>
        <w:t xml:space="preserve"> A Registered Training Organisation (RTO) in Australia is an organisation providing Vocational Education and Training (VET) to students, resulting in qualifications and/or statements of attainment that are recognised and accepted by industry and other educational institutions throughout Australia. RTOs are recognised as providers of quality-assured</w:t>
      </w:r>
      <w:r w:rsidRPr="00167A2B">
        <w:rPr>
          <w:rFonts w:asciiTheme="minorHAnsi" w:hAnsiTheme="minorHAnsi"/>
        </w:rPr>
        <w:t xml:space="preserve"> and nationally recognised training and qualifications. There are currently around 5000 RTOs in Australia.</w:t>
      </w:r>
      <w:r w:rsidRPr="00167A2B">
        <w:rPr>
          <w:rFonts w:asciiTheme="minorHAnsi" w:hAnsiTheme="minorHAnsi"/>
          <w:i/>
        </w:rPr>
        <w:t xml:space="preserve"> (Refer GoA Australian Skills Quality Authority (ASQA).</w:t>
      </w:r>
      <w:r>
        <w:rPr>
          <w:rFonts w:asciiTheme="minorHAnsi" w:hAnsiTheme="minorHAnsi"/>
          <w:i/>
        </w:rPr>
        <w:t>)</w:t>
      </w:r>
    </w:p>
  </w:footnote>
  <w:footnote w:id="37">
    <w:p w14:paraId="48E6F0D6" w14:textId="77777777" w:rsidR="001129B6" w:rsidRPr="004B3B5F" w:rsidRDefault="001129B6" w:rsidP="00601C39">
      <w:pPr>
        <w:spacing w:after="120"/>
        <w:rPr>
          <w:rFonts w:eastAsia="Calibri"/>
          <w:sz w:val="16"/>
          <w:szCs w:val="16"/>
        </w:rPr>
      </w:pPr>
      <w:r w:rsidRPr="004B3B5F">
        <w:rPr>
          <w:rStyle w:val="FootnoteReference"/>
          <w:sz w:val="16"/>
          <w:szCs w:val="16"/>
        </w:rPr>
        <w:footnoteRef/>
      </w:r>
      <w:r w:rsidRPr="004B3B5F">
        <w:rPr>
          <w:sz w:val="16"/>
          <w:szCs w:val="16"/>
        </w:rPr>
        <w:t xml:space="preserve"> </w:t>
      </w:r>
      <w:r w:rsidRPr="004B3B5F">
        <w:rPr>
          <w:rFonts w:eastAsia="Calibri"/>
          <w:sz w:val="16"/>
          <w:szCs w:val="16"/>
        </w:rPr>
        <w:t xml:space="preserve">Effective Alumni Engagement—Concept Note, DFAT, November 2014. </w:t>
      </w:r>
    </w:p>
    <w:p w14:paraId="628A5F6A" w14:textId="22BDEE09" w:rsidR="001129B6" w:rsidRPr="00600A17" w:rsidRDefault="001129B6">
      <w:pPr>
        <w:pStyle w:val="FootnoteText"/>
        <w:rPr>
          <w:lang w:val="en-US"/>
        </w:rPr>
      </w:pPr>
    </w:p>
  </w:footnote>
  <w:footnote w:id="38">
    <w:p w14:paraId="071658DB" w14:textId="77777777" w:rsidR="001129B6" w:rsidRPr="006B2580" w:rsidRDefault="001129B6" w:rsidP="00A25047">
      <w:pPr>
        <w:pStyle w:val="FootnoteText"/>
        <w:rPr>
          <w:rFonts w:asciiTheme="minorHAnsi" w:hAnsiTheme="minorHAnsi" w:cstheme="majorHAnsi"/>
          <w:sz w:val="16"/>
          <w:szCs w:val="16"/>
          <w:lang w:val="en-US"/>
        </w:rPr>
      </w:pPr>
      <w:r w:rsidRPr="006B2580">
        <w:rPr>
          <w:rStyle w:val="FootnoteReference"/>
          <w:rFonts w:asciiTheme="minorHAnsi" w:hAnsiTheme="minorHAnsi" w:cstheme="majorHAnsi"/>
          <w:sz w:val="16"/>
          <w:szCs w:val="16"/>
        </w:rPr>
        <w:footnoteRef/>
      </w:r>
      <w:r w:rsidRPr="006B2580">
        <w:rPr>
          <w:rFonts w:asciiTheme="minorHAnsi" w:hAnsiTheme="minorHAnsi" w:cstheme="majorHAnsi"/>
          <w:sz w:val="16"/>
          <w:szCs w:val="16"/>
        </w:rPr>
        <w:t xml:space="preserve"> </w:t>
      </w:r>
      <w:r w:rsidRPr="006B2580">
        <w:rPr>
          <w:rFonts w:asciiTheme="minorHAnsi" w:hAnsiTheme="minorHAnsi" w:cstheme="majorHAnsi"/>
          <w:sz w:val="16"/>
          <w:szCs w:val="16"/>
          <w:lang w:val="en-US"/>
        </w:rPr>
        <w:t>WiPPA evolved from a UNDP-MOFA project on women’s empowerment and leadership.</w:t>
      </w:r>
    </w:p>
  </w:footnote>
  <w:footnote w:id="39">
    <w:p w14:paraId="161D426D" w14:textId="563CC458" w:rsidR="001129B6" w:rsidRPr="006B2580" w:rsidRDefault="001129B6" w:rsidP="00D77ADD">
      <w:pPr>
        <w:autoSpaceDE w:val="0"/>
        <w:autoSpaceDN w:val="0"/>
        <w:adjustRightInd w:val="0"/>
        <w:spacing w:before="120"/>
        <w:rPr>
          <w:rFonts w:cstheme="majorHAnsi"/>
          <w:sz w:val="16"/>
          <w:szCs w:val="16"/>
        </w:rPr>
      </w:pPr>
      <w:r w:rsidRPr="006B2580">
        <w:rPr>
          <w:rStyle w:val="FootnoteReference"/>
          <w:rFonts w:cstheme="majorHAnsi"/>
          <w:sz w:val="16"/>
          <w:szCs w:val="16"/>
        </w:rPr>
        <w:footnoteRef/>
      </w:r>
      <w:r w:rsidRPr="006B2580">
        <w:rPr>
          <w:rFonts w:cstheme="majorHAnsi"/>
          <w:sz w:val="16"/>
          <w:szCs w:val="16"/>
        </w:rPr>
        <w:t xml:space="preserve"> </w:t>
      </w:r>
      <w:proofErr w:type="gramStart"/>
      <w:r w:rsidRPr="006B2580">
        <w:rPr>
          <w:rFonts w:cstheme="majorHAnsi"/>
          <w:sz w:val="16"/>
          <w:szCs w:val="16"/>
        </w:rPr>
        <w:t>Strategies for Promoting Leadership Pathways for Female Australia Awards Alumni in Vietnam, Mia Urbano, 2014.</w:t>
      </w:r>
      <w:proofErr w:type="gramEnd"/>
      <w:r w:rsidRPr="006B2580">
        <w:rPr>
          <w:rFonts w:cstheme="majorHAnsi"/>
          <w:sz w:val="16"/>
          <w:szCs w:val="16"/>
        </w:rPr>
        <w:t xml:space="preserve"> See Annex 16.</w:t>
      </w:r>
    </w:p>
    <w:p w14:paraId="2EF9DD6E" w14:textId="08DDBD48" w:rsidR="001129B6" w:rsidRPr="00D77ADD" w:rsidRDefault="001129B6">
      <w:pPr>
        <w:pStyle w:val="FootnoteText"/>
        <w:rPr>
          <w:lang w:val="en-US"/>
        </w:rPr>
      </w:pPr>
    </w:p>
  </w:footnote>
  <w:footnote w:id="40">
    <w:p w14:paraId="080506D8" w14:textId="4975755C" w:rsidR="001129B6" w:rsidRPr="00D063C2" w:rsidRDefault="001129B6">
      <w:pPr>
        <w:pStyle w:val="FootnoteText"/>
        <w:rPr>
          <w:rFonts w:asciiTheme="minorHAnsi" w:hAnsiTheme="minorHAnsi"/>
          <w:sz w:val="16"/>
          <w:szCs w:val="16"/>
          <w:lang w:val="en-US"/>
        </w:rPr>
      </w:pPr>
      <w:r w:rsidRPr="00D063C2">
        <w:rPr>
          <w:rStyle w:val="FootnoteReference"/>
          <w:rFonts w:asciiTheme="minorHAnsi" w:hAnsiTheme="minorHAnsi"/>
          <w:sz w:val="16"/>
          <w:szCs w:val="16"/>
        </w:rPr>
        <w:footnoteRef/>
      </w:r>
      <w:r w:rsidRPr="00D063C2">
        <w:rPr>
          <w:rFonts w:asciiTheme="minorHAnsi" w:hAnsiTheme="minorHAnsi"/>
          <w:sz w:val="16"/>
          <w:szCs w:val="16"/>
        </w:rPr>
        <w:t xml:space="preserve"> </w:t>
      </w:r>
      <w:r w:rsidRPr="00D063C2">
        <w:rPr>
          <w:rFonts w:asciiTheme="minorHAnsi" w:hAnsiTheme="minorHAnsi"/>
          <w:sz w:val="16"/>
          <w:szCs w:val="16"/>
          <w:lang w:val="en-US"/>
        </w:rPr>
        <w:t>NCP funding is not eligible as ODA, and program implementation is primarily the responsibility of the participating universities in Australia and Vietnam.</w:t>
      </w:r>
    </w:p>
  </w:footnote>
  <w:footnote w:id="41">
    <w:p w14:paraId="14DABF17" w14:textId="77777777" w:rsidR="001129B6" w:rsidRPr="00D063C2" w:rsidRDefault="001129B6" w:rsidP="00534CE6">
      <w:pPr>
        <w:pStyle w:val="FootnoteText"/>
        <w:rPr>
          <w:rFonts w:asciiTheme="minorHAnsi" w:hAnsiTheme="minorHAnsi"/>
          <w:sz w:val="16"/>
          <w:szCs w:val="16"/>
          <w:lang w:val="en-US"/>
        </w:rPr>
      </w:pPr>
      <w:r w:rsidRPr="00D063C2">
        <w:rPr>
          <w:rStyle w:val="FootnoteReference"/>
          <w:rFonts w:asciiTheme="minorHAnsi" w:hAnsiTheme="minorHAnsi"/>
          <w:sz w:val="16"/>
          <w:szCs w:val="16"/>
        </w:rPr>
        <w:footnoteRef/>
      </w:r>
      <w:r w:rsidRPr="00D063C2">
        <w:rPr>
          <w:rFonts w:asciiTheme="minorHAnsi" w:hAnsiTheme="minorHAnsi"/>
          <w:sz w:val="16"/>
          <w:szCs w:val="16"/>
        </w:rPr>
        <w:t xml:space="preserve"> In addition to the fulltime expatriate Team </w:t>
      </w:r>
      <w:proofErr w:type="gramStart"/>
      <w:r w:rsidRPr="00D063C2">
        <w:rPr>
          <w:rFonts w:asciiTheme="minorHAnsi" w:hAnsiTheme="minorHAnsi"/>
          <w:sz w:val="16"/>
          <w:szCs w:val="16"/>
        </w:rPr>
        <w:t>Leader,</w:t>
      </w:r>
      <w:proofErr w:type="gramEnd"/>
      <w:r w:rsidRPr="00D063C2">
        <w:rPr>
          <w:rFonts w:asciiTheme="minorHAnsi" w:hAnsiTheme="minorHAnsi"/>
          <w:sz w:val="16"/>
          <w:szCs w:val="16"/>
        </w:rPr>
        <w:t xml:space="preserve"> t</w:t>
      </w:r>
      <w:r w:rsidRPr="00D063C2">
        <w:rPr>
          <w:rFonts w:asciiTheme="minorHAnsi" w:hAnsiTheme="minorHAnsi"/>
          <w:sz w:val="16"/>
          <w:szCs w:val="16"/>
          <w:lang w:val="en-US"/>
        </w:rPr>
        <w:t>he current Contractor has 13 fulltime local staff plus access to short-term expatriate expertise in M&amp;E, Gender and Social Inclusion and HRD.</w:t>
      </w:r>
    </w:p>
  </w:footnote>
  <w:footnote w:id="42">
    <w:p w14:paraId="1B00AA76" w14:textId="435ACB8A" w:rsidR="001129B6" w:rsidRPr="009F71F1" w:rsidRDefault="001129B6" w:rsidP="00C47DFE">
      <w:pPr>
        <w:rPr>
          <w:sz w:val="16"/>
          <w:szCs w:val="16"/>
        </w:rPr>
      </w:pPr>
      <w:r w:rsidRPr="009F71F1">
        <w:rPr>
          <w:rStyle w:val="FootnoteReference"/>
          <w:sz w:val="16"/>
          <w:szCs w:val="16"/>
        </w:rPr>
        <w:footnoteRef/>
      </w:r>
      <w:r w:rsidRPr="009F71F1">
        <w:rPr>
          <w:sz w:val="16"/>
          <w:szCs w:val="16"/>
        </w:rPr>
        <w:t xml:space="preserve"> Arrangements should be determined by the PCC as sub programs are developed and approved by the PCC. Given the broader HRD objectives of the program, this could include inviting MPI representation on the PCC. MPI has responsibility for bilateral aid coordination. </w:t>
      </w:r>
    </w:p>
  </w:footnote>
  <w:footnote w:id="43">
    <w:p w14:paraId="74BCBDB2" w14:textId="03A94996" w:rsidR="001129B6" w:rsidRPr="009F71F1" w:rsidRDefault="001129B6">
      <w:pPr>
        <w:pStyle w:val="FootnoteText"/>
        <w:rPr>
          <w:rFonts w:asciiTheme="minorHAnsi" w:hAnsiTheme="minorHAnsi"/>
          <w:sz w:val="16"/>
          <w:szCs w:val="16"/>
        </w:rPr>
      </w:pPr>
      <w:r w:rsidRPr="009F71F1">
        <w:rPr>
          <w:rStyle w:val="FootnoteReference"/>
          <w:rFonts w:asciiTheme="minorHAnsi" w:hAnsiTheme="minorHAnsi"/>
          <w:sz w:val="16"/>
          <w:szCs w:val="16"/>
        </w:rPr>
        <w:footnoteRef/>
      </w:r>
      <w:r w:rsidRPr="009F71F1">
        <w:rPr>
          <w:rFonts w:asciiTheme="minorHAnsi" w:hAnsiTheme="minorHAnsi"/>
          <w:sz w:val="16"/>
          <w:szCs w:val="16"/>
        </w:rPr>
        <w:t xml:space="preserve"> More frequent meetings may be determined by the PCC.</w:t>
      </w:r>
    </w:p>
  </w:footnote>
  <w:footnote w:id="44">
    <w:p w14:paraId="4C6D2A79" w14:textId="77777777" w:rsidR="001129B6" w:rsidRPr="00BE4B5A" w:rsidRDefault="001129B6" w:rsidP="001954F0">
      <w:pPr>
        <w:pStyle w:val="FootnoteText"/>
        <w:ind w:left="284" w:hanging="284"/>
        <w:rPr>
          <w:rFonts w:asciiTheme="minorHAnsi" w:hAnsiTheme="minorHAnsi"/>
          <w:sz w:val="16"/>
          <w:szCs w:val="16"/>
          <w:lang w:val="en-AU"/>
        </w:rPr>
      </w:pPr>
      <w:r w:rsidRPr="00BE4B5A">
        <w:rPr>
          <w:rStyle w:val="FootnoteReference"/>
          <w:rFonts w:asciiTheme="minorHAnsi" w:hAnsiTheme="minorHAnsi"/>
          <w:sz w:val="16"/>
          <w:szCs w:val="16"/>
        </w:rPr>
        <w:footnoteRef/>
      </w:r>
      <w:r w:rsidRPr="00BE4B5A">
        <w:rPr>
          <w:rFonts w:asciiTheme="minorHAnsi" w:hAnsiTheme="minorHAnsi"/>
          <w:sz w:val="16"/>
          <w:szCs w:val="16"/>
        </w:rPr>
        <w:t xml:space="preserve"> </w:t>
      </w:r>
      <w:r w:rsidRPr="00BE4B5A">
        <w:rPr>
          <w:rFonts w:asciiTheme="minorHAnsi" w:hAnsiTheme="minorHAnsi"/>
          <w:sz w:val="16"/>
          <w:szCs w:val="16"/>
          <w:lang w:val="en-AU"/>
        </w:rPr>
        <w:tab/>
        <w:t xml:space="preserve">The </w:t>
      </w:r>
      <w:r w:rsidRPr="00BE4B5A">
        <w:rPr>
          <w:rFonts w:asciiTheme="minorHAnsi" w:hAnsiTheme="minorHAnsi"/>
          <w:i/>
          <w:sz w:val="16"/>
          <w:szCs w:val="16"/>
          <w:lang w:val="en-AU"/>
        </w:rPr>
        <w:t>Promotions and Communications Plan</w:t>
      </w:r>
      <w:r w:rsidRPr="00BE4B5A">
        <w:rPr>
          <w:rFonts w:asciiTheme="minorHAnsi" w:hAnsiTheme="minorHAnsi"/>
          <w:sz w:val="16"/>
          <w:szCs w:val="16"/>
          <w:lang w:val="en-AU"/>
        </w:rPr>
        <w:t xml:space="preserve"> should include allied strategies to promote the two other components of Australia Awards: Short-term training and Alumni</w:t>
      </w:r>
    </w:p>
  </w:footnote>
  <w:footnote w:id="45">
    <w:p w14:paraId="16689BB8" w14:textId="183DAFBF" w:rsidR="001129B6" w:rsidRPr="00BE4B5A" w:rsidRDefault="001129B6">
      <w:pPr>
        <w:pStyle w:val="FootnoteText"/>
        <w:rPr>
          <w:rFonts w:asciiTheme="minorHAnsi" w:hAnsiTheme="minorHAnsi"/>
          <w:sz w:val="16"/>
          <w:szCs w:val="16"/>
          <w:lang w:val="en-US"/>
        </w:rPr>
      </w:pPr>
      <w:r w:rsidRPr="00BE4B5A">
        <w:rPr>
          <w:rStyle w:val="FootnoteReference"/>
          <w:rFonts w:asciiTheme="minorHAnsi" w:hAnsiTheme="minorHAnsi"/>
          <w:sz w:val="16"/>
          <w:szCs w:val="16"/>
        </w:rPr>
        <w:footnoteRef/>
      </w:r>
      <w:r w:rsidRPr="00BE4B5A">
        <w:rPr>
          <w:rFonts w:asciiTheme="minorHAnsi" w:hAnsiTheme="minorHAnsi"/>
          <w:sz w:val="16"/>
          <w:szCs w:val="16"/>
        </w:rPr>
        <w:t xml:space="preserve"> </w:t>
      </w:r>
      <w:r w:rsidRPr="00BE4B5A">
        <w:rPr>
          <w:rFonts w:asciiTheme="minorHAnsi" w:hAnsiTheme="minorHAnsi"/>
          <w:sz w:val="16"/>
          <w:szCs w:val="16"/>
          <w:lang w:val="en-AU"/>
        </w:rPr>
        <w:t>The criteria in the Table are suggested only; annual planning and consultation processes may result in changes aimed at better achieving overall program outputs and outcomes.</w:t>
      </w:r>
    </w:p>
  </w:footnote>
  <w:footnote w:id="46">
    <w:p w14:paraId="5B398B67" w14:textId="1CD6DC00" w:rsidR="001129B6" w:rsidRPr="00BE4B5A" w:rsidRDefault="001129B6" w:rsidP="00FA658F">
      <w:pPr>
        <w:pStyle w:val="FootnoteText"/>
        <w:ind w:left="284" w:hanging="284"/>
        <w:rPr>
          <w:rFonts w:asciiTheme="minorHAnsi" w:hAnsiTheme="minorHAnsi"/>
          <w:sz w:val="16"/>
          <w:szCs w:val="16"/>
          <w:lang w:val="en-AU"/>
        </w:rPr>
      </w:pPr>
      <w:r w:rsidRPr="00BE4B5A">
        <w:rPr>
          <w:rStyle w:val="FootnoteReference"/>
          <w:rFonts w:asciiTheme="minorHAnsi" w:hAnsiTheme="minorHAnsi"/>
          <w:sz w:val="16"/>
          <w:szCs w:val="16"/>
        </w:rPr>
        <w:footnoteRef/>
      </w:r>
      <w:r w:rsidRPr="00BE4B5A">
        <w:rPr>
          <w:rFonts w:asciiTheme="minorHAnsi" w:hAnsiTheme="minorHAnsi"/>
          <w:sz w:val="16"/>
          <w:szCs w:val="16"/>
        </w:rPr>
        <w:t xml:space="preserve"> </w:t>
      </w:r>
      <w:r w:rsidRPr="00BE4B5A">
        <w:rPr>
          <w:rFonts w:asciiTheme="minorHAnsi" w:hAnsiTheme="minorHAnsi"/>
          <w:sz w:val="16"/>
          <w:szCs w:val="16"/>
        </w:rPr>
        <w:tab/>
      </w:r>
      <w:r w:rsidRPr="00BE4B5A">
        <w:rPr>
          <w:rFonts w:asciiTheme="minorHAnsi" w:hAnsiTheme="minorHAnsi"/>
          <w:sz w:val="16"/>
          <w:szCs w:val="16"/>
          <w:lang w:val="en-AU"/>
        </w:rPr>
        <w:t>While it is expected that all Undergraduate qualifications will be “Formal” Bachelor’s degrees, the Program should retain some flexibility for accepting “Informal” degrees from outstanding “Disadvantaged” candidates.</w:t>
      </w:r>
    </w:p>
  </w:footnote>
  <w:footnote w:id="47">
    <w:p w14:paraId="78DEE2CF" w14:textId="77777777" w:rsidR="001129B6" w:rsidRPr="00BE4B5A" w:rsidRDefault="001129B6" w:rsidP="00DC7B91">
      <w:pPr>
        <w:pStyle w:val="FootnoteText"/>
        <w:ind w:left="284" w:hanging="284"/>
        <w:rPr>
          <w:rFonts w:asciiTheme="minorHAnsi" w:hAnsiTheme="minorHAnsi"/>
          <w:sz w:val="16"/>
          <w:szCs w:val="16"/>
          <w:lang w:val="en-AU"/>
        </w:rPr>
      </w:pPr>
      <w:r w:rsidRPr="00BE4B5A">
        <w:rPr>
          <w:rStyle w:val="FootnoteReference"/>
          <w:rFonts w:asciiTheme="minorHAnsi" w:hAnsiTheme="minorHAnsi"/>
          <w:sz w:val="16"/>
          <w:szCs w:val="16"/>
        </w:rPr>
        <w:footnoteRef/>
      </w:r>
      <w:r w:rsidRPr="00BE4B5A">
        <w:rPr>
          <w:rFonts w:asciiTheme="minorHAnsi" w:hAnsiTheme="minorHAnsi"/>
          <w:sz w:val="16"/>
          <w:szCs w:val="16"/>
        </w:rPr>
        <w:t xml:space="preserve"> </w:t>
      </w:r>
      <w:r w:rsidRPr="00BE4B5A">
        <w:rPr>
          <w:rFonts w:asciiTheme="minorHAnsi" w:hAnsiTheme="minorHAnsi"/>
          <w:sz w:val="16"/>
          <w:szCs w:val="16"/>
          <w:lang w:val="en-AU"/>
        </w:rPr>
        <w:tab/>
        <w:t>For “Disadvantaged” applicants, no IELTS score is required on application; however, the IELTS selection test result must meet minimum Profile requirements.</w:t>
      </w:r>
    </w:p>
  </w:footnote>
  <w:footnote w:id="48">
    <w:p w14:paraId="428A524B" w14:textId="36813B2C" w:rsidR="001129B6" w:rsidRPr="00BE4B5A" w:rsidRDefault="001129B6" w:rsidP="007D23E5">
      <w:pPr>
        <w:rPr>
          <w:sz w:val="16"/>
          <w:szCs w:val="16"/>
          <w:lang w:val="en-US"/>
        </w:rPr>
      </w:pPr>
      <w:r w:rsidRPr="00BE4B5A">
        <w:rPr>
          <w:rStyle w:val="FootnoteReference"/>
          <w:sz w:val="16"/>
          <w:szCs w:val="16"/>
        </w:rPr>
        <w:footnoteRef/>
      </w:r>
      <w:r w:rsidRPr="00BE4B5A">
        <w:rPr>
          <w:sz w:val="16"/>
          <w:szCs w:val="16"/>
        </w:rPr>
        <w:t xml:space="preserve"> </w:t>
      </w:r>
      <w:r w:rsidRPr="00BE4B5A">
        <w:rPr>
          <w:rFonts w:eastAsia="Calibri"/>
          <w:sz w:val="16"/>
          <w:szCs w:val="16"/>
        </w:rPr>
        <w:t>Although encouraged, a “current” IELTS test score is not required at application, but if the candidate is to be considered further, the minimum relevant scores must be achieved by the applicant at the Contractor-arranged IELTS test.</w:t>
      </w:r>
    </w:p>
  </w:footnote>
  <w:footnote w:id="49">
    <w:p w14:paraId="0B062812" w14:textId="77777777" w:rsidR="001129B6" w:rsidRPr="0060586F" w:rsidRDefault="001129B6" w:rsidP="007D23E5">
      <w:pPr>
        <w:spacing w:before="120"/>
        <w:rPr>
          <w:rFonts w:eastAsia="Calibri"/>
          <w:sz w:val="16"/>
          <w:szCs w:val="16"/>
        </w:rPr>
      </w:pPr>
      <w:r w:rsidRPr="0060586F">
        <w:rPr>
          <w:rStyle w:val="FootnoteReference"/>
          <w:sz w:val="16"/>
          <w:szCs w:val="16"/>
        </w:rPr>
        <w:footnoteRef/>
      </w:r>
      <w:r w:rsidRPr="0060586F">
        <w:rPr>
          <w:sz w:val="16"/>
          <w:szCs w:val="16"/>
        </w:rPr>
        <w:t xml:space="preserve"> </w:t>
      </w:r>
      <w:r w:rsidRPr="0060586F">
        <w:rPr>
          <w:rFonts w:eastAsia="Calibri"/>
          <w:sz w:val="16"/>
          <w:szCs w:val="16"/>
        </w:rPr>
        <w:t xml:space="preserve">Each conditional awardee’s starting level of ELT will be determined by a combination of their IELTS test score </w:t>
      </w:r>
      <w:r w:rsidRPr="0060586F">
        <w:rPr>
          <w:rFonts w:eastAsia="Calibri"/>
          <w:i/>
          <w:sz w:val="16"/>
          <w:szCs w:val="16"/>
        </w:rPr>
        <w:t>and</w:t>
      </w:r>
      <w:r w:rsidRPr="0060586F">
        <w:rPr>
          <w:rFonts w:eastAsia="Calibri"/>
          <w:sz w:val="16"/>
          <w:szCs w:val="16"/>
        </w:rPr>
        <w:t xml:space="preserve"> a placement test implemented by the Contractor. </w:t>
      </w:r>
    </w:p>
    <w:p w14:paraId="75B4C9AA" w14:textId="05A9D573" w:rsidR="001129B6" w:rsidRPr="0060586F" w:rsidRDefault="001129B6">
      <w:pPr>
        <w:pStyle w:val="FootnoteText"/>
        <w:rPr>
          <w:rFonts w:asciiTheme="minorHAnsi" w:hAnsiTheme="minorHAnsi"/>
          <w:sz w:val="16"/>
          <w:szCs w:val="16"/>
          <w:lang w:val="en-US"/>
        </w:rPr>
      </w:pPr>
    </w:p>
  </w:footnote>
  <w:footnote w:id="50">
    <w:p w14:paraId="2DB2B5B4" w14:textId="549432BC" w:rsidR="001129B6" w:rsidRPr="0060586F" w:rsidRDefault="001129B6" w:rsidP="001954F0">
      <w:pPr>
        <w:pStyle w:val="FootnoteText"/>
        <w:ind w:left="284" w:hanging="284"/>
        <w:rPr>
          <w:rFonts w:asciiTheme="minorHAnsi" w:hAnsiTheme="minorHAnsi"/>
          <w:sz w:val="16"/>
          <w:szCs w:val="16"/>
          <w:lang w:val="en-AU"/>
        </w:rPr>
      </w:pPr>
      <w:r w:rsidRPr="0060586F">
        <w:rPr>
          <w:rStyle w:val="FootnoteReference"/>
          <w:rFonts w:asciiTheme="minorHAnsi" w:hAnsiTheme="minorHAnsi"/>
          <w:sz w:val="16"/>
          <w:szCs w:val="16"/>
        </w:rPr>
        <w:footnoteRef/>
      </w:r>
      <w:r w:rsidRPr="0060586F">
        <w:rPr>
          <w:rFonts w:asciiTheme="minorHAnsi" w:hAnsiTheme="minorHAnsi"/>
          <w:sz w:val="16"/>
          <w:szCs w:val="16"/>
        </w:rPr>
        <w:t xml:space="preserve"> </w:t>
      </w:r>
      <w:r w:rsidRPr="0060586F">
        <w:rPr>
          <w:rFonts w:asciiTheme="minorHAnsi" w:hAnsiTheme="minorHAnsi"/>
          <w:sz w:val="16"/>
          <w:szCs w:val="16"/>
          <w:lang w:val="en-AU"/>
        </w:rPr>
        <w:t xml:space="preserve">For those awardees who </w:t>
      </w:r>
      <w:r w:rsidRPr="0060586F">
        <w:rPr>
          <w:rFonts w:asciiTheme="minorHAnsi" w:hAnsiTheme="minorHAnsi"/>
          <w:i/>
          <w:sz w:val="16"/>
          <w:szCs w:val="16"/>
          <w:lang w:val="en-AU"/>
        </w:rPr>
        <w:t>do not</w:t>
      </w:r>
      <w:r w:rsidRPr="0060586F">
        <w:rPr>
          <w:rFonts w:asciiTheme="minorHAnsi" w:hAnsiTheme="minorHAnsi"/>
          <w:sz w:val="16"/>
          <w:szCs w:val="16"/>
          <w:lang w:val="en-AU"/>
        </w:rPr>
        <w:t xml:space="preserve"> complete their ELT until some time in the first half of the following year, placement (and a second PDB) will take place in June-July.</w:t>
      </w:r>
    </w:p>
  </w:footnote>
  <w:footnote w:id="51">
    <w:p w14:paraId="3B7C2051" w14:textId="1A503584" w:rsidR="001129B6" w:rsidRPr="0060586F" w:rsidRDefault="001129B6">
      <w:pPr>
        <w:pStyle w:val="FootnoteText"/>
        <w:rPr>
          <w:rFonts w:asciiTheme="minorHAnsi" w:hAnsiTheme="minorHAnsi"/>
          <w:sz w:val="16"/>
          <w:szCs w:val="16"/>
          <w:lang w:val="en-US"/>
        </w:rPr>
      </w:pPr>
      <w:r w:rsidRPr="0060586F">
        <w:rPr>
          <w:rStyle w:val="FootnoteReference"/>
          <w:rFonts w:asciiTheme="minorHAnsi" w:hAnsiTheme="minorHAnsi"/>
          <w:sz w:val="16"/>
          <w:szCs w:val="16"/>
        </w:rPr>
        <w:footnoteRef/>
      </w:r>
      <w:r w:rsidRPr="0060586F">
        <w:rPr>
          <w:rFonts w:asciiTheme="minorHAnsi" w:hAnsiTheme="minorHAnsi"/>
          <w:sz w:val="16"/>
          <w:szCs w:val="16"/>
        </w:rPr>
        <w:t xml:space="preserve"> </w:t>
      </w:r>
      <w:r w:rsidRPr="0060586F">
        <w:rPr>
          <w:rFonts w:asciiTheme="minorHAnsi" w:hAnsiTheme="minorHAnsi"/>
          <w:sz w:val="16"/>
          <w:szCs w:val="16"/>
          <w:lang w:val="en-AU"/>
        </w:rPr>
        <w:t>Section 12.5.3 of the Australia Awards 2015 Policy Handbook states that: “Work attachments must be undertaken during the awardee’s period of studies such that the total period of the scholarship does not exceed the length of the course of studies as registered in CRICOS. Work placements should not result in an extension to the scholarship”.</w:t>
      </w:r>
    </w:p>
  </w:footnote>
  <w:footnote w:id="52">
    <w:p w14:paraId="5AA0745A" w14:textId="4DCC41AD" w:rsidR="001129B6" w:rsidRPr="00BB01BF" w:rsidRDefault="001129B6">
      <w:pPr>
        <w:pStyle w:val="FootnoteText"/>
        <w:rPr>
          <w:lang w:val="en-AU"/>
        </w:rPr>
      </w:pPr>
      <w:r>
        <w:rPr>
          <w:rStyle w:val="FootnoteReference"/>
        </w:rPr>
        <w:footnoteRef/>
      </w:r>
      <w:r>
        <w:t xml:space="preserve"> </w:t>
      </w:r>
      <w:r>
        <w:rPr>
          <w:lang w:val="en-AU"/>
        </w:rPr>
        <w:t>DFAT Effective Alumni Engagement – Concept Note, November 2014</w:t>
      </w:r>
    </w:p>
  </w:footnote>
  <w:footnote w:id="53">
    <w:p w14:paraId="1716728D" w14:textId="12D3F1BF" w:rsidR="001129B6" w:rsidRPr="0060586F" w:rsidRDefault="001129B6" w:rsidP="00AE7537">
      <w:pPr>
        <w:pStyle w:val="FootnoteText"/>
        <w:ind w:left="284" w:hanging="284"/>
        <w:rPr>
          <w:rFonts w:asciiTheme="minorHAnsi" w:hAnsiTheme="minorHAnsi"/>
          <w:sz w:val="16"/>
          <w:szCs w:val="16"/>
          <w:lang w:val="en-AU"/>
        </w:rPr>
      </w:pPr>
      <w:r w:rsidRPr="0060586F">
        <w:rPr>
          <w:rStyle w:val="FootnoteReference"/>
          <w:rFonts w:asciiTheme="minorHAnsi" w:hAnsiTheme="minorHAnsi"/>
          <w:sz w:val="16"/>
          <w:szCs w:val="16"/>
        </w:rPr>
        <w:footnoteRef/>
      </w:r>
      <w:r w:rsidRPr="0060586F">
        <w:rPr>
          <w:rFonts w:asciiTheme="minorHAnsi" w:hAnsiTheme="minorHAnsi"/>
          <w:sz w:val="16"/>
          <w:szCs w:val="16"/>
        </w:rPr>
        <w:t xml:space="preserve"> </w:t>
      </w:r>
      <w:r w:rsidRPr="0060586F">
        <w:rPr>
          <w:rFonts w:asciiTheme="minorHAnsi" w:hAnsiTheme="minorHAnsi"/>
          <w:sz w:val="16"/>
          <w:szCs w:val="16"/>
          <w:lang w:val="en-AU"/>
        </w:rPr>
        <w:tab/>
      </w:r>
      <w:r>
        <w:rPr>
          <w:rFonts w:asciiTheme="minorHAnsi" w:hAnsiTheme="minorHAnsi"/>
          <w:sz w:val="16"/>
          <w:szCs w:val="16"/>
          <w:lang w:val="en-AU"/>
        </w:rPr>
        <w:t>DFAT</w:t>
      </w:r>
      <w:r w:rsidRPr="0060586F">
        <w:rPr>
          <w:rFonts w:asciiTheme="minorHAnsi" w:hAnsiTheme="minorHAnsi"/>
          <w:sz w:val="16"/>
          <w:szCs w:val="16"/>
          <w:lang w:val="en-AU"/>
        </w:rPr>
        <w:t xml:space="preserve"> </w:t>
      </w:r>
      <w:r w:rsidRPr="0060586F">
        <w:rPr>
          <w:rFonts w:asciiTheme="minorHAnsi" w:hAnsiTheme="minorHAnsi"/>
          <w:i/>
          <w:sz w:val="16"/>
          <w:szCs w:val="16"/>
          <w:lang w:val="en-AU"/>
        </w:rPr>
        <w:t>Effective Alumni Engagement—Concept Note,</w:t>
      </w:r>
      <w:r>
        <w:rPr>
          <w:rFonts w:asciiTheme="minorHAnsi" w:hAnsiTheme="minorHAnsi"/>
          <w:sz w:val="16"/>
          <w:szCs w:val="16"/>
          <w:lang w:val="en-AU"/>
        </w:rPr>
        <w:t xml:space="preserve"> November 2014</w:t>
      </w:r>
    </w:p>
  </w:footnote>
  <w:footnote w:id="54">
    <w:p w14:paraId="3071163D" w14:textId="463C4D3F" w:rsidR="001129B6" w:rsidRPr="001D05F2" w:rsidRDefault="001129B6" w:rsidP="00241B75">
      <w:pPr>
        <w:spacing w:before="120"/>
        <w:rPr>
          <w:sz w:val="16"/>
          <w:szCs w:val="16"/>
        </w:rPr>
      </w:pPr>
      <w:r w:rsidRPr="001D05F2">
        <w:rPr>
          <w:rStyle w:val="FootnoteReference"/>
          <w:sz w:val="16"/>
          <w:szCs w:val="16"/>
        </w:rPr>
        <w:footnoteRef/>
      </w:r>
      <w:r w:rsidRPr="001D05F2">
        <w:rPr>
          <w:sz w:val="16"/>
          <w:szCs w:val="16"/>
        </w:rPr>
        <w:t xml:space="preserve"> DFAT and its contractors, must comply with the Australian Privacy Principles (APPs) contained in the Privacy Act 1988 (Cth) (Privacy Act). </w:t>
      </w:r>
      <w:hyperlink r:id="rId1" w:history="1">
        <w:r w:rsidRPr="001D05F2">
          <w:rPr>
            <w:rStyle w:val="Hyperlink"/>
            <w:sz w:val="16"/>
            <w:szCs w:val="16"/>
          </w:rPr>
          <w:t>http://www.dfat.gov.au/privacy.html</w:t>
        </w:r>
      </w:hyperlink>
      <w:r w:rsidRPr="001D05F2">
        <w:rPr>
          <w:sz w:val="16"/>
          <w:szCs w:val="16"/>
        </w:rPr>
        <w:t xml:space="preserve"> </w:t>
      </w:r>
    </w:p>
    <w:p w14:paraId="1C96D51B" w14:textId="26B0D11F" w:rsidR="001129B6" w:rsidRPr="001D05F2" w:rsidRDefault="001129B6">
      <w:pPr>
        <w:pStyle w:val="FootnoteText"/>
        <w:rPr>
          <w:sz w:val="16"/>
          <w:szCs w:val="16"/>
          <w:lang w:val="en-US"/>
        </w:rPr>
      </w:pPr>
    </w:p>
  </w:footnote>
  <w:footnote w:id="55">
    <w:p w14:paraId="2DAE4FA0" w14:textId="4FB3DF6D" w:rsidR="001129B6" w:rsidRPr="001D05F2" w:rsidRDefault="001129B6" w:rsidP="006C2E7A">
      <w:pPr>
        <w:rPr>
          <w:sz w:val="16"/>
          <w:szCs w:val="16"/>
          <w:lang w:val="en-US"/>
        </w:rPr>
      </w:pPr>
      <w:r w:rsidRPr="001D05F2">
        <w:rPr>
          <w:rStyle w:val="FootnoteReference"/>
          <w:sz w:val="16"/>
          <w:szCs w:val="16"/>
        </w:rPr>
        <w:footnoteRef/>
      </w:r>
      <w:r w:rsidRPr="001D05F2">
        <w:rPr>
          <w:sz w:val="16"/>
          <w:szCs w:val="16"/>
        </w:rPr>
        <w:t xml:space="preserve"> </w:t>
      </w:r>
      <w:r w:rsidRPr="001D05F2">
        <w:rPr>
          <w:rFonts w:eastAsia="SimSun"/>
          <w:color w:val="000000" w:themeColor="text1"/>
          <w:sz w:val="16"/>
          <w:szCs w:val="16"/>
        </w:rPr>
        <w:t xml:space="preserve">It is expected that the Contractor would seek to utilise local staff expertise where available within DFAT, Hanoi. </w:t>
      </w:r>
    </w:p>
  </w:footnote>
  <w:footnote w:id="56">
    <w:p w14:paraId="04EF5780" w14:textId="77777777" w:rsidR="001129B6" w:rsidRPr="001D05F2" w:rsidRDefault="001129B6" w:rsidP="002D584F">
      <w:pPr>
        <w:pStyle w:val="FootnoteText"/>
        <w:ind w:left="284" w:hanging="284"/>
        <w:rPr>
          <w:rFonts w:asciiTheme="minorHAnsi" w:hAnsiTheme="minorHAnsi"/>
          <w:sz w:val="16"/>
          <w:szCs w:val="16"/>
        </w:rPr>
      </w:pPr>
      <w:r w:rsidRPr="001D05F2">
        <w:rPr>
          <w:rStyle w:val="FootnoteReference"/>
          <w:rFonts w:asciiTheme="minorHAnsi" w:hAnsiTheme="minorHAnsi"/>
          <w:sz w:val="16"/>
          <w:szCs w:val="16"/>
        </w:rPr>
        <w:footnoteRef/>
      </w:r>
      <w:r w:rsidRPr="001D05F2">
        <w:rPr>
          <w:rFonts w:asciiTheme="minorHAnsi" w:hAnsiTheme="minorHAnsi"/>
          <w:sz w:val="16"/>
          <w:szCs w:val="16"/>
        </w:rPr>
        <w:t xml:space="preserve"> </w:t>
      </w:r>
      <w:r w:rsidRPr="001D05F2">
        <w:rPr>
          <w:rFonts w:asciiTheme="minorHAnsi" w:hAnsiTheme="minorHAnsi"/>
          <w:sz w:val="16"/>
          <w:szCs w:val="16"/>
        </w:rPr>
        <w:tab/>
        <w:t>Draft Monitoring and Evaluation Framework, DFAT Canberra, November 2014</w:t>
      </w:r>
    </w:p>
  </w:footnote>
  <w:footnote w:id="57">
    <w:p w14:paraId="6698AB8D" w14:textId="09FA36EA" w:rsidR="001129B6" w:rsidRPr="00ED1FBD" w:rsidRDefault="001129B6" w:rsidP="009873F4">
      <w:pPr>
        <w:spacing w:before="120"/>
        <w:rPr>
          <w:sz w:val="16"/>
          <w:szCs w:val="16"/>
        </w:rPr>
      </w:pPr>
      <w:r w:rsidRPr="00ED1FBD">
        <w:rPr>
          <w:rStyle w:val="FootnoteReference"/>
          <w:sz w:val="16"/>
          <w:szCs w:val="16"/>
        </w:rPr>
        <w:footnoteRef/>
      </w:r>
      <w:r w:rsidRPr="00ED1FBD">
        <w:rPr>
          <w:sz w:val="16"/>
          <w:szCs w:val="16"/>
        </w:rPr>
        <w:t xml:space="preserve"> Depending on the distribution and location of graduates, </w:t>
      </w:r>
      <w:r w:rsidRPr="00ED1FBD">
        <w:rPr>
          <w:i/>
          <w:sz w:val="16"/>
          <w:szCs w:val="16"/>
        </w:rPr>
        <w:t>Organisational Case Studies</w:t>
      </w:r>
      <w:r w:rsidRPr="00ED1FBD">
        <w:rPr>
          <w:sz w:val="16"/>
          <w:szCs w:val="16"/>
        </w:rPr>
        <w:t xml:space="preserve"> may be more appropriately undertaken as </w:t>
      </w:r>
      <w:r w:rsidRPr="00ED1FBD">
        <w:rPr>
          <w:i/>
          <w:sz w:val="16"/>
          <w:szCs w:val="16"/>
          <w:u w:val="single"/>
        </w:rPr>
        <w:t>Sector</w:t>
      </w:r>
      <w:r w:rsidRPr="00ED1FBD">
        <w:rPr>
          <w:i/>
          <w:sz w:val="16"/>
          <w:szCs w:val="16"/>
        </w:rPr>
        <w:t xml:space="preserve"> Case Studies.</w:t>
      </w:r>
      <w:r w:rsidRPr="00ED1FBD">
        <w:rPr>
          <w:sz w:val="16"/>
          <w:szCs w:val="16"/>
        </w:rPr>
        <w:t xml:space="preserve"> </w:t>
      </w:r>
    </w:p>
    <w:p w14:paraId="11B6A04F" w14:textId="37E5A504" w:rsidR="001129B6" w:rsidRPr="00ED1FBD" w:rsidRDefault="001129B6">
      <w:pPr>
        <w:pStyle w:val="FootnoteText"/>
        <w:rPr>
          <w:sz w:val="16"/>
          <w:szCs w:val="16"/>
          <w:lang w:val="en-US"/>
        </w:rPr>
      </w:pPr>
    </w:p>
  </w:footnote>
  <w:footnote w:id="58">
    <w:p w14:paraId="1B6BBF6E" w14:textId="4A368939" w:rsidR="001129B6" w:rsidRPr="00BA54C7" w:rsidRDefault="001129B6" w:rsidP="002F0CC5">
      <w:pPr>
        <w:rPr>
          <w:sz w:val="16"/>
          <w:szCs w:val="16"/>
        </w:rPr>
      </w:pPr>
      <w:r w:rsidRPr="00BA54C7">
        <w:rPr>
          <w:rStyle w:val="FootnoteReference"/>
          <w:sz w:val="16"/>
          <w:szCs w:val="16"/>
        </w:rPr>
        <w:footnoteRef/>
      </w:r>
      <w:r w:rsidRPr="00BA54C7">
        <w:rPr>
          <w:sz w:val="16"/>
          <w:szCs w:val="16"/>
        </w:rPr>
        <w:t xml:space="preserve"> In-Australia, costs are managed in Canberra under contracts with Australian Education institutions. </w:t>
      </w:r>
    </w:p>
    <w:p w14:paraId="325BBBC2" w14:textId="785CBC05" w:rsidR="001129B6" w:rsidRPr="00BA54C7" w:rsidRDefault="001129B6">
      <w:pPr>
        <w:pStyle w:val="FootnoteText"/>
        <w:rPr>
          <w:sz w:val="16"/>
          <w:szCs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D4D05" w14:textId="77777777" w:rsidR="003B0A62" w:rsidRDefault="003B0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BDA16" w14:textId="77777777" w:rsidR="003B0A62" w:rsidRDefault="003B0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ABFCC" w14:textId="77777777" w:rsidR="003B0A62" w:rsidRDefault="003B0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0C4F"/>
    <w:multiLevelType w:val="hybridMultilevel"/>
    <w:tmpl w:val="A9444AA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0EA175E"/>
    <w:multiLevelType w:val="hybridMultilevel"/>
    <w:tmpl w:val="B5B0A328"/>
    <w:lvl w:ilvl="0" w:tplc="CBCCD040">
      <w:start w:val="1"/>
      <w:numFmt w:val="lowerLetter"/>
      <w:lvlText w:val="%1)"/>
      <w:lvlJc w:val="left"/>
      <w:pPr>
        <w:ind w:left="720" w:hanging="360"/>
      </w:pPr>
      <w:rPr>
        <w:rFonts w:asciiTheme="minorHAnsi" w:eastAsia="Times New Roman" w:hAnsiTheme="minorHAnsi"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1E9"/>
    <w:multiLevelType w:val="hybridMultilevel"/>
    <w:tmpl w:val="E5DA976E"/>
    <w:lvl w:ilvl="0" w:tplc="030AED1E">
      <w:start w:val="1"/>
      <w:numFmt w:val="bullet"/>
      <w:pStyle w:val="ListParagraph"/>
      <w:lvlText w:val=""/>
      <w:lvlJc w:val="left"/>
      <w:pPr>
        <w:ind w:left="360" w:hanging="360"/>
      </w:pPr>
      <w:rPr>
        <w:rFonts w:ascii="Symbol" w:hAnsi="Symbol" w:hint="default"/>
        <w:sz w:val="20"/>
        <w:szCs w:val="20"/>
      </w:rPr>
    </w:lvl>
    <w:lvl w:ilvl="1" w:tplc="4DE6F1DA" w:tentative="1">
      <w:start w:val="1"/>
      <w:numFmt w:val="lowerLetter"/>
      <w:lvlText w:val="%2."/>
      <w:lvlJc w:val="left"/>
      <w:pPr>
        <w:ind w:left="1080" w:hanging="360"/>
      </w:pPr>
    </w:lvl>
    <w:lvl w:ilvl="2" w:tplc="C97E7B56" w:tentative="1">
      <w:start w:val="1"/>
      <w:numFmt w:val="lowerRoman"/>
      <w:lvlText w:val="%3."/>
      <w:lvlJc w:val="right"/>
      <w:pPr>
        <w:ind w:left="1800" w:hanging="180"/>
      </w:pPr>
    </w:lvl>
    <w:lvl w:ilvl="3" w:tplc="372E6AFA" w:tentative="1">
      <w:start w:val="1"/>
      <w:numFmt w:val="decimal"/>
      <w:lvlText w:val="%4."/>
      <w:lvlJc w:val="left"/>
      <w:pPr>
        <w:ind w:left="2520" w:hanging="360"/>
      </w:pPr>
    </w:lvl>
    <w:lvl w:ilvl="4" w:tplc="5EFA2F82" w:tentative="1">
      <w:start w:val="1"/>
      <w:numFmt w:val="lowerLetter"/>
      <w:lvlText w:val="%5."/>
      <w:lvlJc w:val="left"/>
      <w:pPr>
        <w:ind w:left="3240" w:hanging="360"/>
      </w:pPr>
    </w:lvl>
    <w:lvl w:ilvl="5" w:tplc="DBF0473C" w:tentative="1">
      <w:start w:val="1"/>
      <w:numFmt w:val="lowerRoman"/>
      <w:lvlText w:val="%6."/>
      <w:lvlJc w:val="right"/>
      <w:pPr>
        <w:ind w:left="3960" w:hanging="180"/>
      </w:pPr>
    </w:lvl>
    <w:lvl w:ilvl="6" w:tplc="3118E16A" w:tentative="1">
      <w:start w:val="1"/>
      <w:numFmt w:val="decimal"/>
      <w:lvlText w:val="%7."/>
      <w:lvlJc w:val="left"/>
      <w:pPr>
        <w:ind w:left="4680" w:hanging="360"/>
      </w:pPr>
    </w:lvl>
    <w:lvl w:ilvl="7" w:tplc="379A7464" w:tentative="1">
      <w:start w:val="1"/>
      <w:numFmt w:val="lowerLetter"/>
      <w:lvlText w:val="%8."/>
      <w:lvlJc w:val="left"/>
      <w:pPr>
        <w:ind w:left="5400" w:hanging="360"/>
      </w:pPr>
    </w:lvl>
    <w:lvl w:ilvl="8" w:tplc="9A9CFF7A" w:tentative="1">
      <w:start w:val="1"/>
      <w:numFmt w:val="lowerRoman"/>
      <w:lvlText w:val="%9."/>
      <w:lvlJc w:val="right"/>
      <w:pPr>
        <w:ind w:left="6120" w:hanging="180"/>
      </w:pPr>
    </w:lvl>
  </w:abstractNum>
  <w:abstractNum w:abstractNumId="3">
    <w:nsid w:val="1C8E2B84"/>
    <w:multiLevelType w:val="hybridMultilevel"/>
    <w:tmpl w:val="3A728B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5575E"/>
    <w:multiLevelType w:val="hybridMultilevel"/>
    <w:tmpl w:val="4148F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048C9"/>
    <w:multiLevelType w:val="hybridMultilevel"/>
    <w:tmpl w:val="383A95EA"/>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2A233C7D"/>
    <w:multiLevelType w:val="multilevel"/>
    <w:tmpl w:val="CB18E7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30B5F99"/>
    <w:multiLevelType w:val="hybridMultilevel"/>
    <w:tmpl w:val="CC52F630"/>
    <w:lvl w:ilvl="0" w:tplc="2B5E216E">
      <w:numFmt w:val="bullet"/>
      <w:lvlText w:val="•"/>
      <w:lvlJc w:val="left"/>
      <w:pPr>
        <w:ind w:left="1440" w:hanging="720"/>
      </w:pPr>
      <w:rPr>
        <w:rFonts w:ascii="Cambria" w:eastAsiaTheme="minorEastAsia"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5D74233"/>
    <w:multiLevelType w:val="hybridMultilevel"/>
    <w:tmpl w:val="AD96F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D702C2"/>
    <w:multiLevelType w:val="hybridMultilevel"/>
    <w:tmpl w:val="E984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46BA2"/>
    <w:multiLevelType w:val="multilevel"/>
    <w:tmpl w:val="C9B0EA0C"/>
    <w:lvl w:ilvl="0">
      <w:start w:val="1"/>
      <w:numFmt w:val="decimal"/>
      <w:pStyle w:val="Heading10"/>
      <w:lvlText w:val="%1."/>
      <w:lvlJc w:val="left"/>
      <w:pPr>
        <w:tabs>
          <w:tab w:val="num" w:pos="360"/>
        </w:tabs>
        <w:ind w:left="360" w:hanging="360"/>
      </w:pPr>
      <w:rPr>
        <w:rFonts w:hint="default"/>
      </w:rPr>
    </w:lvl>
    <w:lvl w:ilvl="1">
      <w:start w:val="1"/>
      <w:numFmt w:val="decimal"/>
      <w:pStyle w:val="Heading20"/>
      <w:isLgl/>
      <w:lvlText w:val="%1.%2"/>
      <w:lvlJc w:val="left"/>
      <w:pPr>
        <w:tabs>
          <w:tab w:val="num" w:pos="360"/>
        </w:tabs>
        <w:ind w:left="360" w:hanging="360"/>
      </w:pPr>
      <w:rPr>
        <w:rFonts w:hint="default"/>
      </w:rPr>
    </w:lvl>
    <w:lvl w:ilvl="2">
      <w:start w:val="1"/>
      <w:numFmt w:val="decimal"/>
      <w:pStyle w:val="Heading30"/>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BF27038"/>
    <w:multiLevelType w:val="hybridMultilevel"/>
    <w:tmpl w:val="C86C7B44"/>
    <w:lvl w:ilvl="0" w:tplc="FD1A6C42">
      <w:start w:val="1"/>
      <w:numFmt w:val="bullet"/>
      <w:pStyle w:val="BulletPoin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DFE7545"/>
    <w:multiLevelType w:val="hybridMultilevel"/>
    <w:tmpl w:val="35AA3F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0280068"/>
    <w:multiLevelType w:val="hybridMultilevel"/>
    <w:tmpl w:val="8AD0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813798"/>
    <w:multiLevelType w:val="hybridMultilevel"/>
    <w:tmpl w:val="EB6A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952C8B"/>
    <w:multiLevelType w:val="hybridMultilevel"/>
    <w:tmpl w:val="1C7ADF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0B75206"/>
    <w:multiLevelType w:val="hybridMultilevel"/>
    <w:tmpl w:val="07AA62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E01E8"/>
    <w:multiLevelType w:val="hybridMultilevel"/>
    <w:tmpl w:val="B6E8620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D569D"/>
    <w:multiLevelType w:val="hybridMultilevel"/>
    <w:tmpl w:val="B9C0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9D7B4D"/>
    <w:multiLevelType w:val="hybridMultilevel"/>
    <w:tmpl w:val="FE00F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1D31F1"/>
    <w:multiLevelType w:val="hybridMultilevel"/>
    <w:tmpl w:val="427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3535C"/>
    <w:multiLevelType w:val="hybridMultilevel"/>
    <w:tmpl w:val="5B925AC2"/>
    <w:lvl w:ilvl="0" w:tplc="3FAE644E">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D1021E"/>
    <w:multiLevelType w:val="hybridMultilevel"/>
    <w:tmpl w:val="E88CE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3B1346"/>
    <w:multiLevelType w:val="hybridMultilevel"/>
    <w:tmpl w:val="4978D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9C30CED"/>
    <w:multiLevelType w:val="hybridMultilevel"/>
    <w:tmpl w:val="2434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2"/>
  </w:num>
  <w:num w:numId="4">
    <w:abstractNumId w:val="24"/>
  </w:num>
  <w:num w:numId="5">
    <w:abstractNumId w:val="10"/>
  </w:num>
  <w:num w:numId="6">
    <w:abstractNumId w:val="3"/>
  </w:num>
  <w:num w:numId="7">
    <w:abstractNumId w:val="11"/>
  </w:num>
  <w:num w:numId="8">
    <w:abstractNumId w:val="9"/>
  </w:num>
  <w:num w:numId="9">
    <w:abstractNumId w:val="13"/>
  </w:num>
  <w:num w:numId="10">
    <w:abstractNumId w:val="18"/>
  </w:num>
  <w:num w:numId="11">
    <w:abstractNumId w:val="21"/>
  </w:num>
  <w:num w:numId="12">
    <w:abstractNumId w:val="1"/>
  </w:num>
  <w:num w:numId="13">
    <w:abstractNumId w:val="17"/>
  </w:num>
  <w:num w:numId="14">
    <w:abstractNumId w:val="16"/>
  </w:num>
  <w:num w:numId="15">
    <w:abstractNumId w:val="14"/>
  </w:num>
  <w:num w:numId="16">
    <w:abstractNumId w:val="6"/>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9"/>
  </w:num>
  <w:num w:numId="25">
    <w:abstractNumId w:val="5"/>
  </w:num>
  <w:num w:numId="26">
    <w:abstractNumId w:val="20"/>
  </w:num>
  <w:num w:numId="27">
    <w:abstractNumId w:val="11"/>
  </w:num>
  <w:num w:numId="28">
    <w:abstractNumId w:val="8"/>
  </w:num>
  <w:num w:numId="29">
    <w:abstractNumId w:val="6"/>
  </w:num>
  <w:num w:numId="30">
    <w:abstractNumId w:val="6"/>
  </w:num>
  <w:num w:numId="31">
    <w:abstractNumId w:val="4"/>
  </w:num>
  <w:num w:numId="32">
    <w:abstractNumId w:val="0"/>
  </w:num>
  <w:num w:numId="33">
    <w:abstractNumId w:val="15"/>
  </w:num>
  <w:num w:numId="34">
    <w:abstractNumId w:val="7"/>
  </w:num>
  <w:num w:numId="35">
    <w:abstractNumId w:val="23"/>
  </w:num>
  <w:num w:numId="3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EB"/>
    <w:rsid w:val="00001EB1"/>
    <w:rsid w:val="0000238C"/>
    <w:rsid w:val="00002D35"/>
    <w:rsid w:val="00003438"/>
    <w:rsid w:val="000050D1"/>
    <w:rsid w:val="000065FF"/>
    <w:rsid w:val="0000680A"/>
    <w:rsid w:val="00011840"/>
    <w:rsid w:val="0001459C"/>
    <w:rsid w:val="00015CB1"/>
    <w:rsid w:val="00017F4E"/>
    <w:rsid w:val="0002031B"/>
    <w:rsid w:val="00020585"/>
    <w:rsid w:val="000242BF"/>
    <w:rsid w:val="00025F41"/>
    <w:rsid w:val="000262D2"/>
    <w:rsid w:val="000273E2"/>
    <w:rsid w:val="00033249"/>
    <w:rsid w:val="000342B6"/>
    <w:rsid w:val="0003585A"/>
    <w:rsid w:val="000368CC"/>
    <w:rsid w:val="00036C33"/>
    <w:rsid w:val="00040D59"/>
    <w:rsid w:val="00041488"/>
    <w:rsid w:val="00041702"/>
    <w:rsid w:val="000441C5"/>
    <w:rsid w:val="00044586"/>
    <w:rsid w:val="000468CC"/>
    <w:rsid w:val="00050917"/>
    <w:rsid w:val="000520D0"/>
    <w:rsid w:val="0005338B"/>
    <w:rsid w:val="0005450F"/>
    <w:rsid w:val="00054837"/>
    <w:rsid w:val="00054883"/>
    <w:rsid w:val="00056160"/>
    <w:rsid w:val="000561C8"/>
    <w:rsid w:val="00064E53"/>
    <w:rsid w:val="00065270"/>
    <w:rsid w:val="0006622A"/>
    <w:rsid w:val="00067863"/>
    <w:rsid w:val="00067CCB"/>
    <w:rsid w:val="0007119F"/>
    <w:rsid w:val="000714FF"/>
    <w:rsid w:val="00074123"/>
    <w:rsid w:val="00074BAB"/>
    <w:rsid w:val="00075758"/>
    <w:rsid w:val="00075F41"/>
    <w:rsid w:val="0007738A"/>
    <w:rsid w:val="00077A7A"/>
    <w:rsid w:val="000864BB"/>
    <w:rsid w:val="0009268C"/>
    <w:rsid w:val="00094EA4"/>
    <w:rsid w:val="000958AD"/>
    <w:rsid w:val="00095BA9"/>
    <w:rsid w:val="00097032"/>
    <w:rsid w:val="000A08D6"/>
    <w:rsid w:val="000A2994"/>
    <w:rsid w:val="000A309B"/>
    <w:rsid w:val="000A4E3A"/>
    <w:rsid w:val="000A5442"/>
    <w:rsid w:val="000B02AD"/>
    <w:rsid w:val="000B06B5"/>
    <w:rsid w:val="000B06CF"/>
    <w:rsid w:val="000B0A09"/>
    <w:rsid w:val="000B13F4"/>
    <w:rsid w:val="000B3896"/>
    <w:rsid w:val="000B3CCF"/>
    <w:rsid w:val="000B3D4F"/>
    <w:rsid w:val="000B4A30"/>
    <w:rsid w:val="000C51E0"/>
    <w:rsid w:val="000C6689"/>
    <w:rsid w:val="000C71F6"/>
    <w:rsid w:val="000D1A17"/>
    <w:rsid w:val="000D1C8A"/>
    <w:rsid w:val="000D39EC"/>
    <w:rsid w:val="000D623F"/>
    <w:rsid w:val="000D6AA1"/>
    <w:rsid w:val="000E043F"/>
    <w:rsid w:val="000E42F8"/>
    <w:rsid w:val="000E50E9"/>
    <w:rsid w:val="000E6107"/>
    <w:rsid w:val="000E612F"/>
    <w:rsid w:val="000E6677"/>
    <w:rsid w:val="000F09FE"/>
    <w:rsid w:val="000F3672"/>
    <w:rsid w:val="000F5DB0"/>
    <w:rsid w:val="0010296B"/>
    <w:rsid w:val="00103261"/>
    <w:rsid w:val="00104D00"/>
    <w:rsid w:val="00105A61"/>
    <w:rsid w:val="00105F92"/>
    <w:rsid w:val="00106189"/>
    <w:rsid w:val="00106459"/>
    <w:rsid w:val="0010691E"/>
    <w:rsid w:val="00110CB4"/>
    <w:rsid w:val="00110F94"/>
    <w:rsid w:val="001129B6"/>
    <w:rsid w:val="00112B10"/>
    <w:rsid w:val="001142CF"/>
    <w:rsid w:val="00115281"/>
    <w:rsid w:val="001162C5"/>
    <w:rsid w:val="001169CA"/>
    <w:rsid w:val="00120B36"/>
    <w:rsid w:val="0012372B"/>
    <w:rsid w:val="00124E74"/>
    <w:rsid w:val="0012513D"/>
    <w:rsid w:val="001270D1"/>
    <w:rsid w:val="00135953"/>
    <w:rsid w:val="0013761B"/>
    <w:rsid w:val="00140188"/>
    <w:rsid w:val="00142343"/>
    <w:rsid w:val="001439BE"/>
    <w:rsid w:val="0014611A"/>
    <w:rsid w:val="00153271"/>
    <w:rsid w:val="0015516E"/>
    <w:rsid w:val="0015595A"/>
    <w:rsid w:val="00155EBB"/>
    <w:rsid w:val="00155EDC"/>
    <w:rsid w:val="0015601D"/>
    <w:rsid w:val="001571FA"/>
    <w:rsid w:val="001616F8"/>
    <w:rsid w:val="00162781"/>
    <w:rsid w:val="00163CD9"/>
    <w:rsid w:val="00166704"/>
    <w:rsid w:val="0016743C"/>
    <w:rsid w:val="001703FA"/>
    <w:rsid w:val="00170F97"/>
    <w:rsid w:val="001714FB"/>
    <w:rsid w:val="001718D9"/>
    <w:rsid w:val="00174C6C"/>
    <w:rsid w:val="0017541C"/>
    <w:rsid w:val="001778A8"/>
    <w:rsid w:val="00182469"/>
    <w:rsid w:val="001825F1"/>
    <w:rsid w:val="001835EC"/>
    <w:rsid w:val="0018434D"/>
    <w:rsid w:val="00185068"/>
    <w:rsid w:val="001853B9"/>
    <w:rsid w:val="00186B37"/>
    <w:rsid w:val="00187A4C"/>
    <w:rsid w:val="00190436"/>
    <w:rsid w:val="0019064E"/>
    <w:rsid w:val="001913D6"/>
    <w:rsid w:val="0019390C"/>
    <w:rsid w:val="001954F0"/>
    <w:rsid w:val="0019760A"/>
    <w:rsid w:val="001A08D9"/>
    <w:rsid w:val="001A0CDA"/>
    <w:rsid w:val="001A1DCF"/>
    <w:rsid w:val="001A1F30"/>
    <w:rsid w:val="001A1FB5"/>
    <w:rsid w:val="001A576C"/>
    <w:rsid w:val="001A6DD0"/>
    <w:rsid w:val="001A7229"/>
    <w:rsid w:val="001B2576"/>
    <w:rsid w:val="001B3B67"/>
    <w:rsid w:val="001B74BE"/>
    <w:rsid w:val="001C00B3"/>
    <w:rsid w:val="001C0D21"/>
    <w:rsid w:val="001C1712"/>
    <w:rsid w:val="001C36EB"/>
    <w:rsid w:val="001C3DC2"/>
    <w:rsid w:val="001C5418"/>
    <w:rsid w:val="001C5676"/>
    <w:rsid w:val="001C7081"/>
    <w:rsid w:val="001D05F2"/>
    <w:rsid w:val="001D081E"/>
    <w:rsid w:val="001D1DFA"/>
    <w:rsid w:val="001D2755"/>
    <w:rsid w:val="001D2DE6"/>
    <w:rsid w:val="001D426C"/>
    <w:rsid w:val="001D6DA8"/>
    <w:rsid w:val="001D713E"/>
    <w:rsid w:val="001E2E53"/>
    <w:rsid w:val="001E3897"/>
    <w:rsid w:val="001E3D1F"/>
    <w:rsid w:val="001E4281"/>
    <w:rsid w:val="001E445C"/>
    <w:rsid w:val="001E5A99"/>
    <w:rsid w:val="001E5D04"/>
    <w:rsid w:val="001E75B4"/>
    <w:rsid w:val="001F015C"/>
    <w:rsid w:val="001F0882"/>
    <w:rsid w:val="001F17F3"/>
    <w:rsid w:val="001F25AE"/>
    <w:rsid w:val="001F2FF2"/>
    <w:rsid w:val="001F307C"/>
    <w:rsid w:val="001F46CA"/>
    <w:rsid w:val="001F669B"/>
    <w:rsid w:val="001F6BC8"/>
    <w:rsid w:val="001F75A9"/>
    <w:rsid w:val="001F79C1"/>
    <w:rsid w:val="001F7BCA"/>
    <w:rsid w:val="00203C4D"/>
    <w:rsid w:val="00206E28"/>
    <w:rsid w:val="00207221"/>
    <w:rsid w:val="00210B30"/>
    <w:rsid w:val="002111B6"/>
    <w:rsid w:val="00211803"/>
    <w:rsid w:val="00211C8C"/>
    <w:rsid w:val="002141C7"/>
    <w:rsid w:val="00214615"/>
    <w:rsid w:val="002147BF"/>
    <w:rsid w:val="00217629"/>
    <w:rsid w:val="00221E39"/>
    <w:rsid w:val="00222504"/>
    <w:rsid w:val="00222B40"/>
    <w:rsid w:val="00223FC9"/>
    <w:rsid w:val="00226623"/>
    <w:rsid w:val="0023184C"/>
    <w:rsid w:val="00231B9B"/>
    <w:rsid w:val="0023255A"/>
    <w:rsid w:val="00233F46"/>
    <w:rsid w:val="00234EB5"/>
    <w:rsid w:val="002352BA"/>
    <w:rsid w:val="00236B14"/>
    <w:rsid w:val="00236F42"/>
    <w:rsid w:val="00237DE9"/>
    <w:rsid w:val="00241B75"/>
    <w:rsid w:val="0024208D"/>
    <w:rsid w:val="00243871"/>
    <w:rsid w:val="002453DF"/>
    <w:rsid w:val="0024555B"/>
    <w:rsid w:val="00245D54"/>
    <w:rsid w:val="00247581"/>
    <w:rsid w:val="002522FC"/>
    <w:rsid w:val="0025405C"/>
    <w:rsid w:val="00255924"/>
    <w:rsid w:val="00257126"/>
    <w:rsid w:val="00260CA5"/>
    <w:rsid w:val="00260DD1"/>
    <w:rsid w:val="00262737"/>
    <w:rsid w:val="00264B10"/>
    <w:rsid w:val="002652FE"/>
    <w:rsid w:val="00266455"/>
    <w:rsid w:val="00270B4C"/>
    <w:rsid w:val="002742CF"/>
    <w:rsid w:val="002744DB"/>
    <w:rsid w:val="00274501"/>
    <w:rsid w:val="00274EF2"/>
    <w:rsid w:val="00275DC6"/>
    <w:rsid w:val="00276543"/>
    <w:rsid w:val="00277A46"/>
    <w:rsid w:val="00281D70"/>
    <w:rsid w:val="00283FB7"/>
    <w:rsid w:val="0028508F"/>
    <w:rsid w:val="00285746"/>
    <w:rsid w:val="0029020A"/>
    <w:rsid w:val="002922FE"/>
    <w:rsid w:val="002929B6"/>
    <w:rsid w:val="00294E35"/>
    <w:rsid w:val="0029508B"/>
    <w:rsid w:val="00295ABD"/>
    <w:rsid w:val="0029625A"/>
    <w:rsid w:val="002963BA"/>
    <w:rsid w:val="00296705"/>
    <w:rsid w:val="00297403"/>
    <w:rsid w:val="002A03DD"/>
    <w:rsid w:val="002A04F1"/>
    <w:rsid w:val="002B1101"/>
    <w:rsid w:val="002B49CD"/>
    <w:rsid w:val="002B6485"/>
    <w:rsid w:val="002B67EF"/>
    <w:rsid w:val="002C0A83"/>
    <w:rsid w:val="002C2281"/>
    <w:rsid w:val="002C4323"/>
    <w:rsid w:val="002C4328"/>
    <w:rsid w:val="002D0F75"/>
    <w:rsid w:val="002D2F3D"/>
    <w:rsid w:val="002D5375"/>
    <w:rsid w:val="002D584F"/>
    <w:rsid w:val="002D6DB0"/>
    <w:rsid w:val="002D70F2"/>
    <w:rsid w:val="002E23E4"/>
    <w:rsid w:val="002E268C"/>
    <w:rsid w:val="002E33C6"/>
    <w:rsid w:val="002E4F56"/>
    <w:rsid w:val="002E628D"/>
    <w:rsid w:val="002F0CC5"/>
    <w:rsid w:val="002F14FD"/>
    <w:rsid w:val="002F37DD"/>
    <w:rsid w:val="002F4AB1"/>
    <w:rsid w:val="002F729A"/>
    <w:rsid w:val="002F7A6D"/>
    <w:rsid w:val="00300EB7"/>
    <w:rsid w:val="00301373"/>
    <w:rsid w:val="00302056"/>
    <w:rsid w:val="0030282C"/>
    <w:rsid w:val="00303C7A"/>
    <w:rsid w:val="00305804"/>
    <w:rsid w:val="00306372"/>
    <w:rsid w:val="003069D3"/>
    <w:rsid w:val="00310D36"/>
    <w:rsid w:val="00314297"/>
    <w:rsid w:val="003163D8"/>
    <w:rsid w:val="00317422"/>
    <w:rsid w:val="00320849"/>
    <w:rsid w:val="00323D8F"/>
    <w:rsid w:val="00323EF9"/>
    <w:rsid w:val="00324AC1"/>
    <w:rsid w:val="003258E0"/>
    <w:rsid w:val="00326E30"/>
    <w:rsid w:val="003301A0"/>
    <w:rsid w:val="003311E7"/>
    <w:rsid w:val="00331A5F"/>
    <w:rsid w:val="0033446E"/>
    <w:rsid w:val="00334F2D"/>
    <w:rsid w:val="00335407"/>
    <w:rsid w:val="0033649F"/>
    <w:rsid w:val="003373D5"/>
    <w:rsid w:val="00342695"/>
    <w:rsid w:val="0034550B"/>
    <w:rsid w:val="00346C0B"/>
    <w:rsid w:val="00347C1F"/>
    <w:rsid w:val="0035067F"/>
    <w:rsid w:val="00350B69"/>
    <w:rsid w:val="00354003"/>
    <w:rsid w:val="003545CB"/>
    <w:rsid w:val="0035497E"/>
    <w:rsid w:val="003565C7"/>
    <w:rsid w:val="00356717"/>
    <w:rsid w:val="003573A4"/>
    <w:rsid w:val="00360877"/>
    <w:rsid w:val="003610EF"/>
    <w:rsid w:val="00361A36"/>
    <w:rsid w:val="00361F83"/>
    <w:rsid w:val="00363244"/>
    <w:rsid w:val="00366E2C"/>
    <w:rsid w:val="003711FC"/>
    <w:rsid w:val="0037171E"/>
    <w:rsid w:val="00372E21"/>
    <w:rsid w:val="00373A42"/>
    <w:rsid w:val="0037421E"/>
    <w:rsid w:val="00381E80"/>
    <w:rsid w:val="00382073"/>
    <w:rsid w:val="0038250A"/>
    <w:rsid w:val="003853A6"/>
    <w:rsid w:val="00386BC1"/>
    <w:rsid w:val="0039027D"/>
    <w:rsid w:val="0039030D"/>
    <w:rsid w:val="0039043F"/>
    <w:rsid w:val="00390E55"/>
    <w:rsid w:val="003918B9"/>
    <w:rsid w:val="0039388C"/>
    <w:rsid w:val="00393933"/>
    <w:rsid w:val="00393E75"/>
    <w:rsid w:val="00397A25"/>
    <w:rsid w:val="003A107C"/>
    <w:rsid w:val="003A2585"/>
    <w:rsid w:val="003A3920"/>
    <w:rsid w:val="003A5BA8"/>
    <w:rsid w:val="003A6B9B"/>
    <w:rsid w:val="003B027D"/>
    <w:rsid w:val="003B0A62"/>
    <w:rsid w:val="003B0C93"/>
    <w:rsid w:val="003B1E7D"/>
    <w:rsid w:val="003B2DEB"/>
    <w:rsid w:val="003B3BCE"/>
    <w:rsid w:val="003B4131"/>
    <w:rsid w:val="003B569E"/>
    <w:rsid w:val="003B6D98"/>
    <w:rsid w:val="003B722E"/>
    <w:rsid w:val="003B74ED"/>
    <w:rsid w:val="003C00CD"/>
    <w:rsid w:val="003C0EC7"/>
    <w:rsid w:val="003C1030"/>
    <w:rsid w:val="003C1A16"/>
    <w:rsid w:val="003C21F9"/>
    <w:rsid w:val="003C2517"/>
    <w:rsid w:val="003C552F"/>
    <w:rsid w:val="003C75F6"/>
    <w:rsid w:val="003C7783"/>
    <w:rsid w:val="003C780E"/>
    <w:rsid w:val="003C79A6"/>
    <w:rsid w:val="003D0926"/>
    <w:rsid w:val="003D3FF2"/>
    <w:rsid w:val="003D43A6"/>
    <w:rsid w:val="003D4DFB"/>
    <w:rsid w:val="003D4EF1"/>
    <w:rsid w:val="003D4F25"/>
    <w:rsid w:val="003D5F5E"/>
    <w:rsid w:val="003D7CF1"/>
    <w:rsid w:val="003E08A8"/>
    <w:rsid w:val="003E2255"/>
    <w:rsid w:val="003E2522"/>
    <w:rsid w:val="003E47A0"/>
    <w:rsid w:val="003E5C5C"/>
    <w:rsid w:val="003E6B29"/>
    <w:rsid w:val="003E729E"/>
    <w:rsid w:val="003F064D"/>
    <w:rsid w:val="003F0840"/>
    <w:rsid w:val="003F0FD7"/>
    <w:rsid w:val="003F1442"/>
    <w:rsid w:val="003F2017"/>
    <w:rsid w:val="003F313F"/>
    <w:rsid w:val="003F3C16"/>
    <w:rsid w:val="003F5496"/>
    <w:rsid w:val="003F5941"/>
    <w:rsid w:val="004020F5"/>
    <w:rsid w:val="00402440"/>
    <w:rsid w:val="004029A3"/>
    <w:rsid w:val="00403D06"/>
    <w:rsid w:val="004055B9"/>
    <w:rsid w:val="00406CEC"/>
    <w:rsid w:val="0040796F"/>
    <w:rsid w:val="00407D31"/>
    <w:rsid w:val="004113F9"/>
    <w:rsid w:val="004132CF"/>
    <w:rsid w:val="00414FB5"/>
    <w:rsid w:val="004169FC"/>
    <w:rsid w:val="00421207"/>
    <w:rsid w:val="0042201E"/>
    <w:rsid w:val="004263CE"/>
    <w:rsid w:val="00426B28"/>
    <w:rsid w:val="004273CE"/>
    <w:rsid w:val="00431CC5"/>
    <w:rsid w:val="0043281C"/>
    <w:rsid w:val="004359D4"/>
    <w:rsid w:val="0043614F"/>
    <w:rsid w:val="0044045E"/>
    <w:rsid w:val="004415E6"/>
    <w:rsid w:val="00441B9A"/>
    <w:rsid w:val="004452BD"/>
    <w:rsid w:val="00450E43"/>
    <w:rsid w:val="00452936"/>
    <w:rsid w:val="00452AEE"/>
    <w:rsid w:val="0045340B"/>
    <w:rsid w:val="004546D0"/>
    <w:rsid w:val="00456A29"/>
    <w:rsid w:val="00457551"/>
    <w:rsid w:val="00457B15"/>
    <w:rsid w:val="00457F33"/>
    <w:rsid w:val="0046004D"/>
    <w:rsid w:val="004602A9"/>
    <w:rsid w:val="00460A9C"/>
    <w:rsid w:val="00461D64"/>
    <w:rsid w:val="00462304"/>
    <w:rsid w:val="004625AB"/>
    <w:rsid w:val="00463882"/>
    <w:rsid w:val="0046500F"/>
    <w:rsid w:val="00466B9C"/>
    <w:rsid w:val="00467417"/>
    <w:rsid w:val="00470880"/>
    <w:rsid w:val="00471C63"/>
    <w:rsid w:val="004744D3"/>
    <w:rsid w:val="004745FC"/>
    <w:rsid w:val="0047470D"/>
    <w:rsid w:val="004755D4"/>
    <w:rsid w:val="0048086B"/>
    <w:rsid w:val="00481411"/>
    <w:rsid w:val="00482B8E"/>
    <w:rsid w:val="00483327"/>
    <w:rsid w:val="0048547B"/>
    <w:rsid w:val="00486803"/>
    <w:rsid w:val="00486CBF"/>
    <w:rsid w:val="00486ED6"/>
    <w:rsid w:val="004905A3"/>
    <w:rsid w:val="00490753"/>
    <w:rsid w:val="0049312C"/>
    <w:rsid w:val="00493DA2"/>
    <w:rsid w:val="00494F61"/>
    <w:rsid w:val="0049510A"/>
    <w:rsid w:val="004957BC"/>
    <w:rsid w:val="00495D8F"/>
    <w:rsid w:val="004A3D9A"/>
    <w:rsid w:val="004A59D6"/>
    <w:rsid w:val="004A66DA"/>
    <w:rsid w:val="004B100C"/>
    <w:rsid w:val="004B2414"/>
    <w:rsid w:val="004B28D9"/>
    <w:rsid w:val="004B3B5F"/>
    <w:rsid w:val="004C0865"/>
    <w:rsid w:val="004C5239"/>
    <w:rsid w:val="004C55CF"/>
    <w:rsid w:val="004C68F0"/>
    <w:rsid w:val="004C6C58"/>
    <w:rsid w:val="004D0113"/>
    <w:rsid w:val="004D0F7C"/>
    <w:rsid w:val="004D17B7"/>
    <w:rsid w:val="004D362A"/>
    <w:rsid w:val="004D3F78"/>
    <w:rsid w:val="004D6180"/>
    <w:rsid w:val="004D6494"/>
    <w:rsid w:val="004D6DBE"/>
    <w:rsid w:val="004E0910"/>
    <w:rsid w:val="004E0D3A"/>
    <w:rsid w:val="004E1408"/>
    <w:rsid w:val="004E185D"/>
    <w:rsid w:val="004E194C"/>
    <w:rsid w:val="004E3E5F"/>
    <w:rsid w:val="004E6EEA"/>
    <w:rsid w:val="004F14F3"/>
    <w:rsid w:val="004F15BA"/>
    <w:rsid w:val="004F394E"/>
    <w:rsid w:val="004F4681"/>
    <w:rsid w:val="004F5B58"/>
    <w:rsid w:val="004F653F"/>
    <w:rsid w:val="004F7097"/>
    <w:rsid w:val="00500651"/>
    <w:rsid w:val="00502181"/>
    <w:rsid w:val="0050229F"/>
    <w:rsid w:val="005051BD"/>
    <w:rsid w:val="005051E4"/>
    <w:rsid w:val="00507BA9"/>
    <w:rsid w:val="005119F3"/>
    <w:rsid w:val="00512E94"/>
    <w:rsid w:val="005133FA"/>
    <w:rsid w:val="00513D4C"/>
    <w:rsid w:val="0051566A"/>
    <w:rsid w:val="005163A2"/>
    <w:rsid w:val="00516A0F"/>
    <w:rsid w:val="005206BE"/>
    <w:rsid w:val="0052297D"/>
    <w:rsid w:val="005251D3"/>
    <w:rsid w:val="00527042"/>
    <w:rsid w:val="00527204"/>
    <w:rsid w:val="0053044C"/>
    <w:rsid w:val="00531740"/>
    <w:rsid w:val="00531969"/>
    <w:rsid w:val="00531C3A"/>
    <w:rsid w:val="0053261B"/>
    <w:rsid w:val="00533B24"/>
    <w:rsid w:val="00534ADD"/>
    <w:rsid w:val="00534CE6"/>
    <w:rsid w:val="005364BE"/>
    <w:rsid w:val="00536582"/>
    <w:rsid w:val="00536CA7"/>
    <w:rsid w:val="00537BC7"/>
    <w:rsid w:val="005413B9"/>
    <w:rsid w:val="00541470"/>
    <w:rsid w:val="00541DF0"/>
    <w:rsid w:val="00543231"/>
    <w:rsid w:val="00543960"/>
    <w:rsid w:val="00543A77"/>
    <w:rsid w:val="0054526C"/>
    <w:rsid w:val="00545C0D"/>
    <w:rsid w:val="00547673"/>
    <w:rsid w:val="00550509"/>
    <w:rsid w:val="0055083A"/>
    <w:rsid w:val="005514AF"/>
    <w:rsid w:val="00552610"/>
    <w:rsid w:val="005532C4"/>
    <w:rsid w:val="005556D6"/>
    <w:rsid w:val="0056289B"/>
    <w:rsid w:val="00562C96"/>
    <w:rsid w:val="00562E51"/>
    <w:rsid w:val="005641DE"/>
    <w:rsid w:val="005649EC"/>
    <w:rsid w:val="00564F65"/>
    <w:rsid w:val="00564F70"/>
    <w:rsid w:val="00566311"/>
    <w:rsid w:val="00566615"/>
    <w:rsid w:val="00571BB6"/>
    <w:rsid w:val="00572A13"/>
    <w:rsid w:val="00575148"/>
    <w:rsid w:val="00575FD7"/>
    <w:rsid w:val="005762C9"/>
    <w:rsid w:val="00577434"/>
    <w:rsid w:val="005832C6"/>
    <w:rsid w:val="00586E83"/>
    <w:rsid w:val="00587D61"/>
    <w:rsid w:val="0059273A"/>
    <w:rsid w:val="00592F4F"/>
    <w:rsid w:val="0059765E"/>
    <w:rsid w:val="00597C0F"/>
    <w:rsid w:val="00597C83"/>
    <w:rsid w:val="005A1332"/>
    <w:rsid w:val="005A2692"/>
    <w:rsid w:val="005A29C1"/>
    <w:rsid w:val="005A52E2"/>
    <w:rsid w:val="005A7F62"/>
    <w:rsid w:val="005B143A"/>
    <w:rsid w:val="005B2E01"/>
    <w:rsid w:val="005B45CC"/>
    <w:rsid w:val="005B56B8"/>
    <w:rsid w:val="005B68FE"/>
    <w:rsid w:val="005B7572"/>
    <w:rsid w:val="005B79E6"/>
    <w:rsid w:val="005C0E3B"/>
    <w:rsid w:val="005C3E34"/>
    <w:rsid w:val="005C4751"/>
    <w:rsid w:val="005C47D9"/>
    <w:rsid w:val="005C5E85"/>
    <w:rsid w:val="005C63DB"/>
    <w:rsid w:val="005C6F13"/>
    <w:rsid w:val="005D026B"/>
    <w:rsid w:val="005D114B"/>
    <w:rsid w:val="005D1B38"/>
    <w:rsid w:val="005D20D6"/>
    <w:rsid w:val="005D35AC"/>
    <w:rsid w:val="005E0819"/>
    <w:rsid w:val="005E3923"/>
    <w:rsid w:val="005E5354"/>
    <w:rsid w:val="005E573D"/>
    <w:rsid w:val="005E618C"/>
    <w:rsid w:val="005E62D7"/>
    <w:rsid w:val="005E7AA2"/>
    <w:rsid w:val="005F1071"/>
    <w:rsid w:val="005F14BB"/>
    <w:rsid w:val="005F15C0"/>
    <w:rsid w:val="005F1B6C"/>
    <w:rsid w:val="005F25B8"/>
    <w:rsid w:val="00600234"/>
    <w:rsid w:val="006004F1"/>
    <w:rsid w:val="0060064E"/>
    <w:rsid w:val="00600A17"/>
    <w:rsid w:val="006010A6"/>
    <w:rsid w:val="00601C39"/>
    <w:rsid w:val="006022E7"/>
    <w:rsid w:val="006025C0"/>
    <w:rsid w:val="006027E3"/>
    <w:rsid w:val="00602A77"/>
    <w:rsid w:val="00602B6F"/>
    <w:rsid w:val="00603B2E"/>
    <w:rsid w:val="0060472A"/>
    <w:rsid w:val="00605721"/>
    <w:rsid w:val="0060586F"/>
    <w:rsid w:val="00606CDF"/>
    <w:rsid w:val="006070E6"/>
    <w:rsid w:val="0061030D"/>
    <w:rsid w:val="00610A73"/>
    <w:rsid w:val="00612610"/>
    <w:rsid w:val="006133A2"/>
    <w:rsid w:val="00620503"/>
    <w:rsid w:val="0062114F"/>
    <w:rsid w:val="006217FD"/>
    <w:rsid w:val="006229F9"/>
    <w:rsid w:val="0062393D"/>
    <w:rsid w:val="00625B56"/>
    <w:rsid w:val="00625FB1"/>
    <w:rsid w:val="0063031B"/>
    <w:rsid w:val="006306C6"/>
    <w:rsid w:val="006312E6"/>
    <w:rsid w:val="00631977"/>
    <w:rsid w:val="00632783"/>
    <w:rsid w:val="00636834"/>
    <w:rsid w:val="00637D29"/>
    <w:rsid w:val="00642B09"/>
    <w:rsid w:val="006434AA"/>
    <w:rsid w:val="00643F83"/>
    <w:rsid w:val="00644495"/>
    <w:rsid w:val="00646595"/>
    <w:rsid w:val="006478E0"/>
    <w:rsid w:val="00647F38"/>
    <w:rsid w:val="006527E6"/>
    <w:rsid w:val="006529A5"/>
    <w:rsid w:val="00652E9D"/>
    <w:rsid w:val="0065616C"/>
    <w:rsid w:val="00656663"/>
    <w:rsid w:val="00656DCA"/>
    <w:rsid w:val="0065708E"/>
    <w:rsid w:val="00657AC0"/>
    <w:rsid w:val="006614B5"/>
    <w:rsid w:val="00662DB2"/>
    <w:rsid w:val="006653F0"/>
    <w:rsid w:val="006654B9"/>
    <w:rsid w:val="00667364"/>
    <w:rsid w:val="006679AA"/>
    <w:rsid w:val="00670B25"/>
    <w:rsid w:val="00671F9E"/>
    <w:rsid w:val="006737B6"/>
    <w:rsid w:val="0067469A"/>
    <w:rsid w:val="006746DF"/>
    <w:rsid w:val="006773E2"/>
    <w:rsid w:val="006805A0"/>
    <w:rsid w:val="00680B9F"/>
    <w:rsid w:val="00680BF3"/>
    <w:rsid w:val="00681701"/>
    <w:rsid w:val="00681D9C"/>
    <w:rsid w:val="0068258B"/>
    <w:rsid w:val="00683F69"/>
    <w:rsid w:val="006843C4"/>
    <w:rsid w:val="00684D36"/>
    <w:rsid w:val="00685473"/>
    <w:rsid w:val="0068673A"/>
    <w:rsid w:val="00693DB7"/>
    <w:rsid w:val="0069617F"/>
    <w:rsid w:val="006963AA"/>
    <w:rsid w:val="006A1797"/>
    <w:rsid w:val="006A17D1"/>
    <w:rsid w:val="006A220F"/>
    <w:rsid w:val="006A2488"/>
    <w:rsid w:val="006A3956"/>
    <w:rsid w:val="006A5AEA"/>
    <w:rsid w:val="006A7D31"/>
    <w:rsid w:val="006B2580"/>
    <w:rsid w:val="006B28D2"/>
    <w:rsid w:val="006B3834"/>
    <w:rsid w:val="006B3946"/>
    <w:rsid w:val="006B3D94"/>
    <w:rsid w:val="006B76C7"/>
    <w:rsid w:val="006C0C39"/>
    <w:rsid w:val="006C0F3A"/>
    <w:rsid w:val="006C1C01"/>
    <w:rsid w:val="006C1D33"/>
    <w:rsid w:val="006C2088"/>
    <w:rsid w:val="006C2B48"/>
    <w:rsid w:val="006C2B73"/>
    <w:rsid w:val="006C2E7A"/>
    <w:rsid w:val="006C2F80"/>
    <w:rsid w:val="006C3923"/>
    <w:rsid w:val="006C4019"/>
    <w:rsid w:val="006C4B12"/>
    <w:rsid w:val="006C4E85"/>
    <w:rsid w:val="006C76E2"/>
    <w:rsid w:val="006D0A4C"/>
    <w:rsid w:val="006D1183"/>
    <w:rsid w:val="006D203D"/>
    <w:rsid w:val="006D2FBE"/>
    <w:rsid w:val="006D3819"/>
    <w:rsid w:val="006D3CF3"/>
    <w:rsid w:val="006D445E"/>
    <w:rsid w:val="006D4669"/>
    <w:rsid w:val="006D4A55"/>
    <w:rsid w:val="006D5903"/>
    <w:rsid w:val="006D6210"/>
    <w:rsid w:val="006D622B"/>
    <w:rsid w:val="006E0954"/>
    <w:rsid w:val="006E0A14"/>
    <w:rsid w:val="006E0D4F"/>
    <w:rsid w:val="006E2514"/>
    <w:rsid w:val="006E29A9"/>
    <w:rsid w:val="006E3DB7"/>
    <w:rsid w:val="006E7E25"/>
    <w:rsid w:val="006F06FF"/>
    <w:rsid w:val="006F116F"/>
    <w:rsid w:val="006F22AA"/>
    <w:rsid w:val="006F426F"/>
    <w:rsid w:val="006F4546"/>
    <w:rsid w:val="007006EB"/>
    <w:rsid w:val="00704161"/>
    <w:rsid w:val="00704591"/>
    <w:rsid w:val="00704841"/>
    <w:rsid w:val="00704D29"/>
    <w:rsid w:val="007053F6"/>
    <w:rsid w:val="0070665D"/>
    <w:rsid w:val="00707422"/>
    <w:rsid w:val="00707775"/>
    <w:rsid w:val="0070789B"/>
    <w:rsid w:val="007121E5"/>
    <w:rsid w:val="007123A7"/>
    <w:rsid w:val="00715990"/>
    <w:rsid w:val="007177DE"/>
    <w:rsid w:val="007213CC"/>
    <w:rsid w:val="0072207B"/>
    <w:rsid w:val="007220A4"/>
    <w:rsid w:val="007308A8"/>
    <w:rsid w:val="0073228C"/>
    <w:rsid w:val="00733E25"/>
    <w:rsid w:val="00734490"/>
    <w:rsid w:val="00734EB5"/>
    <w:rsid w:val="007379EF"/>
    <w:rsid w:val="00740DFE"/>
    <w:rsid w:val="007459F8"/>
    <w:rsid w:val="00746427"/>
    <w:rsid w:val="00750758"/>
    <w:rsid w:val="00752827"/>
    <w:rsid w:val="00752CC2"/>
    <w:rsid w:val="00753F9D"/>
    <w:rsid w:val="00755FD4"/>
    <w:rsid w:val="00761B44"/>
    <w:rsid w:val="0076213D"/>
    <w:rsid w:val="007624A1"/>
    <w:rsid w:val="00764734"/>
    <w:rsid w:val="0076634D"/>
    <w:rsid w:val="00767631"/>
    <w:rsid w:val="00771808"/>
    <w:rsid w:val="0077298B"/>
    <w:rsid w:val="007737C3"/>
    <w:rsid w:val="00775E3F"/>
    <w:rsid w:val="00777481"/>
    <w:rsid w:val="00777696"/>
    <w:rsid w:val="007800D6"/>
    <w:rsid w:val="00780485"/>
    <w:rsid w:val="00781BAC"/>
    <w:rsid w:val="007848D5"/>
    <w:rsid w:val="007852D9"/>
    <w:rsid w:val="007860D3"/>
    <w:rsid w:val="007865D2"/>
    <w:rsid w:val="007878E3"/>
    <w:rsid w:val="00791C55"/>
    <w:rsid w:val="00793F45"/>
    <w:rsid w:val="007941C7"/>
    <w:rsid w:val="00795D6B"/>
    <w:rsid w:val="0079601C"/>
    <w:rsid w:val="00796DC2"/>
    <w:rsid w:val="007A3720"/>
    <w:rsid w:val="007A389D"/>
    <w:rsid w:val="007A4708"/>
    <w:rsid w:val="007A5227"/>
    <w:rsid w:val="007A59B7"/>
    <w:rsid w:val="007A6D7C"/>
    <w:rsid w:val="007B1207"/>
    <w:rsid w:val="007B25C8"/>
    <w:rsid w:val="007B3012"/>
    <w:rsid w:val="007B3259"/>
    <w:rsid w:val="007B592F"/>
    <w:rsid w:val="007B6176"/>
    <w:rsid w:val="007B66F2"/>
    <w:rsid w:val="007B7734"/>
    <w:rsid w:val="007B7ECA"/>
    <w:rsid w:val="007C2D90"/>
    <w:rsid w:val="007C2F61"/>
    <w:rsid w:val="007C4419"/>
    <w:rsid w:val="007C497D"/>
    <w:rsid w:val="007C58F4"/>
    <w:rsid w:val="007D11EA"/>
    <w:rsid w:val="007D23E5"/>
    <w:rsid w:val="007D2C6C"/>
    <w:rsid w:val="007D30B3"/>
    <w:rsid w:val="007D3FBE"/>
    <w:rsid w:val="007D68CB"/>
    <w:rsid w:val="007D6A5D"/>
    <w:rsid w:val="007E0B9C"/>
    <w:rsid w:val="007E0C8D"/>
    <w:rsid w:val="007E10D3"/>
    <w:rsid w:val="007E1856"/>
    <w:rsid w:val="007E35C7"/>
    <w:rsid w:val="007E3F80"/>
    <w:rsid w:val="007E57C5"/>
    <w:rsid w:val="007E6E5B"/>
    <w:rsid w:val="007F127D"/>
    <w:rsid w:val="007F268B"/>
    <w:rsid w:val="007F29D1"/>
    <w:rsid w:val="007F2A76"/>
    <w:rsid w:val="007F3040"/>
    <w:rsid w:val="007F350A"/>
    <w:rsid w:val="007F57DA"/>
    <w:rsid w:val="007F5CE6"/>
    <w:rsid w:val="007F5E55"/>
    <w:rsid w:val="007F7557"/>
    <w:rsid w:val="007F762E"/>
    <w:rsid w:val="007F78C8"/>
    <w:rsid w:val="0080284D"/>
    <w:rsid w:val="00802C8B"/>
    <w:rsid w:val="0080535B"/>
    <w:rsid w:val="0080537A"/>
    <w:rsid w:val="008056F0"/>
    <w:rsid w:val="008069AF"/>
    <w:rsid w:val="008072A9"/>
    <w:rsid w:val="00812C15"/>
    <w:rsid w:val="0081521E"/>
    <w:rsid w:val="00816AF1"/>
    <w:rsid w:val="0081773E"/>
    <w:rsid w:val="00820FE7"/>
    <w:rsid w:val="00822A7A"/>
    <w:rsid w:val="00823A6B"/>
    <w:rsid w:val="00823ED8"/>
    <w:rsid w:val="00824CDE"/>
    <w:rsid w:val="008253B0"/>
    <w:rsid w:val="008269CE"/>
    <w:rsid w:val="00830882"/>
    <w:rsid w:val="00830DA4"/>
    <w:rsid w:val="00832D07"/>
    <w:rsid w:val="00832E09"/>
    <w:rsid w:val="00835D4A"/>
    <w:rsid w:val="00835F01"/>
    <w:rsid w:val="00837D15"/>
    <w:rsid w:val="008426BD"/>
    <w:rsid w:val="00844836"/>
    <w:rsid w:val="00845FD4"/>
    <w:rsid w:val="008529EA"/>
    <w:rsid w:val="00854B76"/>
    <w:rsid w:val="00857678"/>
    <w:rsid w:val="00857D31"/>
    <w:rsid w:val="008601F3"/>
    <w:rsid w:val="008630E9"/>
    <w:rsid w:val="00870FBE"/>
    <w:rsid w:val="00871B47"/>
    <w:rsid w:val="008722B5"/>
    <w:rsid w:val="00875C9A"/>
    <w:rsid w:val="00877B33"/>
    <w:rsid w:val="00880F88"/>
    <w:rsid w:val="00882507"/>
    <w:rsid w:val="008843AD"/>
    <w:rsid w:val="00884A1B"/>
    <w:rsid w:val="00886D77"/>
    <w:rsid w:val="0088759D"/>
    <w:rsid w:val="008879E8"/>
    <w:rsid w:val="00890619"/>
    <w:rsid w:val="00890EBD"/>
    <w:rsid w:val="0089105A"/>
    <w:rsid w:val="00893876"/>
    <w:rsid w:val="008941A2"/>
    <w:rsid w:val="00895FF8"/>
    <w:rsid w:val="00897859"/>
    <w:rsid w:val="008979FC"/>
    <w:rsid w:val="008A0841"/>
    <w:rsid w:val="008A2DE5"/>
    <w:rsid w:val="008A3A51"/>
    <w:rsid w:val="008A46C9"/>
    <w:rsid w:val="008B0453"/>
    <w:rsid w:val="008B1008"/>
    <w:rsid w:val="008B6531"/>
    <w:rsid w:val="008B796F"/>
    <w:rsid w:val="008C2024"/>
    <w:rsid w:val="008C2133"/>
    <w:rsid w:val="008C2305"/>
    <w:rsid w:val="008C35AD"/>
    <w:rsid w:val="008C6C00"/>
    <w:rsid w:val="008D26E7"/>
    <w:rsid w:val="008D4D40"/>
    <w:rsid w:val="008D5992"/>
    <w:rsid w:val="008F0F1F"/>
    <w:rsid w:val="008F37EC"/>
    <w:rsid w:val="008F3E38"/>
    <w:rsid w:val="008F4EF7"/>
    <w:rsid w:val="008F6A8E"/>
    <w:rsid w:val="00901F26"/>
    <w:rsid w:val="00902E16"/>
    <w:rsid w:val="00903203"/>
    <w:rsid w:val="00903943"/>
    <w:rsid w:val="00904450"/>
    <w:rsid w:val="009054FA"/>
    <w:rsid w:val="009055AD"/>
    <w:rsid w:val="00905A4C"/>
    <w:rsid w:val="0091110E"/>
    <w:rsid w:val="0091296F"/>
    <w:rsid w:val="0091387E"/>
    <w:rsid w:val="009146F8"/>
    <w:rsid w:val="00917775"/>
    <w:rsid w:val="0092247D"/>
    <w:rsid w:val="00923014"/>
    <w:rsid w:val="0092343D"/>
    <w:rsid w:val="0092599D"/>
    <w:rsid w:val="0093192C"/>
    <w:rsid w:val="00932D57"/>
    <w:rsid w:val="00940A7A"/>
    <w:rsid w:val="00941CB6"/>
    <w:rsid w:val="00944B1C"/>
    <w:rsid w:val="00945343"/>
    <w:rsid w:val="00945C47"/>
    <w:rsid w:val="009465A2"/>
    <w:rsid w:val="00946731"/>
    <w:rsid w:val="00954EDE"/>
    <w:rsid w:val="0095627B"/>
    <w:rsid w:val="009570B1"/>
    <w:rsid w:val="00960279"/>
    <w:rsid w:val="00960B59"/>
    <w:rsid w:val="00961678"/>
    <w:rsid w:val="009628F8"/>
    <w:rsid w:val="00963E1F"/>
    <w:rsid w:val="00964A5C"/>
    <w:rsid w:val="00967AC5"/>
    <w:rsid w:val="00967E9B"/>
    <w:rsid w:val="00970C03"/>
    <w:rsid w:val="00971D87"/>
    <w:rsid w:val="0097243F"/>
    <w:rsid w:val="00977270"/>
    <w:rsid w:val="00977B58"/>
    <w:rsid w:val="00980920"/>
    <w:rsid w:val="00982139"/>
    <w:rsid w:val="00982F33"/>
    <w:rsid w:val="00983B50"/>
    <w:rsid w:val="00985729"/>
    <w:rsid w:val="009873F4"/>
    <w:rsid w:val="00987414"/>
    <w:rsid w:val="00987D36"/>
    <w:rsid w:val="009904EE"/>
    <w:rsid w:val="00993274"/>
    <w:rsid w:val="0099450E"/>
    <w:rsid w:val="00994529"/>
    <w:rsid w:val="009956EB"/>
    <w:rsid w:val="00995A40"/>
    <w:rsid w:val="0099706A"/>
    <w:rsid w:val="009A1071"/>
    <w:rsid w:val="009A69D5"/>
    <w:rsid w:val="009B119F"/>
    <w:rsid w:val="009B214A"/>
    <w:rsid w:val="009B513B"/>
    <w:rsid w:val="009B665A"/>
    <w:rsid w:val="009C0392"/>
    <w:rsid w:val="009C1028"/>
    <w:rsid w:val="009C2402"/>
    <w:rsid w:val="009C4742"/>
    <w:rsid w:val="009C497D"/>
    <w:rsid w:val="009D0452"/>
    <w:rsid w:val="009D099A"/>
    <w:rsid w:val="009D1519"/>
    <w:rsid w:val="009D41BC"/>
    <w:rsid w:val="009D5CC1"/>
    <w:rsid w:val="009E0195"/>
    <w:rsid w:val="009E05C3"/>
    <w:rsid w:val="009E072C"/>
    <w:rsid w:val="009E08DB"/>
    <w:rsid w:val="009E10A3"/>
    <w:rsid w:val="009E3031"/>
    <w:rsid w:val="009E3D47"/>
    <w:rsid w:val="009E58AF"/>
    <w:rsid w:val="009E6E0B"/>
    <w:rsid w:val="009E71AF"/>
    <w:rsid w:val="009F02D6"/>
    <w:rsid w:val="009F0565"/>
    <w:rsid w:val="009F1108"/>
    <w:rsid w:val="009F71F1"/>
    <w:rsid w:val="009F7DC2"/>
    <w:rsid w:val="00A0139D"/>
    <w:rsid w:val="00A016C2"/>
    <w:rsid w:val="00A01833"/>
    <w:rsid w:val="00A01E9D"/>
    <w:rsid w:val="00A02C2A"/>
    <w:rsid w:val="00A0334C"/>
    <w:rsid w:val="00A05039"/>
    <w:rsid w:val="00A07EB7"/>
    <w:rsid w:val="00A12153"/>
    <w:rsid w:val="00A12572"/>
    <w:rsid w:val="00A15084"/>
    <w:rsid w:val="00A16505"/>
    <w:rsid w:val="00A17C6F"/>
    <w:rsid w:val="00A17E99"/>
    <w:rsid w:val="00A21F56"/>
    <w:rsid w:val="00A2263B"/>
    <w:rsid w:val="00A22BA1"/>
    <w:rsid w:val="00A238A5"/>
    <w:rsid w:val="00A2401A"/>
    <w:rsid w:val="00A24A67"/>
    <w:rsid w:val="00A24F7E"/>
    <w:rsid w:val="00A25047"/>
    <w:rsid w:val="00A25C35"/>
    <w:rsid w:val="00A262E1"/>
    <w:rsid w:val="00A31151"/>
    <w:rsid w:val="00A33892"/>
    <w:rsid w:val="00A34CFC"/>
    <w:rsid w:val="00A34E3A"/>
    <w:rsid w:val="00A35C40"/>
    <w:rsid w:val="00A36312"/>
    <w:rsid w:val="00A3677F"/>
    <w:rsid w:val="00A37C82"/>
    <w:rsid w:val="00A37DF9"/>
    <w:rsid w:val="00A4174D"/>
    <w:rsid w:val="00A4302F"/>
    <w:rsid w:val="00A45050"/>
    <w:rsid w:val="00A4589A"/>
    <w:rsid w:val="00A54D0E"/>
    <w:rsid w:val="00A6303D"/>
    <w:rsid w:val="00A64383"/>
    <w:rsid w:val="00A656C2"/>
    <w:rsid w:val="00A65A7F"/>
    <w:rsid w:val="00A67C89"/>
    <w:rsid w:val="00A70456"/>
    <w:rsid w:val="00A70C3A"/>
    <w:rsid w:val="00A7142A"/>
    <w:rsid w:val="00A72342"/>
    <w:rsid w:val="00A72C9A"/>
    <w:rsid w:val="00A73404"/>
    <w:rsid w:val="00A73DC9"/>
    <w:rsid w:val="00A7435B"/>
    <w:rsid w:val="00A74FA3"/>
    <w:rsid w:val="00A75A19"/>
    <w:rsid w:val="00A76EA2"/>
    <w:rsid w:val="00A77A46"/>
    <w:rsid w:val="00A80107"/>
    <w:rsid w:val="00A81199"/>
    <w:rsid w:val="00A8404E"/>
    <w:rsid w:val="00A8557B"/>
    <w:rsid w:val="00A867AA"/>
    <w:rsid w:val="00A9056D"/>
    <w:rsid w:val="00A91B31"/>
    <w:rsid w:val="00A92FFC"/>
    <w:rsid w:val="00A94DC4"/>
    <w:rsid w:val="00A95F37"/>
    <w:rsid w:val="00A9646D"/>
    <w:rsid w:val="00A97F19"/>
    <w:rsid w:val="00AA062A"/>
    <w:rsid w:val="00AA2020"/>
    <w:rsid w:val="00AA3500"/>
    <w:rsid w:val="00AA3C54"/>
    <w:rsid w:val="00AA53F2"/>
    <w:rsid w:val="00AA5FAE"/>
    <w:rsid w:val="00AA7BA3"/>
    <w:rsid w:val="00AB1261"/>
    <w:rsid w:val="00AB15F2"/>
    <w:rsid w:val="00AB175B"/>
    <w:rsid w:val="00AB1EDE"/>
    <w:rsid w:val="00AB261D"/>
    <w:rsid w:val="00AB3282"/>
    <w:rsid w:val="00AB4AE7"/>
    <w:rsid w:val="00AB4D6E"/>
    <w:rsid w:val="00AB6777"/>
    <w:rsid w:val="00AC1269"/>
    <w:rsid w:val="00AC2382"/>
    <w:rsid w:val="00AC2A75"/>
    <w:rsid w:val="00AC2EF5"/>
    <w:rsid w:val="00AC3ED4"/>
    <w:rsid w:val="00AC54D5"/>
    <w:rsid w:val="00AC6086"/>
    <w:rsid w:val="00AC62AA"/>
    <w:rsid w:val="00AC7036"/>
    <w:rsid w:val="00AC7247"/>
    <w:rsid w:val="00AC7B40"/>
    <w:rsid w:val="00AD0C5E"/>
    <w:rsid w:val="00AD1780"/>
    <w:rsid w:val="00AD39AF"/>
    <w:rsid w:val="00AD6388"/>
    <w:rsid w:val="00AE437B"/>
    <w:rsid w:val="00AE4C98"/>
    <w:rsid w:val="00AE58B8"/>
    <w:rsid w:val="00AE59F6"/>
    <w:rsid w:val="00AE5BF6"/>
    <w:rsid w:val="00AE63D2"/>
    <w:rsid w:val="00AE7537"/>
    <w:rsid w:val="00AF0ABD"/>
    <w:rsid w:val="00AF1BC6"/>
    <w:rsid w:val="00AF245E"/>
    <w:rsid w:val="00AF293E"/>
    <w:rsid w:val="00AF5939"/>
    <w:rsid w:val="00AF5D8A"/>
    <w:rsid w:val="00AF5E0B"/>
    <w:rsid w:val="00AF7316"/>
    <w:rsid w:val="00B00012"/>
    <w:rsid w:val="00B0121D"/>
    <w:rsid w:val="00B03831"/>
    <w:rsid w:val="00B04B4D"/>
    <w:rsid w:val="00B05FD3"/>
    <w:rsid w:val="00B107E8"/>
    <w:rsid w:val="00B11503"/>
    <w:rsid w:val="00B11ADE"/>
    <w:rsid w:val="00B12055"/>
    <w:rsid w:val="00B1289E"/>
    <w:rsid w:val="00B12937"/>
    <w:rsid w:val="00B12B9E"/>
    <w:rsid w:val="00B14735"/>
    <w:rsid w:val="00B14813"/>
    <w:rsid w:val="00B14D12"/>
    <w:rsid w:val="00B1540F"/>
    <w:rsid w:val="00B16045"/>
    <w:rsid w:val="00B17A7C"/>
    <w:rsid w:val="00B2247C"/>
    <w:rsid w:val="00B2418C"/>
    <w:rsid w:val="00B24D30"/>
    <w:rsid w:val="00B25BC6"/>
    <w:rsid w:val="00B26183"/>
    <w:rsid w:val="00B27D6B"/>
    <w:rsid w:val="00B3045D"/>
    <w:rsid w:val="00B30D06"/>
    <w:rsid w:val="00B31B3E"/>
    <w:rsid w:val="00B32A87"/>
    <w:rsid w:val="00B33ED6"/>
    <w:rsid w:val="00B34215"/>
    <w:rsid w:val="00B35CBC"/>
    <w:rsid w:val="00B36E4E"/>
    <w:rsid w:val="00B373D8"/>
    <w:rsid w:val="00B379A4"/>
    <w:rsid w:val="00B37E9B"/>
    <w:rsid w:val="00B40968"/>
    <w:rsid w:val="00B41075"/>
    <w:rsid w:val="00B41DED"/>
    <w:rsid w:val="00B42B3E"/>
    <w:rsid w:val="00B4420B"/>
    <w:rsid w:val="00B442B6"/>
    <w:rsid w:val="00B44A90"/>
    <w:rsid w:val="00B4633D"/>
    <w:rsid w:val="00B5326E"/>
    <w:rsid w:val="00B54A1A"/>
    <w:rsid w:val="00B63954"/>
    <w:rsid w:val="00B64C03"/>
    <w:rsid w:val="00B66400"/>
    <w:rsid w:val="00B678DE"/>
    <w:rsid w:val="00B74837"/>
    <w:rsid w:val="00B754CC"/>
    <w:rsid w:val="00B803EA"/>
    <w:rsid w:val="00B81372"/>
    <w:rsid w:val="00B85CCE"/>
    <w:rsid w:val="00B91824"/>
    <w:rsid w:val="00B92806"/>
    <w:rsid w:val="00B92A99"/>
    <w:rsid w:val="00B94595"/>
    <w:rsid w:val="00B94F99"/>
    <w:rsid w:val="00B9595E"/>
    <w:rsid w:val="00B95986"/>
    <w:rsid w:val="00B964CD"/>
    <w:rsid w:val="00B97319"/>
    <w:rsid w:val="00BA26C7"/>
    <w:rsid w:val="00BA2C03"/>
    <w:rsid w:val="00BA54C7"/>
    <w:rsid w:val="00BA6ED4"/>
    <w:rsid w:val="00BB0154"/>
    <w:rsid w:val="00BB01BF"/>
    <w:rsid w:val="00BB0913"/>
    <w:rsid w:val="00BB27BD"/>
    <w:rsid w:val="00BB2D10"/>
    <w:rsid w:val="00BB5262"/>
    <w:rsid w:val="00BB5E6A"/>
    <w:rsid w:val="00BB6A4F"/>
    <w:rsid w:val="00BB7898"/>
    <w:rsid w:val="00BB7EC6"/>
    <w:rsid w:val="00BC3DBF"/>
    <w:rsid w:val="00BC4113"/>
    <w:rsid w:val="00BC425E"/>
    <w:rsid w:val="00BC52CF"/>
    <w:rsid w:val="00BC625E"/>
    <w:rsid w:val="00BC62DB"/>
    <w:rsid w:val="00BC6623"/>
    <w:rsid w:val="00BC6CE4"/>
    <w:rsid w:val="00BD1CA0"/>
    <w:rsid w:val="00BD2BB0"/>
    <w:rsid w:val="00BD323A"/>
    <w:rsid w:val="00BD5C6B"/>
    <w:rsid w:val="00BD61C3"/>
    <w:rsid w:val="00BD73FE"/>
    <w:rsid w:val="00BD7755"/>
    <w:rsid w:val="00BD77BE"/>
    <w:rsid w:val="00BD7E19"/>
    <w:rsid w:val="00BE08B0"/>
    <w:rsid w:val="00BE17C0"/>
    <w:rsid w:val="00BE1AF4"/>
    <w:rsid w:val="00BE2268"/>
    <w:rsid w:val="00BE3001"/>
    <w:rsid w:val="00BE47A5"/>
    <w:rsid w:val="00BE4B5A"/>
    <w:rsid w:val="00BF5B04"/>
    <w:rsid w:val="00BF6979"/>
    <w:rsid w:val="00BF6F83"/>
    <w:rsid w:val="00C027EB"/>
    <w:rsid w:val="00C03D72"/>
    <w:rsid w:val="00C04458"/>
    <w:rsid w:val="00C04894"/>
    <w:rsid w:val="00C1032A"/>
    <w:rsid w:val="00C1242E"/>
    <w:rsid w:val="00C13C36"/>
    <w:rsid w:val="00C13F4C"/>
    <w:rsid w:val="00C14CF9"/>
    <w:rsid w:val="00C15845"/>
    <w:rsid w:val="00C16367"/>
    <w:rsid w:val="00C227BA"/>
    <w:rsid w:val="00C23924"/>
    <w:rsid w:val="00C23974"/>
    <w:rsid w:val="00C2612F"/>
    <w:rsid w:val="00C26A89"/>
    <w:rsid w:val="00C27681"/>
    <w:rsid w:val="00C27AE5"/>
    <w:rsid w:val="00C31A7B"/>
    <w:rsid w:val="00C34C07"/>
    <w:rsid w:val="00C35C7B"/>
    <w:rsid w:val="00C374F5"/>
    <w:rsid w:val="00C40EA7"/>
    <w:rsid w:val="00C44C2D"/>
    <w:rsid w:val="00C45940"/>
    <w:rsid w:val="00C45E26"/>
    <w:rsid w:val="00C476E8"/>
    <w:rsid w:val="00C47DFE"/>
    <w:rsid w:val="00C47E73"/>
    <w:rsid w:val="00C5010F"/>
    <w:rsid w:val="00C50A62"/>
    <w:rsid w:val="00C5115C"/>
    <w:rsid w:val="00C60DC8"/>
    <w:rsid w:val="00C62037"/>
    <w:rsid w:val="00C6406A"/>
    <w:rsid w:val="00C6475E"/>
    <w:rsid w:val="00C6712A"/>
    <w:rsid w:val="00C679C1"/>
    <w:rsid w:val="00C71FCE"/>
    <w:rsid w:val="00C72D12"/>
    <w:rsid w:val="00C72FB3"/>
    <w:rsid w:val="00C7406B"/>
    <w:rsid w:val="00C7413A"/>
    <w:rsid w:val="00C7414A"/>
    <w:rsid w:val="00C74EA5"/>
    <w:rsid w:val="00C75D09"/>
    <w:rsid w:val="00C774AD"/>
    <w:rsid w:val="00C77666"/>
    <w:rsid w:val="00C812AD"/>
    <w:rsid w:val="00C83885"/>
    <w:rsid w:val="00C85209"/>
    <w:rsid w:val="00C864A3"/>
    <w:rsid w:val="00C876ED"/>
    <w:rsid w:val="00C909BB"/>
    <w:rsid w:val="00C91FE2"/>
    <w:rsid w:val="00C94C2A"/>
    <w:rsid w:val="00C94D38"/>
    <w:rsid w:val="00C964EF"/>
    <w:rsid w:val="00CA446E"/>
    <w:rsid w:val="00CA4B54"/>
    <w:rsid w:val="00CA4E5C"/>
    <w:rsid w:val="00CA5B1D"/>
    <w:rsid w:val="00CB0751"/>
    <w:rsid w:val="00CB1831"/>
    <w:rsid w:val="00CB5721"/>
    <w:rsid w:val="00CB5983"/>
    <w:rsid w:val="00CB60F7"/>
    <w:rsid w:val="00CC1D99"/>
    <w:rsid w:val="00CC6192"/>
    <w:rsid w:val="00CC6B91"/>
    <w:rsid w:val="00CD1EB6"/>
    <w:rsid w:val="00CD3077"/>
    <w:rsid w:val="00CD3BDE"/>
    <w:rsid w:val="00CD4178"/>
    <w:rsid w:val="00CD4568"/>
    <w:rsid w:val="00CD4C8F"/>
    <w:rsid w:val="00CD52A6"/>
    <w:rsid w:val="00CD6675"/>
    <w:rsid w:val="00CD6BDC"/>
    <w:rsid w:val="00CD6DAB"/>
    <w:rsid w:val="00CD6DB0"/>
    <w:rsid w:val="00CE09FB"/>
    <w:rsid w:val="00CE1405"/>
    <w:rsid w:val="00CE3BE8"/>
    <w:rsid w:val="00CE4D34"/>
    <w:rsid w:val="00CE7211"/>
    <w:rsid w:val="00CE722C"/>
    <w:rsid w:val="00CF055E"/>
    <w:rsid w:val="00CF6986"/>
    <w:rsid w:val="00D008A5"/>
    <w:rsid w:val="00D028B2"/>
    <w:rsid w:val="00D03013"/>
    <w:rsid w:val="00D03265"/>
    <w:rsid w:val="00D038EB"/>
    <w:rsid w:val="00D0558D"/>
    <w:rsid w:val="00D05912"/>
    <w:rsid w:val="00D063C2"/>
    <w:rsid w:val="00D070E6"/>
    <w:rsid w:val="00D07E70"/>
    <w:rsid w:val="00D10C9C"/>
    <w:rsid w:val="00D12294"/>
    <w:rsid w:val="00D12BDE"/>
    <w:rsid w:val="00D14655"/>
    <w:rsid w:val="00D14C2C"/>
    <w:rsid w:val="00D17759"/>
    <w:rsid w:val="00D2626A"/>
    <w:rsid w:val="00D320D5"/>
    <w:rsid w:val="00D34EF9"/>
    <w:rsid w:val="00D35D33"/>
    <w:rsid w:val="00D37B7F"/>
    <w:rsid w:val="00D37D0C"/>
    <w:rsid w:val="00D37F22"/>
    <w:rsid w:val="00D42BB1"/>
    <w:rsid w:val="00D4428A"/>
    <w:rsid w:val="00D44ABC"/>
    <w:rsid w:val="00D44D44"/>
    <w:rsid w:val="00D45A33"/>
    <w:rsid w:val="00D477E1"/>
    <w:rsid w:val="00D47DC2"/>
    <w:rsid w:val="00D509A4"/>
    <w:rsid w:val="00D50E8C"/>
    <w:rsid w:val="00D513A7"/>
    <w:rsid w:val="00D52B7A"/>
    <w:rsid w:val="00D54BE6"/>
    <w:rsid w:val="00D57315"/>
    <w:rsid w:val="00D573EF"/>
    <w:rsid w:val="00D5770A"/>
    <w:rsid w:val="00D60690"/>
    <w:rsid w:val="00D64982"/>
    <w:rsid w:val="00D64AC8"/>
    <w:rsid w:val="00D64C21"/>
    <w:rsid w:val="00D65AD4"/>
    <w:rsid w:val="00D65CB8"/>
    <w:rsid w:val="00D66120"/>
    <w:rsid w:val="00D67C81"/>
    <w:rsid w:val="00D702E1"/>
    <w:rsid w:val="00D71CC9"/>
    <w:rsid w:val="00D72346"/>
    <w:rsid w:val="00D7280A"/>
    <w:rsid w:val="00D7321D"/>
    <w:rsid w:val="00D73657"/>
    <w:rsid w:val="00D7402F"/>
    <w:rsid w:val="00D74D74"/>
    <w:rsid w:val="00D756E3"/>
    <w:rsid w:val="00D75A7E"/>
    <w:rsid w:val="00D75D18"/>
    <w:rsid w:val="00D77ADD"/>
    <w:rsid w:val="00D86F1B"/>
    <w:rsid w:val="00D8738E"/>
    <w:rsid w:val="00D9164C"/>
    <w:rsid w:val="00D9325F"/>
    <w:rsid w:val="00D93E38"/>
    <w:rsid w:val="00D9477D"/>
    <w:rsid w:val="00D95D92"/>
    <w:rsid w:val="00DA0683"/>
    <w:rsid w:val="00DA0A2D"/>
    <w:rsid w:val="00DA0E47"/>
    <w:rsid w:val="00DA106C"/>
    <w:rsid w:val="00DA1AB3"/>
    <w:rsid w:val="00DA212A"/>
    <w:rsid w:val="00DA297D"/>
    <w:rsid w:val="00DA298B"/>
    <w:rsid w:val="00DB0033"/>
    <w:rsid w:val="00DB0096"/>
    <w:rsid w:val="00DB044F"/>
    <w:rsid w:val="00DB1231"/>
    <w:rsid w:val="00DB2A28"/>
    <w:rsid w:val="00DB2B4D"/>
    <w:rsid w:val="00DB31B4"/>
    <w:rsid w:val="00DB4996"/>
    <w:rsid w:val="00DB4EFB"/>
    <w:rsid w:val="00DB618A"/>
    <w:rsid w:val="00DB720F"/>
    <w:rsid w:val="00DC1781"/>
    <w:rsid w:val="00DC2F2F"/>
    <w:rsid w:val="00DC7B91"/>
    <w:rsid w:val="00DD057D"/>
    <w:rsid w:val="00DD17A5"/>
    <w:rsid w:val="00DD1D39"/>
    <w:rsid w:val="00DD2441"/>
    <w:rsid w:val="00DD263C"/>
    <w:rsid w:val="00DD3998"/>
    <w:rsid w:val="00DD3A8B"/>
    <w:rsid w:val="00DE213F"/>
    <w:rsid w:val="00DE3CAE"/>
    <w:rsid w:val="00DE3CC7"/>
    <w:rsid w:val="00DE3EC9"/>
    <w:rsid w:val="00DE74D7"/>
    <w:rsid w:val="00DF6413"/>
    <w:rsid w:val="00E018E0"/>
    <w:rsid w:val="00E02591"/>
    <w:rsid w:val="00E028FA"/>
    <w:rsid w:val="00E02E03"/>
    <w:rsid w:val="00E0618F"/>
    <w:rsid w:val="00E07371"/>
    <w:rsid w:val="00E132FC"/>
    <w:rsid w:val="00E153AA"/>
    <w:rsid w:val="00E166F2"/>
    <w:rsid w:val="00E17F41"/>
    <w:rsid w:val="00E2138A"/>
    <w:rsid w:val="00E23749"/>
    <w:rsid w:val="00E238BB"/>
    <w:rsid w:val="00E25200"/>
    <w:rsid w:val="00E26210"/>
    <w:rsid w:val="00E266D1"/>
    <w:rsid w:val="00E26914"/>
    <w:rsid w:val="00E26F5B"/>
    <w:rsid w:val="00E27310"/>
    <w:rsid w:val="00E2768E"/>
    <w:rsid w:val="00E27B90"/>
    <w:rsid w:val="00E27D8F"/>
    <w:rsid w:val="00E27EC0"/>
    <w:rsid w:val="00E30C47"/>
    <w:rsid w:val="00E33787"/>
    <w:rsid w:val="00E35B1D"/>
    <w:rsid w:val="00E37944"/>
    <w:rsid w:val="00E37ECC"/>
    <w:rsid w:val="00E40380"/>
    <w:rsid w:val="00E404AE"/>
    <w:rsid w:val="00E40D39"/>
    <w:rsid w:val="00E4187C"/>
    <w:rsid w:val="00E44853"/>
    <w:rsid w:val="00E519B7"/>
    <w:rsid w:val="00E53F45"/>
    <w:rsid w:val="00E54CD9"/>
    <w:rsid w:val="00E56834"/>
    <w:rsid w:val="00E63F83"/>
    <w:rsid w:val="00E650EA"/>
    <w:rsid w:val="00E66939"/>
    <w:rsid w:val="00E718FA"/>
    <w:rsid w:val="00E73228"/>
    <w:rsid w:val="00E7422A"/>
    <w:rsid w:val="00E75B0C"/>
    <w:rsid w:val="00E77948"/>
    <w:rsid w:val="00E81FF4"/>
    <w:rsid w:val="00E82349"/>
    <w:rsid w:val="00E82404"/>
    <w:rsid w:val="00E8244D"/>
    <w:rsid w:val="00E82AE4"/>
    <w:rsid w:val="00E83BCA"/>
    <w:rsid w:val="00E8531A"/>
    <w:rsid w:val="00E86AB8"/>
    <w:rsid w:val="00E878B3"/>
    <w:rsid w:val="00E87A6B"/>
    <w:rsid w:val="00E87ABE"/>
    <w:rsid w:val="00E90742"/>
    <w:rsid w:val="00E943E4"/>
    <w:rsid w:val="00E96D4F"/>
    <w:rsid w:val="00E96ED8"/>
    <w:rsid w:val="00EA03F4"/>
    <w:rsid w:val="00EA7044"/>
    <w:rsid w:val="00EA76FF"/>
    <w:rsid w:val="00EA774F"/>
    <w:rsid w:val="00EA799D"/>
    <w:rsid w:val="00EB0CA6"/>
    <w:rsid w:val="00EB14E7"/>
    <w:rsid w:val="00EB5ACF"/>
    <w:rsid w:val="00EB6FA5"/>
    <w:rsid w:val="00EB78A4"/>
    <w:rsid w:val="00EC0FA4"/>
    <w:rsid w:val="00EC1A83"/>
    <w:rsid w:val="00EC1AB5"/>
    <w:rsid w:val="00EC33CB"/>
    <w:rsid w:val="00EC3413"/>
    <w:rsid w:val="00EC64A0"/>
    <w:rsid w:val="00EC65B5"/>
    <w:rsid w:val="00EC7062"/>
    <w:rsid w:val="00ED01C6"/>
    <w:rsid w:val="00ED1FBD"/>
    <w:rsid w:val="00ED2B13"/>
    <w:rsid w:val="00ED353C"/>
    <w:rsid w:val="00ED38D0"/>
    <w:rsid w:val="00ED3C57"/>
    <w:rsid w:val="00ED70BA"/>
    <w:rsid w:val="00EE065C"/>
    <w:rsid w:val="00EE0AE9"/>
    <w:rsid w:val="00EE4038"/>
    <w:rsid w:val="00EF1936"/>
    <w:rsid w:val="00EF4006"/>
    <w:rsid w:val="00EF4549"/>
    <w:rsid w:val="00EF4E59"/>
    <w:rsid w:val="00EF4E99"/>
    <w:rsid w:val="00EF527F"/>
    <w:rsid w:val="00EF5BCF"/>
    <w:rsid w:val="00EF665F"/>
    <w:rsid w:val="00EF6959"/>
    <w:rsid w:val="00EF7621"/>
    <w:rsid w:val="00F00B65"/>
    <w:rsid w:val="00F0176C"/>
    <w:rsid w:val="00F0177D"/>
    <w:rsid w:val="00F02FCD"/>
    <w:rsid w:val="00F041CE"/>
    <w:rsid w:val="00F04325"/>
    <w:rsid w:val="00F04EAA"/>
    <w:rsid w:val="00F05667"/>
    <w:rsid w:val="00F10A79"/>
    <w:rsid w:val="00F13B4F"/>
    <w:rsid w:val="00F13C83"/>
    <w:rsid w:val="00F14AC1"/>
    <w:rsid w:val="00F14DBC"/>
    <w:rsid w:val="00F2009D"/>
    <w:rsid w:val="00F233A7"/>
    <w:rsid w:val="00F23679"/>
    <w:rsid w:val="00F25465"/>
    <w:rsid w:val="00F25C54"/>
    <w:rsid w:val="00F2658D"/>
    <w:rsid w:val="00F26D0E"/>
    <w:rsid w:val="00F27B1D"/>
    <w:rsid w:val="00F27BA3"/>
    <w:rsid w:val="00F308CF"/>
    <w:rsid w:val="00F314BE"/>
    <w:rsid w:val="00F31612"/>
    <w:rsid w:val="00F33B0B"/>
    <w:rsid w:val="00F34601"/>
    <w:rsid w:val="00F346F3"/>
    <w:rsid w:val="00F35240"/>
    <w:rsid w:val="00F37CF3"/>
    <w:rsid w:val="00F4099B"/>
    <w:rsid w:val="00F40C00"/>
    <w:rsid w:val="00F410F7"/>
    <w:rsid w:val="00F419D2"/>
    <w:rsid w:val="00F42FFB"/>
    <w:rsid w:val="00F43E3B"/>
    <w:rsid w:val="00F4554A"/>
    <w:rsid w:val="00F465BD"/>
    <w:rsid w:val="00F4785D"/>
    <w:rsid w:val="00F51E37"/>
    <w:rsid w:val="00F5472A"/>
    <w:rsid w:val="00F54859"/>
    <w:rsid w:val="00F551CE"/>
    <w:rsid w:val="00F5552D"/>
    <w:rsid w:val="00F55C16"/>
    <w:rsid w:val="00F56093"/>
    <w:rsid w:val="00F57190"/>
    <w:rsid w:val="00F613B8"/>
    <w:rsid w:val="00F6410E"/>
    <w:rsid w:val="00F65D7B"/>
    <w:rsid w:val="00F65FAA"/>
    <w:rsid w:val="00F668C6"/>
    <w:rsid w:val="00F66DF2"/>
    <w:rsid w:val="00F71257"/>
    <w:rsid w:val="00F741E2"/>
    <w:rsid w:val="00F754E4"/>
    <w:rsid w:val="00F80034"/>
    <w:rsid w:val="00F80FF6"/>
    <w:rsid w:val="00F81654"/>
    <w:rsid w:val="00F818A2"/>
    <w:rsid w:val="00F82E34"/>
    <w:rsid w:val="00F84283"/>
    <w:rsid w:val="00F8456E"/>
    <w:rsid w:val="00F84D9B"/>
    <w:rsid w:val="00F9256E"/>
    <w:rsid w:val="00F93EA8"/>
    <w:rsid w:val="00F9775B"/>
    <w:rsid w:val="00FA2485"/>
    <w:rsid w:val="00FA40AE"/>
    <w:rsid w:val="00FA5F0F"/>
    <w:rsid w:val="00FA658F"/>
    <w:rsid w:val="00FB296D"/>
    <w:rsid w:val="00FB29BE"/>
    <w:rsid w:val="00FB42A3"/>
    <w:rsid w:val="00FC2307"/>
    <w:rsid w:val="00FC2999"/>
    <w:rsid w:val="00FC3545"/>
    <w:rsid w:val="00FC3941"/>
    <w:rsid w:val="00FC56BC"/>
    <w:rsid w:val="00FC71AF"/>
    <w:rsid w:val="00FD09FE"/>
    <w:rsid w:val="00FD0CAB"/>
    <w:rsid w:val="00FD1CAA"/>
    <w:rsid w:val="00FD22E6"/>
    <w:rsid w:val="00FD436B"/>
    <w:rsid w:val="00FD5E92"/>
    <w:rsid w:val="00FD6788"/>
    <w:rsid w:val="00FD703F"/>
    <w:rsid w:val="00FD7295"/>
    <w:rsid w:val="00FD7EB8"/>
    <w:rsid w:val="00FE136A"/>
    <w:rsid w:val="00FE2CB8"/>
    <w:rsid w:val="00FE3112"/>
    <w:rsid w:val="00FE44F9"/>
    <w:rsid w:val="00FE5D1E"/>
    <w:rsid w:val="00FE5E53"/>
    <w:rsid w:val="00FF09E4"/>
    <w:rsid w:val="00FF4EBA"/>
    <w:rsid w:val="00FF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39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9956EB"/>
    <w:pPr>
      <w:numPr>
        <w:numId w:val="1"/>
      </w:numPr>
      <w:spacing w:before="360" w:after="240"/>
      <w:contextualSpacing/>
      <w:outlineLvl w:val="0"/>
    </w:pPr>
    <w:rPr>
      <w:rFonts w:ascii="Arial" w:eastAsia="Times New Roman" w:hAnsi="Arial" w:cs="Arial"/>
      <w:b/>
      <w:bCs/>
      <w:sz w:val="28"/>
      <w:szCs w:val="28"/>
      <w:lang w:eastAsia="en-AU"/>
    </w:rPr>
  </w:style>
  <w:style w:type="paragraph" w:styleId="Heading2">
    <w:name w:val="heading 2"/>
    <w:basedOn w:val="Normal"/>
    <w:next w:val="Normal"/>
    <w:link w:val="Heading2Char"/>
    <w:uiPriority w:val="9"/>
    <w:qFormat/>
    <w:rsid w:val="009956EB"/>
    <w:pPr>
      <w:numPr>
        <w:ilvl w:val="1"/>
        <w:numId w:val="1"/>
      </w:numPr>
      <w:spacing w:before="240" w:after="120"/>
      <w:outlineLvl w:val="1"/>
    </w:pPr>
    <w:rPr>
      <w:rFonts w:ascii="Arial" w:eastAsia="Times New Roman" w:hAnsi="Arial" w:cs="Arial"/>
      <w:b/>
      <w:bCs/>
      <w:i/>
      <w:color w:val="000000" w:themeColor="text1"/>
      <w:szCs w:val="26"/>
      <w:lang w:eastAsia="en-AU"/>
    </w:rPr>
  </w:style>
  <w:style w:type="paragraph" w:styleId="Heading3">
    <w:name w:val="heading 3"/>
    <w:basedOn w:val="Normal"/>
    <w:next w:val="Normal"/>
    <w:link w:val="Heading3Char"/>
    <w:uiPriority w:val="9"/>
    <w:qFormat/>
    <w:rsid w:val="009956EB"/>
    <w:pPr>
      <w:numPr>
        <w:ilvl w:val="2"/>
        <w:numId w:val="1"/>
      </w:numPr>
      <w:spacing w:before="240" w:after="120"/>
      <w:outlineLvl w:val="2"/>
    </w:pPr>
    <w:rPr>
      <w:rFonts w:ascii="Arial" w:eastAsia="Times New Roman" w:hAnsi="Arial" w:cs="Arial"/>
      <w:b/>
      <w:bCs/>
      <w:color w:val="000000" w:themeColor="text1"/>
      <w:sz w:val="22"/>
      <w:szCs w:val="22"/>
      <w:lang w:eastAsia="en-AU"/>
    </w:rPr>
  </w:style>
  <w:style w:type="paragraph" w:styleId="Heading4">
    <w:name w:val="heading 4"/>
    <w:basedOn w:val="Normal"/>
    <w:next w:val="Normal"/>
    <w:link w:val="Heading4Char"/>
    <w:uiPriority w:val="9"/>
    <w:qFormat/>
    <w:rsid w:val="009956EB"/>
    <w:pPr>
      <w:numPr>
        <w:ilvl w:val="3"/>
        <w:numId w:val="1"/>
      </w:numPr>
      <w:spacing w:before="200" w:after="120"/>
      <w:outlineLvl w:val="3"/>
    </w:pPr>
    <w:rPr>
      <w:rFonts w:ascii="Cambria" w:eastAsia="Times New Roman" w:hAnsi="Cambria" w:cs="Arial"/>
      <w:b/>
      <w:bCs/>
      <w:i/>
      <w:iCs/>
      <w:sz w:val="22"/>
      <w:szCs w:val="22"/>
      <w:lang w:eastAsia="en-AU"/>
    </w:rPr>
  </w:style>
  <w:style w:type="paragraph" w:styleId="Heading5">
    <w:name w:val="heading 5"/>
    <w:basedOn w:val="Normal"/>
    <w:next w:val="Normal"/>
    <w:link w:val="Heading5Char"/>
    <w:qFormat/>
    <w:rsid w:val="009956EB"/>
    <w:pPr>
      <w:numPr>
        <w:ilvl w:val="4"/>
        <w:numId w:val="1"/>
      </w:numPr>
      <w:spacing w:before="200" w:after="120"/>
      <w:outlineLvl w:val="4"/>
    </w:pPr>
    <w:rPr>
      <w:rFonts w:ascii="Cambria" w:eastAsia="Times New Roman" w:hAnsi="Cambria" w:cs="Arial"/>
      <w:b/>
      <w:bCs/>
      <w:color w:val="7F7F7F"/>
      <w:sz w:val="22"/>
      <w:szCs w:val="22"/>
      <w:lang w:eastAsia="en-AU"/>
    </w:rPr>
  </w:style>
  <w:style w:type="paragraph" w:styleId="Heading6">
    <w:name w:val="heading 6"/>
    <w:basedOn w:val="Normal"/>
    <w:next w:val="Normal"/>
    <w:link w:val="Heading6Char"/>
    <w:uiPriority w:val="9"/>
    <w:qFormat/>
    <w:rsid w:val="009956EB"/>
    <w:pPr>
      <w:numPr>
        <w:ilvl w:val="5"/>
        <w:numId w:val="1"/>
      </w:numPr>
      <w:spacing w:after="120" w:line="271" w:lineRule="auto"/>
      <w:outlineLvl w:val="5"/>
    </w:pPr>
    <w:rPr>
      <w:rFonts w:ascii="Cambria" w:eastAsia="Times New Roman" w:hAnsi="Cambria" w:cs="Arial"/>
      <w:b/>
      <w:bCs/>
      <w:i/>
      <w:iCs/>
      <w:color w:val="7F7F7F"/>
      <w:sz w:val="22"/>
      <w:szCs w:val="22"/>
      <w:lang w:eastAsia="en-AU"/>
    </w:rPr>
  </w:style>
  <w:style w:type="paragraph" w:styleId="Heading7">
    <w:name w:val="heading 7"/>
    <w:basedOn w:val="Normal"/>
    <w:next w:val="Normal"/>
    <w:link w:val="Heading7Char"/>
    <w:uiPriority w:val="9"/>
    <w:qFormat/>
    <w:rsid w:val="009956EB"/>
    <w:pPr>
      <w:numPr>
        <w:ilvl w:val="6"/>
        <w:numId w:val="1"/>
      </w:numPr>
      <w:spacing w:after="120"/>
      <w:outlineLvl w:val="6"/>
    </w:pPr>
    <w:rPr>
      <w:rFonts w:ascii="Cambria" w:eastAsia="Times New Roman" w:hAnsi="Cambria" w:cs="Arial"/>
      <w:i/>
      <w:iCs/>
      <w:sz w:val="22"/>
      <w:szCs w:val="22"/>
      <w:lang w:eastAsia="en-AU"/>
    </w:rPr>
  </w:style>
  <w:style w:type="paragraph" w:styleId="Heading8">
    <w:name w:val="heading 8"/>
    <w:basedOn w:val="Normal"/>
    <w:next w:val="Normal"/>
    <w:link w:val="Heading8Char"/>
    <w:uiPriority w:val="9"/>
    <w:qFormat/>
    <w:rsid w:val="009956EB"/>
    <w:pPr>
      <w:numPr>
        <w:ilvl w:val="7"/>
        <w:numId w:val="1"/>
      </w:numPr>
      <w:spacing w:after="120"/>
      <w:outlineLvl w:val="7"/>
    </w:pPr>
    <w:rPr>
      <w:rFonts w:ascii="Cambria" w:eastAsia="Times New Roman" w:hAnsi="Cambria" w:cs="Arial"/>
      <w:sz w:val="20"/>
      <w:szCs w:val="20"/>
      <w:lang w:eastAsia="en-AU"/>
    </w:rPr>
  </w:style>
  <w:style w:type="paragraph" w:styleId="Heading9">
    <w:name w:val="heading 9"/>
    <w:basedOn w:val="Normal"/>
    <w:next w:val="Normal"/>
    <w:link w:val="Heading9Char"/>
    <w:uiPriority w:val="9"/>
    <w:qFormat/>
    <w:rsid w:val="009956EB"/>
    <w:pPr>
      <w:numPr>
        <w:ilvl w:val="8"/>
        <w:numId w:val="1"/>
      </w:numPr>
      <w:spacing w:after="120"/>
      <w:outlineLvl w:val="8"/>
    </w:pPr>
    <w:rPr>
      <w:rFonts w:ascii="Cambria" w:eastAsia="Times New Roman" w:hAnsi="Cambria" w:cs="Arial"/>
      <w:i/>
      <w:iCs/>
      <w:spacing w:val="5"/>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6EB"/>
    <w:rPr>
      <w:rFonts w:ascii="Arial" w:eastAsia="Times New Roman" w:hAnsi="Arial" w:cs="Arial"/>
      <w:b/>
      <w:bCs/>
      <w:sz w:val="28"/>
      <w:szCs w:val="28"/>
      <w:lang w:val="en-AU" w:eastAsia="en-AU"/>
    </w:rPr>
  </w:style>
  <w:style w:type="character" w:customStyle="1" w:styleId="Heading2Char">
    <w:name w:val="Heading 2 Char"/>
    <w:basedOn w:val="DefaultParagraphFont"/>
    <w:link w:val="Heading2"/>
    <w:uiPriority w:val="9"/>
    <w:rsid w:val="009956EB"/>
    <w:rPr>
      <w:rFonts w:ascii="Arial" w:eastAsia="Times New Roman" w:hAnsi="Arial" w:cs="Arial"/>
      <w:b/>
      <w:bCs/>
      <w:i/>
      <w:color w:val="000000" w:themeColor="text1"/>
      <w:szCs w:val="26"/>
      <w:lang w:val="en-AU" w:eastAsia="en-AU"/>
    </w:rPr>
  </w:style>
  <w:style w:type="character" w:customStyle="1" w:styleId="Heading3Char">
    <w:name w:val="Heading 3 Char"/>
    <w:basedOn w:val="DefaultParagraphFont"/>
    <w:link w:val="Heading3"/>
    <w:uiPriority w:val="9"/>
    <w:rsid w:val="009956EB"/>
    <w:rPr>
      <w:rFonts w:ascii="Arial" w:eastAsia="Times New Roman" w:hAnsi="Arial" w:cs="Arial"/>
      <w:b/>
      <w:bCs/>
      <w:color w:val="000000" w:themeColor="text1"/>
      <w:sz w:val="22"/>
      <w:szCs w:val="22"/>
      <w:lang w:val="en-AU" w:eastAsia="en-AU"/>
    </w:rPr>
  </w:style>
  <w:style w:type="character" w:customStyle="1" w:styleId="Heading4Char">
    <w:name w:val="Heading 4 Char"/>
    <w:basedOn w:val="DefaultParagraphFont"/>
    <w:link w:val="Heading4"/>
    <w:uiPriority w:val="9"/>
    <w:rsid w:val="009956EB"/>
    <w:rPr>
      <w:rFonts w:ascii="Cambria" w:eastAsia="Times New Roman" w:hAnsi="Cambria" w:cs="Arial"/>
      <w:b/>
      <w:bCs/>
      <w:i/>
      <w:iCs/>
      <w:sz w:val="22"/>
      <w:szCs w:val="22"/>
      <w:lang w:val="en-AU" w:eastAsia="en-AU"/>
    </w:rPr>
  </w:style>
  <w:style w:type="character" w:customStyle="1" w:styleId="Heading5Char">
    <w:name w:val="Heading 5 Char"/>
    <w:basedOn w:val="DefaultParagraphFont"/>
    <w:link w:val="Heading5"/>
    <w:rsid w:val="009956EB"/>
    <w:rPr>
      <w:rFonts w:ascii="Cambria" w:eastAsia="Times New Roman" w:hAnsi="Cambria" w:cs="Arial"/>
      <w:b/>
      <w:bCs/>
      <w:color w:val="7F7F7F"/>
      <w:sz w:val="22"/>
      <w:szCs w:val="22"/>
      <w:lang w:val="en-AU" w:eastAsia="en-AU"/>
    </w:rPr>
  </w:style>
  <w:style w:type="character" w:customStyle="1" w:styleId="Heading6Char">
    <w:name w:val="Heading 6 Char"/>
    <w:basedOn w:val="DefaultParagraphFont"/>
    <w:link w:val="Heading6"/>
    <w:uiPriority w:val="9"/>
    <w:rsid w:val="009956EB"/>
    <w:rPr>
      <w:rFonts w:ascii="Cambria" w:eastAsia="Times New Roman" w:hAnsi="Cambria" w:cs="Arial"/>
      <w:b/>
      <w:bCs/>
      <w:i/>
      <w:iCs/>
      <w:color w:val="7F7F7F"/>
      <w:sz w:val="22"/>
      <w:szCs w:val="22"/>
      <w:lang w:val="en-AU" w:eastAsia="en-AU"/>
    </w:rPr>
  </w:style>
  <w:style w:type="character" w:customStyle="1" w:styleId="Heading7Char">
    <w:name w:val="Heading 7 Char"/>
    <w:basedOn w:val="DefaultParagraphFont"/>
    <w:link w:val="Heading7"/>
    <w:uiPriority w:val="9"/>
    <w:rsid w:val="009956EB"/>
    <w:rPr>
      <w:rFonts w:ascii="Cambria" w:eastAsia="Times New Roman" w:hAnsi="Cambria" w:cs="Arial"/>
      <w:i/>
      <w:iCs/>
      <w:sz w:val="22"/>
      <w:szCs w:val="22"/>
      <w:lang w:val="en-AU" w:eastAsia="en-AU"/>
    </w:rPr>
  </w:style>
  <w:style w:type="character" w:customStyle="1" w:styleId="Heading8Char">
    <w:name w:val="Heading 8 Char"/>
    <w:basedOn w:val="DefaultParagraphFont"/>
    <w:link w:val="Heading8"/>
    <w:uiPriority w:val="9"/>
    <w:rsid w:val="009956EB"/>
    <w:rPr>
      <w:rFonts w:ascii="Cambria" w:eastAsia="Times New Roman" w:hAnsi="Cambria" w:cs="Arial"/>
      <w:sz w:val="20"/>
      <w:szCs w:val="20"/>
      <w:lang w:val="en-AU" w:eastAsia="en-AU"/>
    </w:rPr>
  </w:style>
  <w:style w:type="character" w:customStyle="1" w:styleId="Heading9Char">
    <w:name w:val="Heading 9 Char"/>
    <w:basedOn w:val="DefaultParagraphFont"/>
    <w:link w:val="Heading9"/>
    <w:uiPriority w:val="9"/>
    <w:rsid w:val="009956EB"/>
    <w:rPr>
      <w:rFonts w:ascii="Cambria" w:eastAsia="Times New Roman" w:hAnsi="Cambria" w:cs="Arial"/>
      <w:i/>
      <w:iCs/>
      <w:spacing w:val="5"/>
      <w:sz w:val="20"/>
      <w:szCs w:val="20"/>
      <w:lang w:val="en-AU" w:eastAsia="en-AU"/>
    </w:rPr>
  </w:style>
  <w:style w:type="character" w:styleId="Hyperlink">
    <w:name w:val="Hyperlink"/>
    <w:basedOn w:val="DefaultParagraphFont"/>
    <w:uiPriority w:val="99"/>
    <w:unhideWhenUsed/>
    <w:rsid w:val="009956EB"/>
    <w:rPr>
      <w:color w:val="0000FF" w:themeColor="hyperlink"/>
      <w:u w:val="single"/>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uiPriority w:val="99"/>
    <w:unhideWhenUsed/>
    <w:qFormat/>
    <w:rsid w:val="009956EB"/>
    <w:rPr>
      <w:rFonts w:ascii="Arial" w:eastAsia="Calibri" w:hAnsi="Arial" w:cs="Arial"/>
      <w:sz w:val="20"/>
      <w:szCs w:val="20"/>
      <w:lang w:val="en-NZ" w:eastAsia="en-AU"/>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uiPriority w:val="99"/>
    <w:rsid w:val="009956EB"/>
    <w:rPr>
      <w:rFonts w:ascii="Arial" w:eastAsia="Calibri" w:hAnsi="Arial" w:cs="Arial"/>
      <w:sz w:val="20"/>
      <w:szCs w:val="20"/>
      <w:lang w:val="en-NZ" w:eastAsia="en-AU"/>
    </w:rPr>
  </w:style>
  <w:style w:type="character" w:styleId="FootnoteReference">
    <w:name w:val="footnote reference"/>
    <w:aliases w:val="ftref,(NECG) Footnote Reference,Ref,de nota al pie,footnote ref,16 Point,Superscript 6 Point,footnote number Char,BVI fnr,BVI fnr Car Car,BVI fnr Car,BVI fnr Car Car Car Car Char Char,BVI fnr Car Car Car Car Char Char Char Char Char,f"/>
    <w:basedOn w:val="DefaultParagraphFont"/>
    <w:link w:val="footnotenumber"/>
    <w:uiPriority w:val="99"/>
    <w:unhideWhenUsed/>
    <w:qFormat/>
    <w:rsid w:val="009956EB"/>
    <w:rPr>
      <w:vertAlign w:val="superscript"/>
    </w:rPr>
  </w:style>
  <w:style w:type="table" w:styleId="TableGrid">
    <w:name w:val="Table Grid"/>
    <w:basedOn w:val="TableNormal"/>
    <w:uiPriority w:val="59"/>
    <w:rsid w:val="009956EB"/>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s level 1,Recommendation,List Paragraph1"/>
    <w:basedOn w:val="Normal"/>
    <w:link w:val="ListParagraphChar"/>
    <w:uiPriority w:val="34"/>
    <w:qFormat/>
    <w:rsid w:val="001954F0"/>
    <w:pPr>
      <w:numPr>
        <w:numId w:val="2"/>
      </w:numPr>
      <w:spacing w:before="120" w:after="120" w:line="220" w:lineRule="atLeast"/>
      <w:contextualSpacing/>
    </w:pPr>
    <w:rPr>
      <w:rFonts w:ascii="Arial" w:eastAsia="Calibri" w:hAnsi="Arial" w:cs="Arial"/>
      <w:sz w:val="22"/>
      <w:szCs w:val="22"/>
      <w:lang w:val="en-NZ" w:eastAsia="en-AU"/>
    </w:rPr>
  </w:style>
  <w:style w:type="character" w:customStyle="1" w:styleId="ListParagraphChar">
    <w:name w:val="List Paragraph Char"/>
    <w:aliases w:val="Bullets level 1 Char,Recommendation Char,List Paragraph1 Char"/>
    <w:basedOn w:val="DefaultParagraphFont"/>
    <w:link w:val="ListParagraph"/>
    <w:uiPriority w:val="34"/>
    <w:rsid w:val="001954F0"/>
    <w:rPr>
      <w:rFonts w:ascii="Arial" w:eastAsia="Calibri" w:hAnsi="Arial" w:cs="Arial"/>
      <w:sz w:val="22"/>
      <w:szCs w:val="22"/>
      <w:lang w:val="en-NZ" w:eastAsia="en-AU"/>
    </w:rPr>
  </w:style>
  <w:style w:type="paragraph" w:customStyle="1" w:styleId="LAIMEPlan2">
    <w:name w:val="LAI M&amp;E Plan #2"/>
    <w:basedOn w:val="Normal"/>
    <w:link w:val="LAIMEPlan2Char"/>
    <w:qFormat/>
    <w:rsid w:val="00EF4549"/>
    <w:pPr>
      <w:spacing w:before="120" w:after="120"/>
      <w:ind w:left="567" w:hanging="567"/>
    </w:pPr>
    <w:rPr>
      <w:rFonts w:eastAsiaTheme="minorHAnsi"/>
      <w:b/>
      <w:sz w:val="22"/>
      <w:szCs w:val="22"/>
    </w:rPr>
  </w:style>
  <w:style w:type="character" w:customStyle="1" w:styleId="LAIMEPlan2Char">
    <w:name w:val="LAI M&amp;E Plan #2 Char"/>
    <w:basedOn w:val="DefaultParagraphFont"/>
    <w:link w:val="LAIMEPlan2"/>
    <w:rsid w:val="00EF4549"/>
    <w:rPr>
      <w:rFonts w:eastAsiaTheme="minorHAnsi"/>
      <w:b/>
      <w:sz w:val="22"/>
      <w:szCs w:val="22"/>
      <w:lang w:val="en-AU"/>
    </w:rPr>
  </w:style>
  <w:style w:type="paragraph" w:customStyle="1" w:styleId="footnotenumber">
    <w:name w:val="footnote number"/>
    <w:basedOn w:val="Normal"/>
    <w:next w:val="FootnoteText"/>
    <w:link w:val="FootnoteReference"/>
    <w:uiPriority w:val="99"/>
    <w:rsid w:val="00EF4549"/>
    <w:pPr>
      <w:spacing w:after="160" w:line="240" w:lineRule="exact"/>
    </w:pPr>
    <w:rPr>
      <w:vertAlign w:val="superscript"/>
    </w:rPr>
  </w:style>
  <w:style w:type="paragraph" w:customStyle="1" w:styleId="LAIFigure">
    <w:name w:val="LAI Figure"/>
    <w:basedOn w:val="Normal"/>
    <w:link w:val="LAIFigureChar"/>
    <w:qFormat/>
    <w:rsid w:val="00EF4549"/>
    <w:pPr>
      <w:spacing w:after="120"/>
      <w:jc w:val="both"/>
    </w:pPr>
    <w:rPr>
      <w:rFonts w:eastAsia="Calibri" w:cs="Calibri"/>
      <w:b/>
      <w:sz w:val="20"/>
      <w:szCs w:val="20"/>
    </w:rPr>
  </w:style>
  <w:style w:type="character" w:customStyle="1" w:styleId="LAIFigureChar">
    <w:name w:val="LAI Figure Char"/>
    <w:basedOn w:val="DefaultParagraphFont"/>
    <w:link w:val="LAIFigure"/>
    <w:rsid w:val="00EF4549"/>
    <w:rPr>
      <w:rFonts w:eastAsia="Calibri" w:cs="Calibri"/>
      <w:b/>
      <w:sz w:val="20"/>
      <w:szCs w:val="20"/>
      <w:lang w:val="en-AU"/>
    </w:rPr>
  </w:style>
  <w:style w:type="paragraph" w:styleId="BalloonText">
    <w:name w:val="Balloon Text"/>
    <w:basedOn w:val="Normal"/>
    <w:link w:val="BalloonTextChar"/>
    <w:uiPriority w:val="99"/>
    <w:semiHidden/>
    <w:unhideWhenUsed/>
    <w:rsid w:val="00EF45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549"/>
    <w:rPr>
      <w:rFonts w:ascii="Lucida Grande" w:hAnsi="Lucida Grande" w:cs="Lucida Grande"/>
      <w:sz w:val="18"/>
      <w:szCs w:val="18"/>
    </w:rPr>
  </w:style>
  <w:style w:type="paragraph" w:customStyle="1" w:styleId="Heading10">
    <w:name w:val="Heading1"/>
    <w:basedOn w:val="Normal"/>
    <w:qFormat/>
    <w:rsid w:val="005556D6"/>
    <w:pPr>
      <w:keepNext/>
      <w:numPr>
        <w:numId w:val="5"/>
      </w:numPr>
      <w:spacing w:before="240" w:after="120"/>
    </w:pPr>
    <w:rPr>
      <w:rFonts w:ascii="Times New Roman" w:eastAsia="Times New Roman" w:hAnsi="Times New Roman" w:cs="Times New Roman"/>
      <w:b/>
    </w:rPr>
  </w:style>
  <w:style w:type="paragraph" w:customStyle="1" w:styleId="Heading20">
    <w:name w:val="Heading2"/>
    <w:basedOn w:val="Normal"/>
    <w:link w:val="Heading2Char0"/>
    <w:qFormat/>
    <w:rsid w:val="005556D6"/>
    <w:pPr>
      <w:keepNext/>
      <w:numPr>
        <w:ilvl w:val="1"/>
        <w:numId w:val="5"/>
      </w:numPr>
      <w:tabs>
        <w:tab w:val="clear" w:pos="360"/>
      </w:tabs>
      <w:spacing w:before="240" w:after="120"/>
      <w:ind w:left="567" w:hanging="567"/>
    </w:pPr>
    <w:rPr>
      <w:rFonts w:ascii="Times New Roman" w:eastAsia="Times New Roman" w:hAnsi="Times New Roman" w:cs="Times New Roman"/>
      <w:b/>
    </w:rPr>
  </w:style>
  <w:style w:type="character" w:customStyle="1" w:styleId="Heading2Char0">
    <w:name w:val="Heading2 Char"/>
    <w:link w:val="Heading20"/>
    <w:rsid w:val="005556D6"/>
    <w:rPr>
      <w:rFonts w:ascii="Times New Roman" w:eastAsia="Times New Roman" w:hAnsi="Times New Roman" w:cs="Times New Roman"/>
      <w:b/>
      <w:lang w:val="en-AU"/>
    </w:rPr>
  </w:style>
  <w:style w:type="paragraph" w:customStyle="1" w:styleId="Heading30">
    <w:name w:val="Heading3"/>
    <w:basedOn w:val="Normal"/>
    <w:qFormat/>
    <w:rsid w:val="005556D6"/>
    <w:pPr>
      <w:keepNext/>
      <w:numPr>
        <w:ilvl w:val="2"/>
        <w:numId w:val="5"/>
      </w:numPr>
      <w:spacing w:before="120" w:after="120"/>
    </w:pPr>
    <w:rPr>
      <w:rFonts w:ascii="Times New Roman" w:eastAsia="Times New Roman" w:hAnsi="Times New Roman" w:cs="Times New Roman"/>
      <w:b/>
      <w:i/>
    </w:rPr>
  </w:style>
  <w:style w:type="paragraph" w:styleId="Footer">
    <w:name w:val="footer"/>
    <w:basedOn w:val="Normal"/>
    <w:link w:val="FooterChar"/>
    <w:uiPriority w:val="99"/>
    <w:unhideWhenUsed/>
    <w:rsid w:val="009D0452"/>
    <w:pPr>
      <w:tabs>
        <w:tab w:val="center" w:pos="4320"/>
        <w:tab w:val="right" w:pos="8640"/>
      </w:tabs>
    </w:pPr>
  </w:style>
  <w:style w:type="character" w:customStyle="1" w:styleId="FooterChar">
    <w:name w:val="Footer Char"/>
    <w:basedOn w:val="DefaultParagraphFont"/>
    <w:link w:val="Footer"/>
    <w:uiPriority w:val="99"/>
    <w:rsid w:val="009D0452"/>
  </w:style>
  <w:style w:type="character" w:styleId="PageNumber">
    <w:name w:val="page number"/>
    <w:basedOn w:val="DefaultParagraphFont"/>
    <w:uiPriority w:val="99"/>
    <w:semiHidden/>
    <w:unhideWhenUsed/>
    <w:rsid w:val="009D0452"/>
  </w:style>
  <w:style w:type="paragraph" w:customStyle="1" w:styleId="BulletPoints">
    <w:name w:val="Bullet Points"/>
    <w:basedOn w:val="Normal"/>
    <w:qFormat/>
    <w:rsid w:val="002E33C6"/>
    <w:pPr>
      <w:numPr>
        <w:numId w:val="7"/>
      </w:numPr>
      <w:spacing w:before="120" w:after="120"/>
      <w:contextualSpacing/>
    </w:pPr>
    <w:rPr>
      <w:rFonts w:ascii="Arial" w:eastAsia="Times New Roman" w:hAnsi="Arial" w:cs="Arial"/>
      <w:sz w:val="22"/>
      <w:szCs w:val="20"/>
      <w:lang w:eastAsia="en-AU"/>
    </w:rPr>
  </w:style>
  <w:style w:type="paragraph" w:styleId="CommentText">
    <w:name w:val="annotation text"/>
    <w:basedOn w:val="Normal"/>
    <w:link w:val="CommentTextChar"/>
    <w:unhideWhenUsed/>
    <w:rsid w:val="00534CE6"/>
    <w:pPr>
      <w:spacing w:after="12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534CE6"/>
    <w:rPr>
      <w:rFonts w:ascii="Arial" w:eastAsia="Times New Roman" w:hAnsi="Arial" w:cs="Arial"/>
      <w:sz w:val="20"/>
      <w:szCs w:val="20"/>
      <w:lang w:val="en-AU" w:eastAsia="en-AU"/>
    </w:rPr>
  </w:style>
  <w:style w:type="character" w:styleId="CommentReference">
    <w:name w:val="annotation reference"/>
    <w:basedOn w:val="DefaultParagraphFont"/>
    <w:uiPriority w:val="99"/>
    <w:semiHidden/>
    <w:unhideWhenUsed/>
    <w:rsid w:val="00AB1EDE"/>
    <w:rPr>
      <w:sz w:val="18"/>
      <w:szCs w:val="18"/>
    </w:rPr>
  </w:style>
  <w:style w:type="paragraph" w:styleId="CommentSubject">
    <w:name w:val="annotation subject"/>
    <w:basedOn w:val="CommentText"/>
    <w:next w:val="CommentText"/>
    <w:link w:val="CommentSubjectChar"/>
    <w:uiPriority w:val="99"/>
    <w:semiHidden/>
    <w:unhideWhenUsed/>
    <w:rsid w:val="00AB1EDE"/>
    <w:pPr>
      <w:spacing w:after="0"/>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AB1EDE"/>
    <w:rPr>
      <w:rFonts w:ascii="Arial" w:eastAsia="Times New Roman" w:hAnsi="Arial" w:cs="Arial"/>
      <w:b/>
      <w:bCs/>
      <w:sz w:val="20"/>
      <w:szCs w:val="20"/>
      <w:lang w:val="en-AU" w:eastAsia="en-AU"/>
    </w:rPr>
  </w:style>
  <w:style w:type="paragraph" w:customStyle="1" w:styleId="List-bullet-2">
    <w:name w:val="List-bullet-2"/>
    <w:basedOn w:val="Normal"/>
    <w:link w:val="List-bullet-2Char"/>
    <w:rsid w:val="00F31612"/>
    <w:pPr>
      <w:tabs>
        <w:tab w:val="num" w:pos="360"/>
      </w:tabs>
      <w:spacing w:before="80"/>
      <w:ind w:left="360" w:hanging="360"/>
    </w:pPr>
    <w:rPr>
      <w:rFonts w:ascii="Arial" w:eastAsia="Times New Roman" w:hAnsi="Arial" w:cs="Arial"/>
      <w:szCs w:val="22"/>
    </w:rPr>
  </w:style>
  <w:style w:type="character" w:customStyle="1" w:styleId="List-bullet-2Char">
    <w:name w:val="List-bullet-2 Char"/>
    <w:basedOn w:val="DefaultParagraphFont"/>
    <w:link w:val="List-bullet-2"/>
    <w:locked/>
    <w:rsid w:val="00F31612"/>
    <w:rPr>
      <w:rFonts w:ascii="Arial" w:eastAsia="Times New Roman" w:hAnsi="Arial" w:cs="Arial"/>
      <w:szCs w:val="22"/>
    </w:rPr>
  </w:style>
  <w:style w:type="paragraph" w:styleId="Header">
    <w:name w:val="header"/>
    <w:basedOn w:val="Normal"/>
    <w:link w:val="HeaderChar"/>
    <w:uiPriority w:val="99"/>
    <w:unhideWhenUsed/>
    <w:rsid w:val="00301373"/>
    <w:pPr>
      <w:tabs>
        <w:tab w:val="center" w:pos="4320"/>
        <w:tab w:val="right" w:pos="8640"/>
      </w:tabs>
    </w:pPr>
  </w:style>
  <w:style w:type="character" w:customStyle="1" w:styleId="HeaderChar">
    <w:name w:val="Header Char"/>
    <w:basedOn w:val="DefaultParagraphFont"/>
    <w:link w:val="Header"/>
    <w:uiPriority w:val="99"/>
    <w:rsid w:val="00301373"/>
  </w:style>
  <w:style w:type="paragraph" w:styleId="Caption">
    <w:name w:val="caption"/>
    <w:basedOn w:val="Normal"/>
    <w:next w:val="Normal"/>
    <w:qFormat/>
    <w:rsid w:val="0009268C"/>
    <w:pPr>
      <w:ind w:left="-1134"/>
    </w:pPr>
    <w:rPr>
      <w:rFonts w:ascii="Arial" w:eastAsia="Times New Roman" w:hAnsi="Arial" w:cs="Arial"/>
      <w:b/>
      <w:bCs/>
      <w:sz w:val="18"/>
    </w:rPr>
  </w:style>
  <w:style w:type="character" w:customStyle="1" w:styleId="st">
    <w:name w:val="st"/>
    <w:basedOn w:val="DefaultParagraphFont"/>
    <w:rsid w:val="0009268C"/>
  </w:style>
  <w:style w:type="paragraph" w:styleId="Revision">
    <w:name w:val="Revision"/>
    <w:hidden/>
    <w:uiPriority w:val="99"/>
    <w:semiHidden/>
    <w:rsid w:val="00FD22E6"/>
  </w:style>
  <w:style w:type="character" w:customStyle="1" w:styleId="FootnoteTextChar1">
    <w:name w:val="Footnote Text Char1"/>
    <w:aliases w:val="Footnote Text Char1 Char Char1,Footnote Text Char Char Char Char1,Footnote Text Char1 Char1 Char Char Char1,Footnote Text Char Char Char Char Char Char1,Footnote Text Char1 Char Char Char Char Char1,fn Char1,C Char1,ADB Char1"/>
    <w:basedOn w:val="DefaultParagraphFont"/>
    <w:uiPriority w:val="99"/>
    <w:rsid w:val="006D0A4C"/>
    <w:rPr>
      <w:rFonts w:ascii="Arial" w:eastAsia="Times New Roman" w:hAnsi="Arial" w:cs="Arial"/>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9956EB"/>
    <w:pPr>
      <w:numPr>
        <w:numId w:val="1"/>
      </w:numPr>
      <w:spacing w:before="360" w:after="240"/>
      <w:contextualSpacing/>
      <w:outlineLvl w:val="0"/>
    </w:pPr>
    <w:rPr>
      <w:rFonts w:ascii="Arial" w:eastAsia="Times New Roman" w:hAnsi="Arial" w:cs="Arial"/>
      <w:b/>
      <w:bCs/>
      <w:sz w:val="28"/>
      <w:szCs w:val="28"/>
      <w:lang w:eastAsia="en-AU"/>
    </w:rPr>
  </w:style>
  <w:style w:type="paragraph" w:styleId="Heading2">
    <w:name w:val="heading 2"/>
    <w:basedOn w:val="Normal"/>
    <w:next w:val="Normal"/>
    <w:link w:val="Heading2Char"/>
    <w:uiPriority w:val="9"/>
    <w:qFormat/>
    <w:rsid w:val="009956EB"/>
    <w:pPr>
      <w:numPr>
        <w:ilvl w:val="1"/>
        <w:numId w:val="1"/>
      </w:numPr>
      <w:spacing w:before="240" w:after="120"/>
      <w:outlineLvl w:val="1"/>
    </w:pPr>
    <w:rPr>
      <w:rFonts w:ascii="Arial" w:eastAsia="Times New Roman" w:hAnsi="Arial" w:cs="Arial"/>
      <w:b/>
      <w:bCs/>
      <w:i/>
      <w:color w:val="000000" w:themeColor="text1"/>
      <w:szCs w:val="26"/>
      <w:lang w:eastAsia="en-AU"/>
    </w:rPr>
  </w:style>
  <w:style w:type="paragraph" w:styleId="Heading3">
    <w:name w:val="heading 3"/>
    <w:basedOn w:val="Normal"/>
    <w:next w:val="Normal"/>
    <w:link w:val="Heading3Char"/>
    <w:uiPriority w:val="9"/>
    <w:qFormat/>
    <w:rsid w:val="009956EB"/>
    <w:pPr>
      <w:numPr>
        <w:ilvl w:val="2"/>
        <w:numId w:val="1"/>
      </w:numPr>
      <w:spacing w:before="240" w:after="120"/>
      <w:outlineLvl w:val="2"/>
    </w:pPr>
    <w:rPr>
      <w:rFonts w:ascii="Arial" w:eastAsia="Times New Roman" w:hAnsi="Arial" w:cs="Arial"/>
      <w:b/>
      <w:bCs/>
      <w:color w:val="000000" w:themeColor="text1"/>
      <w:sz w:val="22"/>
      <w:szCs w:val="22"/>
      <w:lang w:eastAsia="en-AU"/>
    </w:rPr>
  </w:style>
  <w:style w:type="paragraph" w:styleId="Heading4">
    <w:name w:val="heading 4"/>
    <w:basedOn w:val="Normal"/>
    <w:next w:val="Normal"/>
    <w:link w:val="Heading4Char"/>
    <w:uiPriority w:val="9"/>
    <w:qFormat/>
    <w:rsid w:val="009956EB"/>
    <w:pPr>
      <w:numPr>
        <w:ilvl w:val="3"/>
        <w:numId w:val="1"/>
      </w:numPr>
      <w:spacing w:before="200" w:after="120"/>
      <w:outlineLvl w:val="3"/>
    </w:pPr>
    <w:rPr>
      <w:rFonts w:ascii="Cambria" w:eastAsia="Times New Roman" w:hAnsi="Cambria" w:cs="Arial"/>
      <w:b/>
      <w:bCs/>
      <w:i/>
      <w:iCs/>
      <w:sz w:val="22"/>
      <w:szCs w:val="22"/>
      <w:lang w:eastAsia="en-AU"/>
    </w:rPr>
  </w:style>
  <w:style w:type="paragraph" w:styleId="Heading5">
    <w:name w:val="heading 5"/>
    <w:basedOn w:val="Normal"/>
    <w:next w:val="Normal"/>
    <w:link w:val="Heading5Char"/>
    <w:qFormat/>
    <w:rsid w:val="009956EB"/>
    <w:pPr>
      <w:numPr>
        <w:ilvl w:val="4"/>
        <w:numId w:val="1"/>
      </w:numPr>
      <w:spacing w:before="200" w:after="120"/>
      <w:outlineLvl w:val="4"/>
    </w:pPr>
    <w:rPr>
      <w:rFonts w:ascii="Cambria" w:eastAsia="Times New Roman" w:hAnsi="Cambria" w:cs="Arial"/>
      <w:b/>
      <w:bCs/>
      <w:color w:val="7F7F7F"/>
      <w:sz w:val="22"/>
      <w:szCs w:val="22"/>
      <w:lang w:eastAsia="en-AU"/>
    </w:rPr>
  </w:style>
  <w:style w:type="paragraph" w:styleId="Heading6">
    <w:name w:val="heading 6"/>
    <w:basedOn w:val="Normal"/>
    <w:next w:val="Normal"/>
    <w:link w:val="Heading6Char"/>
    <w:uiPriority w:val="9"/>
    <w:qFormat/>
    <w:rsid w:val="009956EB"/>
    <w:pPr>
      <w:numPr>
        <w:ilvl w:val="5"/>
        <w:numId w:val="1"/>
      </w:numPr>
      <w:spacing w:after="120" w:line="271" w:lineRule="auto"/>
      <w:outlineLvl w:val="5"/>
    </w:pPr>
    <w:rPr>
      <w:rFonts w:ascii="Cambria" w:eastAsia="Times New Roman" w:hAnsi="Cambria" w:cs="Arial"/>
      <w:b/>
      <w:bCs/>
      <w:i/>
      <w:iCs/>
      <w:color w:val="7F7F7F"/>
      <w:sz w:val="22"/>
      <w:szCs w:val="22"/>
      <w:lang w:eastAsia="en-AU"/>
    </w:rPr>
  </w:style>
  <w:style w:type="paragraph" w:styleId="Heading7">
    <w:name w:val="heading 7"/>
    <w:basedOn w:val="Normal"/>
    <w:next w:val="Normal"/>
    <w:link w:val="Heading7Char"/>
    <w:uiPriority w:val="9"/>
    <w:qFormat/>
    <w:rsid w:val="009956EB"/>
    <w:pPr>
      <w:numPr>
        <w:ilvl w:val="6"/>
        <w:numId w:val="1"/>
      </w:numPr>
      <w:spacing w:after="120"/>
      <w:outlineLvl w:val="6"/>
    </w:pPr>
    <w:rPr>
      <w:rFonts w:ascii="Cambria" w:eastAsia="Times New Roman" w:hAnsi="Cambria" w:cs="Arial"/>
      <w:i/>
      <w:iCs/>
      <w:sz w:val="22"/>
      <w:szCs w:val="22"/>
      <w:lang w:eastAsia="en-AU"/>
    </w:rPr>
  </w:style>
  <w:style w:type="paragraph" w:styleId="Heading8">
    <w:name w:val="heading 8"/>
    <w:basedOn w:val="Normal"/>
    <w:next w:val="Normal"/>
    <w:link w:val="Heading8Char"/>
    <w:uiPriority w:val="9"/>
    <w:qFormat/>
    <w:rsid w:val="009956EB"/>
    <w:pPr>
      <w:numPr>
        <w:ilvl w:val="7"/>
        <w:numId w:val="1"/>
      </w:numPr>
      <w:spacing w:after="120"/>
      <w:outlineLvl w:val="7"/>
    </w:pPr>
    <w:rPr>
      <w:rFonts w:ascii="Cambria" w:eastAsia="Times New Roman" w:hAnsi="Cambria" w:cs="Arial"/>
      <w:sz w:val="20"/>
      <w:szCs w:val="20"/>
      <w:lang w:eastAsia="en-AU"/>
    </w:rPr>
  </w:style>
  <w:style w:type="paragraph" w:styleId="Heading9">
    <w:name w:val="heading 9"/>
    <w:basedOn w:val="Normal"/>
    <w:next w:val="Normal"/>
    <w:link w:val="Heading9Char"/>
    <w:uiPriority w:val="9"/>
    <w:qFormat/>
    <w:rsid w:val="009956EB"/>
    <w:pPr>
      <w:numPr>
        <w:ilvl w:val="8"/>
        <w:numId w:val="1"/>
      </w:numPr>
      <w:spacing w:after="120"/>
      <w:outlineLvl w:val="8"/>
    </w:pPr>
    <w:rPr>
      <w:rFonts w:ascii="Cambria" w:eastAsia="Times New Roman" w:hAnsi="Cambria" w:cs="Arial"/>
      <w:i/>
      <w:iCs/>
      <w:spacing w:val="5"/>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6EB"/>
    <w:rPr>
      <w:rFonts w:ascii="Arial" w:eastAsia="Times New Roman" w:hAnsi="Arial" w:cs="Arial"/>
      <w:b/>
      <w:bCs/>
      <w:sz w:val="28"/>
      <w:szCs w:val="28"/>
      <w:lang w:val="en-AU" w:eastAsia="en-AU"/>
    </w:rPr>
  </w:style>
  <w:style w:type="character" w:customStyle="1" w:styleId="Heading2Char">
    <w:name w:val="Heading 2 Char"/>
    <w:basedOn w:val="DefaultParagraphFont"/>
    <w:link w:val="Heading2"/>
    <w:uiPriority w:val="9"/>
    <w:rsid w:val="009956EB"/>
    <w:rPr>
      <w:rFonts w:ascii="Arial" w:eastAsia="Times New Roman" w:hAnsi="Arial" w:cs="Arial"/>
      <w:b/>
      <w:bCs/>
      <w:i/>
      <w:color w:val="000000" w:themeColor="text1"/>
      <w:szCs w:val="26"/>
      <w:lang w:val="en-AU" w:eastAsia="en-AU"/>
    </w:rPr>
  </w:style>
  <w:style w:type="character" w:customStyle="1" w:styleId="Heading3Char">
    <w:name w:val="Heading 3 Char"/>
    <w:basedOn w:val="DefaultParagraphFont"/>
    <w:link w:val="Heading3"/>
    <w:uiPriority w:val="9"/>
    <w:rsid w:val="009956EB"/>
    <w:rPr>
      <w:rFonts w:ascii="Arial" w:eastAsia="Times New Roman" w:hAnsi="Arial" w:cs="Arial"/>
      <w:b/>
      <w:bCs/>
      <w:color w:val="000000" w:themeColor="text1"/>
      <w:sz w:val="22"/>
      <w:szCs w:val="22"/>
      <w:lang w:val="en-AU" w:eastAsia="en-AU"/>
    </w:rPr>
  </w:style>
  <w:style w:type="character" w:customStyle="1" w:styleId="Heading4Char">
    <w:name w:val="Heading 4 Char"/>
    <w:basedOn w:val="DefaultParagraphFont"/>
    <w:link w:val="Heading4"/>
    <w:uiPriority w:val="9"/>
    <w:rsid w:val="009956EB"/>
    <w:rPr>
      <w:rFonts w:ascii="Cambria" w:eastAsia="Times New Roman" w:hAnsi="Cambria" w:cs="Arial"/>
      <w:b/>
      <w:bCs/>
      <w:i/>
      <w:iCs/>
      <w:sz w:val="22"/>
      <w:szCs w:val="22"/>
      <w:lang w:val="en-AU" w:eastAsia="en-AU"/>
    </w:rPr>
  </w:style>
  <w:style w:type="character" w:customStyle="1" w:styleId="Heading5Char">
    <w:name w:val="Heading 5 Char"/>
    <w:basedOn w:val="DefaultParagraphFont"/>
    <w:link w:val="Heading5"/>
    <w:rsid w:val="009956EB"/>
    <w:rPr>
      <w:rFonts w:ascii="Cambria" w:eastAsia="Times New Roman" w:hAnsi="Cambria" w:cs="Arial"/>
      <w:b/>
      <w:bCs/>
      <w:color w:val="7F7F7F"/>
      <w:sz w:val="22"/>
      <w:szCs w:val="22"/>
      <w:lang w:val="en-AU" w:eastAsia="en-AU"/>
    </w:rPr>
  </w:style>
  <w:style w:type="character" w:customStyle="1" w:styleId="Heading6Char">
    <w:name w:val="Heading 6 Char"/>
    <w:basedOn w:val="DefaultParagraphFont"/>
    <w:link w:val="Heading6"/>
    <w:uiPriority w:val="9"/>
    <w:rsid w:val="009956EB"/>
    <w:rPr>
      <w:rFonts w:ascii="Cambria" w:eastAsia="Times New Roman" w:hAnsi="Cambria" w:cs="Arial"/>
      <w:b/>
      <w:bCs/>
      <w:i/>
      <w:iCs/>
      <w:color w:val="7F7F7F"/>
      <w:sz w:val="22"/>
      <w:szCs w:val="22"/>
      <w:lang w:val="en-AU" w:eastAsia="en-AU"/>
    </w:rPr>
  </w:style>
  <w:style w:type="character" w:customStyle="1" w:styleId="Heading7Char">
    <w:name w:val="Heading 7 Char"/>
    <w:basedOn w:val="DefaultParagraphFont"/>
    <w:link w:val="Heading7"/>
    <w:uiPriority w:val="9"/>
    <w:rsid w:val="009956EB"/>
    <w:rPr>
      <w:rFonts w:ascii="Cambria" w:eastAsia="Times New Roman" w:hAnsi="Cambria" w:cs="Arial"/>
      <w:i/>
      <w:iCs/>
      <w:sz w:val="22"/>
      <w:szCs w:val="22"/>
      <w:lang w:val="en-AU" w:eastAsia="en-AU"/>
    </w:rPr>
  </w:style>
  <w:style w:type="character" w:customStyle="1" w:styleId="Heading8Char">
    <w:name w:val="Heading 8 Char"/>
    <w:basedOn w:val="DefaultParagraphFont"/>
    <w:link w:val="Heading8"/>
    <w:uiPriority w:val="9"/>
    <w:rsid w:val="009956EB"/>
    <w:rPr>
      <w:rFonts w:ascii="Cambria" w:eastAsia="Times New Roman" w:hAnsi="Cambria" w:cs="Arial"/>
      <w:sz w:val="20"/>
      <w:szCs w:val="20"/>
      <w:lang w:val="en-AU" w:eastAsia="en-AU"/>
    </w:rPr>
  </w:style>
  <w:style w:type="character" w:customStyle="1" w:styleId="Heading9Char">
    <w:name w:val="Heading 9 Char"/>
    <w:basedOn w:val="DefaultParagraphFont"/>
    <w:link w:val="Heading9"/>
    <w:uiPriority w:val="9"/>
    <w:rsid w:val="009956EB"/>
    <w:rPr>
      <w:rFonts w:ascii="Cambria" w:eastAsia="Times New Roman" w:hAnsi="Cambria" w:cs="Arial"/>
      <w:i/>
      <w:iCs/>
      <w:spacing w:val="5"/>
      <w:sz w:val="20"/>
      <w:szCs w:val="20"/>
      <w:lang w:val="en-AU" w:eastAsia="en-AU"/>
    </w:rPr>
  </w:style>
  <w:style w:type="character" w:styleId="Hyperlink">
    <w:name w:val="Hyperlink"/>
    <w:basedOn w:val="DefaultParagraphFont"/>
    <w:uiPriority w:val="99"/>
    <w:unhideWhenUsed/>
    <w:rsid w:val="009956EB"/>
    <w:rPr>
      <w:color w:val="0000FF" w:themeColor="hyperlink"/>
      <w:u w:val="single"/>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uiPriority w:val="99"/>
    <w:unhideWhenUsed/>
    <w:qFormat/>
    <w:rsid w:val="009956EB"/>
    <w:rPr>
      <w:rFonts w:ascii="Arial" w:eastAsia="Calibri" w:hAnsi="Arial" w:cs="Arial"/>
      <w:sz w:val="20"/>
      <w:szCs w:val="20"/>
      <w:lang w:val="en-NZ" w:eastAsia="en-AU"/>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uiPriority w:val="99"/>
    <w:rsid w:val="009956EB"/>
    <w:rPr>
      <w:rFonts w:ascii="Arial" w:eastAsia="Calibri" w:hAnsi="Arial" w:cs="Arial"/>
      <w:sz w:val="20"/>
      <w:szCs w:val="20"/>
      <w:lang w:val="en-NZ" w:eastAsia="en-AU"/>
    </w:rPr>
  </w:style>
  <w:style w:type="character" w:styleId="FootnoteReference">
    <w:name w:val="footnote reference"/>
    <w:aliases w:val="ftref,(NECG) Footnote Reference,Ref,de nota al pie,footnote ref,16 Point,Superscript 6 Point,footnote number Char,BVI fnr,BVI fnr Car Car,BVI fnr Car,BVI fnr Car Car Car Car Char Char,BVI fnr Car Car Car Car Char Char Char Char Char,f"/>
    <w:basedOn w:val="DefaultParagraphFont"/>
    <w:link w:val="footnotenumber"/>
    <w:uiPriority w:val="99"/>
    <w:unhideWhenUsed/>
    <w:qFormat/>
    <w:rsid w:val="009956EB"/>
    <w:rPr>
      <w:vertAlign w:val="superscript"/>
    </w:rPr>
  </w:style>
  <w:style w:type="table" w:styleId="TableGrid">
    <w:name w:val="Table Grid"/>
    <w:basedOn w:val="TableNormal"/>
    <w:uiPriority w:val="59"/>
    <w:rsid w:val="009956EB"/>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s level 1,Recommendation,List Paragraph1"/>
    <w:basedOn w:val="Normal"/>
    <w:link w:val="ListParagraphChar"/>
    <w:uiPriority w:val="34"/>
    <w:qFormat/>
    <w:rsid w:val="001954F0"/>
    <w:pPr>
      <w:numPr>
        <w:numId w:val="2"/>
      </w:numPr>
      <w:spacing w:before="120" w:after="120" w:line="220" w:lineRule="atLeast"/>
      <w:contextualSpacing/>
    </w:pPr>
    <w:rPr>
      <w:rFonts w:ascii="Arial" w:eastAsia="Calibri" w:hAnsi="Arial" w:cs="Arial"/>
      <w:sz w:val="22"/>
      <w:szCs w:val="22"/>
      <w:lang w:val="en-NZ" w:eastAsia="en-AU"/>
    </w:rPr>
  </w:style>
  <w:style w:type="character" w:customStyle="1" w:styleId="ListParagraphChar">
    <w:name w:val="List Paragraph Char"/>
    <w:aliases w:val="Bullets level 1 Char,Recommendation Char,List Paragraph1 Char"/>
    <w:basedOn w:val="DefaultParagraphFont"/>
    <w:link w:val="ListParagraph"/>
    <w:uiPriority w:val="34"/>
    <w:rsid w:val="001954F0"/>
    <w:rPr>
      <w:rFonts w:ascii="Arial" w:eastAsia="Calibri" w:hAnsi="Arial" w:cs="Arial"/>
      <w:sz w:val="22"/>
      <w:szCs w:val="22"/>
      <w:lang w:val="en-NZ" w:eastAsia="en-AU"/>
    </w:rPr>
  </w:style>
  <w:style w:type="paragraph" w:customStyle="1" w:styleId="LAIMEPlan2">
    <w:name w:val="LAI M&amp;E Plan #2"/>
    <w:basedOn w:val="Normal"/>
    <w:link w:val="LAIMEPlan2Char"/>
    <w:qFormat/>
    <w:rsid w:val="00EF4549"/>
    <w:pPr>
      <w:spacing w:before="120" w:after="120"/>
      <w:ind w:left="567" w:hanging="567"/>
    </w:pPr>
    <w:rPr>
      <w:rFonts w:eastAsiaTheme="minorHAnsi"/>
      <w:b/>
      <w:sz w:val="22"/>
      <w:szCs w:val="22"/>
    </w:rPr>
  </w:style>
  <w:style w:type="character" w:customStyle="1" w:styleId="LAIMEPlan2Char">
    <w:name w:val="LAI M&amp;E Plan #2 Char"/>
    <w:basedOn w:val="DefaultParagraphFont"/>
    <w:link w:val="LAIMEPlan2"/>
    <w:rsid w:val="00EF4549"/>
    <w:rPr>
      <w:rFonts w:eastAsiaTheme="minorHAnsi"/>
      <w:b/>
      <w:sz w:val="22"/>
      <w:szCs w:val="22"/>
      <w:lang w:val="en-AU"/>
    </w:rPr>
  </w:style>
  <w:style w:type="paragraph" w:customStyle="1" w:styleId="footnotenumber">
    <w:name w:val="footnote number"/>
    <w:basedOn w:val="Normal"/>
    <w:next w:val="FootnoteText"/>
    <w:link w:val="FootnoteReference"/>
    <w:uiPriority w:val="99"/>
    <w:rsid w:val="00EF4549"/>
    <w:pPr>
      <w:spacing w:after="160" w:line="240" w:lineRule="exact"/>
    </w:pPr>
    <w:rPr>
      <w:vertAlign w:val="superscript"/>
    </w:rPr>
  </w:style>
  <w:style w:type="paragraph" w:customStyle="1" w:styleId="LAIFigure">
    <w:name w:val="LAI Figure"/>
    <w:basedOn w:val="Normal"/>
    <w:link w:val="LAIFigureChar"/>
    <w:qFormat/>
    <w:rsid w:val="00EF4549"/>
    <w:pPr>
      <w:spacing w:after="120"/>
      <w:jc w:val="both"/>
    </w:pPr>
    <w:rPr>
      <w:rFonts w:eastAsia="Calibri" w:cs="Calibri"/>
      <w:b/>
      <w:sz w:val="20"/>
      <w:szCs w:val="20"/>
    </w:rPr>
  </w:style>
  <w:style w:type="character" w:customStyle="1" w:styleId="LAIFigureChar">
    <w:name w:val="LAI Figure Char"/>
    <w:basedOn w:val="DefaultParagraphFont"/>
    <w:link w:val="LAIFigure"/>
    <w:rsid w:val="00EF4549"/>
    <w:rPr>
      <w:rFonts w:eastAsia="Calibri" w:cs="Calibri"/>
      <w:b/>
      <w:sz w:val="20"/>
      <w:szCs w:val="20"/>
      <w:lang w:val="en-AU"/>
    </w:rPr>
  </w:style>
  <w:style w:type="paragraph" w:styleId="BalloonText">
    <w:name w:val="Balloon Text"/>
    <w:basedOn w:val="Normal"/>
    <w:link w:val="BalloonTextChar"/>
    <w:uiPriority w:val="99"/>
    <w:semiHidden/>
    <w:unhideWhenUsed/>
    <w:rsid w:val="00EF45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549"/>
    <w:rPr>
      <w:rFonts w:ascii="Lucida Grande" w:hAnsi="Lucida Grande" w:cs="Lucida Grande"/>
      <w:sz w:val="18"/>
      <w:szCs w:val="18"/>
    </w:rPr>
  </w:style>
  <w:style w:type="paragraph" w:customStyle="1" w:styleId="Heading10">
    <w:name w:val="Heading1"/>
    <w:basedOn w:val="Normal"/>
    <w:qFormat/>
    <w:rsid w:val="005556D6"/>
    <w:pPr>
      <w:keepNext/>
      <w:numPr>
        <w:numId w:val="5"/>
      </w:numPr>
      <w:spacing w:before="240" w:after="120"/>
    </w:pPr>
    <w:rPr>
      <w:rFonts w:ascii="Times New Roman" w:eastAsia="Times New Roman" w:hAnsi="Times New Roman" w:cs="Times New Roman"/>
      <w:b/>
    </w:rPr>
  </w:style>
  <w:style w:type="paragraph" w:customStyle="1" w:styleId="Heading20">
    <w:name w:val="Heading2"/>
    <w:basedOn w:val="Normal"/>
    <w:link w:val="Heading2Char0"/>
    <w:qFormat/>
    <w:rsid w:val="005556D6"/>
    <w:pPr>
      <w:keepNext/>
      <w:numPr>
        <w:ilvl w:val="1"/>
        <w:numId w:val="5"/>
      </w:numPr>
      <w:tabs>
        <w:tab w:val="clear" w:pos="360"/>
      </w:tabs>
      <w:spacing w:before="240" w:after="120"/>
      <w:ind w:left="567" w:hanging="567"/>
    </w:pPr>
    <w:rPr>
      <w:rFonts w:ascii="Times New Roman" w:eastAsia="Times New Roman" w:hAnsi="Times New Roman" w:cs="Times New Roman"/>
      <w:b/>
    </w:rPr>
  </w:style>
  <w:style w:type="character" w:customStyle="1" w:styleId="Heading2Char0">
    <w:name w:val="Heading2 Char"/>
    <w:link w:val="Heading20"/>
    <w:rsid w:val="005556D6"/>
    <w:rPr>
      <w:rFonts w:ascii="Times New Roman" w:eastAsia="Times New Roman" w:hAnsi="Times New Roman" w:cs="Times New Roman"/>
      <w:b/>
      <w:lang w:val="en-AU"/>
    </w:rPr>
  </w:style>
  <w:style w:type="paragraph" w:customStyle="1" w:styleId="Heading30">
    <w:name w:val="Heading3"/>
    <w:basedOn w:val="Normal"/>
    <w:qFormat/>
    <w:rsid w:val="005556D6"/>
    <w:pPr>
      <w:keepNext/>
      <w:numPr>
        <w:ilvl w:val="2"/>
        <w:numId w:val="5"/>
      </w:numPr>
      <w:spacing w:before="120" w:after="120"/>
    </w:pPr>
    <w:rPr>
      <w:rFonts w:ascii="Times New Roman" w:eastAsia="Times New Roman" w:hAnsi="Times New Roman" w:cs="Times New Roman"/>
      <w:b/>
      <w:i/>
    </w:rPr>
  </w:style>
  <w:style w:type="paragraph" w:styleId="Footer">
    <w:name w:val="footer"/>
    <w:basedOn w:val="Normal"/>
    <w:link w:val="FooterChar"/>
    <w:uiPriority w:val="99"/>
    <w:unhideWhenUsed/>
    <w:rsid w:val="009D0452"/>
    <w:pPr>
      <w:tabs>
        <w:tab w:val="center" w:pos="4320"/>
        <w:tab w:val="right" w:pos="8640"/>
      </w:tabs>
    </w:pPr>
  </w:style>
  <w:style w:type="character" w:customStyle="1" w:styleId="FooterChar">
    <w:name w:val="Footer Char"/>
    <w:basedOn w:val="DefaultParagraphFont"/>
    <w:link w:val="Footer"/>
    <w:uiPriority w:val="99"/>
    <w:rsid w:val="009D0452"/>
  </w:style>
  <w:style w:type="character" w:styleId="PageNumber">
    <w:name w:val="page number"/>
    <w:basedOn w:val="DefaultParagraphFont"/>
    <w:uiPriority w:val="99"/>
    <w:semiHidden/>
    <w:unhideWhenUsed/>
    <w:rsid w:val="009D0452"/>
  </w:style>
  <w:style w:type="paragraph" w:customStyle="1" w:styleId="BulletPoints">
    <w:name w:val="Bullet Points"/>
    <w:basedOn w:val="Normal"/>
    <w:qFormat/>
    <w:rsid w:val="002E33C6"/>
    <w:pPr>
      <w:numPr>
        <w:numId w:val="7"/>
      </w:numPr>
      <w:spacing w:before="120" w:after="120"/>
      <w:contextualSpacing/>
    </w:pPr>
    <w:rPr>
      <w:rFonts w:ascii="Arial" w:eastAsia="Times New Roman" w:hAnsi="Arial" w:cs="Arial"/>
      <w:sz w:val="22"/>
      <w:szCs w:val="20"/>
      <w:lang w:eastAsia="en-AU"/>
    </w:rPr>
  </w:style>
  <w:style w:type="paragraph" w:styleId="CommentText">
    <w:name w:val="annotation text"/>
    <w:basedOn w:val="Normal"/>
    <w:link w:val="CommentTextChar"/>
    <w:unhideWhenUsed/>
    <w:rsid w:val="00534CE6"/>
    <w:pPr>
      <w:spacing w:after="12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534CE6"/>
    <w:rPr>
      <w:rFonts w:ascii="Arial" w:eastAsia="Times New Roman" w:hAnsi="Arial" w:cs="Arial"/>
      <w:sz w:val="20"/>
      <w:szCs w:val="20"/>
      <w:lang w:val="en-AU" w:eastAsia="en-AU"/>
    </w:rPr>
  </w:style>
  <w:style w:type="character" w:styleId="CommentReference">
    <w:name w:val="annotation reference"/>
    <w:basedOn w:val="DefaultParagraphFont"/>
    <w:uiPriority w:val="99"/>
    <w:semiHidden/>
    <w:unhideWhenUsed/>
    <w:rsid w:val="00AB1EDE"/>
    <w:rPr>
      <w:sz w:val="18"/>
      <w:szCs w:val="18"/>
    </w:rPr>
  </w:style>
  <w:style w:type="paragraph" w:styleId="CommentSubject">
    <w:name w:val="annotation subject"/>
    <w:basedOn w:val="CommentText"/>
    <w:next w:val="CommentText"/>
    <w:link w:val="CommentSubjectChar"/>
    <w:uiPriority w:val="99"/>
    <w:semiHidden/>
    <w:unhideWhenUsed/>
    <w:rsid w:val="00AB1EDE"/>
    <w:pPr>
      <w:spacing w:after="0"/>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AB1EDE"/>
    <w:rPr>
      <w:rFonts w:ascii="Arial" w:eastAsia="Times New Roman" w:hAnsi="Arial" w:cs="Arial"/>
      <w:b/>
      <w:bCs/>
      <w:sz w:val="20"/>
      <w:szCs w:val="20"/>
      <w:lang w:val="en-AU" w:eastAsia="en-AU"/>
    </w:rPr>
  </w:style>
  <w:style w:type="paragraph" w:customStyle="1" w:styleId="List-bullet-2">
    <w:name w:val="List-bullet-2"/>
    <w:basedOn w:val="Normal"/>
    <w:link w:val="List-bullet-2Char"/>
    <w:rsid w:val="00F31612"/>
    <w:pPr>
      <w:tabs>
        <w:tab w:val="num" w:pos="360"/>
      </w:tabs>
      <w:spacing w:before="80"/>
      <w:ind w:left="360" w:hanging="360"/>
    </w:pPr>
    <w:rPr>
      <w:rFonts w:ascii="Arial" w:eastAsia="Times New Roman" w:hAnsi="Arial" w:cs="Arial"/>
      <w:szCs w:val="22"/>
    </w:rPr>
  </w:style>
  <w:style w:type="character" w:customStyle="1" w:styleId="List-bullet-2Char">
    <w:name w:val="List-bullet-2 Char"/>
    <w:basedOn w:val="DefaultParagraphFont"/>
    <w:link w:val="List-bullet-2"/>
    <w:locked/>
    <w:rsid w:val="00F31612"/>
    <w:rPr>
      <w:rFonts w:ascii="Arial" w:eastAsia="Times New Roman" w:hAnsi="Arial" w:cs="Arial"/>
      <w:szCs w:val="22"/>
    </w:rPr>
  </w:style>
  <w:style w:type="paragraph" w:styleId="Header">
    <w:name w:val="header"/>
    <w:basedOn w:val="Normal"/>
    <w:link w:val="HeaderChar"/>
    <w:uiPriority w:val="99"/>
    <w:unhideWhenUsed/>
    <w:rsid w:val="00301373"/>
    <w:pPr>
      <w:tabs>
        <w:tab w:val="center" w:pos="4320"/>
        <w:tab w:val="right" w:pos="8640"/>
      </w:tabs>
    </w:pPr>
  </w:style>
  <w:style w:type="character" w:customStyle="1" w:styleId="HeaderChar">
    <w:name w:val="Header Char"/>
    <w:basedOn w:val="DefaultParagraphFont"/>
    <w:link w:val="Header"/>
    <w:uiPriority w:val="99"/>
    <w:rsid w:val="00301373"/>
  </w:style>
  <w:style w:type="paragraph" w:styleId="Caption">
    <w:name w:val="caption"/>
    <w:basedOn w:val="Normal"/>
    <w:next w:val="Normal"/>
    <w:qFormat/>
    <w:rsid w:val="0009268C"/>
    <w:pPr>
      <w:ind w:left="-1134"/>
    </w:pPr>
    <w:rPr>
      <w:rFonts w:ascii="Arial" w:eastAsia="Times New Roman" w:hAnsi="Arial" w:cs="Arial"/>
      <w:b/>
      <w:bCs/>
      <w:sz w:val="18"/>
    </w:rPr>
  </w:style>
  <w:style w:type="character" w:customStyle="1" w:styleId="st">
    <w:name w:val="st"/>
    <w:basedOn w:val="DefaultParagraphFont"/>
    <w:rsid w:val="0009268C"/>
  </w:style>
  <w:style w:type="paragraph" w:styleId="Revision">
    <w:name w:val="Revision"/>
    <w:hidden/>
    <w:uiPriority w:val="99"/>
    <w:semiHidden/>
    <w:rsid w:val="00FD22E6"/>
  </w:style>
  <w:style w:type="character" w:customStyle="1" w:styleId="FootnoteTextChar1">
    <w:name w:val="Footnote Text Char1"/>
    <w:aliases w:val="Footnote Text Char1 Char Char1,Footnote Text Char Char Char Char1,Footnote Text Char1 Char1 Char Char Char1,Footnote Text Char Char Char Char Char Char1,Footnote Text Char1 Char Char Char Char Char1,fn Char1,C Char1,ADB Char1"/>
    <w:basedOn w:val="DefaultParagraphFont"/>
    <w:uiPriority w:val="99"/>
    <w:rsid w:val="006D0A4C"/>
    <w:rPr>
      <w:rFonts w:ascii="Arial" w:eastAsia="Times New Roman" w:hAnsi="Arial" w:cs="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customXml" Target="../customXml/item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1.png"/><Relationship Id="rId28" Type="http://schemas.openxmlformats.org/officeDocument/2006/relationships/customXml" Target="../customXml/item10.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theme" Target="theme/theme1.xml"/><Relationship Id="rId30" Type="http://schemas.openxmlformats.org/officeDocument/2006/relationships/customXml" Target="../customXml/item12.xml"/></Relationships>
</file>

<file path=word/_rels/footnotes.xml.rels><?xml version="1.0" encoding="UTF-8" standalone="yes"?>
<Relationships xmlns="http://schemas.openxmlformats.org/package/2006/relationships"><Relationship Id="rId1" Type="http://schemas.openxmlformats.org/officeDocument/2006/relationships/hyperlink" Target="http://www.dfat.gov.au/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83DBE5-3E27-4BF8-B0D7-86F8E182162B}"/>
</file>

<file path=customXml/itemProps10.xml><?xml version="1.0" encoding="utf-8"?>
<ds:datastoreItem xmlns:ds="http://schemas.openxmlformats.org/officeDocument/2006/customXml" ds:itemID="{2066CC15-D456-4877-9A1C-5553FA2353B3}"/>
</file>

<file path=customXml/itemProps11.xml><?xml version="1.0" encoding="utf-8"?>
<ds:datastoreItem xmlns:ds="http://schemas.openxmlformats.org/officeDocument/2006/customXml" ds:itemID="{014CDCF1-680D-455C-8127-63E3F1DD85AE}"/>
</file>

<file path=customXml/itemProps12.xml><?xml version="1.0" encoding="utf-8"?>
<ds:datastoreItem xmlns:ds="http://schemas.openxmlformats.org/officeDocument/2006/customXml" ds:itemID="{DAECBF82-6AFE-46AF-87D0-66AC33F7ACC0}"/>
</file>

<file path=customXml/itemProps2.xml><?xml version="1.0" encoding="utf-8"?>
<ds:datastoreItem xmlns:ds="http://schemas.openxmlformats.org/officeDocument/2006/customXml" ds:itemID="{895565F5-C3EC-4DA0-B629-F8A4509713E4}"/>
</file>

<file path=customXml/itemProps3.xml><?xml version="1.0" encoding="utf-8"?>
<ds:datastoreItem xmlns:ds="http://schemas.openxmlformats.org/officeDocument/2006/customXml" ds:itemID="{F599554C-AC51-44BA-A0F5-52D3515BE061}"/>
</file>

<file path=customXml/itemProps4.xml><?xml version="1.0" encoding="utf-8"?>
<ds:datastoreItem xmlns:ds="http://schemas.openxmlformats.org/officeDocument/2006/customXml" ds:itemID="{6EFDF14D-9F74-4646-9D26-EC7E036F9BAF}"/>
</file>

<file path=customXml/itemProps5.xml><?xml version="1.0" encoding="utf-8"?>
<ds:datastoreItem xmlns:ds="http://schemas.openxmlformats.org/officeDocument/2006/customXml" ds:itemID="{A6177426-3688-4A40-B666-C5A3EE991CF1}"/>
</file>

<file path=customXml/itemProps6.xml><?xml version="1.0" encoding="utf-8"?>
<ds:datastoreItem xmlns:ds="http://schemas.openxmlformats.org/officeDocument/2006/customXml" ds:itemID="{81914A86-8719-4B15-9750-E36887F8D2E9}"/>
</file>

<file path=customXml/itemProps7.xml><?xml version="1.0" encoding="utf-8"?>
<ds:datastoreItem xmlns:ds="http://schemas.openxmlformats.org/officeDocument/2006/customXml" ds:itemID="{F38C57CD-1B63-4A0A-BEE0-6ACA59C18F03}"/>
</file>

<file path=customXml/itemProps8.xml><?xml version="1.0" encoding="utf-8"?>
<ds:datastoreItem xmlns:ds="http://schemas.openxmlformats.org/officeDocument/2006/customXml" ds:itemID="{3B67DA17-7F83-4680-B78A-CDF9E818024A}"/>
</file>

<file path=customXml/itemProps9.xml><?xml version="1.0" encoding="utf-8"?>
<ds:datastoreItem xmlns:ds="http://schemas.openxmlformats.org/officeDocument/2006/customXml" ds:itemID="{6FCCEDE7-5E6D-4435-A750-179EF5617BD7}"/>
</file>

<file path=docProps/app.xml><?xml version="1.0" encoding="utf-8"?>
<Properties xmlns="http://schemas.openxmlformats.org/officeDocument/2006/extended-properties" xmlns:vt="http://schemas.openxmlformats.org/officeDocument/2006/docPropsVTypes">
  <Template>ADE9C94E</Template>
  <TotalTime>0</TotalTime>
  <Pages>57</Pages>
  <Words>19667</Words>
  <Characters>116432</Characters>
  <Application>Microsoft Office Word</Application>
  <DocSecurity>0</DocSecurity>
  <Lines>2239</Lines>
  <Paragraphs>747</Paragraphs>
  <ScaleCrop>false</ScaleCrop>
  <Company/>
  <LinksUpToDate>false</LinksUpToDate>
  <CharactersWithSpaces>135352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2015-06-15T05:34:00Z</dcterms:created>
  <dcterms:modified xsi:type="dcterms:W3CDTF">2015-06-15T05:34:00Z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